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135F69AE9794A898EEB8FA91D126B69" style="width:450.8pt;height:351.9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Dôvody a ciele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Cieľom návrhu je zrevidovať nariadenie o zriadení Európskej agentúry pre bezpečnosť a ochranu zdravia pri práci (EU-OSHA) z roku 1994. Na revíziu sú dva dôvody.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Revíziou nariadenia o zriadení agentúry EU-OSHA sa zosúladia určité ustanovenia existujúceho nariadenia upravujúceho agentúru EU-OSHA so spoločným prístupom k decentralizovaným agentúram. Revízia je zároveň príležitosťou aktualizovať ciele a úlohy agentúry EU-OSHA. Nové ciele a úlohy sa prispôsobia tak, aby lepšie zohľadňovali vývoj v tejto oblasti, ako aj nové potreby.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Revízia nie je iniciatívou v rámci Programu regulačnej vhodnosti a efektívnosti (REFIT).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Ďalšie dve tripartitné agentúry Európskej únie, Eurofound a CEDEFOP, budú v rovnakom čase ako EU-OSHA takisto predmetom revízie ich vlastných zakladajúcich nariadení.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existujúcimi ustanoveniami v tejto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Nariadenie o zriadení agentúry EU-OSHA bolo zmenené trikrát – v roku 1995, 2003 a 2005, najmä s ohľadom na rozšírenie EÚ alebo zmeny zmluvy. Takéto zmeny však nemali podstatný vplyv na základné princípy agentúry.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Táto revízia poskytne jasnejší opis úlohy EU-OSHA v rámci podpory Komisie pri tvorbe politiky v oblasti ochrany zdravia a bezpečnosti pri práci. Aktualizuje sa ňou mandát EU-OSHA ako strediska pre technické, vedecké, právne a ekonomické informácie a odborné znalosti v oblasti bezpečnosti a ochrany zdravia pri práci.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ostatnými politikami Únie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Úlohou EU-OSHA je informovať a prispievať k lepšej tvorbe politiky založenej na dôkazoch v oblastiach týkajúcich sa ochrany zdravia a bezpečnosti pri práci. Revízia zohľadňuje existujúce politiky EÚ v oblasti ochrany zdravia a bezpečnosti pri práci a počíta so vzájomným dopĺňaním s prebiehajúcim a plánovanými výskumom v tejto oblasti realizovaným s pomocou finančných prostriedkov EÚ, ako je to napríklad v prípade tých, ktoré sú financované v rámci programu Horizont 2020.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Navrhovaným právnym základom je článok 153 Zmluvy o fungovaní Európskej únie (ZFEÚ), ktorý sa týka činností vykonávaných agentúrou EU-OSHA v oblasti ochrany zdravia a bezpečnosti pri práci a odkazuje na opatrenia určené na podporu spolupráce medzi členskými štátmi v článkoch 153 ods. 2 písm. a) ZFEÚ. </w:t>
      </w:r>
    </w:p>
    <w:p>
      <w:pPr>
        <w:pStyle w:val="ManualHeading2"/>
        <w:rPr>
          <w:b w:val="0"/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  <w:t xml:space="preserve">Subsidiarita (v prípade inej ako výlučnej právomoci)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sa zameriava na určité aspekty týkajúce sa vnútorného fungovania agentúry EÚ v kontexte inštitucionálneho rámca EÚ. Ciele tohto návrhu preto nie je možné dosiahnuť opatreniami na vnútroštátnej úrovni.</w:t>
      </w:r>
    </w:p>
    <w:p>
      <w:pPr>
        <w:pStyle w:val="ManualHeading2"/>
        <w:rPr>
          <w:b w:val="0"/>
          <w:noProof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Revízia zakladajúceho nariadenia by sa mala posudzovať z hľadiska jej vplyvu na administratívne zaťaženie a rozpočtové náklady s cieľom rešpektovať zásadu proporcionality. Všeobecnou zásadou, ktorou sa riadi táto revízia, je potreba zachovať jednoduchosť, jasnosť a flexibilitu znenia zakladajúceho nariadenia, a pritom v prípade podrobných ustanovení vychádzať z iných foriem regulácie (napr. rokovacieho poriadku). Zakladajúce nariadenie by malo mať strednodobú životnosť a zabezpečiť potrebnú flexibilitu na umožnenie budúceho vývoja v organizácii bez toho, aby bola potrebná ďalšia revízia.</w:t>
      </w:r>
    </w:p>
    <w:p>
      <w:pPr>
        <w:pStyle w:val="ManualHeading2"/>
        <w:rPr>
          <w:b w:val="0"/>
          <w:noProof/>
        </w:rPr>
      </w:pPr>
      <w:r>
        <w:rPr>
          <w:noProof/>
        </w:rPr>
        <w:t>•</w:t>
      </w:r>
      <w:r>
        <w:rPr>
          <w:noProof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Nástrojom bude nariadenie Európskeho parlamentu a Rady, ktorým sa zrušuje a nahrádza existujúce nariadenie Rady (ES) č. 2062/94.</w:t>
      </w:r>
    </w:p>
    <w:p>
      <w:pPr>
        <w:pStyle w:val="ManualHeading1"/>
        <w:rPr>
          <w:b w:val="0"/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Hodnotenia ex post/kontroly vhodnosti existujúcich právnych predpisov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Posledné hodnotenie, ktoré vykonala agentúra v roku 2011, sa týkalo jej stratégie na obdobie rokov 2009 – 2013.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Konzultácie so zainteresovanými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 súlade s požiadavkami článku 154 ZFEÚ sa na úrovni EÚ konzultovalo s vedením a zamestnancami tak o otázke možného smerovania činností Únie, ako aj o obsahu plánovaného návrhu. Vo svojom stanovisku vedenie, ako aj zamestnanci trvali na tom, aby sa zachovala tripartitná povaha agentúry a aby sa táto skutočnosť premietala v cieľoch agentúry a vo vyváženom zastúpení všetkých skupín v jej riadiacich štruktúrach. Inak sa nezaznamenali žiadne významné návrhy týkajúce nariadenia o zriadení agentúry EU-OSHA.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Komisia informovala ostatné relevantné zainteresované strany o všeobecných rozhodnutiach týkajúcich sa tejto revízie a v prípade potreby s nimi viedla konzultácie.</w:t>
      </w:r>
    </w:p>
    <w:p>
      <w:pPr>
        <w:pStyle w:val="ManualHeading2"/>
        <w:rPr>
          <w:b w:val="0"/>
          <w:noProof/>
        </w:rPr>
      </w:pPr>
      <w:r>
        <w:rPr>
          <w:noProof/>
        </w:rPr>
        <w:t>•</w:t>
      </w:r>
      <w:r>
        <w:rPr>
          <w:noProof/>
        </w:rPr>
        <w:tab/>
        <w:t>Získavanie a využívanie expertízy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b w:val="0"/>
          <w:noProof/>
        </w:rPr>
      </w:pPr>
      <w:r>
        <w:rPr>
          <w:noProof/>
        </w:rPr>
        <w:t>•</w:t>
      </w:r>
      <w:r>
        <w:rPr>
          <w:noProof/>
        </w:rPr>
        <w:tab/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 Vzhľadom na čiastočnú revíziu zakladajúceho aktu sa posúdenie vplyvu nevykonalo.</w:t>
      </w:r>
    </w:p>
    <w:p>
      <w:pPr>
        <w:pStyle w:val="ManualHeading2"/>
        <w:rPr>
          <w:b w:val="0"/>
          <w:noProof/>
        </w:rPr>
      </w:pPr>
      <w:r>
        <w:rPr>
          <w:noProof/>
        </w:rPr>
        <w:t>•</w:t>
      </w:r>
      <w:r>
        <w:rPr>
          <w:noProof/>
        </w:rPr>
        <w:tab/>
        <w:t>Regulačná vhodnosť a zjednodušenie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Neuplatňuje sa. Návrh nesúvisí s programom REFIT.</w:t>
      </w:r>
    </w:p>
    <w:p>
      <w:pPr>
        <w:pStyle w:val="ManualHeading2"/>
        <w:rPr>
          <w:b w:val="0"/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  <w:t>Základné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Neuplatňuje sa.</w:t>
      </w:r>
    </w:p>
    <w:p>
      <w:pPr>
        <w:pStyle w:val="ManualHeading1"/>
        <w:rPr>
          <w:b w:val="0"/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Vplyv na rozpočet, pokiaľ ide o ľudské a finančné zdroje, ako sa podrobnejšie uvádza v legislatívnom finančnom výkaze, je v súlade s oznámením Komisie (2013)519.</w:t>
      </w:r>
    </w:p>
    <w:p>
      <w:pPr>
        <w:pStyle w:val="ManualHeading1"/>
        <w:rPr>
          <w:b w:val="0"/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Plány vykonávania a spôsob monitorovania, hodnotenia a podávania správ</w:t>
      </w:r>
    </w:p>
    <w:p>
      <w:pPr>
        <w:rPr>
          <w:noProof/>
        </w:rPr>
      </w:pPr>
      <w:r>
        <w:rPr>
          <w:noProof/>
        </w:rPr>
        <w:t>V súlade so spoločným prístupom návrh zahŕňa ustanovenie o hodnotení agentúry Komisiou. Okrem predloženia tohto návrhu Komisia zamýšľa vykonať prierezové hodnotenie s cieľom posúdiť ciele, mandáty, riadenie a úlohy agentúry, a to aj v súvislosti s inými agentúrami v oblasti trhu práce, pracovných podmienok, odborného vzdelávania a prípravy a zručností.</w:t>
      </w:r>
    </w:p>
    <w:p>
      <w:pPr>
        <w:pStyle w:val="ManualHeading2"/>
        <w:rPr>
          <w:b w:val="0"/>
          <w:noProof/>
        </w:rPr>
      </w:pPr>
      <w:r>
        <w:rPr>
          <w:noProof/>
        </w:rPr>
        <w:t>•</w:t>
      </w:r>
      <w:r>
        <w:rPr>
          <w:noProof/>
        </w:rPr>
        <w:tab/>
        <w:t>Vysvetľujúce dokumenty (v prípade smerníc)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Neuplatňuje sa. </w:t>
      </w:r>
    </w:p>
    <w:p>
      <w:pPr>
        <w:pStyle w:val="ManualHeading2"/>
        <w:rPr>
          <w:b w:val="0"/>
          <w:noProof/>
        </w:rPr>
      </w:pPr>
      <w:r>
        <w:rPr>
          <w:noProof/>
        </w:rPr>
        <w:t>•</w:t>
      </w:r>
      <w:r>
        <w:rPr>
          <w:noProof/>
        </w:rPr>
        <w:tab/>
        <w:t>Podrobné vysvetlenie konkrétnych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Revízia zakladajúceho nariadenia je príležitosťou aktualizovať ciele a úlohy agentúry EU-OSHA. Predovšetkým umožní presnejšie vymedziť úlohu agentúry EU-OSHA v rámci podpory Komisie a iných inštitúcií a orgánov EÚ, členských štátov a sociálnych partnerov a subjektov, ktoré sú zaangažované v danej oblasti, pri tvorbe a realizácii politík v oblasti zdravia a bezpečnosti pri práci tak na vnútroštátnej, ako aj európskej úrovni.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Okrem toho sa revíziou vytvára príležitosť stanoviť opatrenia proti podvodom, politiku v oblasti konfliktu záujmov, hodnotenie a preskúmanie a uzatvorenie dohody o sídle. Revíziou sa zharmonizujú aj ustanovenia týkajúce sa plánovania programov a podávania správ s požiadavkami stanovenými revidovaným rámcovým nariadením o rozpočtových pravidlách. Terminológia týkajúca sa štruktúry riadenia sa zosúladí so spoločným prístupom. Niektoré prvky zakladajúceho aktu nepodliehajú preskúmaniu na základe spoločného prístupu v rámci tohto návrhu, a to až do ďalšieho hodnotenia.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2016/0254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NARIADENIE EURÓPSKEHO PARLAMENTU A RADY,</w:t>
      </w:r>
    </w:p>
    <w:p>
      <w:pPr>
        <w:pStyle w:val="Titreobjet"/>
        <w:rPr>
          <w:noProof/>
        </w:rPr>
      </w:pPr>
      <w:r>
        <w:rPr>
          <w:noProof/>
        </w:rPr>
        <w:t>ktorým sa zriaďuje Európska agentúra pre bezpečnosť a ochranu zdravia pri práci (EU-OSHA) a ktorým sa zrušuje nariadenie Rady (ES) č. 2062/94</w:t>
      </w:r>
    </w:p>
    <w:p>
      <w:pPr>
        <w:pStyle w:val="Institutionquiagit"/>
        <w:rPr>
          <w:noProof/>
        </w:rPr>
      </w:pPr>
      <w:r>
        <w:rPr>
          <w:noProof/>
        </w:rPr>
        <w:t>EURÓPSKY PARLAMENT A RADA EURÓPSKEJ ÚNIE,</w:t>
      </w:r>
    </w:p>
    <w:p>
      <w:pPr>
        <w:widowControl w:val="0"/>
        <w:ind w:right="20"/>
        <w:rPr>
          <w:noProof/>
          <w:szCs w:val="24"/>
        </w:rPr>
      </w:pPr>
      <w:r>
        <w:rPr>
          <w:noProof/>
        </w:rPr>
        <w:t>so zreteľom na Zmluvu o fungovaní Európskej únie, a najmä na jej článok 153 ods. 2 písm. a),</w:t>
      </w:r>
    </w:p>
    <w:p>
      <w:pPr>
        <w:widowControl w:val="0"/>
        <w:rPr>
          <w:noProof/>
          <w:szCs w:val="24"/>
          <w:shd w:val="clear" w:color="auto" w:fill="FFFFFF"/>
        </w:rPr>
      </w:pPr>
      <w:r>
        <w:rPr>
          <w:noProof/>
        </w:rPr>
        <w:t>so zreteľom na návrh Európskej komisie,</w:t>
      </w:r>
    </w:p>
    <w:p>
      <w:pPr>
        <w:widowControl w:val="0"/>
        <w:ind w:right="20"/>
        <w:rPr>
          <w:noProof/>
          <w:szCs w:val="24"/>
          <w:shd w:val="clear" w:color="auto" w:fill="FFFFFF"/>
        </w:rPr>
      </w:pPr>
      <w:r>
        <w:rPr>
          <w:noProof/>
        </w:rPr>
        <w:t>po postúpení návrhu legislatívneho aktu národným parlamentom,</w:t>
      </w:r>
    </w:p>
    <w:p>
      <w:pPr>
        <w:widowControl w:val="0"/>
        <w:ind w:right="20"/>
        <w:rPr>
          <w:noProof/>
          <w:szCs w:val="24"/>
          <w:shd w:val="clear" w:color="auto" w:fill="FFFFFF"/>
        </w:rPr>
      </w:pPr>
      <w:r>
        <w:rPr>
          <w:noProof/>
        </w:rPr>
        <w:t>so zreteľom na stanovisko Európskeho hospodárskeho a sociálneho výboru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</w:t>
      </w:r>
    </w:p>
    <w:p>
      <w:pPr>
        <w:widowControl w:val="0"/>
        <w:ind w:right="20"/>
        <w:rPr>
          <w:noProof/>
          <w:szCs w:val="24"/>
          <w:shd w:val="clear" w:color="auto" w:fill="FFFFFF"/>
        </w:rPr>
      </w:pPr>
      <w:r>
        <w:rPr>
          <w:noProof/>
        </w:rPr>
        <w:t>so zreteľom na stanovisko Výboru regiónov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widowControl w:val="0"/>
        <w:ind w:right="20"/>
        <w:rPr>
          <w:noProof/>
          <w:szCs w:val="24"/>
          <w:shd w:val="clear" w:color="auto" w:fill="FFFFFF"/>
        </w:rPr>
      </w:pPr>
      <w:r>
        <w:rPr>
          <w:noProof/>
        </w:rPr>
        <w:t>konajúc v súlade s 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  <w:shd w:val="clear" w:color="auto" w:fill="FFFFFF"/>
        </w:rPr>
      </w:pPr>
      <w:r>
        <w:t>(1)</w:t>
      </w:r>
      <w:r>
        <w:tab/>
      </w:r>
      <w:r>
        <w:rPr>
          <w:noProof/>
        </w:rPr>
        <w:t>Európska agentúra pre bezpečnosť a ochranu zdravia pri práci (EU-OSHA) bola zriadená nariadením Rady (ES) č. 2062/94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s cieľom prispieť k zlepšeniu pracovného prostredia, pokiaľ ide o ochranu bezpečnosti a zdravia pracovníkov prostredníctvom opatrení určených na zvyšovanie úrovne poznatkov a šírenie poznatkov, ktoré môžu pomôcť pri tomto zlepšovaní.</w:t>
      </w:r>
    </w:p>
    <w:p>
      <w:pPr>
        <w:pStyle w:val="ManualConsidrant"/>
        <w:rPr>
          <w:noProof/>
          <w:shd w:val="clear" w:color="auto" w:fill="FFFFFF"/>
        </w:rPr>
      </w:pPr>
      <w:r>
        <w:t>(2)</w:t>
      </w:r>
      <w:r>
        <w:tab/>
      </w:r>
      <w:r>
        <w:rPr>
          <w:noProof/>
        </w:rPr>
        <w:t>Od svojho založenia v roku 1994 agentúra EU-OSHA zohráva významnú úlohu pri podpore zlepšovania bezpečnosti a ochrany zdravia pri práci v celej Európskej únii. V oblasti bezpečnosti a ochrany zdravia pri práci (BOZP) sa zároveň zaznamenal vývoj. V tejto súvislosti sú potrebné určité úpravy opisu cieľov a úloh agentúry EU-OSHA v porovnaní s ustanoveniami nariadenia Rady (ES) č. 2062/94.</w:t>
      </w:r>
    </w:p>
    <w:p>
      <w:pPr>
        <w:pStyle w:val="ManualConsidrant"/>
        <w:rPr>
          <w:noProof/>
          <w:shd w:val="clear" w:color="auto" w:fill="FFFFFF"/>
        </w:rPr>
      </w:pPr>
      <w:r>
        <w:t>(3)</w:t>
      </w:r>
      <w:r>
        <w:tab/>
      </w:r>
      <w:r>
        <w:rPr>
          <w:noProof/>
        </w:rPr>
        <w:t>Nariadenie (ES) č. 2062/94 bolo viackrát zmenené. Keďže sa majú vykonať ďalšie zmeny, nariadenie by sa preto malo v záujme jednoznačnosti nahradiť a zrušiť.</w:t>
      </w:r>
    </w:p>
    <w:p>
      <w:pPr>
        <w:pStyle w:val="ManualConsidrant"/>
        <w:rPr>
          <w:noProof/>
          <w:shd w:val="clear" w:color="auto" w:fill="FFFFFF"/>
        </w:rPr>
      </w:pPr>
      <w:r>
        <w:t>(4)</w:t>
      </w:r>
      <w:r>
        <w:tab/>
      </w:r>
      <w:r>
        <w:rPr>
          <w:noProof/>
        </w:rPr>
        <w:t xml:space="preserve">Agentúra by sa mala v čo najväčšom rozsahu riadiť a prevádzkovať v súlade so zásadami spoločného vyhlásenia Európskeho parlamentu, Rady Európskej únie a Európskej komisie o decentralizovaných agentúrach z 19. júla 2012. Tento návrh nemá vplyv na žiadne ďalšie zmeny nariadenia o zriadení agentúry EU-OSHA, ktoré by Komisia prípadne chcela navrhnúť po ďalšom hodnotení, a to na základe ustanovení tohto aktu alebo na základe jej vlastnej iniciatívy. Komisia zhodnotí ciele, mandát, </w:t>
      </w:r>
      <w:r>
        <w:rPr>
          <w:noProof/>
        </w:rPr>
        <w:lastRenderedPageBreak/>
        <w:t>riadenie a úlohy všetkých agentúr EÚ pôsobiacich v oblasti trhu práce, pracovných podmienok, odborného vzdelávania a prípravy a zručností.</w:t>
      </w:r>
    </w:p>
    <w:p>
      <w:pPr>
        <w:pStyle w:val="ManualConsidrant"/>
        <w:rPr>
          <w:noProof/>
          <w:shd w:val="clear" w:color="auto" w:fill="FFFFFF"/>
        </w:rPr>
      </w:pPr>
      <w:r>
        <w:t>(5)</w:t>
      </w:r>
      <w:r>
        <w:tab/>
      </w:r>
      <w:r>
        <w:rPr>
          <w:noProof/>
        </w:rPr>
        <w:t>Keďže tri tripartitné agentúry, EU-OSHA, Európske stredisko pre rozvoj odborného vzdelávania (Cedefop) a Európska nadácia pre zlepšovanie životných a pracovných podmienok (Eurofound), riešia otázky súvisiace s trhom práce, pracovným prostredím, odborným vzdelávaním a prípravou a zručnosťami, medzi danými tromi agentúrami je potrebná úzka koordinácia, pričom je potrebné hľadať spôsoby, ako zvýšiť efektívnosť a využiť synergie. Agentúra by sa okrem toho mala vo všetkých relevantných prípadoch snažiť nadviazať efektívnu spoluprácu s vlastnými výskumnými kapacitami Európskej komisie.</w:t>
      </w:r>
    </w:p>
    <w:p>
      <w:pPr>
        <w:pStyle w:val="ManualConsidrant"/>
        <w:rPr>
          <w:noProof/>
          <w:shd w:val="clear" w:color="auto" w:fill="FFFFFF"/>
        </w:rPr>
      </w:pPr>
      <w:r>
        <w:t>(6)</w:t>
      </w:r>
      <w:r>
        <w:tab/>
      </w:r>
      <w:r>
        <w:rPr>
          <w:noProof/>
        </w:rPr>
        <w:t>V Európskej únii a členských štátoch už existujú organizácie, ktoré poskytujú tento typ informácií a služieb. S cieľom dosiahnuť na úrovni EÚ maximálny prínos pôsobenia týchto organizácií je vhodné zachovať existujúce dobre fungujúcu sieť zriadenú agentúrou EU-OSHA na základe nariadenia (ES) č. 2062/94, ktorá zahŕňa kontaktné miesta členských štátov a ich vnútroštátne tripartitné siete. Takisto je dôležité, aby agentúra mala veľmi blízke funkčné väzby s Poradným výborom pre bezpečnosť a ochranu zdravia pri práci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 cieľom zabezpečiť dobrú koordináciu a synergie.</w:t>
      </w:r>
    </w:p>
    <w:p>
      <w:pPr>
        <w:pStyle w:val="ManualConsidrant"/>
        <w:rPr>
          <w:noProof/>
          <w:shd w:val="clear" w:color="auto" w:fill="FFFFFF"/>
        </w:rPr>
      </w:pPr>
      <w:r>
        <w:t>(7)</w:t>
      </w:r>
      <w:r>
        <w:tab/>
      </w:r>
      <w:r>
        <w:rPr>
          <w:noProof/>
        </w:rPr>
        <w:t>Finančné ustanovenia a ustanovenia týkajúce sa plánovania programov a podávania správ stanovené v nariadení (ES) č. 2062/94 by sa mali zosúladiť s delegovaným nariadením Komisie (EÚ) č. 1271/2013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  <w:shd w:val="clear" w:color="auto" w:fill="FFFFFF"/>
        </w:rPr>
      </w:pPr>
      <w:r>
        <w:t>(8)</w:t>
      </w:r>
      <w:r>
        <w:tab/>
      </w:r>
      <w:r>
        <w:rPr>
          <w:noProof/>
        </w:rPr>
        <w:t>Ustanovenia týkajúce sa pracovníkov agentúry EU-OSHA stanovené v nariadení (ES) č. 2062/94 by sa mali zosúladiť so Služobným poriadkom úradníkov Európskej únie (ďalej len „služobný poriadok“) a Podmienkami zamestnávania ostatných zamestnancov Európskej únie (ďalej len „PZOZ“) stanovenými nariadením Rady (EHS, Euratom, ESUO) č. 259/68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  <w:shd w:val="clear" w:color="auto" w:fill="FFFFFF"/>
        </w:rPr>
      </w:pPr>
      <w:r>
        <w:t>(9)</w:t>
      </w:r>
      <w:r>
        <w:tab/>
      </w:r>
      <w:r>
        <w:rPr>
          <w:noProof/>
        </w:rPr>
        <w:t>Agentúra by mala prijať potrebné opatrenia, ktorými sa zabezpečí bezpečné zaobchádzanie s dôvernými informáciami a ich spracúvanie. V prípade potreby agentúra EU-OSHA prijme bezpečnostné pravidlá stanovené v rozhodnutí Komisie (EÚ, Euratom) 2015/443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a rozhodnutí Komisie (EÚ, Euratom) 2015/444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Considrant"/>
        <w:rPr>
          <w:noProof/>
          <w:shd w:val="clear" w:color="auto" w:fill="FFFFFF"/>
        </w:rPr>
      </w:pPr>
      <w:r>
        <w:t>(10)</w:t>
      </w:r>
      <w:r>
        <w:tab/>
      </w:r>
      <w:r>
        <w:rPr>
          <w:noProof/>
        </w:rPr>
        <w:t>Je potrebné stanoviť prechodné rozpočtové ustanovenia a prechodné ustanovenia týkajúce sa riadiacej rady, výkonného riaditeľa a zamestnancov na zabezpečenie pokračovania činností agentúry pred nadobudnutím účinnosti tohto nariadenia,</w:t>
      </w:r>
    </w:p>
    <w:p>
      <w:pPr>
        <w:pStyle w:val="Formuledadoption"/>
        <w:rPr>
          <w:noProof/>
        </w:rPr>
      </w:pPr>
      <w:r>
        <w:rPr>
          <w:noProof/>
        </w:rPr>
        <w:t>PRIJALI TOTO NARIADENIE:</w:t>
      </w:r>
    </w:p>
    <w:p>
      <w:pPr>
        <w:pStyle w:val="Titrearticle"/>
        <w:pageBreakBefore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lastRenderedPageBreak/>
        <w:t>KAPITOLA I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CIELE A ÚLOHY AGENTÚRY</w:t>
      </w:r>
    </w:p>
    <w:p>
      <w:pPr>
        <w:pStyle w:val="Titrearticle"/>
        <w:spacing w:after="360"/>
        <w:rPr>
          <w:bCs/>
          <w:noProof/>
          <w:szCs w:val="24"/>
        </w:rPr>
      </w:pPr>
      <w:r>
        <w:rPr>
          <w:noProof/>
        </w:rPr>
        <w:t>Článok 1 – Zriadenie a cieľ agentúry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Európska agentúra pre bezpečnosť a ochranu zdravia pri práci, (ďalej len „agentúra“), známa aj ako „EU-OSHA“, sa týmto zriaďuje ako agentúra Európskej únie.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Cieľom agentúry je poskytovať inštitúciám a orgánom Európskej únie, členským štátom, sociálnym partnerom a všetkým, ktorí pôsobia v oblasti bezpečnosti a ochrany zdravia pri práci, technické, vedecké, právne a ekonomické informácie a odborné znalosti v tejto oblasti.</w:t>
      </w:r>
    </w:p>
    <w:p>
      <w:pPr>
        <w:pStyle w:val="Titrearticle"/>
        <w:rPr>
          <w:bCs/>
          <w:iCs/>
          <w:noProof/>
          <w:szCs w:val="24"/>
        </w:rPr>
      </w:pPr>
      <w:r>
        <w:rPr>
          <w:noProof/>
        </w:rPr>
        <w:t>Článok 2 – Úlohy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Agentúra plní tieto úlohy, pokiaľ ide o oblasti politiky uvedené v článku 1 ods. 2: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zhromažďovanie, analýza a šírenie technických, vedeckých a ekonomických informácií o bezpečnosti a ochrane zdravia pri práci v členských štátoch v záujme ich odovzdávania inštitúciám a orgánom Európskej únie, členským štátom a zainteresovaným stranám; toto zhromažďovanie sa uskutočňuje s cieľom určiť riziká a osvedčené postupy, ako aj existujúce vnútroštátne priority a programy a poskytnúť potrebné informácie pre priority a programy Európskej únie;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zhromažďovanie a analýza technických, vedeckých a ekonomických informácií o výskume v oblasti bezpečnosti a ochrany zdravia pri práci a o ďalších výskumných činnostiach, ktoré zahŕňajú aspekty súvisiace s bezpečnosťou a ochranou zdravia pri práci, a šírenie výsledkov tohto výskumu a výskumných činností;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podnecovanie a podpora spolupráce a výmeny informácií a skúseností medzi členskými štátmi v oblasti bezpečnosti a ochrany zdravia pri práci vrátane informácií o vzdelávacích programoch;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organizovanie konferencií a seminárov a výmen odborníkov z členských štátov z oblasti bezpečnosti a ochrany zdravia pri práci;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poskytovanie inštitúciám a orgánom Európskej únie a jej členským štátom objektívnych, dostupných technických, vedeckých, právnych a ekonomických informácií a odborných poznatkov, ktoré sú pre ne potrebné na formulovanie a vykonávanie účelných a účinných politík určených na ochranu bezpečnosti a zdravia pracovníkov; na tento účel poskytne Európskej komisii najmä technické, vedecké, právne a ekonomické informácie a odborné znalosti, ktoré potrebuje na plnenie svojich úloh identifikácie, prípravy a vyhodnocovania právnych predpisov a opatrení v oblasti ochrany bezpečnosti a zdravia pracovníkov, najmä pokiaľ ide o dosah právnych predpisov, prispôsobenie legislatívy technickému, vedeckému alebo legislatívnemu pokroku, ako aj </w:t>
      </w:r>
      <w:r>
        <w:rPr>
          <w:noProof/>
        </w:rPr>
        <w:lastRenderedPageBreak/>
        <w:t>praktické vykonávanie právnych predpisov v podnikoch, s osobitným dôrazom na mikropodniky a malé a stredné podniky;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zavádzanie a koordinácia, a to v spolupráci s členskými štátmi, siete uvedenej v článku 12, so zohľadnením vnútroštátnych a medzinárodných orgánov a organizácií, ako aj orgánov a organizácií EÚ, ktoré poskytujú tento typ informácií a služieb;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zhromažďovanie a sprístupňovanie informácií o záležitostiach týkajúcich sa bezpečnosti a zdravia od tretích krajín a medzinárodných organizácií, ako aj pre tretie krajiny a medzinárodné organizácie;</w:t>
      </w:r>
    </w:p>
    <w:p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poskytovanie technických, vedeckých a ekonomických informácií o metódach a nástrojoch na vykonávanie preventívnych činností, určovanie osvedčených postupov a podpora preventívnych opatrení, pričom sa osobitná pozornosť venuje špecifickým problémom malých a stredných podnikov. Pokiaľ ide o osvedčené postupy, agentúra sa zameriava najmä na postupy, ktoré tvoria praktické nástroje na zostavovanie hodnotenia rizík týkajúcich sa bezpečnosti a ochrany zdravia pri práci, a určovanie opatrení, ktoré sa majú prijať v boji proti týmto rizikám;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prispievanie k rozvoju stratégií a akčných programov Európskej únie, ktoré súvisia s ochranou bezpečnosti a zdravia pri práci, bez toho, aby bol dotknutý rámec právomocí Komisie;</w:t>
      </w:r>
    </w:p>
    <w:p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vykonávanie činností na zvyšovanie informovanosti a komunikačných činností a kampaní v súvislosti s otázkami bezpečnosti a ochrany zdravia pri práci.</w:t>
      </w:r>
    </w:p>
    <w:p>
      <w:pPr>
        <w:pStyle w:val="ManualNumPar1"/>
        <w:rPr>
          <w:bCs/>
          <w:noProof/>
        </w:rPr>
      </w:pPr>
      <w:r>
        <w:t>2.</w:t>
      </w:r>
      <w:r>
        <w:tab/>
      </w:r>
      <w:r>
        <w:rPr>
          <w:noProof/>
        </w:rPr>
        <w:t>Agentúra zabezpečí, aby boli šírené informácie prispôsobené potrebám konečných používateľov. Na dosiahnutie tohto cieľa agentúra v súlade s ustanoveniami článku 12 ods. 2 úzko spolupracuje s národnými koordinačnými strediskami, ktoré sú uvedené v článku 12 ods. 1.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Pri vykonávaní svojich úloh agentúra udržiava úzky dialóg najmä so špecializovanými orgánmi, či už verejnými alebo súkromnými, subjektmi verejného sektora a zamestnaneckými a zamestnávateľskými organizáciami. Agentúra bez toho, aby boli dotknuté jej vlastné ciele, zabezpečuje spoluprácu s inými agentúrami Európskej únie s cieľom zabrániť prekrývaniu a podporovať efektívne spolupôsobenie a vzájomné dopĺňanie ich činností, najmä spoluprácu s Európskou nadáciou pre zlepšovanie životných a pracovných podmienok, Európskym strediskom pre rozvoj odborného vzdelávania a prípadne s ďalšími agentúrami EÚ.</w:t>
      </w:r>
    </w:p>
    <w:p>
      <w:pPr>
        <w:pStyle w:val="Titrearticle"/>
        <w:rPr>
          <w:bCs/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KAPITOLA II</w:t>
      </w:r>
    </w:p>
    <w:p>
      <w:pPr>
        <w:pStyle w:val="Titrearticle"/>
        <w:rPr>
          <w:bCs/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ORGANIZÁCIA AGENTÚRY</w:t>
      </w:r>
    </w:p>
    <w:p>
      <w:pPr>
        <w:pStyle w:val="Titrearticle"/>
        <w:rPr>
          <w:bCs/>
          <w:noProof/>
          <w:szCs w:val="24"/>
        </w:rPr>
      </w:pPr>
      <w:r>
        <w:rPr>
          <w:noProof/>
        </w:rPr>
        <w:t>Článok 3 – Správna a riadiaca štruktúra</w:t>
      </w:r>
    </w:p>
    <w:p>
      <w:pPr>
        <w:rPr>
          <w:noProof/>
          <w:szCs w:val="24"/>
        </w:rPr>
      </w:pPr>
      <w:r>
        <w:rPr>
          <w:noProof/>
        </w:rPr>
        <w:t>Správnu a riadiacu štruktúru agentúry tvorí: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riadiaca rada, ktorá plní funkcie stanovené v článku 5;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výkonná rada, ktorá vykonáva funkcie stanovené v článku 10;</w:t>
      </w:r>
    </w:p>
    <w:p>
      <w:pPr>
        <w:pStyle w:val="Point1"/>
        <w:rPr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>výkonný riaditeľ, ktorý vykonáva povinnosti stanovené v článku 11;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sieť, ktorá vykonáva funkcie stanovené v článku 12;</w:t>
      </w:r>
    </w:p>
    <w:p>
      <w:pPr>
        <w:pStyle w:val="Titrearticle"/>
        <w:rPr>
          <w:bCs/>
          <w:i w:val="0"/>
          <w:noProof/>
          <w:sz w:val="28"/>
          <w:szCs w:val="28"/>
        </w:rPr>
      </w:pPr>
      <w:r>
        <w:rPr>
          <w:i w:val="0"/>
          <w:noProof/>
          <w:sz w:val="28"/>
        </w:rPr>
        <w:t>ODDIEL 1: RIADIACA RADA</w:t>
      </w:r>
    </w:p>
    <w:p>
      <w:pPr>
        <w:pStyle w:val="Titrearticle"/>
        <w:rPr>
          <w:bCs/>
          <w:noProof/>
          <w:szCs w:val="24"/>
        </w:rPr>
      </w:pPr>
      <w:r>
        <w:rPr>
          <w:noProof/>
        </w:rPr>
        <w:t>Článok 4 – Zloženie riadiacej rady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Riadiaca rada pozostáva z: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jedného člena zastupujúceho vládu každého členského štátu;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jedného člena zastupujúceho zamestnávateľské organizácie z každého členského štátu;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jedného člena zastupujúceho zamestnanecké organizácie z každého členského štátu;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troch členov zastupujúcich Komisiu.</w:t>
      </w:r>
    </w:p>
    <w:p>
      <w:pPr>
        <w:ind w:left="717"/>
        <w:rPr>
          <w:noProof/>
          <w:szCs w:val="24"/>
        </w:rPr>
      </w:pPr>
      <w:r>
        <w:rPr>
          <w:noProof/>
        </w:rPr>
        <w:t>Všetci členovia uvedení v písmenách a) až d) majú hlasovacie práva.</w:t>
      </w:r>
    </w:p>
    <w:p>
      <w:pPr>
        <w:ind w:left="360"/>
        <w:rPr>
          <w:noProof/>
          <w:szCs w:val="24"/>
        </w:rPr>
      </w:pPr>
      <w:r>
        <w:rPr>
          <w:noProof/>
        </w:rPr>
        <w:t>Členov uvedených v písmenách a), b) a c) vymenúva Rada z členov a náhradníkov Poradného výboru pre bezpečnosť a ochranu zdravia pri práci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ind w:left="360"/>
        <w:rPr>
          <w:noProof/>
          <w:szCs w:val="24"/>
        </w:rPr>
      </w:pPr>
      <w:r>
        <w:rPr>
          <w:noProof/>
        </w:rPr>
        <w:t>Členovia uvedení v písmene a) sa vymenúvajú na základe návrhu členských štátov.</w:t>
      </w:r>
    </w:p>
    <w:p>
      <w:pPr>
        <w:ind w:left="360"/>
        <w:rPr>
          <w:noProof/>
          <w:szCs w:val="24"/>
        </w:rPr>
      </w:pPr>
      <w:r>
        <w:rPr>
          <w:noProof/>
        </w:rPr>
        <w:t>Členovia uvedení v písmenách b) a c) sa vymenúvajú na základe návrhu, ktorý podajú hovorcovia príslušných skupín vo výbore.</w:t>
      </w:r>
    </w:p>
    <w:p>
      <w:pPr>
        <w:ind w:left="360"/>
        <w:rPr>
          <w:noProof/>
          <w:szCs w:val="24"/>
        </w:rPr>
      </w:pPr>
      <w:r>
        <w:rPr>
          <w:noProof/>
        </w:rPr>
        <w:t>Návrhy od týchto troch skupín v rámci výboru sa predložia Rade; pre informáciu sa návrhy predkladajú aj Komisii.</w:t>
      </w:r>
    </w:p>
    <w:p>
      <w:pPr>
        <w:ind w:left="360"/>
        <w:rPr>
          <w:noProof/>
          <w:szCs w:val="24"/>
        </w:rPr>
      </w:pPr>
      <w:r>
        <w:rPr>
          <w:noProof/>
        </w:rPr>
        <w:t>Komisia vymenuje členov, ktorí ju majú zastupovať.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Každý člen riadiacej rady musí mať náhradníka. Náhradník zastupuje člena riadiacej rady v čase jeho neprítomnosti. Náhradník sa vymenúva na základe postupu uvedeného v odseku 1.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Členovia riadiacej rady a ich náhradníci sa vymenúvajú s ohľadom na ich znalosti v oblasti bezpečnosti a ochrany zdravia pri práci s prihliadnutím na príslušné schopnosti v oblasti riadenia, správy a rozpočtu. Všetky strany zastúpené v riadiacej rade sa usilujú o vyvážené zastúpenie žien a mužov a o obmedzenie fluktuácie svojich zástupcov s cieľom zabezpečiť kontinuitu práce rady.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Funkčné obdobie členov a ich náhradníkov je štyri roky. Môže sa predĺžiť. Po uplynutí ich funkčného obdobia alebo v prípade ich odstúpenia členovia zotrvajú vo svojej funkcii až do ich opätovného vymenovania alebo do ich nahradenia.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V rámci riadiacej rady vytvoria zástupcovia vlád, zamestnávateľských a zamestnaneckých organizácií vlastné osobitné skupiny. Každá skupina si určí koordinátora s cieľom posilniť efektívnosť rokovaní v rámci skupiny a medzi skupinami. Koordinátori skupín zamestnávateľov a zamestnancov sú zástupcovia svojich príslušných organizácií na európskej úrovni a nemusia byť určení spomedzi </w:t>
      </w:r>
      <w:r>
        <w:rPr>
          <w:noProof/>
        </w:rPr>
        <w:lastRenderedPageBreak/>
        <w:t>vymenovaných členov rady. Koordinátori, ktorí nie sú vymenovanými členmi rady v zmysle odseku 1, sa na zasadnutiach riadiacej rady zúčastňujú bez hlasovacieho práva.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5 – Funkcie riadiacej rady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Riadiaca rada: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určuje všeobecné smerovanie činností agentúry a každý rok dvojtretinovou väčšinou hlasov členov s hlasovacím právom prijíma programový dokument agentúry, a to v súlade s článkom 6;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dvojtretinovou väčšinou hlasov členov s hlasovacím právom prijíma ročný rozpočet agentúry a vykonáva ďalšie funkcie týkajúce sa rozpočtu agentúry podľa kapitoly III;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prijíma konsolidovanú výročnú správu o činnosti spolu so svojím hodnotením činnosti agentúry a do 1. júla ich každoročne zasiela Európskemu parlamentu, Rade, Komisii a Európskemu dvoru audítorov. Konsolidovaná výročná správa o činnosti sa zverejňuje;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prijíma rozpočtové pravidlá uplatniteľné na agentúru v súlade s článkom 17;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prijíma stratégiu boja proti podvodom, ktorá je primeraná rizikám podvodov, pričom zohľadňuje náklady a prínosy opatrení, ktoré sa majú vykonať;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prijíma pravidlá predchádzania konfliktom záujmov v súvislosti so svojimi členmi a nezávislými odborníkmi;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prijíma a pravidelne aktualizuje plány v oblasti komunikácie a šírenia informácií na základe analýzy potrieb;</w:t>
      </w:r>
    </w:p>
    <w:p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 xml:space="preserve">prijíma svoj rokovací poriadok; 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v súlade s odsekom 2 vykonáva, pokiaľ ide o zamestnancov agentúry, právomoci zverené na základe služobného poriadku menovaciemu orgánu a na základe Podmienok zamestnávania ostatných zamestnancov orgánu splnomocnenému uzatvárať pracovné zmluvy (ďalej len „právomoci menovacieho orgánu“); </w:t>
      </w:r>
    </w:p>
    <w:p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prijíma primerané vykonávacie predpisy na účely uplatňovania služobného poriadku a Podmienok zamestnávania ostatných zamestnancov v súlade s článkom 110 služobného poriadku;</w:t>
      </w:r>
    </w:p>
    <w:p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>vymenúva výkonného riaditeľa a v prípade potreby predlžuje jeho funkčné obdobie alebo ho odvoláva z funkcie v súlade s článkom 19,</w:t>
      </w:r>
    </w:p>
    <w:p>
      <w:pPr>
        <w:pStyle w:val="Point1"/>
        <w:rPr>
          <w:noProof/>
        </w:rPr>
      </w:pPr>
      <w:r>
        <w:rPr>
          <w:noProof/>
        </w:rPr>
        <w:t>l)</w:t>
      </w:r>
      <w:r>
        <w:rPr>
          <w:noProof/>
        </w:rPr>
        <w:tab/>
        <w:t xml:space="preserve">vymenúva účtovníka podliehajúceho služobnému poriadku a Podmienkam zamestnávania ostatných zamestnancov, ktorý je pri vykonávaní svojich povinností úplne nezávislý; </w:t>
      </w:r>
    </w:p>
    <w:p>
      <w:pPr>
        <w:pStyle w:val="Point1"/>
        <w:rPr>
          <w:noProof/>
        </w:rPr>
      </w:pPr>
      <w:r>
        <w:rPr>
          <w:noProof/>
        </w:rPr>
        <w:t>m)</w:t>
      </w:r>
      <w:r>
        <w:rPr>
          <w:noProof/>
        </w:rPr>
        <w:tab/>
        <w:t>monitoruje primerané nadväzné opatrenia na zistenia a odporúčania vyplývajúce zo správ o vnútornom či externom audite a z hodnotení, ako aj vyšetrovaní Európskeho úradu pre boj proti podvodom (OLAF);</w:t>
      </w:r>
    </w:p>
    <w:p>
      <w:pPr>
        <w:pStyle w:val="Point1"/>
        <w:rPr>
          <w:noProof/>
        </w:rPr>
      </w:pPr>
      <w:r>
        <w:rPr>
          <w:noProof/>
        </w:rPr>
        <w:lastRenderedPageBreak/>
        <w:t>n)</w:t>
      </w:r>
      <w:r>
        <w:rPr>
          <w:noProof/>
        </w:rPr>
        <w:tab/>
        <w:t>prijíma všetky rozhodnutia týkajúce sa zriadenia vnútorných štruktúr agentúry a v prípade potreby ich úprav, berúc do úvahy potreby činnosti agentúry, ako aj so zreteľom na riadne finančné hospodárenie.</w:t>
      </w:r>
    </w:p>
    <w:p>
      <w:pPr>
        <w:pStyle w:val="Point1"/>
        <w:rPr>
          <w:noProof/>
        </w:rPr>
      </w:pPr>
      <w:r>
        <w:rPr>
          <w:noProof/>
        </w:rPr>
        <w:t>o)</w:t>
      </w:r>
      <w:r>
        <w:rPr>
          <w:noProof/>
        </w:rPr>
        <w:tab/>
        <w:t>schvaľuje uzatváranie dohôd o pracovných podmienkach v súlade s článkom 30 ods. 1.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Riadiaca rada v súlade s článkom 110 služobného poriadku prijíma rozhodnutie na základe článku 2 ods. 1 služobného poriadku a článku 6 Podmienok zamestnávania ostatných zamestnancov, ktorým deleguje príslušné právomoci menovacieho orgánu na výkonného riaditeľa a ktorým vymedzuje podmienky, kedy možno toto delegovanie právomoci pozastaviť. Výkonný riaditeľ je oprávnený tieto právomoci subdelegovať.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Ak si to vyžadujú mimoriadne okolnosti, riadiaca rada môže na základe rozhodnutia dočasne pozastaviť delegovanie právomocí menovacieho orgánu na výkonného riaditeľa a na subjekty, ktorým ďalej delegoval právomoc, a tieto právomoci vykonávať sama alebo ich delegovať na jedného zo svojich členov alebo na zamestnanca, ak tento zamestnanec nie je výkonným riaditeľom.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6 – Ročné a viacročné plánovanie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Výkonný riaditeľ každý rok v súlade s článkom 11 ods. 5 písm. c) vypracuje programový dokument obsahujúci viacročné a ročné plánovanie v súlade s článkom 32 delegovaného nariadenia Komisie (EÚ) č. 1271/2013</w:t>
      </w:r>
      <w:r>
        <w:rPr>
          <w:rStyle w:val="FootnoteReference"/>
          <w:noProof/>
        </w:rPr>
        <w:footnoteReference w:id="10"/>
      </w:r>
      <w:r>
        <w:rPr>
          <w:noProof/>
        </w:rPr>
        <w:t>, pričom zohľadní usmernenia stanovené Komisiou.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Riadiaca rada prijme najneskôr do 30. novembra každého roka programový dokument uvedený v odseku 1 a zašle ho Európskemu parlamentu, Rade a Komisii najneskôr 31. januára, ako aj všetky neskôr aktualizované verzie uvedeného dokumentu.</w:t>
      </w:r>
    </w:p>
    <w:p>
      <w:pPr>
        <w:ind w:left="720"/>
        <w:rPr>
          <w:noProof/>
          <w:szCs w:val="24"/>
        </w:rPr>
      </w:pPr>
      <w:r>
        <w:rPr>
          <w:noProof/>
        </w:rPr>
        <w:t>Programový dokument nadobúda definitívnu podobu po konečnom prijatí všeobecného rozpočtu Únie, pričom sa v prípade potreby zodpovedajúcim spôsobom upraví.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Ročný pracovný program zahŕňa podrobné ciele a očakávané výsledky vrátane ukazovateľov výkonnosti. Obsahuje aj opis opatrení, ktoré treba financovať, a odhad finančných a ľudských zdrojov vyčlenených na každé opatrenie v súlade so zásadami zostavovania a riadenia rozpočtu na základe činností. Ročný pracovný program musí byť súlade s viacročným pracovným programom uvedeným v odseku 5. Jasne sa v ňom musia stanovovať úlohy, ktoré boli doplnené, zmenené alebo vypustené v porovnaní s predchádzajúcim rozpočtovým rokom. Ročné a/alebo viacročné plánovanie musí zahŕňať aj stratégiu týkajúcu sa vzťahov s tretími krajinami alebo medzinárodnými organizáciami uvedenými v článku 30,ako aj opatrenia súvisiace s touto stratégiou.</w:t>
      </w:r>
    </w:p>
    <w:p>
      <w:pPr>
        <w:pStyle w:val="ManualNumPar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Riadiaca rada zmení prijatý ročný pracovný program, keď sa agentúre uloží nová úloha. Riadiaca rada môže delegovať právomoc vykonávať nepodstatné zmeny v ročnom pracovnom programe na výkonného riaditeľa.</w:t>
      </w:r>
    </w:p>
    <w:p>
      <w:pPr>
        <w:pStyle w:val="Text1"/>
        <w:rPr>
          <w:i/>
          <w:noProof/>
        </w:rPr>
      </w:pPr>
      <w:r>
        <w:rPr>
          <w:noProof/>
        </w:rPr>
        <w:t xml:space="preserve">Každá podstatná zmena v ročnom pracovnom programe sa prijíma rovnakým postupom ako pôvodný ročný pracovný program.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Vo viacročnom pracovnom programe je stanovené všeobecné strategické plánovanie vrátane cieľov, očakávaných výsledkov a ukazovateľov výkonnosti. Ďalej sa v ňom stanovuje plánovanie zdrojov vrátane viacročného rozpočtu a personálu. Uvádza sa v ňom aj stratégia týkajúca sa vzťahov s tretími krajinami a medzinárodnými organizáciami, ako aj súvisiace zdroje.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Plánovanie zdrojov sa každoročne aktualizuje. Strategické plánovanie sa aktualizuje v prípade potreby, a najmä s cieľom zamerať sa na výsledky hodnotenia uvedeného v článku 28.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7 – Predseda riadiacej rady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Riadiaca rada si zvolí predsedu a troch podpredsedov takto – jedného spomedzi členov zastupujúcich členské štáty, jedného spomedzi členov zastupujúcich organizácie zamestnávateľov, jedného spomedzi členov zastupujúcich organizácie zamestnancov a jedného spomedzi členov zastupujúcich Komisiu. Predseda a podpredsedovia sa volia dvojtretinovou väčšinou hlasov členov riadiacej rady s hlasovacím právom.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Funkčné obdobie predsedu a podpredsedu je dvojročné. Ich funkčné obdobie sa môže jedenkrát obnoviť. Ak sa však ich členstvo v riadiacej rade kedykoľvek počas ich funkčného obdobia skončí, ich funkčné obdobie sa automaticky skončí k rovnakému dátumu. 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8 – Zasadnutia riadiacej rady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Zasadnutia riadiacej rady zvoláva predseda.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Výkonný riaditeľ agentúry sa zúčastňuje na rokovaniach riadiacej rady bez hlasovacieho práva.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Riadne zasadnutia správnej rady sa konajú aspoň raz ročne. Riadiaca rada navyše zasadá aj z iniciatívy predsedu, na žiadosť Komisie alebo na žiadosť aspoň tretiny jej členov.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Riadiaca rada môže vo funkcii pozorovateľa pozvať na svoje zasadnutia akúkoľvek osobu, o ktorej stanovisko má záujem.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Sekretariát pre riadiacu radu zabezpečuje agentúra.</w:t>
      </w:r>
    </w:p>
    <w:p>
      <w:pPr>
        <w:pStyle w:val="Titrearticle"/>
        <w:rPr>
          <w:iCs/>
          <w:noProof/>
          <w:szCs w:val="24"/>
        </w:rPr>
      </w:pPr>
      <w:r>
        <w:rPr>
          <w:noProof/>
        </w:rPr>
        <w:t>Článok 9 – Pravidlá hlasovania riadiacej rady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Bez toho, aby boli dotknuté ustanovenia článku 5 ods. 1 písm. a) a b) a článku 19 ods. 7, riadiaca rada prijíma rozhodnutia väčšinou hlasov členov s hlasovacím právom. </w:t>
      </w:r>
    </w:p>
    <w:p>
      <w:pPr>
        <w:pStyle w:val="ManualNumPar1"/>
        <w:rPr>
          <w:noProof/>
        </w:rPr>
      </w:pPr>
      <w:r>
        <w:lastRenderedPageBreak/>
        <w:t>2.</w:t>
      </w:r>
      <w:r>
        <w:tab/>
      </w:r>
      <w:r>
        <w:rPr>
          <w:noProof/>
        </w:rPr>
        <w:t>Každý člen s hlasovacím právom má jeden hlas. V v prípade neprítomnosti člena s hlasovacím právom je oprávnený uplatniť jeho hlasovacie právo jeho náhradník.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Predseda sa zúčastňuje na hlasovaní.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Výkonný riaditeľ sa zúčastňuje na rokovaniach bez hlasovacieho práva.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V rokovacom poriadku riadiacej rady sa stanovujú podrobnejšie mechanizmy hlasovania, najmä podmienky, za ktorých môže člen konať v mene iného člena.</w:t>
      </w:r>
    </w:p>
    <w:p>
      <w:pPr>
        <w:pStyle w:val="Titrearticle"/>
        <w:rPr>
          <w:i w:val="0"/>
          <w:noProof/>
          <w:sz w:val="28"/>
          <w:szCs w:val="28"/>
        </w:rPr>
      </w:pPr>
      <w:r>
        <w:rPr>
          <w:i w:val="0"/>
          <w:noProof/>
          <w:sz w:val="28"/>
        </w:rPr>
        <w:t>ODDIEL 2</w:t>
      </w:r>
    </w:p>
    <w:p>
      <w:pPr>
        <w:pStyle w:val="Titrearticle"/>
        <w:rPr>
          <w:i w:val="0"/>
          <w:noProof/>
          <w:sz w:val="28"/>
          <w:szCs w:val="28"/>
        </w:rPr>
      </w:pPr>
      <w:r>
        <w:rPr>
          <w:i w:val="0"/>
          <w:noProof/>
          <w:sz w:val="28"/>
        </w:rPr>
        <w:t>VÝKONNÁ RADA</w:t>
      </w:r>
    </w:p>
    <w:p>
      <w:pPr>
        <w:pStyle w:val="Titrearticle"/>
        <w:rPr>
          <w:i w:val="0"/>
          <w:noProof/>
          <w:szCs w:val="24"/>
        </w:rPr>
      </w:pPr>
      <w:r>
        <w:rPr>
          <w:noProof/>
        </w:rPr>
        <w:t>Článok 10 – Výkonná rada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Riadiacej rade pomáha výkonná rada.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Výkonná rada:</w:t>
      </w:r>
    </w:p>
    <w:p>
      <w:pPr>
        <w:pStyle w:val="Point1"/>
        <w:rPr>
          <w:noProof/>
          <w:lang w:eastAsia="en-US" w:bidi="ar-SA"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  <w:lang w:eastAsia="en-US" w:bidi="ar-SA"/>
        </w:rPr>
        <w:t xml:space="preserve">pripravuje rozhodnutia, ktoré má prijať riadiaca rada. </w:t>
      </w:r>
    </w:p>
    <w:p>
      <w:pPr>
        <w:pStyle w:val="Point1"/>
        <w:rPr>
          <w:noProof/>
          <w:lang w:eastAsia="en-US" w:bidi="ar-SA"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  <w:lang w:eastAsia="en-US" w:bidi="ar-SA"/>
        </w:rPr>
        <w:t>spolu s riadiacou radou monitoruje primerané opatrenia nadväzujúce na zistenia a odporúčania vyplývajúce zo správ o internom a externom audite a hodnotení, ako aj z vyšetrovaní Európskeho úradu pre boj proti podvodom (OLAF);</w:t>
      </w:r>
    </w:p>
    <w:p>
      <w:pPr>
        <w:pStyle w:val="Point1"/>
        <w:rPr>
          <w:noProof/>
          <w:lang w:eastAsia="en-US" w:bidi="ar-SA"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  <w:lang w:eastAsia="en-US" w:bidi="ar-SA"/>
        </w:rPr>
        <w:t xml:space="preserve">bez toho, aby bola dotknutá zodpovednosť výkonného riaditeľa v zmysle ustanovení článku 11, mu pomáha pri vykonávaní rozhodnutí riadiacej rady a poskytuje súvisiace odporúčania s cieľom posilniť dohľad nad administratívnym a rozpočtovým hospodárením.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Ak je to potrebné z dôvodu naliehavosti, výkonná rada môže prijímať niektoré predbežné rozhodnutia v mene riadiacej rady, a to najmä o otázkach administratívneho riadenia vrátane rozhodnutí o pozastavení delegovania právomocí menovacieho orgánu a o rozpočtových záležitostiach.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Výkonná rada sa skladá z predsedu riadiacej rady, troch podpredsedov, koordinátorov troch skupín uvedených v článku 4 ods. 5 a jedného zástupcu Komisie. Každá skupina uvedená v článku 4 ods. 5 môže určiť najviac dvoch zástupcov na účasť na zasadnutia výkonnej rady v prípade neprítomnosti riadnych členov. Predseda riadiacej rady je aj predsedom výkonnej rady. Výkonný riaditeľ sa zúčastňuje na zasadnutiach výkonnej rady, ale nemá hlasovacie právo.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Funkčné obdobie členov výkonnej rady je dva roky. Toto obdobie možno predĺžiť. Funkčné obdobie členov výkonnej rady sa končí vtedy, keď sa končí aj ich členstvo v riadiacej rade.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Výkonná rada zasadá najmenej trikrát za rok. Okrem toho zasadá z iniciatívy svojho predsedu alebo na žiadosť svojich členov. 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Rokovací poriadok výkonnej rady stanovuje riadiaca rada.</w:t>
      </w:r>
    </w:p>
    <w:p>
      <w:pPr>
        <w:pStyle w:val="Titrearticle"/>
        <w:rPr>
          <w:i w:val="0"/>
          <w:noProof/>
          <w:sz w:val="28"/>
          <w:szCs w:val="28"/>
        </w:rPr>
      </w:pPr>
      <w:r>
        <w:rPr>
          <w:i w:val="0"/>
          <w:noProof/>
          <w:sz w:val="28"/>
        </w:rPr>
        <w:lastRenderedPageBreak/>
        <w:t>ODDIEL 3</w:t>
      </w:r>
    </w:p>
    <w:p>
      <w:pPr>
        <w:pStyle w:val="Titrearticle"/>
        <w:rPr>
          <w:i w:val="0"/>
          <w:noProof/>
          <w:sz w:val="28"/>
          <w:szCs w:val="28"/>
        </w:rPr>
      </w:pPr>
      <w:r>
        <w:rPr>
          <w:i w:val="0"/>
          <w:noProof/>
          <w:sz w:val="28"/>
        </w:rPr>
        <w:t>VÝKONNÝ RIADITEĽ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11 – Povinnosti výkonného riaditeľa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Agentúru riadi výkonný riaditeľ. Výkonný riaditeľ sa zodpovedá riadiacej rade.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Bez toho, aby boli dotknuté právomoci Komisie, riadiacej rady a výkonnej rady, výkonný riaditeľ je pri výkone svojich povinností nezávislý a nesmie žiadať pokyny od žiadnej vlády ani žiadneho iného subjektu, ani ich od nich prijímať.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Výkonný riaditeľ podáva na vyzvanie Európskemu parlamentu správy o plnení svojich povinností. Rada môže vyzvať výkonného riaditeľa, aby podal správu o plnení svojich povinností.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Výkonný riaditeľ je právnym zástupcom agentúry.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Výkonný riaditeľ zodpovedá za vykonávanie úloh, ktoré sa agentúre ukladajú týmto nariadením. Výkonný riaditeľ zodpovedá najmä za: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každodennú správu agentúry</w:t>
      </w:r>
      <w:r>
        <w:rPr>
          <w:noProof/>
          <w:lang w:val="en-US"/>
        </w:rPr>
        <w:t>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vykonávanie rozhodnutí prijatých riadiacou radou;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prípravu programového dokumentu a jeho predloženie riadiacej rade po konzultácii s Komisiou;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vykonávanie programového dokumentu a podávanie správ riadiacej rade o jeho vykonávaní; 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prípravu konsolidovanej výročnej správy o činnostiach agentúry a jej predloženie riadiacej rade na posúdenie a prijatie;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prípravu akčného plánu v nadväznosti na závery vyplývajúce zo správ o vnútornom alebo externom audite a z hodnotení, ako aj vyšetrovaní Európskeho úradu pre boj proti podvodom (OLAF), a podávanie správ o pokroku, ktoré predkladá Komisii dvakrát ročne a riadiacej rade a výkonnej rade pravidelne;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ochranu finančných záujmov Únie uplatňovaním preventívnych opatrení proti podvodom, korupcii a akýmkoľvek iným nezákonným činnostiam, účinnými kontrolami a vymáhaním neoprávnene vyplatených súm v prípadoch, keď sú zistené nezrovnalosti, a prípadne účinnými, primeranými a odradzujúcimi administratívnymi a finančnými sankciami;</w:t>
      </w:r>
    </w:p>
    <w:p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vypracovanie stratégie agentúry pre boj proti podvodom a jej predloženie riadiacej rade na schválenie;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prípravu návrhu finančných pravidiel uplatniteľných na agentúru;</w:t>
      </w:r>
    </w:p>
    <w:p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prípravu návrhu výkazu odhadovaných príjmov a výdavkov agentúry a plnenie jej rozpočtu;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Výkonný riaditeľ je zodpovedný aj za rozhodnutie, či je potrebné na účely efektívneho a účinného plnenia úloh agentúry zriadiť jednu alebo viaceré miestne kancelárie v jednom alebo viacerých členských štátoch. Uvedené rozhodnutie si </w:t>
      </w:r>
      <w:r>
        <w:rPr>
          <w:noProof/>
        </w:rPr>
        <w:lastRenderedPageBreak/>
        <w:t xml:space="preserve">vyžaduje predchádzajúci súhlas Komisie, správnej rady a členského štátu, v ktorom sa má zriadiť miestna kancelária. V uvedenom rozhodnutí sa špecifikuje rozsah činností, ktoré sa majú vykonávať v miestnej kancelárii, spôsobom, ktorý zabraňuje zbytočným nákladom a duplicite administratívnych funkcií agentúry. </w:t>
      </w:r>
    </w:p>
    <w:p>
      <w:pPr>
        <w:pStyle w:val="Titrearticle"/>
        <w:rPr>
          <w:i w:val="0"/>
          <w:noProof/>
          <w:sz w:val="28"/>
          <w:szCs w:val="28"/>
        </w:rPr>
      </w:pPr>
      <w:r>
        <w:rPr>
          <w:i w:val="0"/>
          <w:noProof/>
          <w:sz w:val="28"/>
        </w:rPr>
        <w:t>ODDIEL 4</w:t>
      </w:r>
    </w:p>
    <w:p>
      <w:pPr>
        <w:pStyle w:val="Titrearticle"/>
        <w:rPr>
          <w:i w:val="0"/>
          <w:noProof/>
          <w:sz w:val="28"/>
          <w:szCs w:val="28"/>
        </w:rPr>
      </w:pPr>
      <w:r>
        <w:rPr>
          <w:i w:val="0"/>
          <w:noProof/>
          <w:sz w:val="28"/>
        </w:rPr>
        <w:t>SIEŤ</w:t>
      </w:r>
    </w:p>
    <w:p>
      <w:pPr>
        <w:pStyle w:val="Titrearticle"/>
        <w:rPr>
          <w:bCs/>
          <w:i w:val="0"/>
          <w:noProof/>
          <w:szCs w:val="24"/>
        </w:rPr>
      </w:pPr>
      <w:r>
        <w:rPr>
          <w:noProof/>
        </w:rPr>
        <w:t>Článok 12 – Sieť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Agentúra vytvorí sieť, ktorú tvoria:</w:t>
      </w:r>
    </w:p>
    <w:p>
      <w:pPr>
        <w:pStyle w:val="Tiret0"/>
        <w:numPr>
          <w:ilvl w:val="0"/>
          <w:numId w:val="42"/>
        </w:numPr>
        <w:rPr>
          <w:noProof/>
        </w:rPr>
      </w:pPr>
      <w:r>
        <w:rPr>
          <w:noProof/>
        </w:rPr>
        <w:t>hlavné prvky národných informačných sietí vrátane organizácií národných sociálnych partnerov podľa vnútroštátnych právnych predpisov a/alebo praxe,</w:t>
      </w:r>
    </w:p>
    <w:p>
      <w:pPr>
        <w:pStyle w:val="Tiret0"/>
        <w:rPr>
          <w:noProof/>
        </w:rPr>
      </w:pPr>
      <w:r>
        <w:rPr>
          <w:noProof/>
        </w:rPr>
        <w:t>národné kontaktné miesta;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Členské štáty pravidelne informujú agentúru o hlavných prvkoch svojich národných informačných sietí týkajúcich sa bezpečnosti a ochrany zdravia pri práci vrátane každej inštitúcie, ktorá by podľa nich mohla prispieť k práci agentúry, pričom berú do úvahy potrebu zabezpečenia čo najväčšieho pokrytia svojho územia.</w:t>
      </w:r>
      <w:r>
        <w:rPr>
          <w:noProof/>
        </w:rPr>
        <w:br/>
        <w:t>Príslušné vnútroštátne orgány alebo vnútroštátna inštitúcia určené za národné kontaktné miesto koordinujú a/alebo odosielajú agentúre informácie, ktoré sa majú poskytovať na národnej úrovni, v rámci dohody medzi každým kontaktným miestom a agentúrou na základe pracovného programu prijatého agentúrou.</w:t>
      </w:r>
      <w:r>
        <w:rPr>
          <w:noProof/>
        </w:rPr>
        <w:br/>
        <w:t>Vnútroštátne orgány vedú s národnými sociálnymi partnermi konzultácie a zohľadňujú ich stanovisko v súlade s vnútroštátnymi právnymi predpismi a/alebo praxou.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Identifikované témy osobitného záujmu sa zahrnú do ročného pracovného programu agentúry.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V zmysle získaných skúseností agentúra pravidelne preskúma hlavné prvky, ktoré vytvárajú sieť, uvedené v odseku 2, a urobí také zmeny, aké vyplynú z rozhodnutí riadiacej rady, pričom sa zohľadnia všetky nové menovania zo strany členských štátov.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KAPITOLA III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FINANČNÉ USTANOVENIA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13 – Rozpočet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Na každý rozpočtový rok zodpovedajúci kalendárnemu roku sa vypracuje odhad všetkých príjmov a výdavkov agentúry, ktoré sa zahrnú do rozpočtu agentúry.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Rozpočet agentúry musí byť z hľadiska príjmov a výdavkov vyrovnaný.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Bez toho, aby boli dotknuté iné zdroje, príjmy agentúry zahŕňajú:</w:t>
      </w:r>
    </w:p>
    <w:p>
      <w:pPr>
        <w:pStyle w:val="Point1"/>
        <w:rPr>
          <w:noProof/>
        </w:rPr>
      </w:pPr>
      <w:r>
        <w:rPr>
          <w:noProof/>
        </w:rPr>
        <w:lastRenderedPageBreak/>
        <w:t>a)</w:t>
      </w:r>
      <w:r>
        <w:rPr>
          <w:noProof/>
        </w:rPr>
        <w:tab/>
        <w:t>príspevok Únie zahrnutý vo všeobecnom rozpočte Európskej únie;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všetky dobrovoľné príspevky členských štátov;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poplatky za publikačnú činnosť a všetky ostatné služby poskytnuté agentúrou.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akýkoľvek príspevok tretích krajín podieľajúcich sa na činnosti agentúry podľa článku 30.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Výdavky agentúry zahŕňajú odmeny zamestnancov, náklady na správu a infraštruktúru a prevádzkové náklady.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14 – Zostavovanie rozpočtu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Výkonný riaditeľ každý rok vypracúva predbežný návrh odhadov príjmov a výdavkov agentúry na nasledujúci rozpočtový rok vrátane plánu pracovných miest a zasiela ho riadiacej rade.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Na základe tohto predbežného návrhu riadiaca rada prijíma návrh odhadu príjmov a výdavkov agentúry na nasledujúci rozpočtový rok.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Návrh odhadu príjmov a výdavkov agentúry sa Komisii zasiela každý rok do 31. januára.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Komisia zasiela návrhy odhadu rozpočtovému orgánu spolu s návrhom všeobecného rozpočtu Únie.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Komisia na základe návrhov odhadu v návrhu všeobecného rozpočtu Únie, ktorý predkladá rozpočtovému orgánu v súlade s článkami 313 a 314 zmluvy, uvedie odhady, ktoré považuje za potrebné, pokiaľ ide o plán pracovných miest a výšku príspevku, ktorá sa má hradiť zo všeobecného rozpočtu.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Rozpočtový orgán schvaľuje rozpočtové prostriedky na príspevok pre agentúru.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Rozpočtový orgán prijíma plán pracovných miest agentúry.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Rozpočet agentúry prijíma riadiaca rada. Rozpočet sa stáva konečným po prijatí všeobecného rozpočtu Únie s konečnou platnosťou. V prípade potreby sa zodpovedajúcim spôsobom upraví.</w:t>
      </w:r>
    </w:p>
    <w:p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Na akékoľvek stavebné projekty, ktoré by mohli mať významný vplyv na rozpočet agentúry, sa vzťahujú ustanovenia delegovaného nariadenia (EÚ) č. 1271/2013.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15 – Plnenie rozpočtu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Rozpočet agentúry plní výkonný riaditeľ.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Výkonný riaditeľ každý rok predkladá rozpočtovému orgánu všetky informácie o výsledkoch postupov hodnotenia.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16 – Predkladanie účtovnej závierky a absolutórium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Účtovník agentúry zasiela účtovníkovi Komisie a Európskemu dvoru audítorov predbežnú účtovnú závierku do 1. marca nasledujúceho rozpočtového roka.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Agentúra zasiela Európskemu parlamentu, Rade a Európskemu dvoru audítorov správu o rozpočtovom a finančnom hospodárení do 31. marca nasledujúceho </w:t>
      </w:r>
      <w:r>
        <w:rPr>
          <w:noProof/>
        </w:rPr>
        <w:lastRenderedPageBreak/>
        <w:t>rozpočtového roka.</w:t>
      </w:r>
      <w:r>
        <w:rPr>
          <w:noProof/>
        </w:rPr>
        <w:tab/>
      </w:r>
      <w:r>
        <w:rPr>
          <w:noProof/>
        </w:rPr>
        <w:br/>
        <w:t>Účtovník Komisie zasiela Dvoru audítorov predbežnú účtovnú závierku agentúry konsolidovanú s účtovnou závierkou Komisie do 31. marca nasledujúceho rozpočtového roka.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Výkonný riaditeľ vypracuje po prijatí pripomienok Dvora audítorov k predbežnej účtovnej závierke agentúry podľa článku 148 nariadenia o rozpočtových pravidlách na vlastnú zodpovednosť konečnú účtovnú závierku agentúry a predloží ju riadiacej rade na vyjadrenie stanoviska.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Riadiaca rada poskytuje stanovisko ku konečnej účtovnej závierke agentúry.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Účtovník do 1. júla po každom rozpočtovom roku zašle konečnú účtovnú závierku Európskemu parlamentu, Rade, Komisii a Dvoru audítorov spolu so stanoviskom riadiacej rady.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Konečná účtovná závierka sa uverejňuje do 15. novembra nasledujúceho roku v 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Výkonný riaditeľ zasiela európskemu dvoru audítorov odpoveď na jeho pripomienky do 30. septembra. Výkonný riaditeľ zasiela túto odpoveď aj riadiacej rade.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Výkonný riaditeľ predloží Európskemu parlamentu na jeho žiadosť všetky informácie potrebné na plynulé uplatnenie postupu udelenia absolutória za príslušný rozpočtový rok v súlade s článkom 165 ods. 3 nariadenia o rozpočtových pravidlách.</w:t>
      </w:r>
    </w:p>
    <w:p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Na odporúčanie Rady, ktorá sa uznáša kvalifikovanou väčšinou, Európsky parlament udelí výkonnému riaditeľovi absolutórium za plnenie rozpočtu v roku N do 15. mája roku N + 2.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17 – Rozpočtové pravidlá</w:t>
      </w:r>
    </w:p>
    <w:p>
      <w:pPr>
        <w:rPr>
          <w:noProof/>
          <w:szCs w:val="24"/>
        </w:rPr>
      </w:pPr>
      <w:r>
        <w:rPr>
          <w:noProof/>
        </w:rPr>
        <w:t>Rozpočtové pravidlá uplatniteľné na agentúru prijíma riadiaca rada po porade s Komisiou. Nesmú sa odchyľovať od nariadenia (EÚ) č. 1271/2013, okrem prípadov, keď je takáto odchýlka osobitne potrebná na prevádzku agentúry a Komisia s ňou vopred súhlasila.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KAPITOLA IV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ZAMESTNANCI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18 – Všeobecné ustanovenia</w:t>
      </w:r>
    </w:p>
    <w:p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Na zamestnancov agentúry sa vzťahuje služobný poriadok a Podmienky zamestnávania ostatných zamestnancov a pravidlá prijaté na základe dohody medzi inštitúciami Únie na účely uplatňovania tohto služobného poriadku a Podmienok zamestnávania ostatných zamestnancov.</w:t>
      </w:r>
    </w:p>
    <w:p>
      <w:pPr>
        <w:pStyle w:val="ManualNumPar1"/>
        <w:rPr>
          <w:rFonts w:eastAsia="Calibri"/>
          <w:noProof/>
          <w:sz w:val="22"/>
        </w:rPr>
      </w:pPr>
      <w:r>
        <w:t>2.</w:t>
      </w:r>
      <w:r>
        <w:tab/>
      </w:r>
      <w:r>
        <w:rPr>
          <w:noProof/>
        </w:rPr>
        <w:t>Riadiaca rada prijíma primerané vykonávacie predpisy na účely uplatňovania služobného poriadku a Podmienok zamestnávania ostatných zamestnancov v súlade s článkom 110 služobného poriadku.</w:t>
      </w:r>
    </w:p>
    <w:p>
      <w:pPr>
        <w:pStyle w:val="Titrearticle"/>
        <w:rPr>
          <w:noProof/>
          <w:szCs w:val="24"/>
        </w:rPr>
      </w:pPr>
      <w:r>
        <w:rPr>
          <w:noProof/>
        </w:rPr>
        <w:lastRenderedPageBreak/>
        <w:t>Článok 19 – Výkonný riaditeľ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Výkonný riaditeľ je zamestnancom a je prijatý ako dočasný zamestnanec agentúry v súlade s článkom 2 písm. a) Podmienok zamestnávania ostatných zamestnancov.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Výkonného riaditeľa vymenúva riadiaca rada zo zoznamu kandidátov navrhnutých Komisiou pri uplatnení otvoreného a transparentného výberového konania. </w:t>
      </w:r>
      <w:r>
        <w:rPr>
          <w:noProof/>
        </w:rPr>
        <w:tab/>
      </w:r>
      <w:r>
        <w:rPr>
          <w:noProof/>
        </w:rPr>
        <w:br/>
        <w:t xml:space="preserve">Na účely uzatvorenia zmluvy s výkonným riaditeľom zastupuje agentúru predseda riadiacej rady.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Funkčné obdobie výkonného riaditeľa je päť rokov. Na konci tohto obdobia Komisia vykoná posúdenie, v ktorom zohľadní hodnotenie výsledkov činnosti výkonného riaditeľa a budúce úlohy a výzvy agentúry.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Riadiaca rada konajúca na návrh Komisie, v ktorom sa zohľadňuje posúdenie uvedené v odseku 3, môže predĺžiť funkčné obdobie výkonného riaditeľa jedenkrát najviac o päť rokov.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Výkonný riaditeľ, ktorého funkčné obdobie bolo predĺžené, sa nesmie na konci celkového funkčného obdobia zúčastniť na ďalšom výberovom konaní na to isté pracovné miesto.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Výkonný riaditeľ môže byť odvolaný z funkcie len na základe rozhodnutia riadiacej rady konajúcej na návrh Komisie.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Riadiaca rada prijíma rozhodnutia o vymenovaní výkonného riaditeľa, predĺžení jeho funkčného obdobia alebo jeho odvolaní z funkcie na základe dvojtretinovej väčšiny svojich členov s hlasovacím právom.</w:t>
      </w:r>
    </w:p>
    <w:p>
      <w:pPr>
        <w:pStyle w:val="Titrearticle"/>
        <w:rPr>
          <w:noProof/>
          <w:szCs w:val="24"/>
        </w:rPr>
      </w:pP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Agentúra môže využívať vyslaných národných expertov alebo ostatných zamestnancov, ktorých nezamestnáva agentúra.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Riadiaca rada prijíma rozhodnutie, v ktorom stanoví pravidlá vysielania národných expertov do agentúry.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KAPITOLA V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VŠEOBECNÉ USTANOVENIA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21 – Právne postavenie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Agentúra je orgán Únie. Má právnu subjektivitu.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V každom členskom štáte má agentúra najvyšší stupeň právnej spôsobilosti priznaný právnickým osobám podľa práva daného štátu. Predovšetkým môže nadobúdať hnuteľný a nehnuteľný majetok a disponovať s ním a byť účastníkom súdnych konaní.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Sídlo agentúry je v meste Bilbao v Španielsku.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Agentúra môže zriadiť miestne kancelárie v členských štátoch pod podmienkou ich súhlasu a v súlade s článkom 11 ods. 6.</w:t>
      </w:r>
    </w:p>
    <w:p>
      <w:pPr>
        <w:pStyle w:val="Titrearticle"/>
        <w:rPr>
          <w:noProof/>
          <w:szCs w:val="24"/>
        </w:rPr>
      </w:pPr>
      <w:r>
        <w:rPr>
          <w:noProof/>
        </w:rPr>
        <w:lastRenderedPageBreak/>
        <w:t>Článok 22 – Výsady a imunity</w:t>
      </w:r>
    </w:p>
    <w:p>
      <w:pPr>
        <w:rPr>
          <w:noProof/>
          <w:szCs w:val="24"/>
        </w:rPr>
      </w:pPr>
      <w:r>
        <w:rPr>
          <w:noProof/>
        </w:rPr>
        <w:t>Na agentúru a jej zamestnancov sa vzťahuje Protokol o výsadách a imunitách Európskej únie.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23 – Jazykový režim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Na agentúru sa vzťahujú ustanovenia nariadenia č. 1.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O používaní jazykov agentúrou v jej vnútornom fungovaní môže rozhodnúť riadiaca rada.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Prekladateľské služby potrebné na fungovanie agentúry poskytuje Prekladateľské stredisko pre orgány Európskej únie. 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24 – Transparentnosť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Na dokumenty agentúry sa uplatňuje nariadenie Európskeho parlamentu a Rady (ES) č. 1049/2001</w:t>
      </w:r>
      <w:r>
        <w:rPr>
          <w:rStyle w:val="FootnoteReference"/>
          <w:noProof/>
        </w:rPr>
        <w:footnoteReference w:id="11"/>
      </w:r>
      <w:r>
        <w:rPr>
          <w:noProof/>
        </w:rPr>
        <w:t>. Riadiaca rada do šiestich mesiacov od dátumu svojho prvého zasadnutia prijme podrobné pravidlá uplatňovania nariadenia (ES) č. 1049/2001.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Na spracovanie osobných údajov zo strany agentúry sa vzťahuje nariadenie (ES) č. 45/2001. Riadiaca rada do šiestich mesiacov od dátumu svojho prvého zasadnutia stanoví opatrenia na uplatňovanie nariadenia (ES) č. 45/2001 agentúrou vrátane opatrení týkajúcich sa vymenovania úradníka agentúry pre ochranu údajov. Tieto opatrenia sa stanovia po konzultácii s európskym dozorným úradníkom pre ochranu údajov.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25 – Boj proti podvodom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V záujme uľahčenia boja proti podvodom, korupcii a inému protiprávnemu konaniu podľa nariadenia Európskeho parlamentu a Rady (ES) č. 1073/1999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agentúra do šiestich mesiacov od dátumu uplatňovania tohto nariadenia pristúpi k medziinštitucionálnej dohode z 25. mája 1999, ktorá sa týka vnútorných vyšetrovaní Európskeho úradu pre boj proti podvodom (OLAF), a prijme primerané ustanovenia uplatniteľné na všetkých zamestnancov agentúry s použitím vzoru uvedeného v prílohe k uvedenej dohode.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Európsky dvor audítorov má právomoc vykonávať na základe dokumentov a na mieste audit všetkých príjemcov grantov, dodávateľov a subdodávateľov, ktorým boli poskytnuté finančné prostriedky Únie zo strany agentúry.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OLAF môže vykonávať vyšetrovania vrátane kontrol a inšpekcií na mieste, a to v súlade s ustanoveniami a postupmi podľa nariadenia (ES) č. 1073/1999 a nariadenia Rady (Euratom, ES) č. 2185/96 na účely zistenia, či v súvislosti s grantom alebo zmluvou financovanou agentúrou nedošlo k podvodu, korupcii alebo akémukoľvek inému protiprávnemu konaniu poškodzujúcemu finančné záujmy Únie.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Bez toho, aby boli dotknuté odseky 1, 2 a 3, platí, že dohody o spolupráci s tretími krajinami a medzinárodnými organizáciami, zmluvy agentúry, jej dohody o grante a </w:t>
      </w:r>
      <w:r>
        <w:rPr>
          <w:noProof/>
        </w:rPr>
        <w:lastRenderedPageBreak/>
        <w:t>rozhodnutia o grante musia obsahovať ustanovenia, ktoré Európskemu dvoru audítorov a úradu OLAF výslovne udeľujú právo na vykonávanie takýchto auditov a vyšetrovaní v rámci ich príslušných právomocí.</w:t>
      </w:r>
    </w:p>
    <w:p>
      <w:pPr>
        <w:pStyle w:val="Titrearticle"/>
        <w:rPr>
          <w:noProof/>
          <w:szCs w:val="24"/>
        </w:rPr>
      </w:pPr>
      <w:r>
        <w:rPr>
          <w:noProof/>
        </w:rPr>
        <w:t xml:space="preserve">Článok 26 – Bezpečnostné predpisy v oblasti ochrany utajovaných skutočností a citlivých </w:t>
      </w:r>
      <w:r>
        <w:rPr>
          <w:noProof/>
        </w:rPr>
        <w:br/>
        <w:t>neutajovaných skutočností</w:t>
      </w:r>
    </w:p>
    <w:p>
      <w:pPr>
        <w:rPr>
          <w:iCs/>
          <w:noProof/>
          <w:szCs w:val="24"/>
        </w:rPr>
      </w:pPr>
      <w:r>
        <w:rPr>
          <w:noProof/>
        </w:rPr>
        <w:t>Agentúra v prípade potreby prijme vlastné bezpečnostné predpisy rovnocenné bezpečnostným predpisom Komisie na ochranu utajovaných skutočností Európskej únie (EUCI) a citlivých neutajovaných skutočností podľa rozhodnutí (EÚ, Euratom) 2015/443 a 2015/444. Bezpečnostné predpisy agentúry obsahujú okrem iného a v prípade potreby ustanovenia týkajúce sa výmeny, spracovania a uchovávania uvedených informácií.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 27 – Zodpovednosť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Zmluvná zodpovednosť agentúry sa riadi právom uplatniteľným na príslušnú zmluvu.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Súdny dvor Európskej únie má právomoc rozhodovať podľa akejkoľvek arbitrážnej doložky obsiahnutej v zmluve uzatvorenej agentúrou.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V prípade mimozmluvnej zodpovednosti agentúra nahrádza všetky škody spôsobené jej orgánmi alebo jej zamestnancami pri výkone ich povinností v súlade so všeobecnými zásadami spoločnými pre právne poriadky členských štátov.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Súdny dvor Európskej únie má právomoc rozhodovať v sporoch o náhradu škody uvedených v odseku 3.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Osobná zodpovednosť zamestnancov voči agentúre sa riadi ustanoveniami služobného poriadku alebo podmienkami zamestnávania, ktoré sa na nich vzťahujú.</w:t>
      </w:r>
    </w:p>
    <w:p>
      <w:pPr>
        <w:pStyle w:val="Titrearticle"/>
        <w:rPr>
          <w:noProof/>
          <w:szCs w:val="24"/>
        </w:rPr>
      </w:pPr>
      <w:r>
        <w:rPr>
          <w:noProof/>
        </w:rPr>
        <w:t xml:space="preserve">Článok 28 – Hodnotenie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Najneskôr 5 rokov po dátume uvedenom v článku 35 a potom každých 5 rokov Komisia vykoná hodnotenie v súlade s usmerneniami Komisie týkajúcimi sa posudzovania výsledkov agentúry vzhľadom na jej ciele, mandát a úlohy. V rámci hodnotenia sa rieši najmä prípadná potreba zmeniť mandát agentúry a finančné dôsledky každej takejto zmeny.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Ak Komisia dospeje k záveru, že existencia agentúry už nie je vzhľadom na stanovené ciele, mandát a úlohy odôvodnená, môže navrhnúť príslušnú zmenu alebo zrušenie tohto nariadenia.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Komisia podá správu o záveroch hodnotenia Európskemu parlamentu, Rade a riadiacej rade. Závery hodnotenia sa zverejňujú.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29 – Administratívne vyšetrovania</w:t>
      </w:r>
    </w:p>
    <w:p>
      <w:pPr>
        <w:rPr>
          <w:noProof/>
          <w:szCs w:val="24"/>
        </w:rPr>
      </w:pPr>
      <w:r>
        <w:rPr>
          <w:noProof/>
        </w:rPr>
        <w:t>Činnosti agentúry podliehajú vyšetrovaniam európskeho ombudsmana v súlade s článkom 228 zmluvy.</w:t>
      </w:r>
    </w:p>
    <w:p>
      <w:pPr>
        <w:pStyle w:val="Titrearticle"/>
        <w:rPr>
          <w:noProof/>
          <w:szCs w:val="24"/>
        </w:rPr>
      </w:pPr>
      <w:r>
        <w:rPr>
          <w:noProof/>
        </w:rPr>
        <w:lastRenderedPageBreak/>
        <w:t>Článok 30 – Spolupráca s tretími krajinami a medzinárodnými organizáciami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Pokiaľ je to potrebné na dosiahnutie cieľov stanovených v tomto nariadení a bez toho, aby boli dotknuté príslušné právomoci členských štátov a inštitúcií Únie, agentúra môže spolupracovať s príslušnými orgánmi tretích krajín a/alebo s medzinárodnými organizáciami.</w:t>
      </w:r>
      <w:r>
        <w:rPr>
          <w:noProof/>
        </w:rPr>
        <w:tab/>
        <w:t xml:space="preserve"> </w:t>
      </w:r>
      <w:r>
        <w:rPr>
          <w:noProof/>
        </w:rPr>
        <w:br/>
      </w:r>
      <w:r>
        <w:rPr>
          <w:noProof/>
        </w:rPr>
        <w:br/>
        <w:t>Na tento účel môže agentúra s výhradou predchádzajúceho schválenia Komisiou uzavrieť dohody o pracovných podmienkach s uvedenými orgánmi tretích krajín a medzinárodnými organizáciami. Tieto dohody nevytvárajú právne povinnosti vo vzťahu k Únii a jej členským štátom.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Agentúra je otvorená účasti tretích krajín, ktoré na tento účel uzavreli dohody s Úniou. 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Podľa príslušných ustanovení dohôd uvedených v odseku 1 sa pripravia opatrenia, v ktorých sa ustanoví najmä povaha, rozsah a spôsob účasti príslušných tretích krajín na práci agentúry vrátane ustanovení o účasti na iniciatívach agentúry, finančných príspevkoch a zamestnancoch. Pokiaľ ide o otázky týkajúce sa zamestnancov, uvedené opatrenia musia byť za každých okolností v súlade so služobným poriadkom.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Riadiaca rada prijme stratégiu pre vzťahy s tretími krajinami alebo medzinárodnými organizáciami v súvislosti s otázkami spadajúcimi do právomoci agentúry.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31 – Dohoda o sídle a prevádzkové podmienky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Potrebné ustanovenia o poskytnutí sídla agentúre v hostiteľskom členskom štáte a o zariadeniach, ktoré tento členský štát sprístupní, ako aj osobitné pravidlá, ktoré sa v hostiteľskom členskom štáte uplatňujú na výkonného riaditeľa, členov riadiacej rady, zamestnancov agentúry a členov ich rodín, sa vymedzia v dohode o sídle medzi agentúrou a členským štátom, v ktorom sa sídlo nachádza.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Hostiteľský členský štát agentúry zabezpečí čo najlepšie podmienky na zaistenie fungovania agentúry vrátane viacjazyčného a európsky orientovaného vzdelávania a primeraných dopravných spojení.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KAPITOLA VI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PRECHODNÉ USTANOVENIA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32 – Prechodné ustanovenia týkajúce sa riadiacej rady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Funkčné obdobie členov riadiacej rady agentúry stanovené na základe článku 8 nariadenia (ES) č. 2062/94 sa skončí ... [deň nadobudnutia účinnosti tohto nariadenia].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Riadiaca rada zriadená na základe článku 8 nariadenia (ES) č. 2062/94 vykonáva v období medzi... [deň nadobudnutia účinnosti tohto nariadenia] a ... [dátum začatia uplatňovania tohto nariadenia] funkcie riadiacej rady uvedené v článku 5 tohto nariadenia.</w:t>
      </w:r>
    </w:p>
    <w:p>
      <w:pPr>
        <w:pStyle w:val="Titrearticle"/>
        <w:rPr>
          <w:noProof/>
          <w:szCs w:val="24"/>
        </w:rPr>
      </w:pPr>
      <w:r>
        <w:rPr>
          <w:noProof/>
        </w:rPr>
        <w:lastRenderedPageBreak/>
        <w:t>Článok 33 – Prechodné ustanovenia týkajúce sa zamestnancov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Riaditeľ agentúry, vymenovaný na základe článku 11 nariadenia (ES) č. 2062/94, si počas svojho zostávajúceho funkčného obdobia plní povinnosti výkonného riaditeľa stanovené v článku 11 tohto nariadenia. Ostatné podmienky jeho zmluvy zostávajú nezmenené. 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34 – Prechodné rozpočtové ustanovenia</w:t>
      </w:r>
    </w:p>
    <w:p>
      <w:pPr>
        <w:rPr>
          <w:noProof/>
          <w:szCs w:val="24"/>
        </w:rPr>
      </w:pPr>
      <w:r>
        <w:rPr>
          <w:noProof/>
        </w:rPr>
        <w:t>Postup udelenia absolutória, pokiaľ ide o rozpočty schválené na základe článku 14 nariadenia (ES) č. 2062/94, sa vykonáva v súlade s pravidlami stanovenými v uvedenom nariadení.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KAPITOLA VII</w:t>
      </w:r>
    </w:p>
    <w:p>
      <w:pPr>
        <w:pStyle w:val="Titrearticle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>ZÁVEREČNÉ USTANOVENIA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35 – Zrušenie</w:t>
      </w:r>
    </w:p>
    <w:p>
      <w:pPr>
        <w:rPr>
          <w:noProof/>
          <w:szCs w:val="24"/>
        </w:rPr>
      </w:pPr>
      <w:r>
        <w:rPr>
          <w:noProof/>
        </w:rPr>
        <w:t>Nariadenie Rady (ES) č. 2062/94 sa zrušuje s účinnosťou od [dátum uplatňovania tohto nariadenia] a všetky odkazy na zrušené nariadenie sa považujú za odkazy na toto nariadenie.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36 – Zachovanie platnosti interných pravidiel prijatých agentúrou</w:t>
      </w:r>
    </w:p>
    <w:p>
      <w:pPr>
        <w:rPr>
          <w:noProof/>
          <w:szCs w:val="24"/>
        </w:rPr>
      </w:pPr>
      <w:r>
        <w:rPr>
          <w:noProof/>
        </w:rPr>
        <w:t xml:space="preserve">Interné pravidlá, ktoré prijala riadiaca rada na základe nariadenia (ES) č. 2062/94 zostávajú v platnosti po [deň začatia uplatňovania tohto nariadenia], ak riadiaca rada na základe uplatňovania tohto nariadenia nerozhodne inak. </w:t>
      </w:r>
    </w:p>
    <w:p>
      <w:pPr>
        <w:pStyle w:val="Titrearticle"/>
        <w:rPr>
          <w:noProof/>
          <w:szCs w:val="24"/>
        </w:rPr>
      </w:pPr>
      <w:r>
        <w:rPr>
          <w:noProof/>
        </w:rPr>
        <w:t>Článok 37 – Nadobudnutie účinnosti</w:t>
      </w:r>
    </w:p>
    <w:p>
      <w:pPr>
        <w:rPr>
          <w:noProof/>
          <w:szCs w:val="24"/>
        </w:rPr>
      </w:pPr>
      <w:r>
        <w:rPr>
          <w:noProof/>
        </w:rPr>
        <w:t>Toto nariadenie nadobúda účinnosť dvadsiatym dňom po jeho uverejnení v 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rPr>
          <w:noProof/>
          <w:szCs w:val="24"/>
        </w:rPr>
      </w:pPr>
      <w:r>
        <w:rPr>
          <w:noProof/>
        </w:rPr>
        <w:t>Uplatňuje sa od XXX.</w:t>
      </w:r>
    </w:p>
    <w:p>
      <w:pPr>
        <w:rPr>
          <w:noProof/>
          <w:szCs w:val="24"/>
        </w:rPr>
      </w:pPr>
      <w:r>
        <w:rPr>
          <w:noProof/>
        </w:rPr>
        <w:t>Články 32, 33 a 34 sa uplatňujú od [dátum nadobudnutia účinnosti tohto nariadenia].</w:t>
      </w:r>
    </w:p>
    <w:p>
      <w:pPr>
        <w:pStyle w:val="Applicationdirecte"/>
        <w:spacing w:before="120"/>
        <w:rPr>
          <w:noProof/>
        </w:rPr>
      </w:pPr>
      <w:r>
        <w:rPr>
          <w:noProof/>
        </w:rPr>
        <w:t>Toto nariadenie je záväzné v celom rozsahu a priamo uplatniteľné v členských štátoch v súlade so zmluvami.</w:t>
      </w:r>
    </w:p>
    <w:p>
      <w:pPr>
        <w:pStyle w:val="Fait"/>
        <w:rPr>
          <w:noProof/>
        </w:rPr>
      </w:pPr>
      <w:r>
        <w:rPr>
          <w:noProof/>
        </w:rPr>
        <w:t>V Bruseli</w:t>
      </w:r>
    </w:p>
    <w:p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LEGISLATÍVNY FINANČNÝ VÝKAZ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RÁMEC NÁVRHU/INICIATÍVY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Názov návrhu/iniciatívy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Príslušné oblasti politiky v rámci 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Druh návrhu/iniciatívy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Ciele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Dôvody návrhu/iniciatívy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Trvanie a finančný vplyv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Plánovaný spôsob hospodárenia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OPATRENIA V OBLASTI RIADENIA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Opatrenia týkajúce sa monitorovania a predkladania správ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Systémy riadenia a kontroly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Opatrenia na predchádzanie podvodom a nezrovnalostiam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ODHADOVANÝ FINANČNÝ VPLYV NÁVRHU/INICIATÍVY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Príslušné okruhy viacročného finančného rámca a rozpočtové riadky výdavkov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Odhadovaný vplyv na výdavky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Zhrnutie odhadovaného vplyvu na výdavky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>Odhadovaný vplyv na ľudské zdroje EU-OSHA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Súlad s platným viacročným finančným rámcom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 xml:space="preserve">Príspevky od tretích strán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Odhadovaný vplyv na príjmy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 xml:space="preserve">LEGISLATÍVNY FINANČNÝ VÝKAZ </w:t>
      </w:r>
    </w:p>
    <w:p>
      <w:pPr>
        <w:pStyle w:val="ManualHeading1"/>
        <w:rPr>
          <w:bCs/>
          <w:noProof/>
          <w:szCs w:val="24"/>
        </w:rPr>
      </w:pPr>
      <w:r>
        <w:t>1.</w:t>
      </w:r>
      <w:r>
        <w:tab/>
      </w:r>
      <w:r>
        <w:rPr>
          <w:noProof/>
        </w:rPr>
        <w:t xml:space="preserve">RÁMEC NÁVRHU/INICIATÍVY </w:t>
      </w:r>
    </w:p>
    <w:p>
      <w:pPr>
        <w:pStyle w:val="ManualHeading2"/>
        <w:rPr>
          <w:bCs/>
          <w:noProof/>
          <w:szCs w:val="24"/>
        </w:rPr>
      </w:pPr>
      <w:r>
        <w:t>1.1.</w:t>
      </w:r>
      <w:r>
        <w:tab/>
      </w:r>
      <w:r>
        <w:rPr>
          <w:noProof/>
        </w:rPr>
        <w:t xml:space="preserve">Názov návrhu/iniciatívy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Návrh nariadenia Európskeho parlamentu a Rady, ktorým sa zriaďuje Európska agentúra pre bezpečnosť a ochranu zdravia pri práci (EU-OSHA)</w:t>
      </w:r>
    </w:p>
    <w:p>
      <w:pPr>
        <w:pStyle w:val="ManualHeading2"/>
        <w:rPr>
          <w:bCs/>
          <w:noProof/>
          <w:szCs w:val="24"/>
        </w:rPr>
      </w:pPr>
      <w:r>
        <w:t>1.2.</w:t>
      </w:r>
      <w:r>
        <w:tab/>
      </w:r>
      <w:r>
        <w:rPr>
          <w:noProof/>
        </w:rPr>
        <w:t>Príslušné oblasti politiky v rámci ABM/ABB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04: Zamestnanosť, sociálne záležitosti a začlenenie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04 03: Zamestnanosť, sociálne záležitosti a začlenenie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04 03 12: Európska agentúra pre bezpečnosť a ochranu zdravia pri práci (EU-OSHA)</w:t>
      </w: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Druh návrhu/iniciatívy </w:t>
      </w:r>
    </w:p>
    <w:p>
      <w:pPr>
        <w:pStyle w:val="Text1"/>
        <w:rPr>
          <w:b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Návrh/iniciatíva sa týka </w:t>
      </w:r>
      <w:r>
        <w:rPr>
          <w:b/>
          <w:noProof/>
        </w:rPr>
        <w:t xml:space="preserve">novej akcie </w:t>
      </w:r>
    </w:p>
    <w:p>
      <w:pPr>
        <w:pStyle w:val="Text1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 xml:space="preserve"> Návrh/iniciatíva sa týka </w:t>
      </w:r>
      <w:r>
        <w:rPr>
          <w:b/>
          <w:noProof/>
        </w:rPr>
        <w:t>novej akcie, ktorá nadväzuje na pilotný projekt/prípravnú akciu</w:t>
      </w:r>
      <w:r>
        <w:rPr>
          <w:rStyle w:val="FootnoteReference"/>
          <w:b/>
          <w:noProof/>
        </w:rPr>
        <w:footnoteReference w:id="14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 xml:space="preserve"> Návrh/iniciatíva sa týka </w:t>
      </w:r>
      <w:r>
        <w:rPr>
          <w:b/>
          <w:noProof/>
        </w:rPr>
        <w:t>predĺženia trvania existujúcej akcie</w:t>
      </w:r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Návrh/iniciatíva sa týka </w:t>
      </w:r>
      <w:r>
        <w:rPr>
          <w:b/>
          <w:noProof/>
        </w:rPr>
        <w:t>akcie presmerovanej na novú akciu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Ciele</w:t>
      </w:r>
    </w:p>
    <w:p>
      <w:pPr>
        <w:pStyle w:val="ManualHeading3"/>
        <w:rPr>
          <w:bCs/>
          <w:noProof/>
          <w:szCs w:val="24"/>
        </w:rPr>
      </w:pPr>
      <w:r>
        <w:t>1.4.1.</w:t>
      </w:r>
      <w:r>
        <w:tab/>
      </w:r>
      <w:r>
        <w:rPr>
          <w:noProof/>
        </w:rPr>
        <w:t xml:space="preserve">Viacročné strategické ciele Komisie, ktoré sú predmetom návrhu/iniciatívy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Ciele/pridaná hodnota EÚ v súlade so stratégiou Európa 2020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Ďalšie posilnenie zamestnanosti, rastu a investícií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Hlbšia a spravodlivejšia hospodárska a menová únia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Osobitné ciele a príslušné činnosti v rámci ABM/ABB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u w:val="single"/>
        </w:rPr>
        <w:t>Osobitný cieľ č. 1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Cieľom agentúry je poskytovať inštitúciám Únie, členským štátom a zainteresovaným stranám technické, vedecké a hospodárske informácie potrebné v oblasti bezpečnosti a ochrany zdravia pri práci.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Tieto rozpočtové prostriedky sú určené na pokrytie opatrení potrebných na plnenie úloh agentúry, a to konkrétne: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opatrenia na vybudovanie povedomia a odhad rizík s osobitným dôrazom na MSP,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 prevádzka Európskeho strediska na monitorovanie rizika na základe príkladov osvedčených postupov získaných od podnikov alebo špecifických odvetví činnosti,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príprava a poskytovanie príslušných nástrojov pre menšie spoločnosti na riadenie bezpečnosti a ochrany zdravia pri práci,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lastRenderedPageBreak/>
        <w:t>prevádzka siete, ktorá zahŕňa hlavné prvky zložiek vnútroštátnych informačných sietí vrátane národných organizácií sociálnych partnerov v súlade s vnútroštátnymi právnymi predpismi a/alebo praxou, ako aj národné kontaktné miesta,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organizovanie výmeny skúseností, informácií a osvedčených postupov, a to aj v spolupráci s Medzinárodnou organizáciou práce a inými medzinárodnými organizáciami,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integrovanie kandidátskych krajín do týchto informačných sietí a navrhovanie pracovných nástrojov, ktoré sú určené na ich špecifickú situáciu,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organizovanie a realizácia Európskej kampane o zdravých pracoviskách, ako aj Európskeho týždňa zdravia a bezpečnosti so zameraním na špecifické riziká a potreby užívateľov a konečných príjemcov.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Príslušné činnosti v rámci ABM/ABB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t>04 03 12 – Európska agentúra pre bezpečnosť a ochranu zdravia pri práci – Subvencia v rámci hláv 1, 2 a 3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Očakávané výsledky a vplyv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Uveďte, aký vplyv by mal mať návrh/iniciatíva na príjemcov/cieľové skupiny.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Úlohou agentúry EU-OSHA je rozvoj, zhromažďovanie a poskytovanie spoľahlivých a relevantných informácií, analýzy a nástrojov zameraných na rozvoj poznatkov, zvyšovanie povedomia a výmenu informácií a osvedčených postupov v súvislosti s bezpečnosťou a ochranou zdravia pri práci (BOZP), ktoré budú slúžiť potrebám tých, ktorí pôsobia v oblasti BOZP.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Táto úloha je stanovená v zakladajúcom nariadení z roku 1994: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i/>
          <w:noProof/>
        </w:rPr>
      </w:pPr>
      <w:r>
        <w:rPr>
          <w:i/>
          <w:noProof/>
        </w:rPr>
        <w:t>V záujme podpory zlepšení v oblasti ochrany bezpečnosti a zdravia pracovníkov, a to predovšetkým v súvislosti s pracovným prostredím, ako sa uvádza v zmluve a následných akčných programoch venovaných bezpečnosti a ochrane zdravia na pracovisku, je cieľom agentúry zabezpečovať pre orgány Spoločenstva, členské štáty a subjekty zainteresované v tejto oblasti technické, vedecké a ekonomické informácie, ktoré možno využívať v oblasti bezpečnosti a ochrany zdravia pri práci.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Cieľom agentúry EU-OSHA je pôsobiť ako uznávaný líder podporujúci zdravé a bezpečné pracoviská v Európe na základe tripartity, účasti a rozvoja kultúry prevencie rizík v oblasti BOZP s cieľom zabezpečiť inteligentné, udržateľné, produktívne a inkluzívne hospodárstvo.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EU-OSHA je tripartitnou organizáciou, ktorá je odhodlaná presadzovať dobrú správu vecí verejných. Súčasťou dobrej správy vecí verejných sú rôzne prvky, ako je otvorenosť a ústretovosť, transparentnosť, súlad, účinnosť, efektívnosť a zodpovednosť.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Ukazovatele výsledkov a vplyvu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Uveďte ukazovatele, pomocou ktorých je možné uskutočňovanie realizáciu návrhu/iniciatívy.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Ciele agentúry sú jasne vymedzené a v prípade potreby aktualizované. Sú sformulované takým spôsobom, aby bolo možné monitorovať ich dosahovanie. Boli stanovené kľúčové ukazovatele výkonnosti, aby vedeniu agentúry pomohli pri hodnotení a predkladaní správ o pokroku pri dosiahnutom v súvislosti s ich cieľmi.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EU-OSHA vykonáva hodnotiace programy na posúdenie, či sú činnosti agentúry relevantné pre používateľov a udržateľné a či došlo k splneniu cieľov.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Dôvody návrhu/iniciatívy </w:t>
      </w:r>
    </w:p>
    <w:p>
      <w:pPr>
        <w:pStyle w:val="ManualHeading3"/>
        <w:rPr>
          <w:bCs/>
          <w:noProof/>
          <w:szCs w:val="24"/>
        </w:rPr>
      </w:pPr>
      <w:r>
        <w:t>1.5.1.</w:t>
      </w:r>
      <w:r>
        <w:tab/>
      </w:r>
      <w:r>
        <w:rPr>
          <w:noProof/>
        </w:rPr>
        <w:t xml:space="preserve">Potreby, ktoré sa majú uspokojiť v krátkodobom alebo dlhodobom horizonte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V súčasnej podnikateľskej stratégii sa identifikuje šesť prioritných oblastí: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– Predvídanie zmeny na základe prognóz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– Zhromažďovanie faktov a číselných údajov a šírenie informácií určených pre výskumných pracovníkov a tvorcov politík prostredníctvom prieskumu ESENER, prehľadov BOZP a prieskumov verejnej mienky venovaných tejto problematike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– Nástroje na riadenie BOZP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– Zvyšovanie informovanosti o BOZP prostredníctvom kampaní o zdravých pracoviskách a ďalších činností zameraných na zvyšovanie informovanosti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– Šírenie poznatkov – najmä prostredníctvom vývoja OSHwiki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– Vytváranie sietí a podniková komunikácia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Prínos zapojenia EÚ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Cieľom agentúry je poskytovať orgánom Spoločenstva, členským štátom a subjektom zainteresovaným v tejto oblasti technické, vedecké a ekonomické informácie potrebné v oblasti bezpečnosti a ochrany zdravia pri práci.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Poznatky získané z podobných skúseností v minulosti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Agentúra EU-OSHA od roku 1995 vykonáva svoje činnosti, najmä zhromažďovanie a šírenie informácií v oblasti zdravia a bezpečnosti pri práci, ako aj iniciatívy zamerané na zvyšovanie povedomia. Agentúra EU-OSHA môže ponúknuť svoj najhodnotnejší príspevok rozvojom vlastných kľúčových oblastí odbornosti. Agentúra je známa svojou silnou vedomostnou základňou v oblasti bezpečnosti a ochrany zdravia pri práci.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</w:pPr>
      <w:r>
        <w:rPr>
          <w:noProof/>
        </w:rPr>
        <w:t>Agentúra sa vo svojej oblasti odbornosti usiluje zabezpečiť informácie najvyššej kvality: vedecky podložené a nezaujaté. Víziou agentúry EU-OSHA je, aby sa tieto znalosti využili na rozvoj účinných politík, ktoré povedú k zlepšeniu bezpečnosti a ochrany zdravia pri práci v konkurencieschopnej a spravodlivej Európe.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Zlučiteľnosť a možná synergia s inými vhodnými nástrojmi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</w:pPr>
      <w:r>
        <w:rPr>
          <w:noProof/>
        </w:rPr>
        <w:t xml:space="preserve">Agentúra EU-OSHA spolupracuje s ostatnými agentúrami EÚ, ktoré pôsobia v príbuzných oblastiach. Existujú dohody o spolupráci s Európskou nadáciou pre zlepšovanie životných a pracovných podmienok (EUROFOUND) a Európskou chemickou agentúrou (ECHA). V týchto dohodách sa stanovujú najmä včasné konzultácie o zostavovaní pracovného programu a dopĺňajú ich ročné akčné plány, ktorými sa schvaľujú ďalšie formy výmeny a prípadne spoločné činnosti. Tým sa zabezpečuje komplementárnosť činností a umožňuje dosiahnutie synergií.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Trvanie a finančný vplyv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Návrh/iniciatíva s </w:t>
      </w:r>
      <w:r>
        <w:rPr>
          <w:b/>
          <w:noProof/>
        </w:rPr>
        <w:t xml:space="preserve">obmedzeným trvaním </w:t>
      </w:r>
    </w:p>
    <w:p>
      <w:pPr>
        <w:pStyle w:val="ListDash2"/>
        <w:numPr>
          <w:ilvl w:val="0"/>
          <w:numId w:val="45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Návrh/iniciatíva je v platnosti od [DD/MM]RRRR do [DD/MM]RRRR. </w:t>
      </w:r>
    </w:p>
    <w:p>
      <w:pPr>
        <w:pStyle w:val="ListDash2"/>
        <w:numPr>
          <w:ilvl w:val="0"/>
          <w:numId w:val="45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Finančný vplyv trvá od RRRR do RRRR.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noProof/>
        </w:rPr>
        <w:t xml:space="preserve">Návrh/iniciatíva s </w:t>
      </w:r>
      <w:r>
        <w:rPr>
          <w:b/>
          <w:noProof/>
        </w:rPr>
        <w:t>neobmedzeným trvaním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t>Počiatočná fáza vykonávania bude trvať od RRRR do RRRR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t>a potom bude vykonávanie pokračovať v plnom rozsahu.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Plánovaný spôsob hospodárenia</w:t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Priame hospodárenie</w:t>
      </w:r>
      <w:r>
        <w:rPr>
          <w:noProof/>
        </w:rPr>
        <w:t xml:space="preserve"> na úrovni Komisie prostredníctvom</w:t>
      </w:r>
    </w:p>
    <w:p>
      <w:pPr>
        <w:pStyle w:val="ListDash2"/>
        <w:numPr>
          <w:ilvl w:val="0"/>
          <w:numId w:val="45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výkonných agentúr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Zdieľané hospodárenie</w:t>
      </w:r>
      <w:r>
        <w:rPr>
          <w:noProof/>
        </w:rPr>
        <w:t xml:space="preserve"> s členskými štátmi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 xml:space="preserve"> </w:t>
      </w:r>
      <w:r>
        <w:rPr>
          <w:b/>
          <w:noProof/>
        </w:rPr>
        <w:t>Nepriame hospodárenie</w:t>
      </w:r>
      <w:r>
        <w:rPr>
          <w:noProof/>
        </w:rPr>
        <w:t xml:space="preserve"> so zverením úloh súvisiacich s plnením rozpočtu na: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medzinárodné organizácie a ich agentúry (uveďte);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EIB a Európsky investičný fond;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>subjekty podľa článkov 208 a 209,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verejnoprávne subjekty;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súkromnoprávne subjekty poverené vykonávaním verejnej služby, pokiaľ tieto subjekty poskytujú dostatočné finančné záruky;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súkromnoprávne subjekty spravované právom členského štátu, ktoré sú poverené vykonávaním verejno-súkromného partnerstva a ktoré poskytujú dostatočné finančné záruky;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osoby poverené vykonávaním osobitných činností v oblasti SZBP podľa hlavy V Zmluvy o Európskej únii a určeným v príslušnom základnom akte.</w:t>
      </w:r>
    </w:p>
    <w:p>
      <w:pPr>
        <w:rPr>
          <w:noProof/>
        </w:rPr>
      </w:pPr>
      <w:r>
        <w:rPr>
          <w:noProof/>
        </w:rPr>
        <w:t xml:space="preserve">Poznámky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neuvádza sa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  <w:sectPr>
          <w:pgSz w:w="12240" w:h="15840"/>
          <w:pgMar w:top="794" w:right="907" w:bottom="851" w:left="1361" w:header="510" w:footer="454" w:gutter="0"/>
          <w:cols w:space="720"/>
          <w:docGrid w:linePitch="326"/>
        </w:sectPr>
      </w:pP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OPATRENIA V OBLASTI RIADENIA </w:t>
      </w:r>
    </w:p>
    <w:p>
      <w:pPr>
        <w:pStyle w:val="ManualHeading2"/>
        <w:rPr>
          <w:bCs/>
          <w:noProof/>
          <w:szCs w:val="24"/>
        </w:rPr>
      </w:pPr>
      <w:r>
        <w:t>2.1.</w:t>
      </w:r>
      <w:r>
        <w:tab/>
      </w:r>
      <w:r>
        <w:rPr>
          <w:noProof/>
        </w:rPr>
        <w:t xml:space="preserve">Opatrenia týkajúce sa monitorovania a predkladania správ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Uveďte časový interval a podmienky, ktoré sa vzťahujú na tieto opatrenia.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</w:pPr>
      <w:r>
        <w:rPr>
          <w:noProof/>
        </w:rPr>
        <w:t>Všetky agentúry EÚ pracujú v rámci prísneho monitorovacieho systému za účasti koordinátora vnútornej kontroly, Útvaru Komisie pre vnútorný audit, riadiacej rady, Komisie, Dvora audítorov a rozpočtového orgánu. Systém stanovený v nariadení o zriadení EU-OSHA sa bude uplatňovať aj naďalej.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Systémy riadenia a kontroly </w:t>
      </w:r>
    </w:p>
    <w:p>
      <w:pPr>
        <w:pStyle w:val="ManualHeading3"/>
        <w:rPr>
          <w:bCs/>
          <w:noProof/>
          <w:szCs w:val="24"/>
        </w:rPr>
      </w:pPr>
      <w:r>
        <w:t>2.2.1.</w:t>
      </w:r>
      <w:r>
        <w:tab/>
      </w:r>
      <w:r>
        <w:rPr>
          <w:noProof/>
        </w:rPr>
        <w:t xml:space="preserve">Zistené riziká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žiadne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 xml:space="preserve">Plánovaný(-é) spôsob(-y) kontroly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neuvádza sa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Opatrenia na predchádzanie podvodom a nezrovnalostiam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Uveďte existujúce alebo plánované preventívne a ochranné opatrenia.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</w:pPr>
      <w:r>
        <w:rPr>
          <w:noProof/>
        </w:rPr>
        <w:t xml:space="preserve">Opatrenia proti podvodom neboli v súčasnom nariadení o zriadení EU-OSHA výslovne stanovené, ale riaditeľ a riadiaca rada prijali vhodné opatrenia v súlade so štandardmi vnútornej kontroly uplatňovanými vo všetkých inštitúciách EÚ. V súlade so spoločným prístupom stratégiu boja proti podvodom prijala agentúra v novembri 2014. </w:t>
      </w:r>
      <w:r>
        <w:t xml:space="preserve"> </w:t>
      </w:r>
    </w:p>
    <w:p>
      <w:pPr>
        <w:rPr>
          <w:noProof/>
        </w:rPr>
        <w:sectPr>
          <w:pgSz w:w="12240" w:h="15840"/>
          <w:pgMar w:top="794" w:right="907" w:bottom="851" w:left="1361" w:header="510" w:footer="454" w:gutter="0"/>
          <w:cols w:space="720"/>
          <w:docGrid w:linePitch="326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ODHADOVANÝ FINANČNÝ VPLYV NÁVRHU/INICIATÍVY </w:t>
      </w:r>
    </w:p>
    <w:p>
      <w:pPr>
        <w:pStyle w:val="ManualHeading2"/>
        <w:rPr>
          <w:bCs/>
          <w:noProof/>
          <w:szCs w:val="24"/>
        </w:rPr>
      </w:pPr>
      <w:r>
        <w:t>3.1.</w:t>
      </w:r>
      <w:r>
        <w:tab/>
      </w:r>
      <w:r>
        <w:rPr>
          <w:noProof/>
        </w:rPr>
        <w:t xml:space="preserve">Príslušné okruhy viacročného finančného rámca a rozpočtové riadky výdavkov </w:t>
      </w:r>
    </w:p>
    <w:p>
      <w:pPr>
        <w:pStyle w:val="ListBullet1"/>
        <w:numPr>
          <w:ilvl w:val="0"/>
          <w:numId w:val="43"/>
        </w:numPr>
        <w:rPr>
          <w:noProof/>
        </w:rPr>
      </w:pPr>
      <w:r>
        <w:rPr>
          <w:noProof/>
        </w:rPr>
        <w:t xml:space="preserve">Existujúce rozpočtové riadky </w:t>
      </w:r>
    </w:p>
    <w:p>
      <w:pPr>
        <w:pStyle w:val="Text1"/>
        <w:rPr>
          <w:noProof/>
        </w:rPr>
      </w:pPr>
      <w:r>
        <w:rPr>
          <w:noProof/>
          <w:u w:val="single"/>
        </w:rPr>
        <w:t>V poradí</w:t>
      </w:r>
      <w:r>
        <w:rPr>
          <w:noProof/>
        </w:rPr>
        <w:t>, v akom za sebou nasledujú okruhy viacročného finančného rámca a rozpočtové riadky.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564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Okruh viacročného finančného rámca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Rozpočtový riadok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Druh výdavkov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Príspevky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Okruh 1A – Konkurencieschopnosť pre rast a zamestnanosť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DRP/NRP</w:t>
            </w:r>
            <w:r>
              <w:rPr>
                <w:rStyle w:val="FootnoteReference"/>
                <w:noProof/>
              </w:rPr>
              <w:footnoteReference w:id="15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krajín EZVO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kandidátskych krajín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tretích krajín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v zmysle článku 21 ods. 2 písm. b) nariadenia o rozpočtových pravidlách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after="60"/>
            </w:pPr>
            <w:r>
              <w:rPr>
                <w:noProof/>
                <w:sz w:val="22"/>
              </w:rPr>
              <w:t>04 03 12: Európska agentúra pre bezpečnosť a ochranu zdravia pri práci (EU-OSHA)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t>ÁNO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ÁNO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t>NIE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</w:pPr>
          </w:p>
        </w:tc>
      </w:tr>
    </w:tbl>
    <w:p>
      <w:pPr>
        <w:pStyle w:val="ListBullet1"/>
        <w:numPr>
          <w:ilvl w:val="0"/>
          <w:numId w:val="43"/>
        </w:numPr>
        <w:rPr>
          <w:noProof/>
        </w:rPr>
      </w:pPr>
      <w:r>
        <w:rPr>
          <w:noProof/>
        </w:rPr>
        <w:t>Požadované nové rozpočtové riadky: neuvádza sa</w:t>
      </w:r>
    </w:p>
    <w:p>
      <w:pPr>
        <w:pStyle w:val="Text1"/>
        <w:rPr>
          <w:i/>
          <w:noProof/>
          <w:sz w:val="20"/>
        </w:rPr>
      </w:pPr>
      <w:r>
        <w:rPr>
          <w:noProof/>
          <w:u w:val="single"/>
        </w:rPr>
        <w:t>V poradí</w:t>
      </w:r>
      <w:r>
        <w:rPr>
          <w:noProof/>
        </w:rPr>
        <w:t>, v akom za sebou nasledujú okruhy viacročného finančného rámca a rozpočtové riadky.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564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Okruh viacročného finančného rámca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Rozpočtový riadok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Druh výdavkov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Príspevky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r>
              <w:rPr>
                <w:noProof/>
                <w:sz w:val="22"/>
              </w:rPr>
              <w:t>Počet</w:t>
            </w:r>
            <w:r>
              <w:rPr>
                <w:noProof/>
                <w:sz w:val="20"/>
              </w:rPr>
              <w:t>[Názov …...….]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DRP/NRP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krajín EZVO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kandidátskych krajín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tretích krajín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v zmysle článku 21 ods. 2 písm. b) nariadenia o rozpočtových pravidlách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t>[...]</w:t>
            </w:r>
          </w:p>
        </w:tc>
        <w:tc>
          <w:tcPr>
            <w:tcW w:w="3960" w:type="dxa"/>
            <w:vAlign w:val="center"/>
          </w:tcPr>
          <w:p>
            <w:pPr>
              <w:spacing w:before="60"/>
            </w:pPr>
            <w:r>
              <w:t>[XX.YY.YY.YY]</w:t>
            </w:r>
          </w:p>
          <w:p>
            <w:pPr>
              <w:spacing w:after="60"/>
              <w:rPr>
                <w:noProof/>
              </w:rPr>
            </w:pPr>
            <w:r>
              <w:t>[...]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t>[...]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t>ÁNO/NIE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t>ÁNO/NIE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t>ÁNO/NIE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</w:pPr>
            <w:r>
              <w:t>ÁNO/NIE</w:t>
            </w:r>
          </w:p>
        </w:tc>
      </w:tr>
    </w:tbl>
    <w:p>
      <w:pPr>
        <w:rPr>
          <w:noProof/>
        </w:rPr>
        <w:sectPr>
          <w:pgSz w:w="12240" w:h="15840"/>
          <w:pgMar w:top="794" w:right="907" w:bottom="851" w:left="1361" w:header="510" w:footer="454" w:gutter="0"/>
          <w:cols w:space="720"/>
          <w:docGrid w:linePitch="326"/>
        </w:sectPr>
      </w:pPr>
    </w:p>
    <w:p>
      <w:pPr>
        <w:pStyle w:val="ManualHeading2"/>
        <w:rPr>
          <w:noProof/>
        </w:rPr>
      </w:pPr>
      <w:r>
        <w:t>3.2.</w:t>
      </w:r>
      <w:r>
        <w:tab/>
      </w:r>
      <w:r>
        <w:rPr>
          <w:noProof/>
        </w:rPr>
        <w:t xml:space="preserve">Odhadovaný vplyv na výdavky </w:t>
      </w:r>
    </w:p>
    <w:p>
      <w:pPr>
        <w:pStyle w:val="Text1"/>
        <w:rPr>
          <w:noProof/>
        </w:rPr>
      </w:pPr>
      <w:r>
        <w:rPr>
          <w:noProof/>
        </w:rPr>
        <w:t>Vplyv na výdavky uvedené nižšie je v súlade s oznámením Komisie (2013)519.</w:t>
      </w:r>
    </w:p>
    <w:p>
      <w:pPr>
        <w:pStyle w:val="ManualHeading3"/>
        <w:rPr>
          <w:bCs/>
          <w:noProof/>
          <w:szCs w:val="24"/>
        </w:rPr>
      </w:pPr>
      <w:r>
        <w:t>3.2.1.</w:t>
      </w:r>
      <w:r>
        <w:tab/>
      </w:r>
      <w:r>
        <w:rPr>
          <w:noProof/>
        </w:rPr>
        <w:t xml:space="preserve">Zhrnutie odhadovaného vplyvu na výdavky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 mil. EUR (zaokrúhlené na tri desatinné miesta)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Okruh viacročného finančného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rámca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</w:pPr>
            <w:r>
              <w:rPr>
                <w:noProof/>
                <w:sz w:val="22"/>
              </w:rPr>
              <w:t>1A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</w:pPr>
            <w:r>
              <w:t>Konkurencieschopnosť pre rast a zamestnanosť</w:t>
            </w:r>
          </w:p>
        </w:tc>
      </w:tr>
    </w:tbl>
    <w:p>
      <w:pPr>
        <w:rPr>
          <w:noProof/>
          <w:sz w:val="16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99"/>
        <w:gridCol w:w="899"/>
        <w:gridCol w:w="899"/>
        <w:gridCol w:w="899"/>
        <w:gridCol w:w="1980"/>
      </w:tblGrid>
      <w:tr>
        <w:tc>
          <w:tcPr>
            <w:tcW w:w="396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22"/>
              </w:rPr>
              <w:t>GR pre zamestnanosť, sociálne záležitosti a začlenenie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534" w:type="dxa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2013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2014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2015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2016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2017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2018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2019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2020</w:t>
            </w: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SPOLU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Wingdings" w:char="F09F"/>
            </w:r>
            <w:r>
              <w:rPr>
                <w:noProof/>
                <w:sz w:val="18"/>
              </w:rPr>
              <w:t>Operačné rozpočtové prostriedky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Číslo rozpočtového riadka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Záväzky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(1)</w:t>
            </w:r>
          </w:p>
        </w:tc>
        <w:tc>
          <w:tcPr>
            <w:tcW w:w="868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14,678</w:t>
            </w:r>
          </w:p>
        </w:tc>
        <w:tc>
          <w:tcPr>
            <w:tcW w:w="868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14,095</w:t>
            </w:r>
          </w:p>
        </w:tc>
        <w:tc>
          <w:tcPr>
            <w:tcW w:w="868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68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99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99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14,973</w:t>
            </w:r>
          </w:p>
        </w:tc>
        <w:tc>
          <w:tcPr>
            <w:tcW w:w="899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15,273</w:t>
            </w:r>
          </w:p>
        </w:tc>
        <w:tc>
          <w:tcPr>
            <w:tcW w:w="899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15,579</w:t>
            </w: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103,957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Platby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(2)</w:t>
            </w:r>
          </w:p>
        </w:tc>
        <w:tc>
          <w:tcPr>
            <w:tcW w:w="868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14,678</w:t>
            </w:r>
          </w:p>
        </w:tc>
        <w:tc>
          <w:tcPr>
            <w:tcW w:w="868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14,095</w:t>
            </w:r>
          </w:p>
        </w:tc>
        <w:tc>
          <w:tcPr>
            <w:tcW w:w="868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68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99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99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14,973</w:t>
            </w:r>
          </w:p>
        </w:tc>
        <w:tc>
          <w:tcPr>
            <w:tcW w:w="899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15,273</w:t>
            </w:r>
          </w:p>
        </w:tc>
        <w:tc>
          <w:tcPr>
            <w:tcW w:w="899" w:type="dxa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15,579</w:t>
            </w: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103,957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Číslo rozpočtového riadka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Záväzky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Platby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(2 a)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Administratívne rozpočtové prostriedky financované z balíka prostriedkov určených na realizáciu osobitných programov</w:t>
            </w:r>
            <w:r>
              <w:rPr>
                <w:rStyle w:val="FootnoteReference"/>
                <w:noProof/>
              </w:rPr>
              <w:footnoteReference w:id="18"/>
            </w:r>
            <w:r>
              <w:rPr>
                <w:noProof/>
                <w:sz w:val="16"/>
              </w:rPr>
              <w:t xml:space="preserve"> </w:t>
            </w:r>
          </w:p>
          <w:p>
            <w:pPr>
              <w:rPr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Číslo rozpočtového riadka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Rozpočtové prostriedky SPOLU </w:t>
            </w:r>
          </w:p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</w:rPr>
              <w:t>pre GR</w:t>
            </w:r>
            <w:r>
              <w:rPr>
                <w:noProof/>
              </w:rPr>
              <w:t xml:space="preserve"> pre zamestnanosť, sociálne záležitosti a začlenenie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Záväzky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= 1 + 1a + 3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14,678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14,095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14,973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15,273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15,579</w:t>
            </w: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103,957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16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Platby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= 2 + 2a</w:t>
            </w:r>
          </w:p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+ 3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14,678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14,095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14,679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14,973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15,273</w:t>
            </w:r>
          </w:p>
        </w:tc>
        <w:tc>
          <w:tcPr>
            <w:tcW w:w="899" w:type="dxa"/>
            <w:vAlign w:val="center"/>
          </w:tcPr>
          <w:p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15,579</w:t>
            </w:r>
          </w:p>
        </w:tc>
        <w:tc>
          <w:tcPr>
            <w:tcW w:w="1980" w:type="dxa"/>
            <w:vAlign w:val="center"/>
          </w:tcPr>
          <w:p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103,957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134" w:right="1077" w:bottom="902" w:left="1247" w:header="709" w:footer="510" w:gutter="0"/>
          <w:cols w:space="720"/>
          <w:docGrid w:linePitch="326"/>
        </w:sectPr>
      </w:pP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Odhadovaný vplyv na ľudské zdroje EU-OSHA </w:t>
      </w:r>
    </w:p>
    <w:p>
      <w:pPr>
        <w:pStyle w:val="ManualHeading4"/>
        <w:rPr>
          <w:bCs/>
          <w:noProof/>
          <w:szCs w:val="24"/>
        </w:rPr>
      </w:pPr>
      <w:r>
        <w:t>3.2.2.1.</w:t>
      </w:r>
      <w:r>
        <w:tab/>
      </w:r>
      <w:r>
        <w:rPr>
          <w:noProof/>
        </w:rPr>
        <w:t xml:space="preserve">Zhrnutie 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Návrh/iniciatíva si nevyžaduje použitie administratívnych rozpočtových prostriedkov. 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Návrh/iniciatíva si vyžaduje použitie administratívnych rozpočtových prostriedkov, ako je vysvetlené v nasledujúcej tabuľke:</w:t>
      </w:r>
    </w:p>
    <w:p>
      <w:pPr>
        <w:rPr>
          <w:noProof/>
          <w:sz w:val="20"/>
        </w:rPr>
      </w:pPr>
      <w:r>
        <w:rPr>
          <w:noProof/>
          <w:sz w:val="20"/>
        </w:rPr>
        <w:t>v mil. EUR (zaokrúhlené na tri desatinné miesta)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2017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</w:tr>
    </w:tbl>
    <w:p>
      <w:pPr>
        <w:rPr>
          <w:noProof/>
          <w:sz w:val="20"/>
        </w:rPr>
      </w:pPr>
    </w:p>
    <w:tbl>
      <w:tblPr>
        <w:tblW w:w="0" w:type="auto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Úradníci (funkčná skupina AD)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Úradníci (funkčná skupina AST)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Zmluvní zamestnanci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Dočasní zamestnanci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Vyslaní národní experti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</w:p>
        </w:tc>
      </w:tr>
    </w:tbl>
    <w:p>
      <w:pPr>
        <w:rPr>
          <w:noProof/>
          <w:sz w:val="20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u w:val="single"/>
        </w:rPr>
      </w:pPr>
    </w:p>
    <w:p>
      <w:pPr>
        <w:pStyle w:val="ManualHeading4"/>
        <w:rPr>
          <w:bCs/>
          <w:noProof/>
          <w:szCs w:val="24"/>
        </w:rPr>
      </w:pPr>
      <w:r>
        <w:t>3.2.2.2.</w:t>
      </w:r>
      <w:r>
        <w:tab/>
      </w:r>
      <w:r>
        <w:rPr>
          <w:noProof/>
        </w:rPr>
        <w:t>Odhadované potreby ľudských zdrojov pre príslušné GR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Návrh/iniciatíva si nevyžaduje použitie ľudských zdrojov. 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Návrh/iniciatíva si vyžaduje použitie ľudských zdrojov, ako je uvedené v nasledujúcej tabuľke:</w:t>
      </w:r>
    </w:p>
    <w:p>
      <w:pPr>
        <w:spacing w:after="60"/>
        <w:jc w:val="right"/>
        <w:rPr>
          <w:i/>
          <w:noProof/>
          <w:sz w:val="20"/>
        </w:rPr>
      </w:pPr>
    </w:p>
    <w:tbl>
      <w:tblPr>
        <w:tblW w:w="5402" w:type="pct"/>
        <w:jc w:val="center"/>
        <w:tblInd w:w="-2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061"/>
        <w:gridCol w:w="757"/>
        <w:gridCol w:w="757"/>
        <w:gridCol w:w="815"/>
        <w:gridCol w:w="998"/>
        <w:gridCol w:w="849"/>
        <w:gridCol w:w="849"/>
        <w:gridCol w:w="895"/>
        <w:gridCol w:w="12"/>
      </w:tblGrid>
      <w:tr>
        <w:trPr>
          <w:gridAfter w:val="1"/>
          <w:wAfter w:w="6" w:type="pct"/>
          <w:trHeight w:val="289"/>
          <w:jc w:val="center"/>
        </w:trPr>
        <w:tc>
          <w:tcPr>
            <w:tcW w:w="2045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2016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2017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2018</w:t>
            </w: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tabs>
                <w:tab w:val="left" w:pos="685"/>
              </w:tabs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tabs>
                <w:tab w:val="left" w:pos="685"/>
              </w:tabs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tabs>
                <w:tab w:val="left" w:pos="685"/>
              </w:tabs>
              <w:jc w:val="center"/>
              <w:rPr>
                <w:b/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numPr>
                <w:ilvl w:val="0"/>
                <w:numId w:val="47"/>
              </w:numPr>
              <w:tabs>
                <w:tab w:val="left" w:pos="208"/>
              </w:tabs>
              <w:spacing w:beforeLines="20" w:before="48" w:afterLines="20" w:after="48"/>
              <w:ind w:left="208" w:hanging="120"/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Plán pracovných miest (úradníci a dočasní zamestnanci)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4"/>
              <w:jc w:val="lef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XX 01 01 01 (ústredie a zastúpenia Komisie)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0,8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XX 01 01 02 (delegácie)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953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XX 01 05 01 (nepriamy výskum)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01 05 01 (priamy výskum)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4"/>
              <w:jc w:val="left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208" w:hanging="120"/>
              <w:jc w:val="lef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sym w:font="Wingdings" w:char="F09F"/>
            </w:r>
            <w:r>
              <w:rPr>
                <w:b/>
                <w:noProof/>
              </w:rPr>
              <w:t>Externí zamestnanci (ekvivalent plného pracovného</w:t>
            </w:r>
            <w:r>
              <w:rPr>
                <w:b/>
                <w:noProof/>
                <w:sz w:val="20"/>
              </w:rPr>
              <w:t xml:space="preserve"> času)</w:t>
            </w:r>
            <w:r>
              <w:rPr>
                <w:rStyle w:val="FootnoteReference"/>
                <w:b/>
                <w:noProof/>
                <w:sz w:val="20"/>
              </w:rPr>
              <w:footnoteReference w:id="19"/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6"/>
              <w:jc w:val="lef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XX 01 02 01 (ZZ, VNE, DAZ z celkového balíka prostriedkov)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6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XX 01 02 02 (ZZ, MZ, VNE, DAZ, PED v delegáciách)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101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6"/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XX</w:t>
            </w:r>
            <w:r>
              <w:rPr>
                <w:noProof/>
                <w:sz w:val="20"/>
              </w:rPr>
              <w:t xml:space="preserve"> 01 04 </w:t>
            </w:r>
            <w:r>
              <w:rPr>
                <w:b/>
                <w:i/>
                <w:noProof/>
                <w:sz w:val="20"/>
              </w:rPr>
              <w:t>rr</w:t>
            </w:r>
            <w:r>
              <w:rPr>
                <w:rStyle w:val="FootnoteReference"/>
                <w:b/>
                <w:i/>
                <w:noProof/>
                <w:sz w:val="20"/>
              </w:rPr>
              <w:footnoteReference w:id="20"/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598"/>
              <w:jc w:val="lef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– ústredie</w:t>
            </w:r>
            <w:r>
              <w:rPr>
                <w:rStyle w:val="FootnoteReference"/>
                <w:noProof/>
                <w:sz w:val="20"/>
              </w:rPr>
              <w:footnoteReference w:id="21"/>
            </w:r>
            <w:r>
              <w:rPr>
                <w:noProof/>
                <w:sz w:val="20"/>
              </w:rPr>
              <w:br/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1018" w:type="pct"/>
            <w:vMerge/>
            <w:shd w:val="clear" w:color="auto" w:fill="auto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598"/>
              <w:jc w:val="lef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 xml:space="preserve">– delegácie 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6"/>
              <w:jc w:val="left"/>
              <w:rPr>
                <w:noProof/>
                <w:sz w:val="20"/>
              </w:rPr>
            </w:pPr>
            <w:r>
              <w:rPr>
                <w:b/>
                <w:noProof/>
              </w:rPr>
              <w:t>XX</w:t>
            </w:r>
            <w:r>
              <w:rPr>
                <w:noProof/>
              </w:rPr>
              <w:t xml:space="preserve"> 01 05 02 (ZZ, VNE, DAZ – nepriamy výskum)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6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01 05 02 (ZZ, VNE, DAZ – priamy výskum)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4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Iné rozpočtové riadky (uveďte)</w:t>
            </w:r>
          </w:p>
        </w:tc>
        <w:tc>
          <w:tcPr>
            <w:tcW w:w="3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3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2045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986"/>
              <w:jc w:val="lef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SPOLU</w:t>
            </w:r>
          </w:p>
        </w:tc>
        <w:tc>
          <w:tcPr>
            <w:tcW w:w="3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3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9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</w:p>
        </w:tc>
      </w:tr>
    </w:tbl>
    <w:p>
      <w:pPr>
        <w:pStyle w:val="Text1"/>
        <w:rPr>
          <w:noProof/>
          <w:sz w:val="22"/>
        </w:rPr>
      </w:pPr>
      <w:r>
        <w:rPr>
          <w:noProof/>
          <w:sz w:val="22"/>
        </w:rPr>
        <w:t>Potreby ľudských zdrojov budú pokryté úradníkmi GR, ktorí už boli pridelení na riadenie akcie a/alebo boli interne prerozdelení v rámci GR, a v prípade potreby budú doplnené zdrojmi, ktoré sa môžu prideliť riadiacemu GR v rámci ročného postupu prideľovania zdrojov v závislosti od rozpočtových obmedzení.</w:t>
      </w:r>
    </w:p>
    <w:p>
      <w:pPr>
        <w:rPr>
          <w:noProof/>
          <w:sz w:val="20"/>
        </w:rPr>
      </w:pPr>
      <w:r>
        <w:rPr>
          <w:noProof/>
          <w:sz w:val="20"/>
        </w:rPr>
        <w:t>Opis úloh, ktoré sa majú vykonať: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Úradníci a dočasní zamestnanci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Koordinácia a zastupovanie postoja Komisie voči agentúre.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Externí zamestnanci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26"/>
        </w:sectPr>
      </w:pP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 xml:space="preserve">Súlad s platným viacročným finančným rámcom 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Návrh/iniciatíva je v súlade s platným viacročným finančným rámcom.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si vyžaduje zmenu v plánovaní príslušného okruhu vo viacročnom finančnom rámci.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Vysvetlite požadovanú zmenu v plánovaní a uveďte príslušné rozpočtové riadky a zodpovedajúce sumy.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t>[...]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si vyžaduje, aby sa použil nástroj flexibility alebo aby sa uskutočnila revízia viacročného finančného rámca</w:t>
      </w:r>
      <w:r>
        <w:rPr>
          <w:rStyle w:val="FootnoteReference"/>
          <w:noProof/>
        </w:rPr>
        <w:footnoteReference w:id="22"/>
      </w:r>
      <w:r>
        <w:rPr>
          <w:noProof/>
        </w:rPr>
        <w:t>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Vysvetlite potrebu a uveďte príslušné okruhy, rozpočtové riadky a zodpovedajúce sumy.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[...]</w:t>
      </w: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Príspevky od tretích strán 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t xml:space="preserve">Návrh/iniciatíva nezahŕňa spolufinancovanie tretími stranami. 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t>Návrh/iniciatíva zahŕňa spolufinancovanie tretími stranami, ako je uvedené v nasledujúcej tabuľke: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 mil. EUR (zaokrúhlené na tri desatinné miesta)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t>Rok</w:t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Uveďte všetky roky, počas ktorých vplyv trvá (pozri bod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Spolu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Uveďte spolufinancujúci subjekt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Prostriedky zo spolufinancovania SPOLU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Odhadovaný vplyv na príjmy 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Návrh/iniciatíva nemá finančný vplyv na príjmy.</w:t>
      </w:r>
    </w:p>
    <w:p>
      <w:pPr>
        <w:pStyle w:val="ListDash1"/>
        <w:numPr>
          <w:ilvl w:val="0"/>
          <w:numId w:val="44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Návrh/iniciatíva má finančný vplyv na príjmy, ako je uvedené v nasledujúcej tabuľke: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vplyv na vlastné zdroje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vplyv na rôzne príjmy </w:t>
      </w:r>
    </w:p>
    <w:p>
      <w:pPr>
        <w:jc w:val="right"/>
        <w:rPr>
          <w:i/>
          <w:noProof/>
          <w:sz w:val="20"/>
        </w:rPr>
      </w:pPr>
      <w:r>
        <w:rPr>
          <w:noProof/>
          <w:sz w:val="20"/>
        </w:rPr>
        <w:t>v mil. EUR (zaokrúhlené na tri desatinné miesta)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Rozpočtový riadok príjmov: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Rozpočtové prostriedky k dispozícii v prebiehajúcom rozpočtovom roku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Vplyv návrhu/iniciatívy</w:t>
            </w:r>
            <w:r>
              <w:rPr>
                <w:rStyle w:val="FootnoteReference"/>
                <w:noProof/>
                <w:sz w:val="18"/>
              </w:rPr>
              <w:footnoteReference w:id="23"/>
            </w:r>
          </w:p>
        </w:tc>
      </w:tr>
      <w:tr>
        <w:trPr>
          <w:trHeight w:val="388"/>
        </w:trPr>
        <w:tc>
          <w:tcPr>
            <w:tcW w:w="2144" w:type="dxa"/>
            <w:vMerge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 xml:space="preserve">Rok </w:t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 xml:space="preserve">Rok </w:t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 xml:space="preserve">Rok </w:t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 xml:space="preserve">Rok </w:t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Uveďte všetky roky, počas ktorých vplyv trvá (pozri bod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Článok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V prípade rôznych pripísaných príjmov uveďte príslušné rozpočtové riadky výdavkov.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[...]</w:t>
      </w: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Uveďte spôsob výpočtu vplyvu na príjmy.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[...]</w:t>
      </w:r>
    </w:p>
    <w:p>
      <w:pPr>
        <w:jc w:val="center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30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EÚ C , , s.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Ú. v. EÚ C , , s. 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Nariadenie Rady (ES) č. 2062/94 z 18. júla 1994, ktorým sa zriaďuje Európska agentúra pre bezpečnosť a ochranu zdravia pri práci (Ú. v. ES L 216, 20.8.1994, s.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Rozhodnutie Rady z 22. júla 2003, ktorým sa zriaďuje Poradný výbor pre bezpečnosť a ochranu zdravia pri práci, Ú. v. EÚ C 218, 13.9.2003, s. 1 – 4.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Delegované nariadenie Komisie (EÚ) č. 1271/2013 z 30. septembra 2013 o rámcovom nariadení o rozpočtových pravidlách pre subjekty uvedené v článku 208 nariadenia Európskeho parlamentu a Rady (EÚ, Euratom) č. 966/2012 (Ú. v. EÚ L 328, 7.12.2013, s. 42).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Nariadenie Rady (EHS, Euratom, ESUO) č. 259/68 (Ú. v. ES L 56, 4.3.1968, s. 1), naposledy zmenené nariadením Európskeho parlamentu a Rady (EÚ, Euratom) č. 1023/2013 z 22. októbra 2013 (Ú. v. EÚ L 287, 29.10.2013, s. 15).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Rozhodnutie Komisie (EÚ, Euratom) 2015/443 z 13. marca 2015 o bezpečnosti v Komisii (Ú. v. EÚ L 72, 17.3.2015, s. 41).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Rozhodnutie Komisie (EÚ, Euratom) 2015/444 z 13. marca 2015 o bezpečnostných predpisoch na ochranu utajovaných skutočností EÚ (Ú. v. EÚ L 72, 17.3.2015, s. 53).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Rozhodnutie Rady z 22. júla 2003, ktorým sa zriaďuje Poradný výbor pre bezpečnosť a ochranu zdravia pri práci, Ú. v. EÚ C 218, 13.9.2003, s. 1 – 4.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Delegované nariadenie Komisie (EÚ) č. 1271/2013 z 30. septembra 2013 o rámcovom nariadení o rozpočtových pravidlách pre subjekty uvedené v článku 208 nariadenia Európskeho parlamentu a Rady (EÚ, Euratom) č. 966/2012 (Ú. v. EÚ L 328, 7.12.2013, s. 42).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 Rady (ES) č. 1049/2001 z 30. mája 2001 o prístupe verejnosti k dokumentom Európskeho parlamentu, Rady a Komisie (Ú. v. ES L 145, 31.5.2001, s. 43).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 Rady (ES) č. 1073/1999 z 25. mája 1999 o vyšetrovaniach vykonávaných Európskym úradom pre boj proti podvodom (OLAF) (Ú. v. ES L 136, 31.5.1999, s. 1).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riadenie podľa činností; ABB: zostavovanie rozpočtu podľa činností.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Podľa článku 54 ods. 2 písm. a) alebo b) nariadenia o rozpočtových pravidlách.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DRP = Diferencované rozpočtové prostriedky/NRP = Nediferencované rozpočtové prostriedky.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EZVO: Európske združenie voľného obchodu. 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Kandidátske krajiny a prípadne potenciálne kandidátske krajiny západného Balkánu.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a/alebo administratívna pomoc a výdavky určené na financovanie realizácie programov a/alebo akcií EÚ (pôvodné rozpočtové riadky „BA“), nepriamy výskum, priamy výskum.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ZZ = zmluvný zamestnanec; MZ = miestny zamestnanec; VNE = vyslaný národný expert; DAZ = dočasný agentúrny zamestnanec; PED = pomocný expert v delegácii. 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Čiastkový strop pre externých zamestnancov financovaných z operačných rozpočtových prostriedkov (pôvodné rozpočtové riadky „BA“).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Najmä pre štrukturálne fondy, Európsky poľnohospodársky fond pre rozvoj vidieka (EPFRV) a Európsky fond pre rybné hospodárstvo (EFRH).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Pozri články 11 a 17 nariadenia Rady (EÚ, Euratom) č. 1311/2013, ktorým sa ustanovuje viacročný finančný rámec na roky 2014 – 2020.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Pokiaľ ide o tradičné vlastné zdroje (clá, odvody z produkcie cukru), uvedené sumy musia predstavovať čisté sumy, t. j. hrubé sumy po odčítaní 25 % nákladov na výber.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45408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090CD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22B2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B1AC7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F1E5D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220E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F5C1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2885A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90B6ED2"/>
    <w:multiLevelType w:val="hybridMultilevel"/>
    <w:tmpl w:val="680AB1EC"/>
    <w:lvl w:ilvl="0" w:tplc="0809000F">
      <w:start w:val="1"/>
      <w:numFmt w:val="decimal"/>
      <w:pStyle w:val="Tex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96D67A1"/>
    <w:multiLevelType w:val="singleLevel"/>
    <w:tmpl w:val="9AC8831A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08C30E1"/>
    <w:multiLevelType w:val="hybridMultilevel"/>
    <w:tmpl w:val="DD98B9F8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62A8042C"/>
    <w:multiLevelType w:val="singleLevel"/>
    <w:tmpl w:val="CCF20C06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>
    <w:nsid w:val="6A6901C1"/>
    <w:multiLevelType w:val="singleLevel"/>
    <w:tmpl w:val="208841A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9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8"/>
  </w:num>
  <w:num w:numId="12">
    <w:abstractNumId w:val="17"/>
  </w:num>
  <w:num w:numId="13">
    <w:abstractNumId w:val="29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</w:num>
  <w:num w:numId="43">
    <w:abstractNumId w:val="28"/>
  </w:num>
  <w:num w:numId="44">
    <w:abstractNumId w:val="25"/>
  </w:num>
  <w:num w:numId="45">
    <w:abstractNumId w:val="20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3"/>
  </w:num>
  <w:num w:numId="49">
    <w:abstractNumId w:val="14"/>
  </w:num>
  <w:num w:numId="50">
    <w:abstractNumId w:val="27"/>
  </w:num>
  <w:num w:numId="51">
    <w:abstractNumId w:val="13"/>
  </w:num>
  <w:num w:numId="52">
    <w:abstractNumId w:val="15"/>
  </w:num>
  <w:num w:numId="53">
    <w:abstractNumId w:val="11"/>
  </w:num>
  <w:num w:numId="54">
    <w:abstractNumId w:val="26"/>
  </w:num>
  <w:num w:numId="55">
    <w:abstractNumId w:val="10"/>
  </w:num>
  <w:num w:numId="56">
    <w:abstractNumId w:val="16"/>
  </w:num>
  <w:num w:numId="57">
    <w:abstractNumId w:val="21"/>
  </w:num>
  <w:num w:numId="58">
    <w:abstractNumId w:val="22"/>
  </w:num>
  <w:num w:numId="59">
    <w:abstractNumId w:val="12"/>
  </w:num>
  <w:num w:numId="60">
    <w:abstractNumId w:val="19"/>
  </w:num>
  <w:num w:numId="61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8-17 09:06:4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9135F69AE9794A898EEB8FA91D126B69"/>
    <w:docVar w:name="LW_CROSSREFERENCE" w:val="&lt;UNUSED&gt;"/>
    <w:docVar w:name="LW_DocType" w:val="COM"/>
    <w:docVar w:name="LW_EMISSION" w:val="23. 8. 2016"/>
    <w:docVar w:name="LW_EMISSION_ISODATE" w:val="2016-08-23"/>
    <w:docVar w:name="LW_EMISSION_LOCATION" w:val="BRX"/>
    <w:docVar w:name="LW_EMISSION_PREFIX" w:val="V Bruseli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54"/>
    <w:docVar w:name="LW_REF.II.NEW.CP_YEAR" w:val="2016"/>
    <w:docVar w:name="LW_REF.INST.NEW" w:val="COM"/>
    <w:docVar w:name="LW_REF.INST.NEW_ADOPTED" w:val="final"/>
    <w:docVar w:name="LW_REF.INST.NEW_TEXT" w:val="(2016) 528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orým sa zria\u271?uje Európska agentúra pre bezpe\u269?nos\u357? a ochranu zdravia pri práci (EU-OSHA) a ktorým sa zru\u353?uje nariadenie Rady (ES) \u269?. 2062/94"/>
    <w:docVar w:name="LW_TYPE.DOC.CP" w:val="NARIADENIE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 w:hanging="357"/>
      <w:contextualSpacing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ind w:left="357" w:hanging="357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Considerant">
    <w:name w:val="Considerant"/>
    <w:basedOn w:val="Considrant"/>
    <w:pPr>
      <w:numPr>
        <w:numId w:val="0"/>
      </w:numPr>
      <w:ind w:left="709"/>
    </w:pPr>
  </w:style>
  <w:style w:type="paragraph" w:customStyle="1" w:styleId="Conside">
    <w:name w:val="Conside"/>
    <w:basedOn w:val="Considrant"/>
    <w:pPr>
      <w:numPr>
        <w:numId w:val="0"/>
      </w:numPr>
    </w:pPr>
  </w:style>
  <w:style w:type="paragraph" w:customStyle="1" w:styleId="Text10">
    <w:name w:val="Text1"/>
    <w:basedOn w:val="NumPar1"/>
    <w:pPr>
      <w:numPr>
        <w:numId w:val="0"/>
      </w:numPr>
      <w:ind w:left="850"/>
    </w:pPr>
  </w:style>
  <w:style w:type="paragraph" w:customStyle="1" w:styleId="Text0">
    <w:name w:val="Text0"/>
    <w:basedOn w:val="Normal"/>
  </w:style>
  <w:style w:type="paragraph" w:customStyle="1" w:styleId="Tex1">
    <w:name w:val="Tex1"/>
    <w:basedOn w:val="NumPar1"/>
    <w:pPr>
      <w:numPr>
        <w:numId w:val="1"/>
      </w:numPr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customStyle="1" w:styleId="ListBullet1">
    <w:name w:val="List Bullet 1"/>
    <w:basedOn w:val="Normal"/>
    <w:pPr>
      <w:numPr>
        <w:numId w:val="10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1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2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8"/>
      </w:numPr>
    </w:pPr>
  </w:style>
  <w:style w:type="paragraph" w:customStyle="1" w:styleId="Tiret1">
    <w:name w:val="Tiret 1"/>
    <w:basedOn w:val="Point1"/>
    <w:pPr>
      <w:numPr>
        <w:numId w:val="49"/>
      </w:numPr>
    </w:pPr>
  </w:style>
  <w:style w:type="paragraph" w:customStyle="1" w:styleId="Tiret2">
    <w:name w:val="Tiret 2"/>
    <w:basedOn w:val="Point2"/>
    <w:pPr>
      <w:numPr>
        <w:numId w:val="50"/>
      </w:numPr>
    </w:pPr>
  </w:style>
  <w:style w:type="paragraph" w:customStyle="1" w:styleId="Tiret3">
    <w:name w:val="Tiret 3"/>
    <w:basedOn w:val="Point3"/>
    <w:pPr>
      <w:numPr>
        <w:numId w:val="51"/>
      </w:numPr>
    </w:pPr>
  </w:style>
  <w:style w:type="paragraph" w:customStyle="1" w:styleId="Tiret4">
    <w:name w:val="Tiret 4"/>
    <w:basedOn w:val="Point4"/>
    <w:pPr>
      <w:numPr>
        <w:numId w:val="5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5"/>
      </w:numPr>
    </w:pPr>
  </w:style>
  <w:style w:type="paragraph" w:customStyle="1" w:styleId="Point1number">
    <w:name w:val="Point 1 (number)"/>
    <w:basedOn w:val="Normal"/>
    <w:pPr>
      <w:numPr>
        <w:ilvl w:val="2"/>
        <w:numId w:val="55"/>
      </w:numPr>
    </w:pPr>
  </w:style>
  <w:style w:type="paragraph" w:customStyle="1" w:styleId="Point2number">
    <w:name w:val="Point 2 (number)"/>
    <w:basedOn w:val="Normal"/>
    <w:pPr>
      <w:numPr>
        <w:ilvl w:val="4"/>
        <w:numId w:val="55"/>
      </w:numPr>
    </w:pPr>
  </w:style>
  <w:style w:type="paragraph" w:customStyle="1" w:styleId="Point3number">
    <w:name w:val="Point 3 (number)"/>
    <w:basedOn w:val="Normal"/>
    <w:pPr>
      <w:numPr>
        <w:ilvl w:val="6"/>
        <w:numId w:val="55"/>
      </w:numPr>
    </w:pPr>
  </w:style>
  <w:style w:type="paragraph" w:customStyle="1" w:styleId="Point0letter">
    <w:name w:val="Point 0 (letter)"/>
    <w:basedOn w:val="Normal"/>
    <w:pPr>
      <w:numPr>
        <w:ilvl w:val="1"/>
        <w:numId w:val="55"/>
      </w:numPr>
    </w:pPr>
  </w:style>
  <w:style w:type="paragraph" w:customStyle="1" w:styleId="Point1letter">
    <w:name w:val="Point 1 (letter)"/>
    <w:basedOn w:val="Normal"/>
    <w:pPr>
      <w:numPr>
        <w:ilvl w:val="3"/>
        <w:numId w:val="55"/>
      </w:numPr>
    </w:pPr>
  </w:style>
  <w:style w:type="paragraph" w:customStyle="1" w:styleId="Point2letter">
    <w:name w:val="Point 2 (letter)"/>
    <w:basedOn w:val="Normal"/>
    <w:pPr>
      <w:numPr>
        <w:ilvl w:val="5"/>
        <w:numId w:val="55"/>
      </w:numPr>
    </w:pPr>
  </w:style>
  <w:style w:type="paragraph" w:customStyle="1" w:styleId="Point3letter">
    <w:name w:val="Point 3 (letter)"/>
    <w:basedOn w:val="Normal"/>
    <w:pPr>
      <w:numPr>
        <w:ilvl w:val="7"/>
        <w:numId w:val="55"/>
      </w:numPr>
    </w:pPr>
  </w:style>
  <w:style w:type="paragraph" w:customStyle="1" w:styleId="Point4letter">
    <w:name w:val="Point 4 (letter)"/>
    <w:basedOn w:val="Normal"/>
    <w:pPr>
      <w:numPr>
        <w:ilvl w:val="8"/>
        <w:numId w:val="55"/>
      </w:numPr>
    </w:pPr>
  </w:style>
  <w:style w:type="paragraph" w:customStyle="1" w:styleId="Bullet0">
    <w:name w:val="Bullet 0"/>
    <w:basedOn w:val="Normal"/>
    <w:pPr>
      <w:numPr>
        <w:numId w:val="56"/>
      </w:numPr>
    </w:pPr>
  </w:style>
  <w:style w:type="paragraph" w:customStyle="1" w:styleId="Bullet1">
    <w:name w:val="Bullet 1"/>
    <w:basedOn w:val="Normal"/>
    <w:pPr>
      <w:numPr>
        <w:numId w:val="57"/>
      </w:numPr>
    </w:pPr>
  </w:style>
  <w:style w:type="paragraph" w:customStyle="1" w:styleId="Bullet2">
    <w:name w:val="Bullet 2"/>
    <w:basedOn w:val="Normal"/>
    <w:pPr>
      <w:numPr>
        <w:numId w:val="58"/>
      </w:numPr>
    </w:pPr>
  </w:style>
  <w:style w:type="paragraph" w:customStyle="1" w:styleId="Bullet3">
    <w:name w:val="Bullet 3"/>
    <w:basedOn w:val="Normal"/>
    <w:pPr>
      <w:numPr>
        <w:numId w:val="59"/>
      </w:numPr>
    </w:pPr>
  </w:style>
  <w:style w:type="paragraph" w:customStyle="1" w:styleId="Bullet4">
    <w:name w:val="Bullet 4"/>
    <w:basedOn w:val="Normal"/>
    <w:pPr>
      <w:numPr>
        <w:numId w:val="6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 w:hanging="357"/>
      <w:contextualSpacing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ind w:left="357" w:hanging="357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Considerant">
    <w:name w:val="Considerant"/>
    <w:basedOn w:val="Considrant"/>
    <w:pPr>
      <w:numPr>
        <w:numId w:val="0"/>
      </w:numPr>
      <w:ind w:left="709"/>
    </w:pPr>
  </w:style>
  <w:style w:type="paragraph" w:customStyle="1" w:styleId="Conside">
    <w:name w:val="Conside"/>
    <w:basedOn w:val="Considrant"/>
    <w:pPr>
      <w:numPr>
        <w:numId w:val="0"/>
      </w:numPr>
    </w:pPr>
  </w:style>
  <w:style w:type="paragraph" w:customStyle="1" w:styleId="Text10">
    <w:name w:val="Text1"/>
    <w:basedOn w:val="NumPar1"/>
    <w:pPr>
      <w:numPr>
        <w:numId w:val="0"/>
      </w:numPr>
      <w:ind w:left="850"/>
    </w:pPr>
  </w:style>
  <w:style w:type="paragraph" w:customStyle="1" w:styleId="Text0">
    <w:name w:val="Text0"/>
    <w:basedOn w:val="Normal"/>
  </w:style>
  <w:style w:type="paragraph" w:customStyle="1" w:styleId="Tex1">
    <w:name w:val="Tex1"/>
    <w:basedOn w:val="NumPar1"/>
    <w:pPr>
      <w:numPr>
        <w:numId w:val="1"/>
      </w:numPr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customStyle="1" w:styleId="ListBullet1">
    <w:name w:val="List Bullet 1"/>
    <w:basedOn w:val="Normal"/>
    <w:pPr>
      <w:numPr>
        <w:numId w:val="10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1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2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8"/>
      </w:numPr>
    </w:pPr>
  </w:style>
  <w:style w:type="paragraph" w:customStyle="1" w:styleId="Tiret1">
    <w:name w:val="Tiret 1"/>
    <w:basedOn w:val="Point1"/>
    <w:pPr>
      <w:numPr>
        <w:numId w:val="49"/>
      </w:numPr>
    </w:pPr>
  </w:style>
  <w:style w:type="paragraph" w:customStyle="1" w:styleId="Tiret2">
    <w:name w:val="Tiret 2"/>
    <w:basedOn w:val="Point2"/>
    <w:pPr>
      <w:numPr>
        <w:numId w:val="50"/>
      </w:numPr>
    </w:pPr>
  </w:style>
  <w:style w:type="paragraph" w:customStyle="1" w:styleId="Tiret3">
    <w:name w:val="Tiret 3"/>
    <w:basedOn w:val="Point3"/>
    <w:pPr>
      <w:numPr>
        <w:numId w:val="51"/>
      </w:numPr>
    </w:pPr>
  </w:style>
  <w:style w:type="paragraph" w:customStyle="1" w:styleId="Tiret4">
    <w:name w:val="Tiret 4"/>
    <w:basedOn w:val="Point4"/>
    <w:pPr>
      <w:numPr>
        <w:numId w:val="5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5"/>
      </w:numPr>
    </w:pPr>
  </w:style>
  <w:style w:type="paragraph" w:customStyle="1" w:styleId="Point1number">
    <w:name w:val="Point 1 (number)"/>
    <w:basedOn w:val="Normal"/>
    <w:pPr>
      <w:numPr>
        <w:ilvl w:val="2"/>
        <w:numId w:val="55"/>
      </w:numPr>
    </w:pPr>
  </w:style>
  <w:style w:type="paragraph" w:customStyle="1" w:styleId="Point2number">
    <w:name w:val="Point 2 (number)"/>
    <w:basedOn w:val="Normal"/>
    <w:pPr>
      <w:numPr>
        <w:ilvl w:val="4"/>
        <w:numId w:val="55"/>
      </w:numPr>
    </w:pPr>
  </w:style>
  <w:style w:type="paragraph" w:customStyle="1" w:styleId="Point3number">
    <w:name w:val="Point 3 (number)"/>
    <w:basedOn w:val="Normal"/>
    <w:pPr>
      <w:numPr>
        <w:ilvl w:val="6"/>
        <w:numId w:val="55"/>
      </w:numPr>
    </w:pPr>
  </w:style>
  <w:style w:type="paragraph" w:customStyle="1" w:styleId="Point0letter">
    <w:name w:val="Point 0 (letter)"/>
    <w:basedOn w:val="Normal"/>
    <w:pPr>
      <w:numPr>
        <w:ilvl w:val="1"/>
        <w:numId w:val="55"/>
      </w:numPr>
    </w:pPr>
  </w:style>
  <w:style w:type="paragraph" w:customStyle="1" w:styleId="Point1letter">
    <w:name w:val="Point 1 (letter)"/>
    <w:basedOn w:val="Normal"/>
    <w:pPr>
      <w:numPr>
        <w:ilvl w:val="3"/>
        <w:numId w:val="55"/>
      </w:numPr>
    </w:pPr>
  </w:style>
  <w:style w:type="paragraph" w:customStyle="1" w:styleId="Point2letter">
    <w:name w:val="Point 2 (letter)"/>
    <w:basedOn w:val="Normal"/>
    <w:pPr>
      <w:numPr>
        <w:ilvl w:val="5"/>
        <w:numId w:val="55"/>
      </w:numPr>
    </w:pPr>
  </w:style>
  <w:style w:type="paragraph" w:customStyle="1" w:styleId="Point3letter">
    <w:name w:val="Point 3 (letter)"/>
    <w:basedOn w:val="Normal"/>
    <w:pPr>
      <w:numPr>
        <w:ilvl w:val="7"/>
        <w:numId w:val="55"/>
      </w:numPr>
    </w:pPr>
  </w:style>
  <w:style w:type="paragraph" w:customStyle="1" w:styleId="Point4letter">
    <w:name w:val="Point 4 (letter)"/>
    <w:basedOn w:val="Normal"/>
    <w:pPr>
      <w:numPr>
        <w:ilvl w:val="8"/>
        <w:numId w:val="55"/>
      </w:numPr>
    </w:pPr>
  </w:style>
  <w:style w:type="paragraph" w:customStyle="1" w:styleId="Bullet0">
    <w:name w:val="Bullet 0"/>
    <w:basedOn w:val="Normal"/>
    <w:pPr>
      <w:numPr>
        <w:numId w:val="56"/>
      </w:numPr>
    </w:pPr>
  </w:style>
  <w:style w:type="paragraph" w:customStyle="1" w:styleId="Bullet1">
    <w:name w:val="Bullet 1"/>
    <w:basedOn w:val="Normal"/>
    <w:pPr>
      <w:numPr>
        <w:numId w:val="57"/>
      </w:numPr>
    </w:pPr>
  </w:style>
  <w:style w:type="paragraph" w:customStyle="1" w:styleId="Bullet2">
    <w:name w:val="Bullet 2"/>
    <w:basedOn w:val="Normal"/>
    <w:pPr>
      <w:numPr>
        <w:numId w:val="58"/>
      </w:numPr>
    </w:pPr>
  </w:style>
  <w:style w:type="paragraph" w:customStyle="1" w:styleId="Bullet3">
    <w:name w:val="Bullet 3"/>
    <w:basedOn w:val="Normal"/>
    <w:pPr>
      <w:numPr>
        <w:numId w:val="59"/>
      </w:numPr>
    </w:pPr>
  </w:style>
  <w:style w:type="paragraph" w:customStyle="1" w:styleId="Bullet4">
    <w:name w:val="Bullet 4"/>
    <w:basedOn w:val="Normal"/>
    <w:pPr>
      <w:numPr>
        <w:numId w:val="6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947F-8332-4A20-9994-3FC7FDB9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36</Pages>
  <Words>8670</Words>
  <Characters>53845</Characters>
  <Application>Microsoft Office Word</Application>
  <DocSecurity>0</DocSecurity>
  <Lines>1495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With Marie Simonsen comments</dc:description>
  <cp:lastModifiedBy>DIGIT/A3</cp:lastModifiedBy>
  <cp:revision>18</cp:revision>
  <cp:lastPrinted>2016-07-26T05:29:00Z</cp:lastPrinted>
  <dcterms:created xsi:type="dcterms:W3CDTF">2016-08-16T12:52:00Z</dcterms:created>
  <dcterms:modified xsi:type="dcterms:W3CDTF">2016-08-17T07:06:00Z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