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49112045F2D4FBD862BEE62F39A91F7" style="width:450.75pt;height:43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 pielikums</w:t>
      </w:r>
    </w:p>
    <w:p>
      <w:pPr>
        <w:jc w:val="center"/>
        <w:rPr>
          <w:b/>
          <w:noProof/>
        </w:rPr>
      </w:pPr>
      <w:r>
        <w:rPr>
          <w:b/>
          <w:noProof/>
        </w:rPr>
        <w:t>Aptveramie temati</w:t>
      </w:r>
    </w:p>
    <w:p>
      <w:pPr>
        <w:pStyle w:val="Text1"/>
        <w:rPr>
          <w:noProof/>
        </w:rPr>
      </w:pPr>
    </w:p>
    <w:tbl>
      <w:tblPr>
        <w:tblW w:w="9975" w:type="dxa"/>
        <w:tblInd w:w="93" w:type="dxa"/>
        <w:tblLook w:val="04A0" w:firstRow="1" w:lastRow="0" w:firstColumn="1" w:lastColumn="0" w:noHBand="0" w:noVBand="1"/>
      </w:tblPr>
      <w:tblGrid>
        <w:gridCol w:w="2547"/>
        <w:gridCol w:w="3468"/>
        <w:gridCol w:w="3960"/>
      </w:tblGrid>
      <w:tr>
        <w:trPr>
          <w:trHeight w:val="300"/>
        </w:trPr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</w:rPr>
            </w:pPr>
            <w:r>
              <w:rPr>
                <w:noProof/>
              </w:rPr>
              <w:t>Joma</w:t>
            </w:r>
          </w:p>
        </w:tc>
        <w:tc>
          <w:tcPr>
            <w:tcW w:w="3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</w:rPr>
            </w:pPr>
            <w:r>
              <w:rPr>
                <w:noProof/>
              </w:rPr>
              <w:t>Temats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Cs w:val="24"/>
              </w:rPr>
            </w:pPr>
            <w:r>
              <w:rPr>
                <w:noProof/>
              </w:rPr>
              <w:t>Detalizēti temati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Attiecībā uz visām jomām 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Tehniskie dati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Datu vākšanas informācija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Identifikācija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Svari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Interviju raksturlielumi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Vieta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Personas un mājsaimniecības raksturlielumi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Demogrāfija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Valstspiederība un migranta izcelsme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Mājsaimniecības sastāvs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Dalība darba tirgū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Galvenās darbības statuss (pašdefinēts)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Galvenie darba raksturlielumi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Iegūtais izglītības līmenis un ziņas par izglītību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Iegūtais izglītības līmenis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Darba tirgus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Personas un mājsaimniecības raksturlielumi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Mājsaimniecības sastāvs — sīka informācija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Uzturēšanās ilgums valstī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Dalība darba tirgū 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Nodarbinātības statuss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Līguma darbības ilgums</w:t>
            </w:r>
          </w:p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Līguma darbības ilgums — papildu informācija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Pilna vai nepilna darba laika statuss — pamatojums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Atkarīga pašnodarbinātība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Uzraudzības pienākumi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Uzņēmuma lielums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Darba vieta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Darbs mājās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Darba meklējumi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Vēlme strādāt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Pieejamība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Otrs darbs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Cita darba meklējumi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Darba un ģimenes dzīves saskaņošana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Jaunieši darba tirgū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b/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Migrantu un viņu tiešo pēcnācēju stāvoklis darba tirgū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Pāreja uz pensionēšanos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Aprūpes vajadzības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Darba stāžs un iepriekšējā darba pieredze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Darba sākums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Darba atrašanas veids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Iepriekšējā darba pieredze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Darba apstākļi, tostarp darba </w:t>
            </w:r>
            <w:r>
              <w:rPr>
                <w:noProof/>
              </w:rPr>
              <w:lastRenderedPageBreak/>
              <w:t>stundas un darba laika režīms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lastRenderedPageBreak/>
              <w:t>Darba stundas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Darba laika režīms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Darba organizācija un darba laika režīms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Iegūtais izglītības līmenis un ziņas par izglītību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Iegūtais izglītības līmenis — sīka informācija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Dalība izglītībā un apmācībā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Dalība formālajā un neformālajā izglītībā un apmācībā (4 nedēļas)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Dalība formālajā un neformālajā izglītībā un apmācībā (12 mēneši)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Veselība: veselības stāvoklis un invaliditāte, aprūpe un veselību noteicošie faktori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Nelaimes gadījumi darbā un citas ar darbu saistītas veselības problēmas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Eiropas minimālais modulis attiecībā uz veselību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Ienākumi, patēriņš un labklājība, tostarp parādsaistības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Ienākumi no darba</w:t>
            </w:r>
          </w:p>
        </w:tc>
      </w:tr>
      <w:tr>
        <w:trPr>
          <w:trHeight w:val="284"/>
        </w:trPr>
        <w:tc>
          <w:tcPr>
            <w:tcW w:w="254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Ienākumi un dzīves apstākļi</w:t>
            </w: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Personas un mājsaimniecības raksturlielumi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Mājsaimniecības sastāvs — sīka informācija</w:t>
            </w:r>
          </w:p>
        </w:tc>
      </w:tr>
      <w:tr>
        <w:trPr>
          <w:trHeight w:val="300"/>
        </w:trPr>
        <w:tc>
          <w:tcPr>
            <w:tcW w:w="25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Uzturēšanās ilgums valstī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Dalība izglītībā un apmācībā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Dalība formālās izglītības pasākumos (patlaban)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Iegūtais izglītības līmenis un ziņas par izglītību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Iegūtais izglītības līmenis — sīka informācija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Dalība darba tirgū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Darba vietas raksturlielumi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Līguma darbības ilgums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Nodarbinātības statuss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Sīka informācija par darba tirgus situāciju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Uzraudzības pienākumi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Darba stāžs un iepriekšējā darba pieredze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Iepriekšējā darba pieredze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Darba apstākļi, tostarp darba stundas un darba laika režīms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Darbību kalendārs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Darba stundas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Veselība: veselības stāvoklis un invaliditāte, aprūpe un veselību noteicošie faktori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Eiropas minimālais modulis attiecībā uz veselību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Veselības stāvoklis un invaliditāte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Bērnu veselība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Piekļuve veselības aprūpei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Veselības aprūpe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Piekļuve veselības aprūpei (bērni)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Veselību ietekmējošie faktori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Dzīves kvalitāte, tostarp dalība sociālajā un kultūras dzīvē un labjutība,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Dzīves kvalitāte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Dalība sociālajā un kultūras dzīvē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Labjutība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Dzīves apstākļi, tostarp materiālā nenodrošinātība, mājoklis, dzīves vide un piekļuve pakalpojumiem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Materiālā nenodrošinātība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Bērnu materiālā nenodrošinātība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Galvenie mājokļu raksturlielumi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Sīka informācija par mājokļa apstākļiem, </w:t>
            </w:r>
            <w:r>
              <w:rPr>
                <w:noProof/>
                <w:sz w:val="20"/>
              </w:rPr>
              <w:lastRenderedPageBreak/>
              <w:t>tostarp nenodrošinātību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Mājokļa izmaksas, tostarp aprēķinātā īres maksa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Dzīves vide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Pakalpojumu, tostarp aprūpes pakalpojumu, izmantošana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Materiālā pieejamība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Neapmierinātas vajadzības un iemesli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Bērnu aprūpe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Ienākumi, patēriņš un labklājība, tostarp parādsaistības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Ienākumi no darba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Ienākumi no pabalstiem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Ienākumi no pensijām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Citi ienākumi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Nodokļi un iemaksas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Kopējie ienākumi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Pārmērīgas parādsaistības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Kavētie maksājumi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Labklājība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Galvenās patēriņa sastāvdaļas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Trūkumu pārmantošana no paaudzes paaudzē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Veselība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Veselība: veselības stāvoklis un invaliditāte, aprūpe un veselību noteicošie faktori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Eiropas minimālais modulis attiecībā uz veselību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Slimības un hroniskas slimības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Nelaimes gadījumi un traumas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Sāpes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Garīgā veselība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Funkcionāli ierobežojumi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Grūtības ar personiskās aprūpes darbībām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Grūtības ar mājsaimniecības darbībām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Pagaidu darbības ierobežojumi (veselības problēmu dēļ)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Šķēršļi līdzdalībai konkrētās dzīves jomās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Veselības un ilgtermiņa aprūpes izmantošana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Zāļu lietošana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Profilaktiskā aprūpe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Piekļuve veselības aprūpei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Garums un svars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Fiziskā aktivitāte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Uztura paradumi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Smēķēšana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Alkohola lietošana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Sociālie un vides faktori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Ienākumi, patēriņš un labklājība, tostarp parādsaistības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Kopējie ienākumi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Izglītība un apmācība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Personas un mājsaimniecības raksturlielumi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Uzturēšanās ilgums valstī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Darba stāžs un iepriekšējā darba pieredze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Darba sākums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Dalība darba tirgū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Uzņēmuma lielums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Iegūtais izglītības līmenis un ziņas par izglītību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Iegūtais izglītības līmenis — sīka informācija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Ziņas par izglītību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Pašu norādītās prasmes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Dalība izglītībā un apmācībā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Piekļuve informācijai par mācību iespējām un ieteikumi (12 mēneši)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Dalība formālās izglītības pasākumos (12 mēneši)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Pēdējais formālās izglītības pasākums — sīka informācija (12 mēneši)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IKT izmantošana pēdējā formālajā izglītībā (12 mēneši)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Dalības iemesli pēdējā formālajā izglītībā (12 mēneši)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Pēdējās formālās izglītības samaksa un stundas (12 mēneši)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Pēdējās formālās izglītības iznākumi un iegūto prasmju izmantošana (12 mēneši)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Dalība neformālās izglītības pasākumos (12 mēneši)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Neformālās izglītības pasākumi — sīka informācija (12 mēneši)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IKT izmantošana neformālās izglītības pasākumos (12 mēneši)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Dalības iemesli neformālās izglītības pasākumos (12 mēneši)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Neformālās izglītības pasākumu samaksa un stundas (12 mēneši)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Neformālās izglītības pasākumu iznākumi un iegūto prasmju izmantošana (12 mēneši)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Šķēršļi dalībai izglītībā un apmācībā (12 mēneši)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Ikdienēja mācīšanās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Ienākumi, patēriņš un labklājība, tostarp parādsaistības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Kopējie ienākumi</w:t>
            </w:r>
          </w:p>
        </w:tc>
      </w:tr>
      <w:tr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Informācijas un komunikācijas tehnoloģiju izmantošana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Dalība informācijas sabiedrībā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Piekļuve IKT</w:t>
            </w:r>
          </w:p>
        </w:tc>
      </w:tr>
      <w:tr>
        <w:trPr>
          <w:trHeight w:val="300"/>
        </w:trPr>
        <w:tc>
          <w:tcPr>
            <w:tcW w:w="254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IKT izmantošana un tās biežums</w:t>
            </w:r>
          </w:p>
        </w:tc>
      </w:tr>
      <w:tr>
        <w:trPr>
          <w:trHeight w:val="300"/>
        </w:trPr>
        <w:tc>
          <w:tcPr>
            <w:tcW w:w="25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Šķēršļi un grūtības izmantot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Izmantošanas ietekme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Drošība, privātums, uzticēšanās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Pieslēgums internetam jebkurā vietā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Digitālās prasmes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Darbības internetā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E-komercija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Mijiedarbība ar citām publiskajām iestādēm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Ienākumi, patēriņš un labklājība, </w:t>
            </w:r>
            <w:r>
              <w:rPr>
                <w:noProof/>
              </w:rPr>
              <w:lastRenderedPageBreak/>
              <w:t>tostarp parādsaistības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lastRenderedPageBreak/>
              <w:t>Kopējie ienākumi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lastRenderedPageBreak/>
              <w:t>Laika izmantojums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Personas un mājsaimniecības raksturlielumi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Mājsaimniecības sastāvs — sīka informācija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Dalība izglītībā un apmācībā 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Dalība formālās izglītības pasākumos (patlaban)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Veselība: veselības stāvoklis un invaliditāte, aprūpe un veselību noteicošie faktori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Eiropas minimālais modulis attiecībā uz veselību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Dzīves apstākļi, tostarp materiālā nenodrošinātība, mājoklis, dzīves vide un piekļuve pakalpojumiem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Ilglietojuma preču esība īpašumā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Bērnu aprūpe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Slimu un vecu cilvēku aprūpe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Darba apstākļi, tostarp darba stundas un darba laika režīms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Darba stundas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Darba laika režīms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Ienākumi, patēriņš un labklājība, tostarp parādsaistības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Ražošana pašu patēriņam un pārdošanai, remonti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Ienākumi no darba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Kopējie ienākumi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Laika sadalījums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Laika izmantojums, darbību veidi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Paralēlas darbības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Darbības vieta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Citu personu klātbūtne darbības laikā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Darbības novērtējums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Patēriņš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Personas un mājsaimniecības raksturlielumi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Mājsaimniecības sastāvs — sīka informācija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Dzīves apstākļi, tostarp materiālā nenodrošinātība, mājoklis, dzīves vide un piekļuve pakalpojumiem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Galvenie mājokļu raksturlielumi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Dalība izglītībā un apmācībā 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Dalība formālās izglītības pasākumos (patlaban)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Dalība darba tirgū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Līguma darbības ilgums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Ienākumi, patēriņš un labklājība, tostarp parādsaistības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Kopējie ienākumi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Nodokļi un iemaksas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Ienākumi natūrā no darbībām, kas nav algotas darbības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Aprēķinātā īres maksa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Galvenais ienākumu avots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Turība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Parādsaistības 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Kavētie maksājumi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Patēriņš </w:t>
            </w:r>
            <w:r>
              <w:rPr>
                <w:i/>
                <w:noProof/>
                <w:sz w:val="20"/>
              </w:rPr>
              <w:t>COICOP</w:t>
            </w:r>
            <w:r>
              <w:rPr>
                <w:noProof/>
                <w:sz w:val="20"/>
              </w:rPr>
              <w:t xml:space="preserve"> dalījumā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Pārrobežu patēriņa izdevumu </w:t>
            </w:r>
            <w:r>
              <w:rPr>
                <w:i/>
                <w:noProof/>
                <w:sz w:val="20"/>
              </w:rPr>
              <w:t>COICOP</w:t>
            </w:r>
            <w:r>
              <w:rPr>
                <w:noProof/>
                <w:sz w:val="20"/>
              </w:rPr>
              <w:t xml:space="preserve"> dalījumā</w:t>
            </w:r>
          </w:p>
        </w:tc>
      </w:tr>
      <w:tr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spacing w:before="0" w:afterLines="20" w:after="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Pašu patēriņš</w:t>
            </w:r>
          </w:p>
        </w:tc>
      </w:tr>
    </w:tbl>
    <w:p>
      <w:pPr>
        <w:pStyle w:val="Annexetitre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II pielikums</w:t>
      </w:r>
    </w:p>
    <w:p>
      <w:pPr>
        <w:jc w:val="center"/>
        <w:rPr>
          <w:b/>
          <w:noProof/>
        </w:rPr>
      </w:pPr>
      <w:r>
        <w:rPr>
          <w:b/>
          <w:noProof/>
        </w:rPr>
        <w:t>Precizitātes prasības</w:t>
      </w:r>
    </w:p>
    <w:p>
      <w:pPr>
        <w:pStyle w:val="NumPar1"/>
        <w:numPr>
          <w:ilvl w:val="0"/>
          <w:numId w:val="13"/>
        </w:numPr>
        <w:rPr>
          <w:noProof/>
        </w:rPr>
      </w:pPr>
      <w:r>
        <w:rPr>
          <w:noProof/>
        </w:rPr>
        <w:t>Precizitātes prasības attiecībā uz visām datu kopām izsaka standartkļūdās un definē kā faktisko novērtējumu un statistikas kopas lieluma nepārtrauktas funkcijas valstī vai NUTS 2 reģionā.</w:t>
      </w:r>
    </w:p>
    <w:p>
      <w:pPr>
        <w:pStyle w:val="NumPar1"/>
        <w:rPr>
          <w:noProof/>
        </w:rPr>
      </w:pPr>
      <w:r>
        <w:rPr>
          <w:noProof/>
        </w:rPr>
        <w:t xml:space="preserve">Konkrēta novērtējuma lēstā standartkļūda </w:t>
      </w:r>
      <m:oMath>
        <m:acc>
          <m:accPr>
            <m:ctrlPr>
              <w:rPr>
                <w:rFonts w:ascii="Cambria Math" w:hAnsi="Cambria Math"/>
                <w:noProof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SE</m:t>
            </m:r>
          </m:e>
        </m:acc>
        <m:d>
          <m:dPr>
            <m:ctrlPr>
              <w:rPr>
                <w:rFonts w:ascii="Cambria Math" w:hAnsi="Cambria Math"/>
                <w:noProof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noProof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p</m:t>
                </m:r>
              </m:e>
            </m:acc>
          </m:e>
        </m:d>
      </m:oMath>
      <w:r>
        <w:rPr>
          <w:noProof/>
        </w:rPr>
        <w:t xml:space="preserve"> nav lielāka par šādu summu:</w:t>
      </w:r>
    </w:p>
    <w:p>
      <w:pPr>
        <w:pStyle w:val="Point1"/>
        <w:rPr>
          <w:rFonts w:ascii="Cambria Math" w:hAnsi="Cambria Math"/>
          <w:noProof/>
          <w:oMath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i/>
                          <w:noProof/>
                        </w:rPr>
                        <m:t>p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i/>
                          <w:noProof/>
                        </w:rPr>
                        <m:t>1-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accPr>
                        <m:e>
                          <m:r>
                            <m:rPr>
                              <m:nor/>
                            </m:rPr>
                            <w:rPr>
                              <w:i/>
                              <w:noProof/>
                            </w:rPr>
                            <m:t>p</m:t>
                          </m:r>
                        </m:e>
                      </m:acc>
                    </m:e>
                  </m:d>
                </m:num>
                <m:den>
                  <m:r>
                    <m:rPr>
                      <m:nor/>
                    </m:rPr>
                    <w:rPr>
                      <w:i/>
                      <w:noProof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i/>
                          <w:noProof/>
                        </w:rPr>
                        <m:t>N</m:t>
                      </m:r>
                    </m:e>
                  </m:d>
                </m:den>
              </m:f>
            </m:e>
          </m:rad>
        </m:oMath>
      </m:oMathPara>
    </w:p>
    <w:p>
      <w:pPr>
        <w:pStyle w:val="NumPar1"/>
        <w:rPr>
          <w:noProof/>
        </w:rPr>
      </w:pPr>
      <w:r>
        <w:rPr>
          <w:noProof/>
        </w:rPr>
        <w:t xml:space="preserve">Funkcijai </w:t>
      </w:r>
      <w:r>
        <w:rPr>
          <w:i/>
          <w:noProof/>
        </w:rPr>
        <w:t xml:space="preserve">f(N) </w:t>
      </w:r>
      <w:r>
        <w:rPr>
          <w:noProof/>
        </w:rPr>
        <w:t>ir šāda forma:</w:t>
      </w:r>
      <w:r>
        <w:rPr>
          <w:i/>
          <w:noProof/>
        </w:rPr>
        <w:t xml:space="preserve"> f(N)=a√N+b.</w:t>
      </w:r>
    </w:p>
    <w:p>
      <w:pPr>
        <w:pStyle w:val="NumPar1"/>
        <w:rPr>
          <w:noProof/>
        </w:rPr>
      </w:pPr>
      <w:r>
        <w:rPr>
          <w:noProof/>
        </w:rPr>
        <w:t xml:space="preserve">Parametriem </w:t>
      </w:r>
      <w:r>
        <w:rPr>
          <w:i/>
          <w:noProof/>
        </w:rPr>
        <w:t>N</w:t>
      </w:r>
      <w:r>
        <w:rPr>
          <w:noProof/>
        </w:rPr>
        <w:t>, a un b izmanto šādas vērtības.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2688"/>
        <w:gridCol w:w="1020"/>
        <w:gridCol w:w="91"/>
        <w:gridCol w:w="853"/>
      </w:tblGrid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b/>
                <w:bCs/>
                <w:noProof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noProof/>
              </w:rPr>
              <w:t>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noProof/>
              </w:rPr>
              <w:t>b</w:t>
            </w:r>
          </w:p>
        </w:tc>
      </w:tr>
      <w:tr>
        <w:trPr>
          <w:trHeight w:val="300"/>
        </w:trPr>
        <w:tc>
          <w:tcPr>
            <w:tcW w:w="9770" w:type="dxa"/>
            <w:gridSpan w:val="5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Darba tirgus joma: precizitātes prasības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Bezdarbs attiecībā pret iedzīvotājiem vecumā no 15 līdz 74 gadiem — novērtētais (valsts) ceturkšņa rādītājs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Valsts iedzīvotāji vecumā no 15 līdz 74 gadiem, kas dzīvo privātās mājsaimniecībās, miljonos personu un noapaļojot līdz 3 zīmēm aiz komata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7800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-4500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Nodarbinātība attiecībā pret iedzīvotājiem vecumā no 15 līdz 74 gadiem — novērtētais (valsts) ceturkšņa rādītājs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Valsts iedzīvotāji vecumā no 15 līdz 74 gadiem, kas dzīvo privātās mājsaimniecībās, miljonos personu un noapaļojot līdz 3 zīmēm aiz komata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7800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-4500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Bezdarbs attiecībā pret iedzīvotājiem vecumā no 15 līdz 74 gadiem katrā </w:t>
            </w:r>
            <w:r>
              <w:rPr>
                <w:i/>
                <w:noProof/>
                <w:sz w:val="18"/>
              </w:rPr>
              <w:t>NUTS</w:t>
            </w:r>
            <w:r>
              <w:rPr>
                <w:noProof/>
                <w:sz w:val="18"/>
              </w:rPr>
              <w:t> 2 reģionā —  novērtētais ceturkšņa rādītājs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Iedzīvotāji vecumā no 15 līdz 74 gadiem </w:t>
            </w:r>
            <w:r>
              <w:rPr>
                <w:i/>
                <w:noProof/>
                <w:sz w:val="18"/>
              </w:rPr>
              <w:t>NUTS</w:t>
            </w:r>
            <w:r>
              <w:rPr>
                <w:noProof/>
                <w:sz w:val="18"/>
              </w:rPr>
              <w:t> 2 reģionā, kas dzīvo privātās mājsaimniecībās, miljonos personu un noapaļojot līdz 3 zīmēm aiz komata</w:t>
            </w:r>
          </w:p>
        </w:tc>
        <w:tc>
          <w:tcPr>
            <w:tcW w:w="1964" w:type="dxa"/>
            <w:gridSpan w:val="3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Skatīt 6. punktu.</w:t>
            </w:r>
          </w:p>
        </w:tc>
      </w:tr>
      <w:tr>
        <w:trPr>
          <w:trHeight w:val="300"/>
        </w:trPr>
        <w:tc>
          <w:tcPr>
            <w:tcW w:w="9770" w:type="dxa"/>
            <w:gridSpan w:val="5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Ienākumu un dzīves apstākļu joma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Nabadzības vai sociālās atstumtības apdraudētie attiecībā pret iedzīvotājiem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Privāto mājsaimniecību skaits valstī miljonos un noapaļots līdz 3 zīmēm aiz komata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900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2600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Pastāvīgas nabadzības apdraudētie vairāk nekā četrus gadus attiecībā pret iedzīvotājiem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Privāto mājsaimniecību skaits valstī miljonos un noapaļots līdz 3 zīmēm aiz komata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350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1000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Nabadzības vai sociālās atstumtības apdraudētie attiecībā pret iedzīvotājiem katrā </w:t>
            </w:r>
            <w:r>
              <w:rPr>
                <w:i/>
                <w:noProof/>
                <w:sz w:val="18"/>
              </w:rPr>
              <w:t>NUTS</w:t>
            </w:r>
            <w:r>
              <w:rPr>
                <w:noProof/>
                <w:sz w:val="18"/>
              </w:rPr>
              <w:t xml:space="preserve"> 2 reģionā (skatīt 7. punktu)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Privāto mājsaimniecību skaits </w:t>
            </w:r>
            <w:r>
              <w:rPr>
                <w:i/>
                <w:noProof/>
                <w:sz w:val="18"/>
              </w:rPr>
              <w:t>NUTS</w:t>
            </w:r>
            <w:r>
              <w:rPr>
                <w:noProof/>
                <w:sz w:val="18"/>
              </w:rPr>
              <w:t xml:space="preserve"> 2 reģionā miljonos un noapaļots līdz 3 zīmēm aiz komata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600</w:t>
            </w:r>
          </w:p>
        </w:tc>
        <w:tc>
          <w:tcPr>
            <w:tcW w:w="944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>
        <w:trPr>
          <w:trHeight w:val="300"/>
        </w:trPr>
        <w:tc>
          <w:tcPr>
            <w:tcW w:w="9770" w:type="dxa"/>
            <w:gridSpan w:val="5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Veselības joma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Procentuālā iedzīvotāju daļa, kuru parastās darbības būtiski ierobežo veselības problēmas (vecumā 15 gadi vai vairāk)</w:t>
            </w:r>
          </w:p>
        </w:tc>
        <w:tc>
          <w:tcPr>
            <w:tcW w:w="268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Valsts iedzīvotāji vecumā 15 gadi vai vairāk, kas dzīvo privātās mājsaimniecībās, miljonos </w:t>
            </w:r>
            <w:r>
              <w:rPr>
                <w:noProof/>
                <w:sz w:val="18"/>
              </w:rPr>
              <w:lastRenderedPageBreak/>
              <w:t>personu un noapaļojot līdz 3 zīmēm aiz komata</w:t>
            </w:r>
          </w:p>
        </w:tc>
        <w:tc>
          <w:tcPr>
            <w:tcW w:w="1111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lastRenderedPageBreak/>
              <w:t>1200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2800</w:t>
            </w:r>
          </w:p>
        </w:tc>
      </w:tr>
    </w:tbl>
    <w:p>
      <w:pPr>
        <w:rPr>
          <w:noProof/>
        </w:rPr>
      </w:pPr>
      <w:r>
        <w:rPr>
          <w:noProof/>
        </w:rPr>
        <w:lastRenderedPageBreak/>
        <w:br w:type="page"/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85"/>
        <w:gridCol w:w="2603"/>
        <w:gridCol w:w="130"/>
        <w:gridCol w:w="823"/>
        <w:gridCol w:w="67"/>
        <w:gridCol w:w="77"/>
        <w:gridCol w:w="867"/>
      </w:tblGrid>
      <w:tr>
        <w:trPr>
          <w:trHeight w:val="300"/>
        </w:trPr>
        <w:tc>
          <w:tcPr>
            <w:tcW w:w="9770" w:type="dxa"/>
            <w:gridSpan w:val="8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lastRenderedPageBreak/>
              <w:t>Izglītības un apmācības joma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Dalības līmenis formālajā izglītībā un apmācībā (vecumā no 18 līdz 24 gadiem)</w:t>
            </w:r>
          </w:p>
        </w:tc>
        <w:tc>
          <w:tcPr>
            <w:tcW w:w="2688" w:type="dxa"/>
            <w:gridSpan w:val="2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Valsts iedzīvotāji vecumā no 18 līdz 24 gadiem, kas dzīvo privātās mājsaimniecībās, miljonos personu un noapaļojot līdz 3 zīmēm aiz komata</w:t>
            </w:r>
          </w:p>
        </w:tc>
        <w:tc>
          <w:tcPr>
            <w:tcW w:w="1020" w:type="dxa"/>
            <w:gridSpan w:val="3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944" w:type="dxa"/>
            <w:gridSpan w:val="2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1500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Dalības līmenis neformālajā izglītībā un apmācībā (vecumā no 25 līdz 69 gadiem)</w:t>
            </w:r>
          </w:p>
        </w:tc>
        <w:tc>
          <w:tcPr>
            <w:tcW w:w="2688" w:type="dxa"/>
            <w:gridSpan w:val="2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Valsts iedzīvotāji vecumā no 25 līdz 69 gadiem, kas dzīvo privātās mājsaimniecībās, miljonos personu un noapaļojot līdz 3 zīmēm aiz komata</w:t>
            </w:r>
          </w:p>
        </w:tc>
        <w:tc>
          <w:tcPr>
            <w:tcW w:w="1020" w:type="dxa"/>
            <w:gridSpan w:val="3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400</w:t>
            </w:r>
          </w:p>
        </w:tc>
        <w:tc>
          <w:tcPr>
            <w:tcW w:w="944" w:type="dxa"/>
            <w:gridSpan w:val="2"/>
            <w:shd w:val="clear" w:color="auto" w:fill="auto"/>
            <w:noWrap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2000</w:t>
            </w:r>
          </w:p>
        </w:tc>
      </w:tr>
      <w:tr>
        <w:trPr>
          <w:trHeight w:val="300"/>
        </w:trPr>
        <w:tc>
          <w:tcPr>
            <w:tcW w:w="9770" w:type="dxa"/>
            <w:gridSpan w:val="8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Informācijas un komunikācijas tehnoloģiju izmantošanas joma</w:t>
            </w:r>
          </w:p>
        </w:tc>
      </w:tr>
      <w:tr>
        <w:trPr>
          <w:trHeight w:val="300"/>
        </w:trPr>
        <w:tc>
          <w:tcPr>
            <w:tcW w:w="5118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Procentuālā indivīdu daļa, kas pēdējā gadā personiskai lietošanai pasūtījuši preces vai pakalpojumus internetā </w:t>
            </w:r>
          </w:p>
        </w:tc>
        <w:tc>
          <w:tcPr>
            <w:tcW w:w="2688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Valsts iedzīvotāji vecumā no 16 līdz 74 gadiem, kas dzīvo privātās mājsaimniecībās, miljonos personu un noapaļojot līdz 3 zīmēm aiz komata</w:t>
            </w:r>
          </w:p>
        </w:tc>
        <w:tc>
          <w:tcPr>
            <w:tcW w:w="953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400 </w:t>
            </w:r>
          </w:p>
        </w:tc>
        <w:tc>
          <w:tcPr>
            <w:tcW w:w="1011" w:type="dxa"/>
            <w:gridSpan w:val="3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1300</w:t>
            </w:r>
          </w:p>
        </w:tc>
      </w:tr>
      <w:tr>
        <w:trPr>
          <w:trHeight w:val="300"/>
        </w:trPr>
        <w:tc>
          <w:tcPr>
            <w:tcW w:w="9770" w:type="dxa"/>
            <w:gridSpan w:val="8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Laika izmantojuma joma</w:t>
            </w:r>
          </w:p>
        </w:tc>
      </w:tr>
      <w:tr>
        <w:trPr>
          <w:trHeight w:val="300"/>
        </w:trPr>
        <w:tc>
          <w:tcPr>
            <w:tcW w:w="5203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Iedzīvotāju procentuālā daļa vecumā 15 gadi un vairāk, kas katru dienu vidēji vairāk nekā 10 % laika velta, strādājot algotu darbu</w:t>
            </w:r>
          </w:p>
        </w:tc>
        <w:tc>
          <w:tcPr>
            <w:tcW w:w="2733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Valsts iedzīvotāji vecumā 15 gadi vai vairāk, kas dzīvo privātās mājsaimniecībās, miljonos personu un noapaļojot līdz 3 zīmēm aiz komata</w:t>
            </w:r>
          </w:p>
        </w:tc>
        <w:tc>
          <w:tcPr>
            <w:tcW w:w="967" w:type="dxa"/>
            <w:gridSpan w:val="3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900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3500</w:t>
            </w:r>
          </w:p>
        </w:tc>
      </w:tr>
      <w:tr>
        <w:trPr>
          <w:trHeight w:val="300"/>
        </w:trPr>
        <w:tc>
          <w:tcPr>
            <w:tcW w:w="9770" w:type="dxa"/>
            <w:gridSpan w:val="8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Patēriņa joma</w:t>
            </w:r>
          </w:p>
        </w:tc>
      </w:tr>
      <w:tr>
        <w:trPr>
          <w:trHeight w:val="300"/>
        </w:trPr>
        <w:tc>
          <w:tcPr>
            <w:tcW w:w="5203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Mājsaimniecību procentuālā daļa, kuru izdevumi par kategorijām, kas saistītas ar mājokli, tostarp ūdeni, elektrību, gāzi un citu kurināmo, pārsniedz 50 % no kopējiem izdevumiem (skatīt 8. punktu)</w:t>
            </w:r>
          </w:p>
        </w:tc>
        <w:tc>
          <w:tcPr>
            <w:tcW w:w="2733" w:type="dxa"/>
            <w:gridSpan w:val="2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Privāto mājsaimniecību skaits valstī miljonos un noapaļots līdz 3 zīmēm aiz komata</w:t>
            </w:r>
          </w:p>
        </w:tc>
        <w:tc>
          <w:tcPr>
            <w:tcW w:w="967" w:type="dxa"/>
            <w:gridSpan w:val="3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900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2600</w:t>
            </w:r>
          </w:p>
        </w:tc>
      </w:tr>
    </w:tbl>
    <w:p>
      <w:pPr>
        <w:spacing w:before="0" w:after="200" w:line="276" w:lineRule="auto"/>
        <w:jc w:val="left"/>
        <w:rPr>
          <w:rFonts w:eastAsia="Calibri"/>
          <w:noProof/>
          <w:sz w:val="22"/>
        </w:rPr>
      </w:pPr>
    </w:p>
    <w:p>
      <w:pPr>
        <w:pStyle w:val="NumPar1"/>
        <w:rPr>
          <w:noProof/>
        </w:rPr>
      </w:pPr>
      <w:r>
        <w:rPr>
          <w:noProof/>
        </w:rPr>
        <w:t xml:space="preserve">Ja valstis ar iepriekš norādītājiem parametriem iegūst negatīvas </w:t>
      </w:r>
      <w:r>
        <w:rPr>
          <w:i/>
          <w:noProof/>
        </w:rPr>
        <w:t>f(N)</w:t>
      </w:r>
      <w:r>
        <w:rPr>
          <w:noProof/>
        </w:rPr>
        <w:t xml:space="preserve"> vērtības, tās tiks atbrīvotas no attiecīgās prasības.</w:t>
      </w:r>
    </w:p>
    <w:p>
      <w:pPr>
        <w:pStyle w:val="NumPar1"/>
        <w:rPr>
          <w:noProof/>
        </w:rPr>
      </w:pPr>
      <w:r>
        <w:rPr>
          <w:noProof/>
        </w:rPr>
        <w:t xml:space="preserve">Attiecībā uz novērtēto bezdarba attiecību pret iedzīvotājiem vecumā no 15 līdz 74 gadiem katrā </w:t>
      </w:r>
      <w:r>
        <w:rPr>
          <w:i/>
          <w:noProof/>
        </w:rPr>
        <w:t>NUTS</w:t>
      </w:r>
      <w:r>
        <w:rPr>
          <w:noProof/>
        </w:rPr>
        <w:t xml:space="preserve"> 2 reģionā funkciju </w:t>
      </w:r>
      <w:r>
        <w:rPr>
          <w:i/>
          <w:noProof/>
        </w:rPr>
        <w:t>f(N)</w:t>
      </w:r>
      <w:r>
        <w:rPr>
          <w:noProof/>
        </w:rPr>
        <w:t xml:space="preserve"> definē šādi:</w:t>
      </w:r>
    </w:p>
    <w:p>
      <w:pPr>
        <w:spacing w:before="0" w:after="200" w:line="276" w:lineRule="auto"/>
        <w:ind w:left="1417"/>
        <w:jc w:val="left"/>
        <w:rPr>
          <w:rFonts w:eastAsia="Calibri"/>
          <w:i/>
          <w:noProof/>
          <w:szCs w:val="24"/>
        </w:rPr>
      </w:pPr>
      <m:oMath>
        <m:r>
          <m:rPr>
            <m:nor/>
          </m:rPr>
          <w:rPr>
            <w:rFonts w:eastAsia="Calibri"/>
            <w:i/>
            <w:noProof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noProof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noProof/>
                  </w:rPr>
                  <m:t>r,15-74</m:t>
                </m:r>
              </m:sub>
            </m:sSub>
          </m:e>
        </m:d>
        <m:r>
          <m:rPr>
            <m:nor/>
          </m:rPr>
          <w:rPr>
            <w:i/>
            <w:noProof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m:rPr>
                    <m:nor/>
                  </m:rPr>
                  <w:rPr>
                    <w:noProof/>
                  </w:rPr>
                  <m:t>1300</m:t>
                </m:r>
                <m:r>
                  <m:rPr>
                    <m:nor/>
                  </m:rPr>
                  <w:rPr>
                    <w:i/>
                    <w:noProof/>
                  </w:rPr>
                  <m:t xml:space="preserve">,  </m:t>
                </m:r>
                <m:r>
                  <m:rPr>
                    <m:nor/>
                  </m:rPr>
                  <w:rPr>
                    <w:noProof/>
                  </w:rPr>
                  <m:t>ja</m:t>
                </m:r>
                <m:r>
                  <m:rPr>
                    <m:nor/>
                  </m:rPr>
                  <w:rPr>
                    <w:i/>
                    <w:noProof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noProof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noProof/>
                      </w:rPr>
                      <m:t>r,15-74</m:t>
                    </m:r>
                  </m:sub>
                </m:sSub>
                <m:r>
                  <m:rPr>
                    <m:nor/>
                  </m:rPr>
                  <w:rPr>
                    <w:noProof/>
                  </w:rPr>
                  <m:t>≥ 0,300 miljoni iedzīvotāju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noProof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noProof/>
                      </w:rPr>
                      <m:t>1300</m:t>
                    </m:r>
                  </m:num>
                  <m:den>
                    <m:r>
                      <m:rPr>
                        <m:nor/>
                      </m:rPr>
                      <w:rPr>
                        <w:noProof/>
                      </w:rPr>
                      <m:t>0.3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noProof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noProof/>
                      </w:rPr>
                      <m:t>r, 15-7</m:t>
                    </m:r>
                    <m:r>
                      <m:rPr>
                        <m:nor/>
                      </m:rPr>
                      <w:rPr>
                        <w:i/>
                        <w:noProof/>
                      </w:rPr>
                      <m:t>4</m:t>
                    </m:r>
                  </m:sub>
                </m:sSub>
                <m:r>
                  <m:rPr>
                    <m:nor/>
                  </m:rPr>
                  <w:rPr>
                    <w:i/>
                    <w:noProof/>
                  </w:rPr>
                  <m:t xml:space="preserve"> ,  </m:t>
                </m:r>
                <m:r>
                  <m:rPr>
                    <m:nor/>
                  </m:rPr>
                  <w:rPr>
                    <w:noProof/>
                  </w:rPr>
                  <m:t>ja</m:t>
                </m:r>
                <m:r>
                  <m:rPr>
                    <m:nor/>
                  </m:rPr>
                  <w:rPr>
                    <w:i/>
                    <w:noProof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noProof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noProof/>
                      </w:rPr>
                      <m:t>r,15-74</m:t>
                    </m:r>
                  </m:sub>
                </m:sSub>
                <m:r>
                  <m:rPr>
                    <m:nor/>
                  </m:rPr>
                  <w:rPr>
                    <w:i/>
                    <w:noProof/>
                  </w:rPr>
                  <m:t xml:space="preserve"> </m:t>
                </m:r>
                <m:r>
                  <m:rPr>
                    <m:nor/>
                  </m:rPr>
                  <w:rPr>
                    <w:noProof/>
                  </w:rPr>
                  <m:t>&lt; 0,300 miljoni iedzīvotāju</m:t>
                </m:r>
              </m:e>
            </m:eqArr>
          </m:e>
        </m:d>
      </m:oMath>
      <w:r>
        <w:rPr>
          <w:i/>
          <w:noProof/>
        </w:rPr>
        <w:t xml:space="preserve"> </w:t>
      </w:r>
    </w:p>
    <w:p>
      <w:pPr>
        <w:pStyle w:val="NumPar1"/>
        <w:rPr>
          <w:noProof/>
        </w:rPr>
      </w:pPr>
      <w:r>
        <w:rPr>
          <w:noProof/>
        </w:rPr>
        <w:t xml:space="preserve">Attiecībā uz nabadzības vai sociālās atstumtības apdraudēto personu novērtēto attiecību pret iedzīvotājiem katrā </w:t>
      </w:r>
      <w:r>
        <w:rPr>
          <w:i/>
          <w:noProof/>
        </w:rPr>
        <w:t>NUTS</w:t>
      </w:r>
      <w:r>
        <w:rPr>
          <w:noProof/>
        </w:rPr>
        <w:t xml:space="preserve"> 2 reģionā šīs prasības nav obligātas attiecībā uz tiem </w:t>
      </w:r>
      <w:r>
        <w:rPr>
          <w:i/>
          <w:noProof/>
        </w:rPr>
        <w:t>NUTS </w:t>
      </w:r>
      <w:r>
        <w:rPr>
          <w:noProof/>
        </w:rPr>
        <w:t xml:space="preserve">2 reģioniem, kuros ir mazāk par 0,500 miljoniem iedzīvotāju, ar nosacījumu, ka attiecīgais </w:t>
      </w:r>
      <w:r>
        <w:rPr>
          <w:i/>
          <w:noProof/>
        </w:rPr>
        <w:t>NUTS</w:t>
      </w:r>
      <w:r>
        <w:rPr>
          <w:noProof/>
        </w:rPr>
        <w:t xml:space="preserve"> 1 reģions atbilst šai prasībai.</w:t>
      </w:r>
    </w:p>
    <w:p>
      <w:pPr>
        <w:pStyle w:val="NumPar1"/>
        <w:rPr>
          <w:noProof/>
        </w:rPr>
      </w:pPr>
      <w:r>
        <w:rPr>
          <w:noProof/>
        </w:rPr>
        <w:t>Patēriņa jomā precizitātes prasības var izpildīt, apvienojot mikrodatus par maksimāli trim secīgiem novērojumu gadiem.</w:t>
      </w:r>
    </w:p>
    <w:p>
      <w:pPr>
        <w:widowControl w:val="0"/>
        <w:autoSpaceDE w:val="0"/>
        <w:autoSpaceDN w:val="0"/>
        <w:spacing w:before="0" w:after="0"/>
        <w:ind w:right="85"/>
        <w:jc w:val="left"/>
        <w:rPr>
          <w:rFonts w:eastAsia="Times New Roman"/>
          <w:noProof/>
          <w:sz w:val="16"/>
          <w:szCs w:val="16"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lastRenderedPageBreak/>
        <w:t>III PIELIKUMS</w:t>
      </w:r>
    </w:p>
    <w:p>
      <w:pPr>
        <w:jc w:val="center"/>
        <w:rPr>
          <w:b/>
          <w:noProof/>
        </w:rPr>
      </w:pPr>
      <w:r>
        <w:rPr>
          <w:b/>
          <w:noProof/>
        </w:rPr>
        <w:t>Izlases raksturlielumi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 xml:space="preserve">Darba tirgus jomas izlases raksturlielumi ietver turpmāko: </w:t>
      </w:r>
    </w:p>
    <w:p>
      <w:pPr>
        <w:pStyle w:val="Point1letter"/>
        <w:numPr>
          <w:ilvl w:val="3"/>
          <w:numId w:val="14"/>
        </w:numPr>
        <w:rPr>
          <w:noProof/>
        </w:rPr>
      </w:pPr>
      <w:r>
        <w:rPr>
          <w:noProof/>
        </w:rPr>
        <w:t xml:space="preserve">valsts izlasi pārskata ceturksnim (secīgu pārskata nedēļu summēšana) vienmērīgi sadala uz visām ceturkšņa nedēļām. Izlasi pārskata ceturksnim (katrā </w:t>
      </w:r>
      <w:r>
        <w:rPr>
          <w:i/>
          <w:noProof/>
        </w:rPr>
        <w:t>NUTS</w:t>
      </w:r>
      <w:r>
        <w:rPr>
          <w:noProof/>
        </w:rPr>
        <w:t xml:space="preserve"> 2 reģionā) sadala uz trim mēnešiem proporcionāli nedēļu skaitam katrā mēnesī;</w:t>
      </w:r>
    </w:p>
    <w:p>
      <w:pPr>
        <w:pStyle w:val="Point1letter"/>
        <w:rPr>
          <w:rFonts w:eastAsia="Calibri"/>
          <w:noProof/>
        </w:rPr>
      </w:pPr>
      <w:r>
        <w:rPr>
          <w:noProof/>
        </w:rPr>
        <w:t>izlasei ir rotācijas modelis, saskaņā ar kuru rotāciju veic biežāk nekā reizi gadā.  Jānodrošina, ka izlases pārklāšanās ir vismaz 20 % starp vieniem un tiem pašiem ceturkšņiem secīgos gados un vismaz 50 % — starp secīgiem ceturkšņiem, neņemot vērā zudumu.</w:t>
      </w:r>
    </w:p>
    <w:p>
      <w:pPr>
        <w:pStyle w:val="Text1"/>
        <w:rPr>
          <w:noProof/>
        </w:rPr>
      </w:pPr>
      <w:r>
        <w:rPr>
          <w:noProof/>
        </w:rPr>
        <w:t xml:space="preserve">Neskarot 5. panta 1. punktu, datus sniedz par visu izlasi.  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Ienākumu un dzīves apstākļu jomas izlases raksturlielumi ietver turpmāko:</w:t>
      </w:r>
    </w:p>
    <w:p>
      <w:pPr>
        <w:pStyle w:val="Point1letter"/>
        <w:numPr>
          <w:ilvl w:val="3"/>
          <w:numId w:val="10"/>
        </w:numPr>
        <w:rPr>
          <w:noProof/>
        </w:rPr>
      </w:pPr>
      <w:r>
        <w:rPr>
          <w:noProof/>
        </w:rPr>
        <w:t xml:space="preserve">izlasei ir vismaz sešu gadu rotācijas shēma; </w:t>
      </w:r>
    </w:p>
    <w:p>
      <w:pPr>
        <w:pStyle w:val="Point1letter"/>
        <w:numPr>
          <w:ilvl w:val="3"/>
          <w:numId w:val="10"/>
        </w:numPr>
        <w:rPr>
          <w:rFonts w:eastAsia="Calibri"/>
          <w:noProof/>
        </w:rPr>
      </w:pPr>
      <w:r>
        <w:rPr>
          <w:noProof/>
        </w:rPr>
        <w:t>neņemot vērā zudumu, izlasi vienmērīgi sadala uz rotācijas shēmas gadiem, izņemot periodu ar izlases lieluma pārmaiņām.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Laika izmantojuma jomas izlases raksturlielumi ietver turpmāko: izlases vienībām paredzētie pārskatu sniegšanas periodi</w:t>
      </w:r>
    </w:p>
    <w:p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tiek sadalīti secīgā divpadsmit mēnešu periodā,</w:t>
      </w:r>
    </w:p>
    <w:p>
      <w:pPr>
        <w:pStyle w:val="Point1letter"/>
        <w:numPr>
          <w:ilvl w:val="3"/>
          <w:numId w:val="11"/>
        </w:numPr>
        <w:rPr>
          <w:rFonts w:eastAsia="Calibri"/>
          <w:noProof/>
        </w:rPr>
      </w:pPr>
      <w:r>
        <w:rPr>
          <w:noProof/>
        </w:rPr>
        <w:t>ietver brīvdienas,</w:t>
      </w:r>
    </w:p>
    <w:p>
      <w:pPr>
        <w:pStyle w:val="Point1letter"/>
        <w:numPr>
          <w:ilvl w:val="3"/>
          <w:numId w:val="11"/>
        </w:numPr>
        <w:rPr>
          <w:rFonts w:eastAsia="Calibri"/>
          <w:noProof/>
        </w:rPr>
      </w:pPr>
      <w:r>
        <w:rPr>
          <w:noProof/>
        </w:rPr>
        <w:t>balstās uz nejaušu izlasi.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Patēriņa jomas izlases raksturlielumi ietver turpmāko: izlases vienībām paredzētie pārskatu sniegšanas periodi tiek sadalīti secīgā divpadsmit mēnešu periodā.</w:t>
      </w:r>
    </w:p>
    <w:p>
      <w:pPr>
        <w:spacing w:before="0" w:after="0" w:line="276" w:lineRule="auto"/>
        <w:jc w:val="left"/>
        <w:rPr>
          <w:rFonts w:eastAsia="Calibri"/>
          <w:b/>
          <w:noProof/>
          <w:sz w:val="22"/>
          <w:u w:val="single"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lastRenderedPageBreak/>
        <w:t>IV pielikums</w:t>
      </w:r>
    </w:p>
    <w:p>
      <w:pPr>
        <w:jc w:val="center"/>
        <w:rPr>
          <w:noProof/>
        </w:rPr>
      </w:pPr>
      <w:r>
        <w:rPr>
          <w:b/>
          <w:noProof/>
          <w:u w:val="single"/>
        </w:rPr>
        <w:t>Periodiskums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 xml:space="preserve">Attiecībā uz darba tirgus jomu datu kopas veido informācija, ko vāc reizi ceturksnī, reizi gadā, reizi divos gados un ik pēc astoņiem gadiem. Datus par mainīgajiem lielumiem attiecībā uz </w:t>
      </w:r>
      <w:r>
        <w:rPr>
          <w:i/>
          <w:noProof/>
        </w:rPr>
        <w:t>ad hoc</w:t>
      </w:r>
      <w:r>
        <w:rPr>
          <w:noProof/>
        </w:rPr>
        <w:t xml:space="preserve"> tematiem vāc ik pēc četriem gadiem.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 xml:space="preserve">Attiecībā uz ienākumu un dzīves apstākļu jomu datu kopas veido gada, triju gadu un sešu gadu informācija. Datus par mainīgajiem lielumiem, ko vāc attiecībā uz </w:t>
      </w:r>
      <w:r>
        <w:rPr>
          <w:i/>
          <w:noProof/>
        </w:rPr>
        <w:t>ad hoc</w:t>
      </w:r>
      <w:r>
        <w:rPr>
          <w:noProof/>
        </w:rPr>
        <w:t xml:space="preserve"> tematiem, vāc ik pēc diviem gadiem.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Attiecībā uz veselības jomu datus vāc ik pēc sešiem gadiem.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Attiecībā uz izglītības un apmācības jomu datus vāc ik pēc sešiem gadiem.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Attiecībā uz informācijas un komunikācijas tehnoloģiju izmantošanas jomu datus vāc reizi gadā.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Attiecībā uz laika izmantojuma jomu datus vāc ik pēc desmit gadiem.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Attiecībā uz patēriņa jomu datus vāc ik pēc pieciem gadiem.</w:t>
      </w:r>
    </w:p>
    <w:p>
      <w:pPr>
        <w:spacing w:before="0" w:after="200" w:line="276" w:lineRule="auto"/>
        <w:jc w:val="left"/>
        <w:rPr>
          <w:rFonts w:eastAsia="Calibri"/>
          <w:noProof/>
          <w:sz w:val="22"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lastRenderedPageBreak/>
        <w:t>V pielikums</w:t>
      </w:r>
    </w:p>
    <w:p>
      <w:pPr>
        <w:spacing w:before="0" w:after="200" w:line="276" w:lineRule="auto"/>
        <w:jc w:val="center"/>
        <w:rPr>
          <w:rFonts w:eastAsia="Calibri"/>
          <w:noProof/>
          <w:sz w:val="22"/>
        </w:rPr>
      </w:pPr>
      <w:r>
        <w:rPr>
          <w:b/>
          <w:noProof/>
          <w:u w:val="single"/>
        </w:rPr>
        <w:t>Datu nosūtīšanas termiņi</w:t>
      </w:r>
    </w:p>
    <w:p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Dalībvalstis nosūta prasītos datus Komisijai (</w:t>
      </w:r>
      <w:r>
        <w:rPr>
          <w:i/>
          <w:noProof/>
        </w:rPr>
        <w:t>Eurostat</w:t>
      </w:r>
      <w:r>
        <w:rPr>
          <w:noProof/>
        </w:rPr>
        <w:t>) vēlākais šādos termiņos.</w:t>
      </w:r>
    </w:p>
    <w:p>
      <w:pPr>
        <w:pStyle w:val="NumPar1"/>
        <w:numPr>
          <w:ilvl w:val="0"/>
          <w:numId w:val="16"/>
        </w:numPr>
        <w:rPr>
          <w:noProof/>
        </w:rPr>
      </w:pPr>
      <w:r>
        <w:rPr>
          <w:noProof/>
        </w:rPr>
        <w:t>Attiecībā uz darba tirgus jomu dalībvalstis nosūta:</w:t>
      </w:r>
    </w:p>
    <w:p>
      <w:pPr>
        <w:pStyle w:val="Point1number"/>
        <w:numPr>
          <w:ilvl w:val="2"/>
          <w:numId w:val="17"/>
        </w:numPr>
        <w:rPr>
          <w:noProof/>
        </w:rPr>
      </w:pPr>
      <w:r>
        <w:rPr>
          <w:noProof/>
        </w:rPr>
        <w:t>iepriekš pārbaudītus mikrodatus bez tiešiem identifikatoriem saskaņā ar šādu divu posmu procedūru:</w:t>
      </w:r>
    </w:p>
    <w:p>
      <w:pPr>
        <w:pStyle w:val="Point2letter"/>
        <w:rPr>
          <w:noProof/>
        </w:rPr>
      </w:pPr>
      <w:r>
        <w:rPr>
          <w:noProof/>
        </w:rPr>
        <w:t>pirmajos trijos šīs regulas īstenošanas gados, kā noteikts 10. panta 4. punktā:</w:t>
      </w:r>
    </w:p>
    <w:p>
      <w:pPr>
        <w:pStyle w:val="Tiret3"/>
        <w:numPr>
          <w:ilvl w:val="0"/>
          <w:numId w:val="15"/>
        </w:numPr>
        <w:rPr>
          <w:noProof/>
        </w:rPr>
      </w:pPr>
      <w:r>
        <w:rPr>
          <w:noProof/>
        </w:rPr>
        <w:t xml:space="preserve">attiecībā uz ceturkšņa datiem: nosūtīšana desmit nedēļu laikā pēc pārskata perioda beigām, </w:t>
      </w:r>
    </w:p>
    <w:p>
      <w:pPr>
        <w:pStyle w:val="Tiret3"/>
        <w:rPr>
          <w:noProof/>
        </w:rPr>
      </w:pPr>
      <w:r>
        <w:rPr>
          <w:noProof/>
        </w:rPr>
        <w:t>attiecībā uz citiem datiem: nosūtīšana līdz nākamā gada 31. martam;</w:t>
      </w:r>
    </w:p>
    <w:p>
      <w:pPr>
        <w:pStyle w:val="Point2letter"/>
        <w:rPr>
          <w:noProof/>
        </w:rPr>
      </w:pPr>
      <w:r>
        <w:rPr>
          <w:noProof/>
        </w:rPr>
        <w:t>sākot ar īstenošanas ceturto gadu, nosūtīšanas termiņi ir šādi:</w:t>
      </w:r>
    </w:p>
    <w:p>
      <w:pPr>
        <w:pStyle w:val="Tiret3"/>
        <w:rPr>
          <w:noProof/>
        </w:rPr>
      </w:pPr>
      <w:r>
        <w:rPr>
          <w:noProof/>
        </w:rPr>
        <w:t>attiecībā uz ceturkšņa datiem: datu nosūtīšana par 1., 2. un 3. ceturksni attiecīgi līdz tā paša gada 29. maijam, 29. augustam un 29. novembrim un datu nosūtīšana par 4. ceturksni — līdz nākamā gada 28. februārim,</w:t>
      </w:r>
    </w:p>
    <w:p>
      <w:pPr>
        <w:pStyle w:val="Tiret3"/>
        <w:rPr>
          <w:noProof/>
        </w:rPr>
      </w:pPr>
      <w:r>
        <w:rPr>
          <w:noProof/>
        </w:rPr>
        <w:t>attiecībā uz citiem datiem: nosūtīšana līdz nākamā gada 15. martam.</w:t>
      </w:r>
    </w:p>
    <w:p>
      <w:pPr>
        <w:ind w:left="1416"/>
        <w:rPr>
          <w:rFonts w:eastAsia="Calibri"/>
          <w:noProof/>
        </w:rPr>
      </w:pPr>
      <w:r>
        <w:rPr>
          <w:noProof/>
        </w:rPr>
        <w:t>Gados, kad šie termiņi ir sestdienā vai svētdienā, faktiskais termiņš ir nākamajā pirmdienā.</w:t>
      </w:r>
    </w:p>
    <w:p>
      <w:pPr>
        <w:ind w:left="1416"/>
        <w:rPr>
          <w:rFonts w:eastAsia="Calibri"/>
          <w:noProof/>
        </w:rPr>
      </w:pPr>
      <w:r>
        <w:rPr>
          <w:noProof/>
        </w:rPr>
        <w:t>Ja izmanto administratīvos datus, lai sniegtu datus, kas atbilst detalizētajam tematam “ienākumi no darba”, minētos datus var nosūtīt Komisijai (</w:t>
      </w:r>
      <w:r>
        <w:rPr>
          <w:i/>
          <w:noProof/>
        </w:rPr>
        <w:t>Eurostat</w:t>
      </w:r>
      <w:r>
        <w:rPr>
          <w:noProof/>
        </w:rPr>
        <w:t>) divdesmit viena mēneša laikā pēc pārskata perioda beigām;</w:t>
      </w:r>
    </w:p>
    <w:p>
      <w:pPr>
        <w:pStyle w:val="Point1number"/>
        <w:rPr>
          <w:noProof/>
        </w:rPr>
      </w:pPr>
      <w:r>
        <w:rPr>
          <w:noProof/>
        </w:rPr>
        <w:t>apkopotus rezultātus mēneša bezdarba statistikas apkopošanai 25 dienu laikā pēc pārskata mēneša. Dalībvalstis nevar ietvert pārskata mēneša pēdējo nedēļu, ja tā turpinās nākamajā mēnesī.</w:t>
      </w:r>
    </w:p>
    <w:p>
      <w:pPr>
        <w:pStyle w:val="NumPar1"/>
        <w:rPr>
          <w:noProof/>
        </w:rPr>
      </w:pPr>
      <w:r>
        <w:rPr>
          <w:noProof/>
        </w:rPr>
        <w:t xml:space="preserve">Attiecībā uz ienākumu un dzīves apstākļu jomu dalībvalstis nosūta iepriekš pārbaudītus mikrodatus bez tiešiem identifikatoriem, ievērojot šādus termiņus: </w:t>
      </w:r>
    </w:p>
    <w:p>
      <w:pPr>
        <w:pStyle w:val="Point2letter"/>
        <w:rPr>
          <w:noProof/>
        </w:rPr>
      </w:pPr>
      <w:r>
        <w:rPr>
          <w:noProof/>
        </w:rPr>
        <w:t>attiecībā uz mainīgajiem lielumiem N gada datu vākšanai — līdz N gada beigām. Izņēmuma gadījumos, ja prasītie administratīvie dati nav pieejami savlaicīgi, var nosūtīt provizoriskus mikrodatus par ienākumiem līdz N gada beigām un galīgos datus — līdz N+1 gada 28. februārim;</w:t>
      </w:r>
    </w:p>
    <w:p>
      <w:pPr>
        <w:pStyle w:val="Point2letter"/>
        <w:rPr>
          <w:noProof/>
        </w:rPr>
      </w:pPr>
      <w:r>
        <w:rPr>
          <w:noProof/>
        </w:rPr>
        <w:t xml:space="preserve">attiecībā uz mainīgajiem lielumiem, kas saistīti ar sešiem gadiem rotācijas shēmā, kura beidzas N gadā, — līdz N+1 gada 31. oktobrim.  </w:t>
      </w:r>
    </w:p>
    <w:p>
      <w:pPr>
        <w:pStyle w:val="NumPar1"/>
        <w:rPr>
          <w:noProof/>
        </w:rPr>
      </w:pPr>
      <w:r>
        <w:rPr>
          <w:noProof/>
        </w:rPr>
        <w:t>Attiecībā uz veselības jomu dalībvalstis nosūta iepriekš pārbaudītos mikrodatus deviņu mēnešu laikā pēc valsts datu vākšanas perioda beigām.</w:t>
      </w:r>
    </w:p>
    <w:p>
      <w:pPr>
        <w:pStyle w:val="NumPar1"/>
        <w:rPr>
          <w:noProof/>
        </w:rPr>
      </w:pPr>
      <w:r>
        <w:rPr>
          <w:noProof/>
        </w:rPr>
        <w:t>Attiecībā uz izglītības un apmācības jomu dalībvalstis nosūta iepriekš pārbaudītos mikrodatus sešu mēnešu laikā pēc valsts datu vākšanas perioda beigām.</w:t>
      </w:r>
    </w:p>
    <w:p>
      <w:pPr>
        <w:pStyle w:val="NumPar1"/>
        <w:rPr>
          <w:noProof/>
        </w:rPr>
      </w:pPr>
      <w:r>
        <w:rPr>
          <w:noProof/>
        </w:rPr>
        <w:lastRenderedPageBreak/>
        <w:t xml:space="preserve">Attiecībā uz informācijas un komunikācijas tehnoloģiju izmantošanas jomu dalībvalstis nosūta iepriekš pārbaudītos mikrodatus līdz N apsekojuma gada 5. oktobrim. </w:t>
      </w:r>
    </w:p>
    <w:p>
      <w:pPr>
        <w:pStyle w:val="NumPar1"/>
        <w:rPr>
          <w:noProof/>
        </w:rPr>
      </w:pPr>
      <w:r>
        <w:rPr>
          <w:noProof/>
        </w:rPr>
        <w:t>Attiecībā uz laika izmantojuma jomu dalībvalstis nosūta iepriekš pārbaudītos mikrodatus vēlākais piecpadsmit mēnešus pēc praktiskās datu vākšanas beigām.</w:t>
      </w:r>
    </w:p>
    <w:p>
      <w:pPr>
        <w:pStyle w:val="NumPar1"/>
        <w:rPr>
          <w:noProof/>
        </w:rPr>
      </w:pPr>
      <w:r>
        <w:rPr>
          <w:noProof/>
        </w:rPr>
        <w:t>Attiecībā uz patēriņa jomu dalībvalstis nosūta iepriekš pārbaudītos mikrodatus piecpadsmit mēnešu laikā pēc pārskata gada beigām.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27C58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97CBC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0AC02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0E684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D5256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2C8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3BC18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7BA7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20"/>
  </w:num>
  <w:num w:numId="21">
    <w:abstractNumId w:val="11"/>
  </w:num>
  <w:num w:numId="22">
    <w:abstractNumId w:val="13"/>
  </w:num>
  <w:num w:numId="23">
    <w:abstractNumId w:val="9"/>
  </w:num>
  <w:num w:numId="24">
    <w:abstractNumId w:val="19"/>
  </w:num>
  <w:num w:numId="25">
    <w:abstractNumId w:val="8"/>
  </w:num>
  <w:num w:numId="26">
    <w:abstractNumId w:val="14"/>
  </w:num>
  <w:num w:numId="27">
    <w:abstractNumId w:val="16"/>
  </w:num>
  <w:num w:numId="28">
    <w:abstractNumId w:val="17"/>
  </w:num>
  <w:num w:numId="29">
    <w:abstractNumId w:val="10"/>
  </w:num>
  <w:num w:numId="30">
    <w:abstractNumId w:val="15"/>
  </w:num>
  <w:num w:numId="31">
    <w:abstractNumId w:val="21"/>
  </w:num>
  <w:num w:numId="32">
    <w:abstractNumId w:val="18"/>
  </w:num>
  <w:num w:numId="33">
    <w:abstractNumId w:val="12"/>
  </w:num>
  <w:num w:numId="34">
    <w:abstractNumId w:val="20"/>
  </w:num>
  <w:num w:numId="35">
    <w:abstractNumId w:val="11"/>
  </w:num>
  <w:num w:numId="36">
    <w:abstractNumId w:val="13"/>
  </w:num>
  <w:num w:numId="37">
    <w:abstractNumId w:val="9"/>
  </w:num>
  <w:num w:numId="38">
    <w:abstractNumId w:val="19"/>
  </w:num>
  <w:num w:numId="39">
    <w:abstractNumId w:val="8"/>
  </w:num>
  <w:num w:numId="40">
    <w:abstractNumId w:val="14"/>
  </w:num>
  <w:num w:numId="41">
    <w:abstractNumId w:val="16"/>
  </w:num>
  <w:num w:numId="42">
    <w:abstractNumId w:val="17"/>
  </w:num>
  <w:num w:numId="43">
    <w:abstractNumId w:val="10"/>
  </w:num>
  <w:num w:numId="44">
    <w:abstractNumId w:val="15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6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8-24 15:05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FigNum" w:val="1"/>
    <w:docVar w:name="LW_ACCOMPAGNANT" w:val="dokumentam"/>
    <w:docVar w:name="LW_ACCOMPAGNANT.CP" w:val="dokumentam"/>
    <w:docVar w:name="LW_ANNEX_NBR_FIRST" w:val="1"/>
    <w:docVar w:name="LW_ANNEX_NBR_LAST" w:val="5"/>
    <w:docVar w:name="LW_CONFIDENCE" w:val=" "/>
    <w:docVar w:name="LW_CONST_RESTREINT_UE" w:val="RESTREINT UE"/>
    <w:docVar w:name="LW_CORRIGENDUM" w:val="&lt;UNUSED&gt;"/>
    <w:docVar w:name="LW_COVERPAGE_GUID" w:val="649112045F2D4FBD862BEE62F39A91F7"/>
    <w:docVar w:name="LW_CROSSREFERENCE" w:val="{SWD(2016) 282 final}_x000b_{SWD(2016) 283 final}"/>
    <w:docVar w:name="LW_DocType" w:val="ANNEX"/>
    <w:docVar w:name="LW_EMISSION" w:val="24.8.2016"/>
    <w:docVar w:name="LW_EMISSION_ISODATE" w:val="2016-08-24"/>
    <w:docVar w:name="LW_EMISSION_LOCATION" w:val="BRX"/>
    <w:docVar w:name="LW_EMISSION_PREFIX" w:val="Briselē, "/>
    <w:docVar w:name="LW_EMISSION_SUFFIX" w:val="."/>
    <w:docVar w:name="LW_ID_DOCSTRUCTURE" w:val="COM/ANNEX"/>
    <w:docVar w:name="LW_ID_DOCTYPE" w:val="SG-017"/>
    <w:docVar w:name="LW_LANGUE" w:val="LV"/>
    <w:docVar w:name="LW_MARKING" w:val="&lt;UNUSED&gt;"/>
    <w:docVar w:name="LW_NOM.INST" w:val="EIROPAS KOMISIJA"/>
    <w:docVar w:name="LW_NOM.INST_JOINTDOC" w:val="&lt;EMPTY&gt;"/>
    <w:docVar w:name="LW_OBJETACTEPRINCIPAL" w:val="ar ko izveido vienotu sist\u275?mu t\u257?dai Eiropas statistikai par person\u257?m un m\u257?jsaimniec\u299?b\u257?m, kuras pamat\u257? ir no izlas\u275?m sav\u257?kti dati individu\u257?l\u257? l\u299?men\u299?"/>
    <w:docVar w:name="LW_OBJETACTEPRINCIPAL.CP" w:val="ar ko izveido vienotu sist\u275?mu t\u257?dai Eiropas statistikai par person\u257?m un m\u257?jsaimniec\u299?b\u257?m, kuras pamat\u257? ir no izlas\u275?m sav\u257?kti dati individu\u257?l\u257? l\u299?men\u299?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551"/>
    <w:docVar w:name="LW_REF.INTERNE" w:val="&lt;UNUSED&gt;"/>
    <w:docVar w:name="LW_SUPERTITRE" w:val="&lt;UNUSED&gt;"/>
    <w:docVar w:name="LW_TITRE.OBJ.CP" w:val="&lt;UNUSED&gt;"/>
    <w:docVar w:name="LW_TYPE.DOC" w:val="PIELIKUMI"/>
    <w:docVar w:name="LW_TYPE.DOC.CP" w:val="PIELIKUMI"/>
    <w:docVar w:name="LW_TYPEACTEPRINCIPAL" w:val="Priek\u353?likums_x000b__x000b_EIROPAS PARLAMENTA UN PADOMES REGULA,"/>
    <w:docVar w:name="LW_TYPEACTEPRINCIPAL.CP" w:val="Priek\u353?likums_x000b__x000b_EIROPAS PARLAMENTA UN PADOMES REGULA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v-LV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13</Pages>
  <Words>2281</Words>
  <Characters>14966</Characters>
  <Application>Microsoft Office Word</Application>
  <DocSecurity>0</DocSecurity>
  <Lines>880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 Isabelle (ESTAT)</dc:creator>
  <cp:lastModifiedBy>DIGIT/A3</cp:lastModifiedBy>
  <cp:revision>9</cp:revision>
  <cp:lastPrinted>2016-06-30T05:36:00Z</cp:lastPrinted>
  <dcterms:created xsi:type="dcterms:W3CDTF">2016-08-16T14:19:00Z</dcterms:created>
  <dcterms:modified xsi:type="dcterms:W3CDTF">2016-08-24T13:05:00Z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20130911</vt:lpwstr>
  </property>
  <property fmtid="{D5CDD505-2E9C-101B-9397-08002B2CF9AE}" pid="7" name="First annex">
    <vt:lpwstr>1</vt:lpwstr>
  </property>
  <property fmtid="{D5CDD505-2E9C-101B-9397-08002B2CF9AE}" pid="8" name="Last annex">
    <vt:lpwstr>5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