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599D91CF96648C8BE7AC82BB68F1BD7"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Style w:val="Text1"/>
        <w:spacing w:before="0" w:after="240"/>
        <w:ind w:left="0"/>
        <w:rPr>
          <w:noProof/>
        </w:rPr>
      </w:pPr>
      <w:r>
        <w:rPr>
          <w:noProof/>
        </w:rPr>
        <w:t>Pastarąjį dešimtmetį pasaulyje ir Europoje labai pagausėjo naujų psichoaktyviųjų medžiagų (NPM) ir nematyti ženklų, kad šis gausėjimas lėtėtų. 2015 m. ES ankstyvojo perspėjimo sistemoje (EWS) pirmą kartą pranešta apie 100 naujų medžiagų; bendras stebimų naujų medžiagų skaičius dabar viršija 560 ir 380 iš jų, arba 70 proc., nustatyta tik per pastaruosius penkerius metus</w:t>
      </w:r>
      <w:r>
        <w:rPr>
          <w:rStyle w:val="FootnoteReference"/>
          <w:noProof/>
        </w:rPr>
        <w:footnoteReference w:id="1"/>
      </w:r>
      <w:r>
        <w:rPr>
          <w:noProof/>
        </w:rPr>
        <w:t>.</w:t>
      </w:r>
      <w:r>
        <w:rPr>
          <w:rStyle w:val="CommentReference"/>
          <w:noProof/>
        </w:rPr>
        <w:t xml:space="preserve"> </w:t>
      </w:r>
      <w:r>
        <w:rPr>
          <w:noProof/>
        </w:rPr>
        <w:t xml:space="preserve"> </w:t>
      </w:r>
    </w:p>
    <w:p>
      <w:pPr>
        <w:pStyle w:val="Text1"/>
        <w:spacing w:before="0" w:after="240"/>
        <w:ind w:left="0"/>
        <w:rPr>
          <w:noProof/>
        </w:rPr>
      </w:pPr>
      <w:r>
        <w:rPr>
          <w:noProof/>
        </w:rPr>
        <w:t>2016 m. balandžio 19–21 d. Jungtinių Tautų Generalinės Asamblėjos specialiojoje sesijoje dėl pasaulinės narkotikų problemos (angl. UNGASS) priimtas baigiamasis dokumentas „Mūsų bendras įsipareigojimas veiksmingai spręsti ir įveikti narkotikų problemą pasaulyje“</w:t>
      </w:r>
      <w:r>
        <w:rPr>
          <w:rStyle w:val="FootnoteReference"/>
          <w:noProof/>
        </w:rPr>
        <w:footnoteReference w:id="2"/>
      </w:r>
      <w:r>
        <w:rPr>
          <w:noProof/>
        </w:rPr>
        <w:t xml:space="preserve">. Specialiame jo skyriuje nagrinėjamos kylančios ir įsisenėjusios problemos bei grėsmės, įskaitant NPM. Bendrame įsipareigojime raginama suaktyvinti veiksmus sprendžiant NPM problemą, taip pat gerinti dalijimąsi informacija ir ankstyvojo perspėjimo sistemas. </w:t>
      </w:r>
    </w:p>
    <w:p>
      <w:pPr>
        <w:pBdr>
          <w:top w:val="nil"/>
          <w:left w:val="nil"/>
          <w:bottom w:val="nil"/>
          <w:right w:val="nil"/>
          <w:between w:val="nil"/>
          <w:bar w:val="nil"/>
        </w:pBdr>
        <w:spacing w:before="0" w:after="240"/>
        <w:rPr>
          <w:rFonts w:eastAsia="Arial Unicode MS"/>
          <w:noProof/>
          <w:color w:val="000000" w:themeColor="text1"/>
        </w:rPr>
      </w:pPr>
      <w:r>
        <w:rPr>
          <w:noProof/>
        </w:rPr>
        <w:t>2013 m. rugsėjo 17 d. Komisija pateikė dviejų teisėkūros pasiūlymų dėl psichoaktyviųjų medžiagų rinkinį: Reglamento dėl naujų psichoaktyviųjų medžiagų</w:t>
      </w:r>
      <w:r>
        <w:rPr>
          <w:rStyle w:val="FootnoteReference"/>
          <w:noProof/>
        </w:rPr>
        <w:footnoteReference w:id="3"/>
      </w:r>
      <w:r>
        <w:rPr>
          <w:noProof/>
        </w:rPr>
        <w:t xml:space="preserve"> ir Direktyvos, kuria dėl termino „narkotikai“ apibrėžties iš dalies keičiamas 2004 m. spalio 25 d. Tarybos pamatinis sprendimas 2004/757/TVR, nustatantis būtiniausias nuostatas dėl nusikalstamų veikų sudėties požymių ir bausmių neteisėtos prekybos narkotikais srityje</w:t>
      </w:r>
      <w:r>
        <w:rPr>
          <w:rStyle w:val="FootnoteReference"/>
          <w:noProof/>
        </w:rPr>
        <w:footnoteReference w:id="4"/>
      </w:r>
      <w:r>
        <w:rPr>
          <w:noProof/>
        </w:rPr>
        <w:t>. Jais siekta spartesniais, veiksmingesniais Sąjungos lygmens veiksmais sumažinti galimybių įsigyti riziką keliančių naujų psichoaktyviųjų medžiagų, palyginti su šiuo metu taikoma sistema, grindžiama 20015 m. gegužės 10 d. Tarybos sprendimu 2005/387/TVR dėl keitimosi informacija apie naujas psichoaktyvias medžiagas, jų rizikos įvertinimo ir kontrolės</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Tarpinstitucinės derybos dėl šio teisėkūros aktų rinkinio tęsiasi daugiau nei dvejus metus. Europos Parlamentas priėmė savo teisėkūros rezoliucijas 2014 m. balandžio 17 d</w:t>
      </w:r>
      <w:r>
        <w:rPr>
          <w:rStyle w:val="FootnoteReference"/>
          <w:noProof/>
        </w:rPr>
        <w:footnoteReference w:id="6"/>
      </w:r>
      <w:r>
        <w:rPr>
          <w:noProof/>
        </w:rPr>
        <w:t xml:space="preserve">. Taryba nepatvirtino bendro požiūrio dėl pasiūlymų; nagrinėjant pasiūlymus valstybės narės išreiškė abejonių dėl to, kad siūlomo reglamento teisiniu pagrindu pasirinktas Sutarties dėl Europos Sąjungos veikimo (SESV) 114 straipsnis.  </w:t>
      </w:r>
    </w:p>
    <w:p>
      <w:pPr>
        <w:spacing w:before="0" w:after="240"/>
        <w:rPr>
          <w:rFonts w:eastAsia="Calibri"/>
          <w:noProof/>
          <w:szCs w:val="24"/>
        </w:rPr>
      </w:pPr>
      <w:r>
        <w:rPr>
          <w:noProof/>
        </w:rPr>
        <w:t>Siekdamas to paties tikslo – spartesnių ir veiksmingesnių ES veiksmų dėl NPM – Nuolatinių atstovų komitetas (COREPER) 2016 m. balandžio 6  d.</w:t>
      </w:r>
      <w:r>
        <w:rPr>
          <w:rStyle w:val="FootnoteReference"/>
          <w:noProof/>
        </w:rPr>
        <w:footnoteReference w:id="7"/>
      </w:r>
      <w:r>
        <w:rPr>
          <w:noProof/>
        </w:rPr>
        <w:t xml:space="preserve"> sutarė dėl požiūrio, pasiūlyto pirmininkaujančios Nyderlandų šalies diskusijų pranešime, įskaitant dalinius direktyvos projekto pakeitimus remiantis SESV 83 straipsniu, kuriems visų pirma priklauso naujų psichoaktyviųjų medžiagų apibrėžtis ir nuostatos dėl spartaus Sąjungos lygmens sprendimų priėmimo, kad būtų kriminalizuojamos pavojingos naujos psichoaktyviosios medžiagos visose valstybėse narėse. Be to, COREPER paragino Komisiją pateikti pasiūlymą dėl Reglamento Nr. 1920/2006, kuriuo įsteigtas Europos narkotikų ir narkomanijos stebėsenos centras (ENNSC), dalinio pakeitimo.</w:t>
      </w:r>
      <w:r>
        <w:rPr>
          <w:rFonts w:ascii="Calibri" w:hAnsi="Calibri"/>
          <w:noProof/>
          <w:color w:val="1F497D"/>
          <w:sz w:val="22"/>
        </w:rPr>
        <w:t xml:space="preserve"> </w:t>
      </w:r>
      <w:r>
        <w:rPr>
          <w:noProof/>
        </w:rPr>
        <w:t>Remiantis COREPER 2580-ojo posėdžio suvestine ataskaita, šiuo sprendimu pradedamas 3 mėn. pasirinkimo terminas valstybėms narėms, susijusioms su 21 Protokolu, ir daromas poveikis pagal prie SESV pridedamą 22 Protokolą. Taryba apie šį pasikeitimą raštu pranešė Europos Parlamentui.</w:t>
      </w:r>
    </w:p>
    <w:p>
      <w:pPr>
        <w:pBdr>
          <w:top w:val="nil"/>
          <w:left w:val="nil"/>
          <w:bottom w:val="nil"/>
          <w:right w:val="nil"/>
          <w:between w:val="nil"/>
          <w:bar w:val="nil"/>
        </w:pBdr>
        <w:spacing w:before="0" w:after="240"/>
        <w:rPr>
          <w:rFonts w:eastAsia="Calibri"/>
          <w:noProof/>
        </w:rPr>
      </w:pPr>
      <w:r>
        <w:rPr>
          <w:noProof/>
        </w:rPr>
        <w:t xml:space="preserve">Atsižvelgdama į tai, kad COREPER sprendimas skirtas siekti tų pačių tikslų, kaip ir 2013 m. rinkinio pasiūlymais, Komisija siūlo tikslinius dalinius Reglamento 1920/2006 pakeitimus, integruojant į ENNSC steigiamąjį Reglamentą projekte esančias nuostatas dėl ankstyvojo perspėjimo sistemos ir rizikos įvertinimo procedūros, kurios buvo 2013 m. Komisijos pasiūlyme dėl Reglamento dėl naujų psichoaktyviųjų medžiagų. Komisija, rengdama 2017 m. Komisijos darbo programą, svarstys pasiūlymo dėl Reglamento dėl naujų psichoaktyviųjų medžiagų atšaukimą. </w:t>
      </w:r>
    </w:p>
    <w:p>
      <w:pPr>
        <w:pBdr>
          <w:top w:val="nil"/>
          <w:left w:val="nil"/>
          <w:bottom w:val="nil"/>
          <w:right w:val="nil"/>
          <w:between w:val="nil"/>
          <w:bar w:val="nil"/>
        </w:pBdr>
        <w:spacing w:before="0" w:after="240"/>
        <w:rPr>
          <w:rFonts w:eastAsia="Arial Unicode MS"/>
          <w:noProof/>
        </w:rPr>
      </w:pPr>
      <w:r>
        <w:rPr>
          <w:noProof/>
        </w:rPr>
        <w:t xml:space="preserve">Naujuoju pasiūlymu, kaip ir ankstesniu, siekiama sustiprinti ES ankstyvojo perspėjimo sistemą ir rizikos įvertinimą ir supaprastinti procedūras, siekiant užtikrinti greitesnius ir efektyvesnius veiksmus. Todėl, siekiant paspartinti procesą, gerokai sutrumpinti terminai palyginti su esama sistema, paremta Tarybos sprendimu 2005/387/TVR. Siekdamas sparčiai ir veiksmingai rinkti informaciją apie NPM, ENNSC turėtų nedelsdamas sudaryti darbo susitarimus su Europolu, Europos vaistų agentūra, Europos cheminių medžiagų agentūra ir Europos maisto saugos tarnyba, kai tik Reglamentas bus paskelbtas </w:t>
      </w:r>
      <w:r>
        <w:rPr>
          <w:i/>
          <w:noProof/>
        </w:rPr>
        <w:t>Oficialiajame leidinyje.</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Šiuo pasiūlymu taip pat užtikrinamas Europolo dalyvavimas ankstyvojo perspėjimo sistemoje ir rizikos įvertinimo procedūroje, visų pirma kiek tai susiję su informacija apie nusikalstamų grupuočių dalyvavimą gaminant ir platinant naujas psichoaktyviąsias medžiagas. </w:t>
      </w:r>
    </w:p>
    <w:p>
      <w:pPr>
        <w:pBdr>
          <w:top w:val="nil"/>
          <w:left w:val="nil"/>
          <w:bottom w:val="nil"/>
          <w:right w:val="nil"/>
          <w:between w:val="nil"/>
          <w:bar w:val="nil"/>
        </w:pBdr>
        <w:spacing w:before="0" w:after="240"/>
        <w:rPr>
          <w:rFonts w:eastAsia="Calibri"/>
          <w:noProof/>
        </w:rPr>
      </w:pPr>
      <w:r>
        <w:rPr>
          <w:noProof/>
        </w:rPr>
        <w:t xml:space="preserve">Pagal Reglamento 1920/2006 23 straipsnį Komisija, jei tinkama, ir atsižvelgdama į su reglamentavimo agentūromis susijusius pokyčius remiantis kitu Centro pateiktu įvertinimu, gali siūlyti ir kitus Reglamento, kuriuo įsteigiamas ENNSC, dalinius pakeitimus. </w:t>
      </w:r>
    </w:p>
    <w:p>
      <w:pPr>
        <w:pBdr>
          <w:top w:val="nil"/>
          <w:left w:val="nil"/>
          <w:bottom w:val="nil"/>
          <w:right w:val="nil"/>
          <w:between w:val="nil"/>
          <w:bar w:val="nil"/>
        </w:pBdr>
        <w:spacing w:before="0" w:after="240"/>
        <w:rPr>
          <w:rFonts w:eastAsia="Arial Unicode MS"/>
          <w:b/>
          <w:noProof/>
          <w:color w:val="000000"/>
          <w:u w:color="000000"/>
          <w:bdr w:val="nil"/>
        </w:rPr>
      </w:pPr>
      <w:r>
        <w:rPr>
          <w:b/>
          <w:noProof/>
          <w:color w:val="000000"/>
          <w:u w:color="000000"/>
          <w:bdr w:val="nil"/>
        </w:rPr>
        <w:t>•</w:t>
      </w:r>
      <w:r>
        <w:rPr>
          <w:noProof/>
        </w:rPr>
        <w:tab/>
      </w:r>
      <w:r>
        <w:rPr>
          <w:b/>
          <w:noProof/>
        </w:rPr>
        <w:t>Suderinamumas su toje pačioje politikos srityje galiojančiomis nuostatomis</w:t>
      </w:r>
    </w:p>
    <w:p>
      <w:pPr>
        <w:pBdr>
          <w:top w:val="nil"/>
          <w:left w:val="nil"/>
          <w:bottom w:val="nil"/>
          <w:right w:val="nil"/>
          <w:between w:val="nil"/>
          <w:bar w:val="nil"/>
        </w:pBdr>
        <w:spacing w:before="0" w:after="240"/>
        <w:rPr>
          <w:rFonts w:eastAsia="Arial Unicode MS"/>
          <w:noProof/>
          <w:color w:val="000000" w:themeColor="text1"/>
        </w:rPr>
      </w:pPr>
      <w:r>
        <w:rPr>
          <w:noProof/>
        </w:rPr>
        <w:t>Pasiūlymas atspindi 2015 m. balandžio 28 d. priimtoje Europos saugumo darbotvarkėje</w:t>
      </w:r>
      <w:r>
        <w:rPr>
          <w:rStyle w:val="FootnoteReference"/>
          <w:noProof/>
        </w:rPr>
        <w:footnoteReference w:id="8"/>
      </w:r>
      <w:r>
        <w:rPr>
          <w:noProof/>
        </w:rPr>
        <w:t xml:space="preserve"> nustatytus prioritetus. Europos saugumo darbotvarkėje pabrėžiama, kad neteisėtų narkotikų rinka išlieka dinamiškiausia iš visų nusikalstamų rinkų ir joje vyrauja nauja tendencija – naujų psichoaktyviųjų medžiagų (NPM) platinimas. Darbotvarkėje taip pat teigiama, kad vis dažniau šios medžiagos gaminamos Sąjungoje, todėl reikia kuo skubiau priimti naują teisės aktų sistemą.</w:t>
      </w:r>
    </w:p>
    <w:p>
      <w:pPr>
        <w:pBdr>
          <w:top w:val="nil"/>
          <w:left w:val="nil"/>
          <w:bottom w:val="nil"/>
          <w:right w:val="nil"/>
          <w:between w:val="nil"/>
          <w:bar w:val="nil"/>
        </w:pBdr>
        <w:spacing w:before="0" w:after="240"/>
        <w:rPr>
          <w:rFonts w:eastAsia="Arial Unicode MS"/>
          <w:noProof/>
          <w:color w:val="000000" w:themeColor="text1"/>
        </w:rPr>
      </w:pPr>
      <w:r>
        <w:rPr>
          <w:noProof/>
        </w:rPr>
        <w:t>Prie šio pasiūlymo pridedama Direktyva (ES) .../... [kuria iš dalies keičiamas 2004 m. spalio 25 d. Tarybos pamatinis sprendimas 2004/757/TVR, nustatantis būtiniausias nuostatas dėl nusikalstamų veikų sudėties požymių ir bausmių neteisėtos prekybos narkotikais srityje</w:t>
      </w:r>
      <w:r>
        <w:rPr>
          <w:rStyle w:val="FootnoteReference"/>
          <w:noProof/>
        </w:rPr>
        <w:footnoteReference w:id="9"/>
      </w:r>
      <w:r>
        <w:rPr>
          <w:noProof/>
        </w:rPr>
        <w:t>].</w:t>
      </w:r>
      <w:r>
        <w:rPr>
          <w:noProof/>
          <w:color w:val="000000" w:themeColor="text1"/>
        </w:rPr>
        <w:t xml:space="preserve"> Abi priemonės skirtos Tarybos sprendimu 2005/387/TVR nustatytai sistemai pakeisti.</w:t>
      </w:r>
    </w:p>
    <w:p>
      <w:pPr>
        <w:keepNext/>
        <w:tabs>
          <w:tab w:val="left" w:pos="850"/>
        </w:tabs>
        <w:ind w:left="850" w:hanging="850"/>
        <w:outlineLvl w:val="1"/>
        <w:rPr>
          <w:b/>
          <w:noProof/>
        </w:rPr>
      </w:pPr>
      <w:r>
        <w:rPr>
          <w:b/>
          <w:noProof/>
        </w:rPr>
        <w:t>2.</w:t>
      </w:r>
      <w:r>
        <w:rPr>
          <w:noProof/>
        </w:rPr>
        <w:tab/>
      </w:r>
      <w:r>
        <w:rPr>
          <w:b/>
          <w:noProof/>
        </w:rPr>
        <w:t>TEISINIS PAGRINDAS, SUBSIDIARUMO IR PROPORCINGUMO PRINCIPAI</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Teisinis pagrindas</w:t>
      </w:r>
    </w:p>
    <w:p>
      <w:pPr>
        <w:pBdr>
          <w:top w:val="nil"/>
          <w:left w:val="nil"/>
          <w:bottom w:val="nil"/>
          <w:right w:val="nil"/>
          <w:between w:val="nil"/>
          <w:bar w:val="nil"/>
        </w:pBdr>
        <w:spacing w:before="0" w:after="240"/>
        <w:rPr>
          <w:rFonts w:eastAsia="Arial Unicode MS"/>
          <w:noProof/>
        </w:rPr>
      </w:pPr>
      <w:r>
        <w:rPr>
          <w:noProof/>
        </w:rPr>
        <w:t xml:space="preserve">Pasiūlymas grindžiamas SESV 168 straipsnio 5 dalimi, pagal kurią Europos Parlamentui ir Tarybai suteikiami įgaliojimai patvirtinti priemones, skirtas stebėsenai, išankstiniam perspėjimui dėl didelių tarpvalstybinio pobūdžio grėsmių sveikatai ir kovai su jomis, išskyrus bet kokį valstybių narių įstatymų ir kitų teisės aktų suderinimą.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Subsidiarumo principas</w:t>
      </w:r>
    </w:p>
    <w:p>
      <w:pPr>
        <w:rPr>
          <w:rFonts w:eastAsia="Times New Roman"/>
          <w:noProof/>
          <w:szCs w:val="24"/>
        </w:rPr>
      </w:pPr>
      <w:r>
        <w:rPr>
          <w:noProof/>
        </w:rPr>
        <w:t>Akivaizdu, kad dėl naujų psichoaktyviųjų medžiagų reikia imtis ES lygmens veiksmų. Valstybės narės pačios negali sumažinti problemų, kurias kelia kenksmingų naujų psichoaktyviųjų medžiagų plitimas. Nekoordinuojami nacionaliniai šios srities veiksmai gali sukelti neigiamą poveikį, pavyzdžiui, paskatinti kenksmingųjų medžiagų išstūmimą iš vienos valstybės narės į kitą. Tokia padėtimi gali pasinaudoti nusikalstamos grupuotės.</w:t>
      </w:r>
    </w:p>
    <w:p>
      <w:pPr>
        <w:rPr>
          <w:rFonts w:eastAsia="Times New Roman"/>
          <w:noProof/>
          <w:szCs w:val="24"/>
        </w:rPr>
      </w:pPr>
      <w:r>
        <w:rPr>
          <w:noProof/>
        </w:rPr>
        <w:t xml:space="preserve">Todėl siekiant užtikrinti, kad potencialiai kenksmingas naujas psichoaktyviąsias medžiagas, keliančias susirūpinimą visoje ES, būtų galima nustatyti, įvertinti ir, jeigu jos kelia riziką, skubiai kriminalizuoti visose valstybėse narėse, būtina imtis ES lygmens veiksmų. Todėl šis reglamentas turi būti taikomas kartu su Direktyva (ES) .../... [kuria iš dalies keičiamas 2004 m. spalio 25 d. Tarybos pamatinis sprendimas 2004/757/TVR, nustatantis būtiniausias nuostatas dėl nusikalstamų veikų sudėties požymių ir bausmių neteisėtos prekybos narkotikais srityje], nes abu aktai pakeičia Tarybos sprendimu 2005/387/TVR nustatytą sistemą.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Proporcingumo principas</w:t>
      </w:r>
    </w:p>
    <w:p>
      <w:pPr>
        <w:rPr>
          <w:rFonts w:eastAsia="Times New Roman"/>
          <w:noProof/>
          <w:szCs w:val="24"/>
        </w:rPr>
      </w:pPr>
      <w:r>
        <w:rPr>
          <w:noProof/>
        </w:rPr>
        <w:t>Pasiūlymas yra proporcingas ir juo neviršijama to, kas būtina tikslams pasiekti, nes jis taikomas tik ES lygmeniu susirūpinimą keliančioms naujoms psichoaktyviosioms medžiagoms.</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Priemonės pasirinkimas</w:t>
      </w:r>
    </w:p>
    <w:p>
      <w:pPr>
        <w:pBdr>
          <w:top w:val="nil"/>
          <w:left w:val="nil"/>
          <w:bottom w:val="nil"/>
          <w:right w:val="nil"/>
          <w:between w:val="nil"/>
          <w:bar w:val="nil"/>
        </w:pBdr>
        <w:spacing w:before="0" w:after="240"/>
        <w:rPr>
          <w:rFonts w:eastAsia="Arial Unicode MS"/>
          <w:noProof/>
        </w:rPr>
      </w:pPr>
      <w:r>
        <w:rPr>
          <w:noProof/>
        </w:rPr>
        <w:t>Pasiūlymas susijęs su daliniu reglamento pakeitimu. Nėra duomenų, kad tinkama būtų kita priemonė, o ne reglamentas.</w:t>
      </w:r>
    </w:p>
    <w:p>
      <w:pPr>
        <w:keepNext/>
        <w:tabs>
          <w:tab w:val="left" w:pos="850"/>
        </w:tabs>
        <w:spacing w:before="360"/>
        <w:ind w:left="850" w:hanging="850"/>
        <w:outlineLvl w:val="0"/>
        <w:rPr>
          <w:b/>
          <w:smallCaps/>
          <w:noProof/>
        </w:rPr>
      </w:pPr>
      <w:r>
        <w:rPr>
          <w:b/>
          <w:smallCaps/>
          <w:noProof/>
        </w:rPr>
        <w:t>3.</w:t>
      </w:r>
      <w:r>
        <w:rPr>
          <w:noProof/>
        </w:rPr>
        <w:tab/>
      </w:r>
      <w:r>
        <w:rPr>
          <w:b/>
          <w:smallCaps/>
          <w:noProof/>
        </w:rPr>
        <w:t>EX POST VERTINIMO, KONSULTACIJŲ SU SUINTERESUOTAISIAS SUBJEKTAIS IR POVEIKIO VERTINIMO REZULTATAI</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Konsultacijos su suinteresuotaisiais subjektais</w:t>
      </w:r>
    </w:p>
    <w:p>
      <w:pPr>
        <w:pBdr>
          <w:top w:val="nil"/>
          <w:left w:val="nil"/>
          <w:bottom w:val="nil"/>
          <w:right w:val="nil"/>
          <w:between w:val="nil"/>
          <w:bar w:val="nil"/>
        </w:pBdr>
        <w:spacing w:before="0" w:after="240"/>
        <w:rPr>
          <w:rFonts w:eastAsia="Arial Unicode MS"/>
          <w:noProof/>
          <w:color w:val="000000" w:themeColor="text1"/>
        </w:rPr>
      </w:pPr>
      <w:r>
        <w:rPr>
          <w:noProof/>
        </w:rPr>
        <w:t>Prieš pateikiant šį pasiūlymą COREPER 2016 m. balandžio 6 d. sutarė dėl Europos Tarybai pirmininkaujančių Nyderlandų pasiūlyto kompromisinio požiūrio.</w:t>
      </w:r>
      <w:r>
        <w:rPr>
          <w:noProof/>
          <w:color w:val="000000" w:themeColor="text1"/>
        </w:rPr>
        <w:t xml:space="preserve"> 2016 m. birželio 15 d.  Europos Parlamento Piliečių laisvių, teisingumo ir vidaus reikalų komiteto (LIBE) posėdyje pranešėjai ir šešėliniai pranešėjai paskelbė priėmę sprendimą visapusiškai laikytis šio naujojo požiūrio ir dirbti bendrai su Taryba ir komisijomis siekiant susitarimo. Kadangi turinyje šis susitarimas atspindimas, naujajam pasiūlymui nereikia tolesnių konsultacijų su suinteresuotaisiais subjektais.</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Poveikio vertinimas</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Komisija atliko politinės strategijos galimybių poveikio vertinimą, atsižvelgdama į 2013 m. rugsėjo 17 d. pateiktą dviejų pasiūlymų rinkinį. </w:t>
      </w:r>
      <w:r>
        <w:rPr>
          <w:noProof/>
        </w:rPr>
        <w:t>Poveikio vertinime visų pirma daroma išvada, kad reikia gerinti ES lygmeniu turimos ir valstybėms narėms prieinamos informacijos kiekį bei kokybę bei gebėjimus nedelsiant nustatyti ir įvertinti naujas psichoaktyviąsias medžiagas</w:t>
      </w:r>
      <w:r>
        <w:rPr>
          <w:rStyle w:val="FootnoteReference"/>
          <w:noProof/>
        </w:rPr>
        <w:footnoteReference w:id="10"/>
      </w:r>
      <w:r>
        <w:rPr>
          <w:noProof/>
        </w:rPr>
        <w:t>.</w:t>
      </w:r>
      <w:r>
        <w:rPr>
          <w:noProof/>
          <w:color w:val="000000" w:themeColor="text1"/>
        </w:rPr>
        <w:t xml:space="preserve"> Todėl naujas šio pasiūlymo poveikio vertinimas nebūtinas. </w:t>
      </w:r>
    </w:p>
    <w:p>
      <w:pPr>
        <w:keepNext/>
        <w:tabs>
          <w:tab w:val="left" w:pos="850"/>
        </w:tabs>
        <w:spacing w:before="360"/>
        <w:ind w:left="850" w:hanging="850"/>
        <w:outlineLvl w:val="0"/>
        <w:rPr>
          <w:b/>
          <w:smallCaps/>
          <w:noProof/>
        </w:rPr>
      </w:pPr>
      <w:r>
        <w:rPr>
          <w:b/>
          <w:smallCaps/>
          <w:noProof/>
        </w:rPr>
        <w:t>4.</w:t>
      </w:r>
      <w:r>
        <w:rPr>
          <w:noProof/>
        </w:rPr>
        <w:tab/>
      </w:r>
      <w:r>
        <w:rPr>
          <w:b/>
          <w:smallCaps/>
          <w:noProof/>
        </w:rPr>
        <w:t>POVEIKIS BIUDŽETUI</w:t>
      </w:r>
    </w:p>
    <w:p>
      <w:pPr>
        <w:pBdr>
          <w:top w:val="nil"/>
          <w:left w:val="nil"/>
          <w:bottom w:val="nil"/>
          <w:right w:val="nil"/>
          <w:between w:val="nil"/>
          <w:bar w:val="nil"/>
        </w:pBdr>
        <w:spacing w:before="0" w:after="240"/>
        <w:rPr>
          <w:rFonts w:eastAsia="Arial Unicode MS"/>
          <w:noProof/>
        </w:rPr>
      </w:pPr>
      <w:r>
        <w:rPr>
          <w:noProof/>
        </w:rPr>
        <w:t>ENNSC skiriamos keitimosi informacija, ankstyvojo perspėjimo dėl naujų psichoaktyviųjų medžiagų sistemos ir rizikos įvertinimo procedūros užduotys. Centrui jau skiriamos dotacijos iš Sąjungos biudžeto.</w:t>
      </w:r>
    </w:p>
    <w:p>
      <w:pPr>
        <w:pBdr>
          <w:top w:val="nil"/>
          <w:left w:val="nil"/>
          <w:bottom w:val="nil"/>
          <w:right w:val="nil"/>
          <w:between w:val="nil"/>
          <w:bar w:val="nil"/>
        </w:pBdr>
        <w:spacing w:before="0" w:after="240"/>
        <w:rPr>
          <w:rFonts w:eastAsia="Arial Unicode MS"/>
          <w:noProof/>
        </w:rPr>
      </w:pPr>
      <w:r>
        <w:rPr>
          <w:noProof/>
        </w:rPr>
        <w:t xml:space="preserve">Tačiau tam, kad Centras galėtų tinkamai tvarkyti gausėjančius prašymus, susijusius su informacijos apie naujas psichoaktyviąsias medžiagas dalijimusi, taip pat vykdyti siūlomą supaprastintą ES ankstyvojo perspėjimo sistemų ir rizikos įvertinimo procedūros tvarką, prie Centro biudžeto 2017–2020 m. laikotarpiui reikės pridėti iš viso 676 000 EUR sistemų plėtrai ir po 100 000 EUR per metus trijų papildomų sutartininkų paslaugoms finansuoti. </w:t>
      </w:r>
    </w:p>
    <w:p>
      <w:pPr>
        <w:keepNext/>
        <w:tabs>
          <w:tab w:val="left" w:pos="850"/>
        </w:tabs>
        <w:spacing w:before="360"/>
        <w:ind w:left="850" w:hanging="850"/>
        <w:outlineLvl w:val="0"/>
        <w:rPr>
          <w:b/>
          <w:smallCaps/>
          <w:noProof/>
        </w:rPr>
      </w:pPr>
      <w:r>
        <w:rPr>
          <w:b/>
          <w:smallCaps/>
          <w:noProof/>
        </w:rPr>
        <w:t>5.</w:t>
      </w:r>
      <w:r>
        <w:rPr>
          <w:noProof/>
        </w:rPr>
        <w:tab/>
      </w:r>
      <w:r>
        <w:rPr>
          <w:b/>
          <w:smallCaps/>
          <w:noProof/>
        </w:rPr>
        <w:t>KITI ELEMENTAI</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Stebėjimo, vertinimo ir ataskaitų teikimo tvarka</w:t>
      </w:r>
    </w:p>
    <w:p>
      <w:pPr>
        <w:rPr>
          <w:rFonts w:eastAsia="Times New Roman"/>
          <w:noProof/>
          <w:szCs w:val="24"/>
        </w:rPr>
      </w:pPr>
      <w:r>
        <w:rPr>
          <w:noProof/>
        </w:rPr>
        <w:t>ENNSC yra reguliariai įvertinamas pagal Reglamento 1920/2006 23 straipsnį. Pagal šį straipsnį Komisija kas šešerius metus inicijuoja ENNSC išorės vertinimą, kuris sutampa su dviejų Centro vykdomų trejų metų trukmės programų užbaigimu.</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Išsamus konkrečių pasiūlymo nuostatų paaiškinimas</w:t>
      </w:r>
    </w:p>
    <w:p>
      <w:pPr>
        <w:rPr>
          <w:rFonts w:eastAsia="Times New Roman"/>
          <w:noProof/>
          <w:szCs w:val="24"/>
        </w:rPr>
      </w:pPr>
      <w:r>
        <w:rPr>
          <w:noProof/>
        </w:rPr>
        <w:t>1 straipsnyje pateikiami šie daliniai Reglamento 1920/2006 pakeitimai:</w:t>
      </w:r>
    </w:p>
    <w:p>
      <w:pPr>
        <w:rPr>
          <w:rFonts w:eastAsia="Times New Roman"/>
          <w:i/>
          <w:noProof/>
          <w:szCs w:val="24"/>
        </w:rPr>
      </w:pPr>
      <w:r>
        <w:rPr>
          <w:i/>
          <w:noProof/>
        </w:rPr>
        <w:t>Naujas 2 straipsnio (Užduotys) f punktas</w:t>
      </w:r>
      <w:r>
        <w:rPr>
          <w:noProof/>
        </w:rPr>
        <w:t>. Šiame punkte išaiškinama, kad ENNSC užduotys yra keitimasis informacija ir ankstyvasis perspėjimas apie naujas psichoaktyviąsias medžiagas bei rizikos įvertinimas. Be to, Centras vykdo visų naujų psichoaktyviųjų medžiagų, apie kurias pranešė valstybės narės, stebėseną.</w:t>
      </w:r>
    </w:p>
    <w:p>
      <w:pPr>
        <w:rPr>
          <w:rFonts w:eastAsia="Times New Roman"/>
          <w:noProof/>
          <w:szCs w:val="24"/>
        </w:rPr>
      </w:pPr>
      <w:r>
        <w:rPr>
          <w:i/>
          <w:noProof/>
        </w:rPr>
        <w:t>Naujas 5a straipsnis (Keitimasis informacija apie naujas psichoaktyviąsias medžiagas, ankstyvojo perspėjimo sistema ir rizikos įvertinimas)</w:t>
      </w:r>
      <w:r>
        <w:rPr>
          <w:noProof/>
        </w:rPr>
        <w:t>. Šiame straipsnyje nustatomi atitinkami valstybių narių, ENNSC ir Europolo vaidmenys keičiantis informacija ir teikiant ankstyvuosius perspėjimus apie naujas psichoaktyviąsias medžiagas.</w:t>
      </w:r>
    </w:p>
    <w:p>
      <w:pPr>
        <w:rPr>
          <w:rFonts w:eastAsia="Times New Roman"/>
          <w:noProof/>
          <w:szCs w:val="24"/>
        </w:rPr>
      </w:pPr>
      <w:r>
        <w:rPr>
          <w:i/>
          <w:noProof/>
        </w:rPr>
        <w:t>Naujas 5b straipsnis (Pradinė ataskaita)</w:t>
      </w:r>
      <w:r>
        <w:rPr>
          <w:noProof/>
        </w:rPr>
        <w:t>. Šiame straipsnyje nustatomas ENNSC ir Europolo pradinės ataskaitos apie naujas psichoaktyviąsias medžiagas turinys ir rengimo bei perdavimo procedūros. Europolas, Europos vaistų agentūra, Europos cheminių medžiagų agentūra ir Europos maisto saugos tarnyba dalyvauja rinkdamos informaciją pradinei ataskaitai.</w:t>
      </w:r>
    </w:p>
    <w:p>
      <w:pPr>
        <w:rPr>
          <w:rFonts w:eastAsia="Times New Roman"/>
          <w:noProof/>
          <w:szCs w:val="24"/>
        </w:rPr>
      </w:pPr>
      <w:r>
        <w:rPr>
          <w:i/>
          <w:noProof/>
        </w:rPr>
        <w:t>Naujas 5c straipsnis (Rizikos įvertinimo procedūra ir ataskaita)</w:t>
      </w:r>
      <w:r>
        <w:rPr>
          <w:noProof/>
        </w:rPr>
        <w:t xml:space="preserve">. Šiuo straipsniu Komisijai suteikiami įgaliojimai prašyti, kad ENNSC įvertintų naujos psichoaktyviosios medžiagos, dėl kurios parengta pradinė ataskaita, keliamą riziką. Straipsnyje nustatomos rizikos įvertinimo, kurį turi atlikti ENNSC Mokslo komitetas, ir rizikos vertinimo ataskaitos parengimo ir perdavimo procedūros. </w:t>
      </w:r>
    </w:p>
    <w:p>
      <w:pPr>
        <w:rPr>
          <w:rFonts w:eastAsia="Times New Roman"/>
          <w:noProof/>
          <w:szCs w:val="24"/>
        </w:rPr>
      </w:pPr>
      <w:r>
        <w:rPr>
          <w:i/>
          <w:noProof/>
        </w:rPr>
        <w:t>Naujas 5d straipsnis (Rizikos nevertinimas)</w:t>
      </w:r>
      <w:r>
        <w:rPr>
          <w:noProof/>
        </w:rPr>
        <w:t>. Šiame straipsnyje išsamiai išdėstomos aplinkybės, kuriomis naujos psichoaktyviosios medžiagos rizika nevertintina.</w:t>
      </w:r>
    </w:p>
    <w:p>
      <w:pPr>
        <w:rPr>
          <w:rFonts w:eastAsia="Times New Roman"/>
          <w:noProof/>
          <w:szCs w:val="24"/>
        </w:rPr>
      </w:pPr>
      <w:r>
        <w:rPr>
          <w:noProof/>
        </w:rPr>
        <w:t xml:space="preserve">2 straipsnyje nustatoma, kada įsigalioja reglamentas.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2016/0261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iš dalies keičiamos Reglamento (EB) Nr. 1920/2006 nuostatos dėl keitimosi informacija apie naujas psichoaktyviąsias medžiagas, ankstyvojo perspėjimo sistemas ir rizikos įvertinimo procedūrą</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168 straipsnio 5 dalį,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1"/>
      </w:r>
      <w:r>
        <w:rPr>
          <w:noProof/>
        </w:rPr>
        <w:t xml:space="preserve">, </w:t>
      </w:r>
    </w:p>
    <w:p>
      <w:pPr>
        <w:rPr>
          <w:noProof/>
        </w:rPr>
      </w:pPr>
      <w:r>
        <w:rPr>
          <w:noProof/>
        </w:rPr>
        <w:t>atsižvelgdami į Regionų komiteto nuomonę</w:t>
      </w:r>
      <w:r>
        <w:rPr>
          <w:rStyle w:val="FootnoteReference"/>
          <w:noProof/>
        </w:rPr>
        <w:footnoteReference w:id="12"/>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naujos psichoaktyviosios medžiagos gali kelti didelių tarpvalstybinio pobūdžio grėsmių sveikatai, dėl kurių būtina stiprinti stebėseną, ankstyvąjį perspėjimą apie šias grėsmes ir kovą su jomis;</w:t>
      </w:r>
    </w:p>
    <w:p>
      <w:pPr>
        <w:pStyle w:val="ManualConsidrant"/>
        <w:rPr>
          <w:noProof/>
        </w:rPr>
      </w:pPr>
      <w:r>
        <w:t>(2)</w:t>
      </w:r>
      <w:r>
        <w:tab/>
      </w:r>
      <w:r>
        <w:rPr>
          <w:noProof/>
        </w:rPr>
        <w:t>pastaraisiais metais valstybės narės pranešė apie vis daugiau naujų psichoaktyviųjų medžiagų, naudodamosi greito keitimosi informacija mechanizmu, nustatytu Bendraisiais veiksmais 97/396/TVR, Tarybos priimtais remiantis Europos Sąjungos sutarties K.3 straipsniu, dėl keitimosi informacija apie naujus sintetinius narkotikus, jų rizikos įvertinimo ir kontrolės</w:t>
      </w:r>
      <w:r>
        <w:rPr>
          <w:rStyle w:val="FootnoteReference"/>
          <w:noProof/>
        </w:rPr>
        <w:footnoteReference w:id="13"/>
      </w:r>
      <w:r>
        <w:rPr>
          <w:noProof/>
        </w:rPr>
        <w:t>, ir papildomai sustiprintu Tarybos sprendimu 2005/387/TVR</w:t>
      </w:r>
      <w:r>
        <w:rPr>
          <w:rStyle w:val="FootnoteReference"/>
          <w:noProof/>
        </w:rPr>
        <w:footnoteReference w:id="14"/>
      </w:r>
      <w:r>
        <w:rPr>
          <w:noProof/>
        </w:rPr>
        <w:t>;</w:t>
      </w:r>
    </w:p>
    <w:p>
      <w:pPr>
        <w:pStyle w:val="ManualConsidrant"/>
        <w:rPr>
          <w:noProof/>
        </w:rPr>
      </w:pPr>
      <w:r>
        <w:t>(3)</w:t>
      </w:r>
      <w:r>
        <w:tab/>
      </w:r>
      <w:r>
        <w:rPr>
          <w:noProof/>
        </w:rPr>
        <w:t>naujų psichoaktyviųjų medžiagų, kurios kelia grėsmę sveikatai ir visuomenei visoje Sąjungoje, klausimas turėtų būti sprendžiamas Sąjungos lygmeniu. Todėl šis reglamentas turi būti taikomas kartu su Direktyva (ES) .../... [kuria iš dalies keičiamas Tarybos pamatinis sprendimas 2004/757/TVR</w:t>
      </w:r>
      <w:r>
        <w:rPr>
          <w:rStyle w:val="FootnoteReference"/>
          <w:noProof/>
        </w:rPr>
        <w:footnoteReference w:id="15"/>
      </w:r>
      <w:r>
        <w:rPr>
          <w:noProof/>
        </w:rPr>
        <w:t>], nes abu aktai pakeičia Tarybos sprendimu 2005/387/TVR nustatytą sistemą;</w:t>
      </w:r>
    </w:p>
    <w:p>
      <w:pPr>
        <w:pStyle w:val="ManualConsidrant"/>
        <w:rPr>
          <w:noProof/>
        </w:rPr>
      </w:pPr>
      <w:r>
        <w:t>(4)</w:t>
      </w:r>
      <w:r>
        <w:tab/>
      </w:r>
      <w:r>
        <w:rPr>
          <w:noProof/>
        </w:rPr>
        <w:t>į Europos Parlamento ir Tarybos Reglamentą (EB) 1920/2006</w:t>
      </w:r>
      <w:r>
        <w:rPr>
          <w:rStyle w:val="FootnoteReference"/>
          <w:noProof/>
        </w:rPr>
        <w:footnoteReference w:id="16"/>
      </w:r>
      <w:r>
        <w:rPr>
          <w:noProof/>
        </w:rPr>
        <w:t xml:space="preserve"> būtina įtraukti nuostatas dėl keitimosi informacija ir ankstyvojo perspėjimo dėl naujų psichoaktyviųjų medžiagų sistemos bei rizikos įvertinimo procedūros. Visų pirma turėtų būti sugriežtintos nuostatos dėl ankstyvojo perspėjimo apie naujas psichoaktyviąsias medžiagas ir padidintas pradinės ataskaitos rengimo ir rizikos įvertinimo procedūros organizavimo veiksmingumas. Turėtų būti nustatyti daug trumpesni visų procedūros etapų terminai;</w:t>
      </w:r>
    </w:p>
    <w:p>
      <w:pPr>
        <w:pStyle w:val="ManualConsidrant"/>
        <w:rPr>
          <w:noProof/>
        </w:rPr>
      </w:pPr>
      <w:r>
        <w:t>(5)</w:t>
      </w:r>
      <w:r>
        <w:tab/>
      </w:r>
      <w:r>
        <w:rPr>
          <w:noProof/>
        </w:rPr>
        <w:t xml:space="preserve">Sąjungos veiksmai dėl naujų psichoaktyviųjų medžiagų turėtų būti grindžiami moksliniais duomenimis; </w:t>
      </w:r>
    </w:p>
    <w:p>
      <w:pPr>
        <w:pStyle w:val="ManualConsidrant"/>
        <w:rPr>
          <w:noProof/>
        </w:rPr>
      </w:pPr>
      <w:r>
        <w:t>(6)</w:t>
      </w:r>
      <w:r>
        <w:tab/>
      </w:r>
      <w:r>
        <w:rPr>
          <w:noProof/>
        </w:rPr>
        <w:t>atlikus rizikos įvertinimo procedūrą, Komisija turėtų spręsti, ar naujas psichoaktyviąsias medžiagas reikėtų kriminalizuoti laikantis Direktyvoje (ES) .../... [kuria iš dalies keičiamas Tarybos pamatinis sprendimas 2004/757/TV] nustatytos procedūros. Šis reglamentas įsigalios Direktyvos perkėlimo į nacionalinę teisę dieną, nes abu teisėkūros aktai yra skirti Tarybos sprendimu 2005/387/TVA sukurtam mechanizmui pakeisti;</w:t>
      </w:r>
    </w:p>
    <w:p>
      <w:pPr>
        <w:pStyle w:val="ManualConsidrant"/>
        <w:rPr>
          <w:noProof/>
        </w:rPr>
      </w:pPr>
      <w:r>
        <w:t>(7)</w:t>
      </w:r>
      <w:r>
        <w:tab/>
      </w:r>
      <w:r>
        <w:rPr>
          <w:noProof/>
        </w:rPr>
        <w:t>naujos psichoaktyviosios medžiagos keliamos rizikos įvertinimas neturėtų būti atliekamas, jeigu ji vertinama pagal tarptautinę teisę, arba jei ji yra vaisto arba veterinarinio vaisto veiklioji medžiaga;</w:t>
      </w:r>
    </w:p>
    <w:p>
      <w:pPr>
        <w:pStyle w:val="ManualConsidrant"/>
        <w:rPr>
          <w:noProof/>
        </w:rPr>
      </w:pPr>
      <w:r>
        <w:t>(8)</w:t>
      </w:r>
      <w:r>
        <w:tab/>
      </w:r>
      <w:r>
        <w:rPr>
          <w:noProof/>
        </w:rPr>
        <w:t>todėl Reglamentą (EB) Nr. 1920/2006 reikėtų atitinkamai iš dalies pakeisti,</w:t>
      </w:r>
    </w:p>
    <w:p>
      <w:pPr>
        <w:pStyle w:val="Formuledadoption"/>
        <w:rPr>
          <w:noProof/>
        </w:rPr>
      </w:pPr>
      <w:r>
        <w:rPr>
          <w:noProof/>
        </w:rPr>
        <w:t>PRIĖMĖ ŠĮ REGLAMENTĄ:</w:t>
      </w:r>
    </w:p>
    <w:p>
      <w:pPr>
        <w:pStyle w:val="Titrearticle"/>
        <w:rPr>
          <w:noProof/>
        </w:rPr>
      </w:pPr>
      <w:r>
        <w:rPr>
          <w:noProof/>
        </w:rPr>
        <w:t>1 straipsnis</w:t>
      </w:r>
    </w:p>
    <w:p>
      <w:pPr>
        <w:keepNext/>
        <w:spacing w:before="0"/>
        <w:jc w:val="center"/>
        <w:rPr>
          <w:rFonts w:eastAsia="Times New Roman"/>
          <w:b/>
          <w:noProof/>
          <w:szCs w:val="24"/>
        </w:rPr>
      </w:pPr>
      <w:r>
        <w:rPr>
          <w:b/>
          <w:noProof/>
        </w:rPr>
        <w:t>Reglamento (EB) Nr. 1920/2006 pakeitimai</w:t>
      </w:r>
    </w:p>
    <w:p>
      <w:pPr>
        <w:rPr>
          <w:noProof/>
        </w:rPr>
      </w:pPr>
    </w:p>
    <w:p>
      <w:pPr>
        <w:rPr>
          <w:noProof/>
        </w:rPr>
      </w:pPr>
      <w:r>
        <w:rPr>
          <w:noProof/>
        </w:rPr>
        <w:t>Reglamentas (EB) Nr. 1920/2006 iš dalies keičiamas taip:</w:t>
      </w:r>
    </w:p>
    <w:p>
      <w:pPr>
        <w:rPr>
          <w:rFonts w:eastAsia="Times New Roman"/>
          <w:noProof/>
          <w:szCs w:val="24"/>
        </w:rPr>
      </w:pPr>
    </w:p>
    <w:p>
      <w:pPr>
        <w:rPr>
          <w:rFonts w:eastAsia="Times New Roman"/>
          <w:noProof/>
          <w:szCs w:val="24"/>
        </w:rPr>
      </w:pPr>
      <w:r>
        <w:rPr>
          <w:noProof/>
        </w:rPr>
        <w:t>1) 2 straipsnis papildomas šiuo f punktu:</w:t>
      </w:r>
    </w:p>
    <w:p>
      <w:pPr>
        <w:rPr>
          <w:rFonts w:eastAsia="Times New Roman"/>
          <w:noProof/>
          <w:szCs w:val="24"/>
        </w:rPr>
      </w:pPr>
    </w:p>
    <w:p>
      <w:pPr>
        <w:ind w:left="850" w:hanging="850"/>
        <w:rPr>
          <w:rFonts w:eastAsia="Times New Roman"/>
          <w:noProof/>
          <w:szCs w:val="24"/>
        </w:rPr>
      </w:pPr>
      <w:r>
        <w:rPr>
          <w:noProof/>
        </w:rPr>
        <w:t xml:space="preserve"> „f) </w:t>
      </w:r>
      <w:r>
        <w:rPr>
          <w:noProof/>
        </w:rPr>
        <w:tab/>
      </w:r>
      <w:r>
        <w:rPr>
          <w:b/>
          <w:noProof/>
        </w:rPr>
        <w:t>Keitimasis informacija apie naujas psichoaktyviąsias medžiagas, ankstyvojo perspėjimo sistema ir rizikos įvertinimas</w:t>
      </w:r>
    </w:p>
    <w:p>
      <w:pPr>
        <w:autoSpaceDE w:val="0"/>
        <w:autoSpaceDN w:val="0"/>
        <w:adjustRightInd w:val="0"/>
        <w:ind w:left="720" w:hanging="720"/>
        <w:rPr>
          <w:rFonts w:eastAsia="Times New Roman"/>
          <w:noProof/>
          <w:szCs w:val="24"/>
        </w:rPr>
      </w:pPr>
    </w:p>
    <w:p>
      <w:pPr>
        <w:ind w:left="1440" w:hanging="720"/>
        <w:rPr>
          <w:rFonts w:eastAsia="Times New Roman"/>
          <w:noProof/>
          <w:szCs w:val="24"/>
        </w:rPr>
      </w:pPr>
      <w:r>
        <w:rPr>
          <w:noProof/>
        </w:rPr>
        <w:t xml:space="preserve">i) </w:t>
      </w:r>
      <w:r>
        <w:rPr>
          <w:noProof/>
        </w:rPr>
        <w:tab/>
        <w:t>Europos narkotikų ir narkomanijos informacinio tinklo (REITOX) nacionalinių ryšių punktų ir nacionalinių Europolo padalinių turimos informacijos apie naujas psichoaktyviąsias medžiagas, kaip apibrėžiama Direktyvos (ES) .../... [kuria iš dalies keičiamas Tarybos pamatinis sprendimas 2004/757/TV] ... straipsnyje, rinkimas, palyginimas, analizavimas ir vertinimas bei šios informacijos skubus perdavimas REITOX nacionaliniams ryšių punktams ir nacionaliniams Europolo padaliniams bei Komisijai,</w:t>
      </w:r>
    </w:p>
    <w:p>
      <w:pPr>
        <w:rPr>
          <w:rFonts w:eastAsia="Times New Roman"/>
          <w:noProof/>
          <w:szCs w:val="24"/>
        </w:rPr>
      </w:pPr>
    </w:p>
    <w:p>
      <w:pPr>
        <w:ind w:left="1440" w:hanging="720"/>
        <w:rPr>
          <w:noProof/>
        </w:rPr>
      </w:pPr>
      <w:r>
        <w:rPr>
          <w:noProof/>
        </w:rPr>
        <w:t xml:space="preserve">ii) </w:t>
      </w:r>
      <w:r>
        <w:rPr>
          <w:noProof/>
        </w:rPr>
        <w:tab/>
        <w:t xml:space="preserve">pradinės ataskaitos arba bendros pradinės ataskaitos rengimas pagal 5b straipsnį, </w:t>
      </w:r>
    </w:p>
    <w:p>
      <w:pPr>
        <w:rPr>
          <w:noProof/>
        </w:rPr>
      </w:pPr>
    </w:p>
    <w:p>
      <w:pPr>
        <w:ind w:left="1440" w:hanging="720"/>
        <w:rPr>
          <w:noProof/>
        </w:rPr>
      </w:pPr>
      <w:r>
        <w:rPr>
          <w:noProof/>
        </w:rPr>
        <w:t xml:space="preserve">iii) </w:t>
      </w:r>
      <w:r>
        <w:rPr>
          <w:noProof/>
        </w:rPr>
        <w:tab/>
        <w:t>rizikos įvertinimo procedūros organizavimas pagal 5c ir 5d straipsnius,</w:t>
      </w:r>
    </w:p>
    <w:p>
      <w:pPr>
        <w:rPr>
          <w:noProof/>
        </w:rPr>
      </w:pPr>
    </w:p>
    <w:p>
      <w:pPr>
        <w:ind w:left="1440" w:hanging="720"/>
        <w:rPr>
          <w:rFonts w:eastAsia="Times New Roman"/>
          <w:noProof/>
          <w:szCs w:val="24"/>
        </w:rPr>
      </w:pPr>
      <w:r>
        <w:rPr>
          <w:noProof/>
        </w:rPr>
        <w:t xml:space="preserve">iv) </w:t>
      </w:r>
      <w:r>
        <w:rPr>
          <w:noProof/>
        </w:rPr>
        <w:tab/>
        <w:t>visų naujų psichoaktyviųjų medžiagų, apie kurias pranešė valstybės narės, stebėsena bendradarbiaujant su Europolu ir pasitelkus REITOX nacionalinių ryšių punktų ir nacionalinių Europolo padalinių paramą.“</w:t>
      </w:r>
    </w:p>
    <w:p>
      <w:pPr>
        <w:rPr>
          <w:noProof/>
        </w:rPr>
      </w:pPr>
    </w:p>
    <w:p>
      <w:pPr>
        <w:rPr>
          <w:noProof/>
        </w:rPr>
      </w:pPr>
      <w:r>
        <w:rPr>
          <w:noProof/>
        </w:rPr>
        <w:t xml:space="preserve">2) 5 straipsnio 2 dalies antra ir trečia pastraipos išbraukiamos. </w:t>
      </w:r>
    </w:p>
    <w:p>
      <w:pPr>
        <w:rPr>
          <w:rFonts w:eastAsia="Times New Roman"/>
          <w:noProof/>
          <w:szCs w:val="24"/>
        </w:rPr>
      </w:pPr>
    </w:p>
    <w:p>
      <w:pPr>
        <w:rPr>
          <w:rFonts w:eastAsia="Times New Roman"/>
          <w:noProof/>
          <w:szCs w:val="24"/>
        </w:rPr>
      </w:pPr>
      <w:r>
        <w:rPr>
          <w:noProof/>
        </w:rPr>
        <w:t>3) Įterpiami šie 5a, 5b, 5c ir 5d straipsniai:</w:t>
      </w:r>
    </w:p>
    <w:p>
      <w:pPr>
        <w:keepNext/>
        <w:spacing w:before="360"/>
        <w:jc w:val="center"/>
        <w:rPr>
          <w:rFonts w:eastAsia="Times New Roman"/>
          <w:i/>
          <w:noProof/>
          <w:szCs w:val="24"/>
        </w:rPr>
      </w:pPr>
      <w:r>
        <w:rPr>
          <w:noProof/>
        </w:rPr>
        <w:t>„5 a straipsnis</w:t>
      </w:r>
    </w:p>
    <w:p>
      <w:pPr>
        <w:keepNext/>
        <w:spacing w:before="0"/>
        <w:jc w:val="center"/>
        <w:rPr>
          <w:rFonts w:eastAsia="Times New Roman"/>
          <w:b/>
          <w:noProof/>
          <w:szCs w:val="24"/>
        </w:rPr>
      </w:pPr>
      <w:r>
        <w:rPr>
          <w:b/>
          <w:noProof/>
        </w:rPr>
        <w:t>Keitimasis informacija ir ankstyvojo perspėjimo dėl naujų psichoaktyviųjų medžiagų sistema</w:t>
      </w:r>
    </w:p>
    <w:p>
      <w:pPr>
        <w:autoSpaceDE w:val="0"/>
        <w:autoSpaceDN w:val="0"/>
        <w:adjustRightInd w:val="0"/>
        <w:rPr>
          <w:rFonts w:eastAsia="Times New Roman"/>
          <w:noProof/>
          <w:szCs w:val="24"/>
        </w:rPr>
      </w:pPr>
      <w:r>
        <w:rPr>
          <w:noProof/>
        </w:rPr>
        <w:t>Kiekviena valstybė narė užtikrina, kad jos REITOX nacionaliniai ryšių punktai ir nacionaliniai Europolo padaliniai laiku ir nedelsiant perduotų Centrui ir Europolui turimą informaciją apie naujas psichoaktyviąsias medžiagas. Informacija turi būti susijusi su šių medžiagų nustatymu ir identifikavimu, vartojimu ir vartojimo tendencijomis, galima ir nustatyta rizika, gamyba, išgavimu, platinimu, neteisėta prekyba, naudojimu komerciniais, medicininiais ir moksliniais tikslais.</w:t>
      </w:r>
    </w:p>
    <w:p>
      <w:pPr>
        <w:autoSpaceDE w:val="0"/>
        <w:autoSpaceDN w:val="0"/>
        <w:adjustRightInd w:val="0"/>
        <w:rPr>
          <w:rFonts w:eastAsia="Times New Roman"/>
          <w:noProof/>
          <w:szCs w:val="24"/>
        </w:rPr>
      </w:pPr>
      <w:r>
        <w:rPr>
          <w:noProof/>
        </w:rPr>
        <w:t>Centras, bendradarbiaudamas su Europolu, renka, analizuoja, vertina ir nedelsdamas perduoda šią informaciją valstybėms narėms, kad valstybės narės turėtų visą informaciją, reikalingą ankstyvojo perspėjimo tikslams, bei tam, kad Centras galėtų ja remdamasis parengti pradinę ataskaitą arba bendrą pradinę ataskaitą pagal 5b straipsnį.</w:t>
      </w:r>
    </w:p>
    <w:p>
      <w:pPr>
        <w:rPr>
          <w:rFonts w:eastAsia="Times New Roman"/>
          <w:noProof/>
          <w:szCs w:val="24"/>
        </w:rPr>
      </w:pPr>
    </w:p>
    <w:p>
      <w:pPr>
        <w:pStyle w:val="Titrearticle"/>
        <w:rPr>
          <w:noProof/>
        </w:rPr>
      </w:pPr>
      <w:r>
        <w:rPr>
          <w:noProof/>
        </w:rPr>
        <w:t xml:space="preserve"> 5b straipsnis</w:t>
      </w:r>
    </w:p>
    <w:p>
      <w:pPr>
        <w:keepNext/>
        <w:spacing w:before="0"/>
        <w:jc w:val="center"/>
        <w:rPr>
          <w:rFonts w:eastAsia="Times New Roman"/>
          <w:b/>
          <w:noProof/>
          <w:szCs w:val="24"/>
        </w:rPr>
      </w:pPr>
      <w:r>
        <w:rPr>
          <w:b/>
          <w:noProof/>
        </w:rPr>
        <w:t xml:space="preserve">Pradinė ataskaita </w:t>
      </w:r>
    </w:p>
    <w:p>
      <w:pPr>
        <w:ind w:left="850" w:hanging="850"/>
        <w:rPr>
          <w:rFonts w:eastAsia="Times New Roman"/>
          <w:noProof/>
          <w:szCs w:val="24"/>
        </w:rPr>
      </w:pPr>
      <w:r>
        <w:rPr>
          <w:noProof/>
        </w:rPr>
        <w:t>1.</w:t>
      </w:r>
      <w:r>
        <w:rPr>
          <w:noProof/>
        </w:rPr>
        <w:tab/>
        <w:t>Jei Centras, Komisija arba Taryba, veikdama paprasta valstybių narių balsų dauguma, nusprendžia, kad bendra informacija apie naują psichoaktyviąją medžiagą, surinkta pagal 5a straipsnį vienoje ar keliose valstybėse narėse, teikia pagrindo susirūpinimui, kad nauja psichoaktyvioji medžiaga kelia grėsmių sveikatai ar visuomenei Sąjungos lygmeniu, Centras parengia pradinę ataskaitą apie naują psichoaktyviąją medžiagą.</w:t>
      </w:r>
    </w:p>
    <w:p>
      <w:pPr>
        <w:ind w:left="850" w:hanging="850"/>
        <w:rPr>
          <w:rFonts w:eastAsia="Times New Roman"/>
          <w:noProof/>
          <w:szCs w:val="24"/>
        </w:rPr>
      </w:pPr>
      <w:r>
        <w:rPr>
          <w:noProof/>
        </w:rPr>
        <w:t>2.</w:t>
      </w:r>
      <w:r>
        <w:rPr>
          <w:noProof/>
        </w:rPr>
        <w:tab/>
        <w:t xml:space="preserve">Į pradinę ataskaitą įtraukiama: </w:t>
      </w:r>
    </w:p>
    <w:p>
      <w:pPr>
        <w:pStyle w:val="Point1letter"/>
        <w:numPr>
          <w:ilvl w:val="3"/>
          <w:numId w:val="16"/>
        </w:numPr>
        <w:rPr>
          <w:noProof/>
        </w:rPr>
      </w:pPr>
      <w:r>
        <w:rPr>
          <w:noProof/>
        </w:rPr>
        <w:t>pirminė nuoroda į su nauja psichoaktyviąja medžiaga siejamų grėsmių sveikatai ir visuomenei pobūdį arba mastą,</w:t>
      </w:r>
    </w:p>
    <w:p>
      <w:pPr>
        <w:pStyle w:val="Point1letter"/>
        <w:numPr>
          <w:ilvl w:val="3"/>
          <w:numId w:val="16"/>
        </w:numPr>
        <w:rPr>
          <w:noProof/>
        </w:rPr>
      </w:pPr>
      <w:r>
        <w:rPr>
          <w:noProof/>
        </w:rPr>
        <w:t>naujos psichoaktyviosios medžiagos cheminis ir fizinis aprašymas, jai pagaminti arba išgauti naudoti metodai ir cheminiai prekursoriai,</w:t>
      </w:r>
    </w:p>
    <w:p>
      <w:pPr>
        <w:pStyle w:val="Point1letter"/>
        <w:rPr>
          <w:noProof/>
        </w:rPr>
      </w:pPr>
      <w:r>
        <w:rPr>
          <w:noProof/>
        </w:rPr>
        <w:t>naujos psichoaktyviosios medžiagos farmakologinis ir toksikologinis aprašymas,</w:t>
      </w:r>
    </w:p>
    <w:p>
      <w:pPr>
        <w:pStyle w:val="Point1letter"/>
        <w:rPr>
          <w:noProof/>
        </w:rPr>
      </w:pPr>
      <w:r>
        <w:rPr>
          <w:noProof/>
        </w:rPr>
        <w:t>informacija apie nusikalstamų grupuočių dalyvavimą gaminant ir platinant naują psichoaktyviąją medžiagą,</w:t>
      </w:r>
    </w:p>
    <w:p>
      <w:pPr>
        <w:pStyle w:val="Point1letter"/>
        <w:rPr>
          <w:noProof/>
        </w:rPr>
      </w:pPr>
      <w:r>
        <w:rPr>
          <w:noProof/>
        </w:rPr>
        <w:t>informacija apie naujos psichoaktyviosios medžiagos naudojimą žmonių ir veterinarinės medicinos reikmėms, be kita ko, kaip vaisto ar veterinarinio vaisto veikliosios medžiagos;</w:t>
      </w:r>
    </w:p>
    <w:p>
      <w:pPr>
        <w:pStyle w:val="Point1letter"/>
        <w:rPr>
          <w:noProof/>
        </w:rPr>
      </w:pPr>
      <w:r>
        <w:rPr>
          <w:noProof/>
        </w:rPr>
        <w:t>informacija apie tai, ar naujai psichoaktyviajai medžiagai taikomos ribojamosios priemonės valstybėse narėse;</w:t>
      </w:r>
    </w:p>
    <w:p>
      <w:pPr>
        <w:pStyle w:val="Point1letter"/>
        <w:rPr>
          <w:noProof/>
        </w:rPr>
      </w:pPr>
      <w:r>
        <w:rPr>
          <w:noProof/>
        </w:rPr>
        <w:t>informacija apie tai, ar nauja psichoaktyvioji medžiaga šiuo metu vertinama ar įvertinta pagal 1961 m. Jungtinių Tautų bendrosios narkotinių medžiagų konvencijos, iš dalies pakeistos 1972 m. protokolu, arba 1971 m. Jungtinių Tautų psichotropinių medžiagų konvencijos sistemą (Jungtinių Tautų sistemą).</w:t>
      </w:r>
    </w:p>
    <w:p>
      <w:pPr>
        <w:ind w:left="850" w:hanging="850"/>
        <w:rPr>
          <w:rFonts w:eastAsia="Times New Roman"/>
          <w:noProof/>
          <w:szCs w:val="24"/>
        </w:rPr>
      </w:pPr>
      <w:r>
        <w:rPr>
          <w:noProof/>
        </w:rPr>
        <w:t>3.</w:t>
      </w:r>
      <w:r>
        <w:rPr>
          <w:noProof/>
        </w:rPr>
        <w:tab/>
        <w:t>Pradinei ataskaitai Centras naudoja jau savo turimą informaciją.</w:t>
      </w:r>
    </w:p>
    <w:p>
      <w:pPr>
        <w:ind w:left="850" w:hanging="850"/>
        <w:rPr>
          <w:rFonts w:eastAsia="Times New Roman"/>
          <w:noProof/>
          <w:szCs w:val="24"/>
        </w:rPr>
      </w:pPr>
      <w:r>
        <w:rPr>
          <w:noProof/>
        </w:rPr>
        <w:t>4.</w:t>
      </w:r>
      <w:r>
        <w:rPr>
          <w:noProof/>
        </w:rPr>
        <w:tab/>
        <w:t>Jei Centrui tai atrodo būtina, jis REITOX nacionalinių ryšių punktų ir nacionalinių Europolo padalinių prašo pateikti papildomos informacijos apie naują psichoaktyviąją medžiagą. REITOX nacionaliniai ryšių punktai pateikia šią informaciją per dvi savaites nuo prašymo gavimo.</w:t>
      </w:r>
    </w:p>
    <w:p>
      <w:pPr>
        <w:ind w:left="850" w:hanging="850"/>
        <w:rPr>
          <w:rFonts w:eastAsia="Times New Roman"/>
          <w:noProof/>
          <w:szCs w:val="24"/>
        </w:rPr>
      </w:pPr>
      <w:r>
        <w:rPr>
          <w:noProof/>
        </w:rPr>
        <w:t>5.</w:t>
      </w:r>
      <w:r>
        <w:rPr>
          <w:noProof/>
        </w:rPr>
        <w:tab/>
        <w:t>Centras prašo Europos vaistų agentūros informuoti, ar Sąjungoje arba kurioje nors valstybėje narėje nauja psichoaktyvioji medžiaga yra:</w:t>
      </w:r>
    </w:p>
    <w:p>
      <w:pPr>
        <w:pStyle w:val="Point1letter"/>
        <w:numPr>
          <w:ilvl w:val="3"/>
          <w:numId w:val="11"/>
        </w:numPr>
        <w:rPr>
          <w:rFonts w:eastAsia="Times New Roman"/>
          <w:noProof/>
          <w:szCs w:val="24"/>
        </w:rPr>
      </w:pPr>
      <w:r>
        <w:rPr>
          <w:noProof/>
        </w:rPr>
        <w:t>vaisto arba veterinarinio vaisto, dėl kurio suteiktas rinkodaros leidimas, veiklioji medžiaga;</w:t>
      </w:r>
    </w:p>
    <w:p>
      <w:pPr>
        <w:numPr>
          <w:ilvl w:val="3"/>
          <w:numId w:val="0"/>
        </w:numPr>
        <w:tabs>
          <w:tab w:val="num" w:pos="1417"/>
        </w:tabs>
        <w:ind w:left="1417" w:hanging="567"/>
        <w:rPr>
          <w:rFonts w:eastAsia="Times New Roman"/>
          <w:noProof/>
          <w:szCs w:val="24"/>
        </w:rPr>
      </w:pPr>
      <w:r>
        <w:rPr>
          <w:noProof/>
        </w:rPr>
        <w:t>b)</w:t>
      </w:r>
      <w:r>
        <w:rPr>
          <w:noProof/>
        </w:rPr>
        <w:tab/>
        <w:t>vaisto arba veterinarinio vaisto, dėl kurio pateikta paraiška suteikti rinkodaros leidimą, veiklioji medžiaga;</w:t>
      </w:r>
    </w:p>
    <w:p>
      <w:pPr>
        <w:numPr>
          <w:ilvl w:val="3"/>
          <w:numId w:val="0"/>
        </w:numPr>
        <w:tabs>
          <w:tab w:val="num" w:pos="1417"/>
        </w:tabs>
        <w:ind w:left="1417" w:hanging="567"/>
        <w:rPr>
          <w:rFonts w:eastAsia="Times New Roman"/>
          <w:noProof/>
          <w:szCs w:val="24"/>
        </w:rPr>
      </w:pPr>
      <w:r>
        <w:rPr>
          <w:noProof/>
        </w:rPr>
        <w:t>c)</w:t>
      </w:r>
      <w:r>
        <w:rPr>
          <w:noProof/>
        </w:rPr>
        <w:tab/>
        <w:t xml:space="preserve">vaisto arba veterinarinio vaisto, dėl kurio suteiktą rinkodaros leidimą kompetentinga institucija yra sustabdžiusi, veiklioji medžiaga; </w:t>
      </w:r>
    </w:p>
    <w:p>
      <w:pPr>
        <w:numPr>
          <w:ilvl w:val="3"/>
          <w:numId w:val="0"/>
        </w:numPr>
        <w:tabs>
          <w:tab w:val="num" w:pos="1417"/>
        </w:tabs>
        <w:ind w:left="1417" w:hanging="567"/>
        <w:rPr>
          <w:rFonts w:eastAsia="Times New Roman"/>
          <w:noProof/>
          <w:szCs w:val="24"/>
        </w:rPr>
      </w:pPr>
      <w:r>
        <w:rPr>
          <w:noProof/>
        </w:rPr>
        <w:t>d)</w:t>
      </w:r>
      <w:r>
        <w:rPr>
          <w:noProof/>
        </w:rPr>
        <w:tab/>
        <w:t>vaisto, kuriam nėra išduotas leidimas, remiantis Europos Parlamento ir Tarybos Direktyvos 2001/83/EB</w:t>
      </w:r>
      <w:r>
        <w:rPr>
          <w:rStyle w:val="FootnoteReference"/>
          <w:noProof/>
        </w:rPr>
        <w:footnoteReference w:id="17"/>
      </w:r>
      <w:r>
        <w:rPr>
          <w:noProof/>
        </w:rPr>
        <w:t xml:space="preserve"> 5 straipsniu, arba ekstemporalaus veterinarinio vaisto, kurį pagal nacionalinius įstatymus pagamina šiuo tikslu įgaliotas asmuo, remiantis Europos Parlamento ir Tarybos Direktyvos 2001/82/EB</w:t>
      </w:r>
      <w:r>
        <w:rPr>
          <w:rStyle w:val="FootnoteReference"/>
          <w:noProof/>
        </w:rPr>
        <w:footnoteReference w:id="18"/>
      </w:r>
      <w:r>
        <w:rPr>
          <w:noProof/>
        </w:rPr>
        <w:t xml:space="preserve"> 10 straipsnio 1 dalies c punktu, veiklioji medžiaga;</w:t>
      </w:r>
    </w:p>
    <w:p>
      <w:pPr>
        <w:numPr>
          <w:ilvl w:val="3"/>
          <w:numId w:val="0"/>
        </w:numPr>
        <w:tabs>
          <w:tab w:val="num" w:pos="1417"/>
        </w:tabs>
        <w:ind w:left="1417" w:hanging="567"/>
        <w:rPr>
          <w:rFonts w:eastAsia="Times New Roman"/>
          <w:noProof/>
          <w:szCs w:val="24"/>
        </w:rPr>
      </w:pPr>
      <w:r>
        <w:rPr>
          <w:noProof/>
        </w:rPr>
        <w:t xml:space="preserve">e) </w:t>
      </w:r>
      <w:r>
        <w:rPr>
          <w:noProof/>
        </w:rPr>
        <w:tab/>
        <w:t>leidžiamų klinikinių tyrimų ir tiriamų vaistų, remiantis Europos Parlamento ir Tarybos direktyvos 2001/20/EB</w:t>
      </w:r>
      <w:r>
        <w:rPr>
          <w:rStyle w:val="FootnoteReference"/>
          <w:noProof/>
        </w:rPr>
        <w:footnoteReference w:id="19"/>
      </w:r>
      <w:r>
        <w:rPr>
          <w:noProof/>
        </w:rPr>
        <w:t xml:space="preserve"> 2 straipsnio d dalimi, veiklioji medžiaga.</w:t>
      </w:r>
    </w:p>
    <w:p>
      <w:pPr>
        <w:ind w:left="850" w:hanging="850"/>
        <w:rPr>
          <w:rFonts w:eastAsia="Times New Roman"/>
          <w:noProof/>
          <w:szCs w:val="24"/>
        </w:rPr>
      </w:pPr>
      <w:r>
        <w:rPr>
          <w:noProof/>
        </w:rPr>
        <w:t>6.</w:t>
      </w:r>
      <w:r>
        <w:rPr>
          <w:noProof/>
        </w:rPr>
        <w:tab/>
        <w:t xml:space="preserve">Centras prašo Europolo pateikti informaciją apie nusikalstamų grupuočių dalyvavimą gaminant ir platinant naują psichoaktyviąją medžiagą bei bet kokiu būdu naudojant naują psichoaktyviąją medžiagą.  </w:t>
      </w:r>
    </w:p>
    <w:p>
      <w:pPr>
        <w:ind w:left="850" w:hanging="850"/>
        <w:rPr>
          <w:rFonts w:eastAsia="Times New Roman"/>
          <w:noProof/>
          <w:szCs w:val="24"/>
        </w:rPr>
      </w:pPr>
      <w:r>
        <w:rPr>
          <w:noProof/>
        </w:rPr>
        <w:t>7.</w:t>
      </w:r>
      <w:r>
        <w:rPr>
          <w:noProof/>
        </w:rPr>
        <w:tab/>
        <w:t xml:space="preserve">Centras prašo Europos cheminių medžiagų agentūros ir Europos maisto saugos tarnybos pateikti turimą informaciją ir duomenis apie naujas psichoaktyviąsias medžiagas.  </w:t>
      </w:r>
    </w:p>
    <w:p>
      <w:pPr>
        <w:ind w:left="850" w:hanging="850"/>
        <w:rPr>
          <w:rFonts w:eastAsia="Times New Roman"/>
          <w:noProof/>
          <w:szCs w:val="24"/>
        </w:rPr>
      </w:pPr>
      <w:r>
        <w:rPr>
          <w:noProof/>
        </w:rPr>
        <w:t>8.</w:t>
      </w:r>
      <w:r>
        <w:rPr>
          <w:noProof/>
        </w:rPr>
        <w:tab/>
        <w:t>Bendradarbiaudamas su 5, 6 ir 7 dalyse minimomis įstaigomis ir agentūromis Centras vadovaujasi darbo susitarimais. Šie darbo susitarimai sudaromi pagal 20 straipsnio 2 dalį.</w:t>
      </w:r>
    </w:p>
    <w:p>
      <w:pPr>
        <w:ind w:left="850" w:hanging="850"/>
        <w:rPr>
          <w:rFonts w:eastAsia="Times New Roman"/>
          <w:noProof/>
          <w:szCs w:val="24"/>
        </w:rPr>
      </w:pPr>
      <w:r>
        <w:rPr>
          <w:noProof/>
        </w:rPr>
        <w:t>9.</w:t>
      </w:r>
      <w:r>
        <w:rPr>
          <w:noProof/>
        </w:rPr>
        <w:tab/>
        <w:t>Centras laikosi informacijos, kuri buvo pranešta Centrui, naudojimo sąlygų, įskaitant informacijos ir duomenų saugumo bei konfidencialios verslo informacijos apsaugos sąlygų.</w:t>
      </w:r>
    </w:p>
    <w:p>
      <w:pPr>
        <w:ind w:left="850" w:hanging="850"/>
        <w:rPr>
          <w:rFonts w:eastAsia="Times New Roman"/>
          <w:noProof/>
          <w:szCs w:val="24"/>
        </w:rPr>
      </w:pPr>
      <w:r>
        <w:rPr>
          <w:noProof/>
        </w:rPr>
        <w:t>10.</w:t>
      </w:r>
      <w:r>
        <w:rPr>
          <w:noProof/>
        </w:rPr>
        <w:tab/>
        <w:t>Centras pateikia pradinę ataskaitą Komisijai ir Tarybai per penkias savaites nuo 5, 6 ir 7 dalyse minimo prašymo pateikti informaciją.</w:t>
      </w:r>
    </w:p>
    <w:p>
      <w:pPr>
        <w:ind w:left="850" w:hanging="850"/>
        <w:rPr>
          <w:rFonts w:eastAsia="Times New Roman"/>
          <w:noProof/>
          <w:szCs w:val="24"/>
        </w:rPr>
      </w:pPr>
      <w:r>
        <w:rPr>
          <w:noProof/>
        </w:rPr>
        <w:t>11.</w:t>
      </w:r>
      <w:r>
        <w:rPr>
          <w:noProof/>
        </w:rPr>
        <w:tab/>
        <w:t>Surinkęs informaciją apie keletą naujų panašios cheminės sudėties psichoaktyviųjų medžiagų, Centras per šešias savaites nuo pradinės ataskaitos pateikimo pateikia Komisijai ir Tarybai atskiras pradines ataskaitas arba bendras ataskaitas apie keletą naujų psichoaktyviųjų medžiagų, su sąlyga, kad kiekvienos iš naujų psichoaktyviųjų medžiagų ypatumai aiškiai nustatyti.</w:t>
      </w:r>
    </w:p>
    <w:p>
      <w:pPr>
        <w:rPr>
          <w:rFonts w:eastAsia="Times New Roman"/>
          <w:noProof/>
          <w:szCs w:val="24"/>
        </w:rPr>
      </w:pPr>
    </w:p>
    <w:p>
      <w:pPr>
        <w:pStyle w:val="Titrearticle"/>
        <w:rPr>
          <w:noProof/>
        </w:rPr>
      </w:pPr>
      <w:r>
        <w:rPr>
          <w:noProof/>
        </w:rPr>
        <w:t xml:space="preserve"> 5c straipsnis</w:t>
      </w:r>
    </w:p>
    <w:p>
      <w:pPr>
        <w:keepNext/>
        <w:spacing w:before="0"/>
        <w:jc w:val="center"/>
        <w:rPr>
          <w:rFonts w:eastAsia="Times New Roman"/>
          <w:b/>
          <w:noProof/>
          <w:szCs w:val="24"/>
        </w:rPr>
      </w:pPr>
      <w:r>
        <w:rPr>
          <w:b/>
          <w:noProof/>
        </w:rPr>
        <w:t>Rizikos vertinimo procedūra ir ataskaita</w:t>
      </w:r>
    </w:p>
    <w:p>
      <w:pPr>
        <w:ind w:left="850" w:hanging="850"/>
        <w:rPr>
          <w:rFonts w:eastAsia="Times New Roman"/>
          <w:noProof/>
          <w:szCs w:val="24"/>
        </w:rPr>
      </w:pPr>
      <w:r>
        <w:rPr>
          <w:noProof/>
        </w:rPr>
        <w:t>1.</w:t>
      </w:r>
      <w:r>
        <w:rPr>
          <w:noProof/>
        </w:rPr>
        <w:tab/>
        <w:t xml:space="preserve">Per dvi savaites nuo 5b straipsnio 10 dalyje nurodytos pradinės ataskaitos gavimo dienos Komisija gali paprašyti, kad Centras įvertintų riziką, kurią gali kelti nauja psichoaktyvioji medžiaga, ir parengtų rizikos įvertinimo ataskaitą. Rizikos įvertinimą atlieka Mokslo komitetas. </w:t>
      </w:r>
    </w:p>
    <w:p>
      <w:pPr>
        <w:ind w:left="850" w:hanging="850"/>
        <w:rPr>
          <w:rFonts w:eastAsia="Times New Roman"/>
          <w:noProof/>
          <w:szCs w:val="24"/>
        </w:rPr>
      </w:pPr>
      <w:r>
        <w:rPr>
          <w:noProof/>
        </w:rPr>
        <w:t>2.</w:t>
      </w:r>
      <w:r>
        <w:rPr>
          <w:noProof/>
        </w:rPr>
        <w:tab/>
        <w:t>Per dvi savaites nuo 5b straipsnio 11 dalyje nurodytos bendros pradinės ataskaitos gavimo dienos Komisija gali paprašyti, kad Centras įvertintų riziką, kurią gali kelti kelios panašios cheminės sudėties naujos psichoaktyviosios medžiagos, ir parengtų bendrą rizikos įvertinimo ataskaitą. Bendrą rizikos įvertinimą atlieka Centro Mokslo komitetas.</w:t>
      </w:r>
    </w:p>
    <w:p>
      <w:pPr>
        <w:ind w:left="850" w:hanging="850"/>
        <w:rPr>
          <w:rFonts w:eastAsia="Times New Roman"/>
          <w:noProof/>
          <w:szCs w:val="24"/>
        </w:rPr>
      </w:pPr>
      <w:r>
        <w:rPr>
          <w:noProof/>
        </w:rPr>
        <w:t>3.</w:t>
      </w:r>
      <w:r>
        <w:rPr>
          <w:noProof/>
        </w:rPr>
        <w:tab/>
        <w:t xml:space="preserve">Į rizikos įvertinimo ataskaitą arba bendrą rizikos įvertinimo ataskaitą įtraukiama: </w:t>
      </w:r>
    </w:p>
    <w:p>
      <w:pPr>
        <w:pStyle w:val="Point1letter"/>
        <w:numPr>
          <w:ilvl w:val="3"/>
          <w:numId w:val="10"/>
        </w:numPr>
        <w:rPr>
          <w:rFonts w:eastAsia="Times New Roman"/>
          <w:noProof/>
          <w:szCs w:val="24"/>
        </w:rPr>
      </w:pPr>
      <w:r>
        <w:rPr>
          <w:noProof/>
        </w:rPr>
        <w:t>informacija apie naujos psichoaktyviosios medžiagos chemines ir fizines savybes, jai pagaminti arba išgauti naudoti metodai ir cheminiai prekursoriai;</w:t>
      </w:r>
    </w:p>
    <w:p>
      <w:pPr>
        <w:pStyle w:val="Point1letter"/>
        <w:rPr>
          <w:rFonts w:eastAsia="Times New Roman"/>
          <w:noProof/>
          <w:szCs w:val="24"/>
        </w:rPr>
      </w:pPr>
      <w:r>
        <w:rPr>
          <w:noProof/>
        </w:rPr>
        <w:t>informacija apie naujos psichoaktyviosios medžiagos farmakologines ir toksikologines savybes;</w:t>
      </w:r>
    </w:p>
    <w:p>
      <w:pPr>
        <w:pStyle w:val="Point1letter"/>
        <w:rPr>
          <w:rFonts w:eastAsia="Times New Roman"/>
          <w:noProof/>
          <w:szCs w:val="24"/>
        </w:rPr>
      </w:pPr>
      <w:r>
        <w:rPr>
          <w:noProof/>
        </w:rPr>
        <w:t xml:space="preserve">su nauja psichoaktyviąja medžiaga siejamų grėsmių sveikatai, visų pirma siejamų su šios medžiagos ūmiu ir chronišku toksiškumu, piktnaudžiavimo ir priklausomybės sukėlimo potencialu ir jos psichiniu bei fiziniu poveikiu ir poveikiu elgesiui grėsmių analizė; </w:t>
      </w:r>
    </w:p>
    <w:p>
      <w:pPr>
        <w:pStyle w:val="Point1letter"/>
        <w:rPr>
          <w:noProof/>
        </w:rPr>
      </w:pPr>
      <w:r>
        <w:rPr>
          <w:noProof/>
        </w:rPr>
        <w:t>su nauja psichoaktyviąja medžiaga siejamų grėsmių visuomenei, visų pirma jos poveikio socialiniam veikimui, viešajai tvarkai ir nusikalstamai veikai, įsitraukimui į nusikalstamas grupuotes gaminant ir platinant naują psichoaktyviąją medžiagą, analizė;</w:t>
      </w:r>
    </w:p>
    <w:p>
      <w:pPr>
        <w:pStyle w:val="Point1letter"/>
        <w:rPr>
          <w:rFonts w:eastAsia="Times New Roman"/>
          <w:noProof/>
          <w:szCs w:val="24"/>
        </w:rPr>
      </w:pPr>
      <w:r>
        <w:rPr>
          <w:noProof/>
        </w:rPr>
        <w:t>informacija apie naujos psichoaktyviosios medžiagos paplitimą ir vartojimo tendencijas, galimybes jos įsigyti ir sklaidos potencialą Sąjungoje;</w:t>
      </w:r>
    </w:p>
    <w:p>
      <w:pPr>
        <w:pStyle w:val="Point1letter"/>
        <w:rPr>
          <w:rFonts w:eastAsia="Times New Roman"/>
          <w:noProof/>
          <w:szCs w:val="24"/>
        </w:rPr>
      </w:pPr>
      <w:r>
        <w:rPr>
          <w:noProof/>
        </w:rPr>
        <w:t>informacija apie naujos psichoaktyviosios medžiagos naudojimą komercinėms ir pramoninėms reikmėms, šio naudojimo apimtį, taip pat mokslinių tyrimų ir technologijų plėtros reikmėms;</w:t>
      </w:r>
    </w:p>
    <w:p>
      <w:pPr>
        <w:ind w:left="850" w:hanging="850"/>
        <w:rPr>
          <w:rFonts w:eastAsia="Times New Roman"/>
          <w:noProof/>
          <w:szCs w:val="24"/>
        </w:rPr>
      </w:pPr>
      <w:r>
        <w:rPr>
          <w:noProof/>
        </w:rPr>
        <w:t>4.</w:t>
      </w:r>
      <w:r>
        <w:rPr>
          <w:noProof/>
        </w:rPr>
        <w:tab/>
        <w:t xml:space="preserve">Mokslo komitetas įvertina naujos psichoaktyviosios medžiagos ar naujų psichoaktyviųjų medžiagų grupių keliamas grėsmes. Direktoriaus, veikiančio pagal Mokslo komiteto pirmininko rekomendaciją, sprendimu prireikus komiteto sudėtis gali būti išplėsta įtraukiant ekspertus iš mokslo sričių, susijusių su pagrįsto naujos psichoaktyviosios medžiagos keliamų grėsmių įvertinimo užtikrinimu. Direktorius paskiria juos iš ekspertų sąrašo. Valdyba kas trejus metus patvirtina ekspertų sąrašą. </w:t>
      </w:r>
    </w:p>
    <w:p>
      <w:pPr>
        <w:ind w:left="850"/>
        <w:rPr>
          <w:rFonts w:eastAsia="Times New Roman"/>
          <w:noProof/>
          <w:szCs w:val="24"/>
        </w:rPr>
      </w:pPr>
      <w:r>
        <w:rPr>
          <w:noProof/>
        </w:rPr>
        <w:t>Komisija, Centras, Europolas ir Europos vaistų agentūra turi teisę paskirti po du stebėtojus.</w:t>
      </w:r>
    </w:p>
    <w:p>
      <w:pPr>
        <w:ind w:left="850" w:hanging="850"/>
        <w:rPr>
          <w:rFonts w:eastAsia="Times New Roman"/>
          <w:noProof/>
          <w:szCs w:val="24"/>
        </w:rPr>
      </w:pPr>
      <w:r>
        <w:rPr>
          <w:noProof/>
        </w:rPr>
        <w:t>5.</w:t>
      </w:r>
      <w:r>
        <w:rPr>
          <w:noProof/>
        </w:rPr>
        <w:tab/>
        <w:t xml:space="preserve">Mokslo komitetas atlieka rizikos įvertinimą remdamasis turima informacija ir visais kitais susijusiais moksliniais duomenimis. Jis atsižvelgia į visas savo narių nuomones. Centras organizuoja rizikos įvertinimo procesą, įskaitant būsimų informacijos poreikių ir susijusių tyrimų nustatymą. </w:t>
      </w:r>
    </w:p>
    <w:p>
      <w:pPr>
        <w:ind w:left="850" w:hanging="850"/>
        <w:rPr>
          <w:rFonts w:eastAsia="Times New Roman"/>
          <w:noProof/>
          <w:szCs w:val="24"/>
        </w:rPr>
      </w:pPr>
      <w:r>
        <w:rPr>
          <w:noProof/>
        </w:rPr>
        <w:t>6.</w:t>
      </w:r>
      <w:r>
        <w:rPr>
          <w:noProof/>
        </w:rPr>
        <w:tab/>
        <w:t>Centras rizikos įvertinimo ataskaitą Komisijai pateikia per šešias savaites nuo Komisijos prašymo gavimo dienos.</w:t>
      </w:r>
    </w:p>
    <w:p>
      <w:pPr>
        <w:ind w:left="850" w:hanging="850"/>
        <w:rPr>
          <w:rFonts w:eastAsia="Times New Roman"/>
          <w:noProof/>
          <w:szCs w:val="24"/>
        </w:rPr>
      </w:pPr>
      <w:r>
        <w:rPr>
          <w:noProof/>
        </w:rPr>
        <w:t>7.</w:t>
      </w:r>
      <w:r>
        <w:rPr>
          <w:noProof/>
        </w:rPr>
        <w:tab/>
        <w:t>Tinkamai pagrįstu Centro prašymu Komisija gali pratęsti laikotarpį, per kurį reikia užbaigti rizikos įvertinimą arba bendrą rizikos įvertinimą, kad būtų galima atlikti papildomus mokslinius tyrimus ir surinkti papildomų duomenų. Centro prašyme turi būti informacija apie tai, kiek laiko reikės rizikos įvertinimui arba bendram rizikos įvertinimui užbaigti.</w:t>
      </w:r>
    </w:p>
    <w:p>
      <w:pPr>
        <w:rPr>
          <w:rFonts w:eastAsia="Times New Roman"/>
          <w:noProof/>
          <w:szCs w:val="24"/>
        </w:rPr>
      </w:pPr>
    </w:p>
    <w:p>
      <w:pPr>
        <w:pStyle w:val="Titrearticle"/>
        <w:rPr>
          <w:noProof/>
        </w:rPr>
      </w:pPr>
      <w:r>
        <w:rPr>
          <w:noProof/>
        </w:rPr>
        <w:t xml:space="preserve"> 5c straipsnis</w:t>
      </w:r>
    </w:p>
    <w:p>
      <w:pPr>
        <w:keepNext/>
        <w:spacing w:before="0"/>
        <w:jc w:val="center"/>
        <w:rPr>
          <w:rFonts w:eastAsia="Times New Roman"/>
          <w:b/>
          <w:noProof/>
          <w:szCs w:val="24"/>
        </w:rPr>
      </w:pPr>
      <w:r>
        <w:rPr>
          <w:b/>
          <w:noProof/>
        </w:rPr>
        <w:t>Rizikos nevertinimas</w:t>
      </w:r>
    </w:p>
    <w:p>
      <w:pPr>
        <w:ind w:left="850" w:hanging="850"/>
        <w:rPr>
          <w:rFonts w:eastAsia="Times New Roman"/>
          <w:noProof/>
          <w:szCs w:val="24"/>
        </w:rPr>
      </w:pPr>
      <w:r>
        <w:rPr>
          <w:noProof/>
        </w:rPr>
        <w:t>1.</w:t>
      </w:r>
      <w:r>
        <w:rPr>
          <w:noProof/>
        </w:rPr>
        <w:tab/>
        <w:t>Rizikos įvertinimas neatliekamas, jeigu jau gerokai pasistūmėta naują psichoaktyviąją medžiagą vertinant pagal Jungtinių Tautų sistemą, t. y., kai Pasaulio sveikatos organizacijos narkomanijos ekspertų komitetas yra paskelbęs kritinę apžvalgą bei rašytinę rekomendaciją, išskyrus atvejus, kai gaunama reikšmingos naujos arba Sąjungai itin svarbios informacijos, į kurią nebuvo atsižvelgta vertinant pagal Jungtinių Tautų sistemą.</w:t>
      </w:r>
    </w:p>
    <w:p>
      <w:pPr>
        <w:ind w:left="850" w:hanging="850"/>
        <w:rPr>
          <w:rFonts w:eastAsia="Times New Roman"/>
          <w:noProof/>
          <w:szCs w:val="24"/>
        </w:rPr>
      </w:pPr>
      <w:r>
        <w:rPr>
          <w:noProof/>
        </w:rPr>
        <w:t>2.</w:t>
      </w:r>
      <w:r>
        <w:rPr>
          <w:noProof/>
        </w:rPr>
        <w:tab/>
        <w:t>Rizikos įvertinimas neatliekamas, jeigu nauja psichoaktyvioji medžiaga įvertinta pagal Jungtinių Tautų sistemą, tačiau nuspręsta jos neįtraukti į 1961 m. Bendrosios narkotinių medžiagų konvencijos, iš dalies pakeistos 1972 m. protokolu, arba 1971 m. Jungtinių Tautų psichotropinių medžiagų konvencijos sąrašą, išskyrus atvejus, kai gaunama reikšmingos naujos arba Sąjungai itin svarbios informacijos.</w:t>
      </w:r>
    </w:p>
    <w:p>
      <w:pPr>
        <w:ind w:left="850" w:hanging="850"/>
        <w:rPr>
          <w:rFonts w:eastAsia="Times New Roman"/>
          <w:noProof/>
          <w:szCs w:val="24"/>
        </w:rPr>
      </w:pPr>
      <w:r>
        <w:rPr>
          <w:noProof/>
        </w:rPr>
        <w:t>3.</w:t>
      </w:r>
      <w:r>
        <w:rPr>
          <w:noProof/>
        </w:rPr>
        <w:tab/>
        <w:t xml:space="preserve">Rizikos įvertinimas neatliekamas, jeigu nauja psichoaktyvioji medžiaga yra: </w:t>
      </w:r>
    </w:p>
    <w:p>
      <w:pPr>
        <w:pStyle w:val="Point1letter"/>
        <w:numPr>
          <w:ilvl w:val="3"/>
          <w:numId w:val="9"/>
        </w:numPr>
        <w:rPr>
          <w:rFonts w:eastAsia="Times New Roman"/>
          <w:noProof/>
          <w:szCs w:val="24"/>
        </w:rPr>
      </w:pPr>
      <w:r>
        <w:rPr>
          <w:noProof/>
        </w:rPr>
        <w:t xml:space="preserve">vaisto arba veterinarinio vaisto, dėl kurio suteiktas rinkodaros leidimas, veiklioji medžiaga; </w:t>
      </w:r>
    </w:p>
    <w:p>
      <w:pPr>
        <w:numPr>
          <w:ilvl w:val="3"/>
          <w:numId w:val="0"/>
        </w:numPr>
        <w:tabs>
          <w:tab w:val="num" w:pos="1417"/>
        </w:tabs>
        <w:ind w:left="1417" w:hanging="567"/>
        <w:rPr>
          <w:rFonts w:eastAsia="Times New Roman"/>
          <w:noProof/>
          <w:szCs w:val="24"/>
        </w:rPr>
      </w:pPr>
      <w:r>
        <w:rPr>
          <w:noProof/>
        </w:rPr>
        <w:t xml:space="preserve">b) </w:t>
      </w:r>
      <w:r>
        <w:rPr>
          <w:noProof/>
        </w:rPr>
        <w:tab/>
        <w:t>vaisto arba veterinarinio vaisto, dėl kurio pateikta paraiška suteikti rinkodaros leidimą, veiklioji medžiaga;</w:t>
      </w:r>
    </w:p>
    <w:p>
      <w:pPr>
        <w:numPr>
          <w:ilvl w:val="3"/>
          <w:numId w:val="0"/>
        </w:numPr>
        <w:tabs>
          <w:tab w:val="num" w:pos="1417"/>
        </w:tabs>
        <w:ind w:left="1417" w:hanging="567"/>
        <w:rPr>
          <w:rFonts w:eastAsia="Times New Roman"/>
          <w:noProof/>
          <w:szCs w:val="24"/>
        </w:rPr>
      </w:pPr>
      <w:r>
        <w:rPr>
          <w:noProof/>
        </w:rPr>
        <w:t>c)</w:t>
      </w:r>
      <w:r>
        <w:rPr>
          <w:noProof/>
        </w:rPr>
        <w:tab/>
        <w:t>vaisto arba veterinarinio vaisto, dėl kurio suteiktą rinkodaros leidimą kompetentinga institucija yra sustabdžiusi, tačiau dar neatšaukusi, veiklioji medžiaga;</w:t>
      </w:r>
    </w:p>
    <w:p>
      <w:pPr>
        <w:numPr>
          <w:ilvl w:val="3"/>
          <w:numId w:val="0"/>
        </w:numPr>
        <w:tabs>
          <w:tab w:val="num" w:pos="1417"/>
        </w:tabs>
        <w:ind w:left="1417" w:hanging="567"/>
        <w:rPr>
          <w:rFonts w:eastAsia="Times New Roman"/>
          <w:noProof/>
          <w:szCs w:val="24"/>
        </w:rPr>
      </w:pPr>
      <w:r>
        <w:rPr>
          <w:noProof/>
        </w:rPr>
        <w:t>d)</w:t>
      </w:r>
      <w:r>
        <w:rPr>
          <w:noProof/>
        </w:rPr>
        <w:tab/>
        <w:t>klinikinių tyrimų, kuriems suteiktas leidimas, ir tiriamų vaistų veiklioji medžiaga.“</w:t>
      </w:r>
    </w:p>
    <w:p>
      <w:pPr>
        <w:rPr>
          <w:noProof/>
        </w:rPr>
      </w:pPr>
    </w:p>
    <w:p>
      <w:pPr>
        <w:rPr>
          <w:noProof/>
        </w:rPr>
      </w:pPr>
      <w:r>
        <w:rPr>
          <w:noProof/>
        </w:rPr>
        <w:t>4) 13 straipsnio 2 dalies ketvirta pastraipa pakeičiama taip:</w:t>
      </w:r>
    </w:p>
    <w:p>
      <w:pPr>
        <w:rPr>
          <w:noProof/>
        </w:rPr>
      </w:pPr>
    </w:p>
    <w:p>
      <w:pPr>
        <w:rPr>
          <w:noProof/>
        </w:rPr>
      </w:pPr>
      <w:r>
        <w:rPr>
          <w:noProof/>
        </w:rPr>
        <w:t>„Siekiant įvertinti psichoaktyviosios medžiagos ar grupės naujų psichoaktyviųjų medžiagų keliamą grėsmę, Mokslo komiteto sudėtis gali būti išplečiama laikantis 5c straipsnio 4 dalyje nurodytos procedūros.“</w:t>
      </w:r>
    </w:p>
    <w:p>
      <w:pPr>
        <w:jc w:val="left"/>
        <w:outlineLvl w:val="0"/>
        <w:rPr>
          <w:rFonts w:eastAsia="Times New Roman"/>
          <w:noProof/>
          <w:szCs w:val="24"/>
        </w:rPr>
      </w:pPr>
    </w:p>
    <w:p>
      <w:pPr>
        <w:pStyle w:val="Titrearticle"/>
        <w:rPr>
          <w:noProof/>
        </w:rPr>
      </w:pPr>
      <w:r>
        <w:rPr>
          <w:noProof/>
        </w:rPr>
        <w:t>2 straipsnis</w:t>
      </w:r>
    </w:p>
    <w:p>
      <w:pPr>
        <w:rPr>
          <w:noProof/>
        </w:rPr>
      </w:pPr>
      <w:r>
        <w:rPr>
          <w:noProof/>
        </w:rPr>
        <w:t xml:space="preserve">Šis Reglamentas įsigalioja [tą pačią dieną, kurią į nacionalinę teisę perkeliama Direktyva (ES)    /   ,[kuria iš dalies keičiamas 2004 m. spalio 25 d. Tarybos pamatinis sprendimas 2004/757/TVR, nustatantis būtiniausias nuostatas dėl nusikalstamų veikų sudėties požymių ir bausmių neteisėtos prekybos narkotikais srityje]. </w:t>
      </w:r>
    </w:p>
    <w:p>
      <w:pPr>
        <w:pStyle w:val="Applicationdirecte"/>
        <w:rPr>
          <w:noProof/>
        </w:rPr>
      </w:pPr>
      <w:r>
        <w:rPr>
          <w:noProof/>
        </w:rPr>
        <w:t>Šis reglamentas privalomas visas ir tiesiogiai taikomas visose valstybėse narėse.</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FINANSINĖ TEISĖS AKTO PASIŪLYMO PAŽYMA</w:t>
      </w:r>
    </w:p>
    <w:p>
      <w:pPr>
        <w:rPr>
          <w:noProof/>
        </w:rPr>
      </w:pPr>
      <w:r>
        <w:rPr>
          <w:noProof/>
        </w:rPr>
        <w:t>1.</w:t>
      </w:r>
      <w:r>
        <w:rPr>
          <w:noProof/>
        </w:rPr>
        <w:tab/>
        <w:t xml:space="preserve">PASIŪLYMO (INICIATYVOS) STRUKTŪRA </w:t>
      </w:r>
    </w:p>
    <w:p>
      <w:pPr>
        <w:keepNext/>
        <w:tabs>
          <w:tab w:val="left" w:pos="850"/>
        </w:tabs>
        <w:ind w:left="850" w:hanging="850"/>
        <w:outlineLvl w:val="1"/>
        <w:rPr>
          <w:noProof/>
        </w:rPr>
      </w:pPr>
      <w:r>
        <w:rPr>
          <w:noProof/>
        </w:rPr>
        <w:tab/>
        <w:t>1.1.</w:t>
      </w:r>
      <w:r>
        <w:rPr>
          <w:noProof/>
        </w:rPr>
        <w:tab/>
        <w:t xml:space="preserve">Pasiūlymo (iniciatyvos) pavadinimas </w:t>
      </w:r>
    </w:p>
    <w:p>
      <w:pPr>
        <w:keepNext/>
        <w:tabs>
          <w:tab w:val="left" w:pos="850"/>
        </w:tabs>
        <w:ind w:left="850" w:hanging="850"/>
        <w:outlineLvl w:val="1"/>
        <w:rPr>
          <w:noProof/>
        </w:rPr>
      </w:pPr>
      <w:r>
        <w:rPr>
          <w:noProof/>
        </w:rPr>
        <w:tab/>
        <w:t>1.2.</w:t>
      </w:r>
      <w:r>
        <w:rPr>
          <w:noProof/>
        </w:rPr>
        <w:tab/>
        <w:t>Atitinkama (-os) politikos sritis (-ys) VGV / VGB sistemoje</w:t>
      </w:r>
    </w:p>
    <w:p>
      <w:pPr>
        <w:keepNext/>
        <w:tabs>
          <w:tab w:val="left" w:pos="850"/>
        </w:tabs>
        <w:ind w:left="850" w:hanging="850"/>
        <w:outlineLvl w:val="1"/>
        <w:rPr>
          <w:noProof/>
        </w:rPr>
      </w:pPr>
      <w:r>
        <w:rPr>
          <w:noProof/>
        </w:rPr>
        <w:tab/>
        <w:t>1.3.</w:t>
      </w:r>
      <w:r>
        <w:rPr>
          <w:noProof/>
        </w:rPr>
        <w:tab/>
        <w:t xml:space="preserve">Pasiūlymo (iniciatyvos) pobūdis </w:t>
      </w:r>
    </w:p>
    <w:p>
      <w:pPr>
        <w:keepNext/>
        <w:tabs>
          <w:tab w:val="left" w:pos="850"/>
        </w:tabs>
        <w:ind w:left="850" w:hanging="850"/>
        <w:outlineLvl w:val="1"/>
        <w:rPr>
          <w:noProof/>
        </w:rPr>
      </w:pPr>
      <w:r>
        <w:rPr>
          <w:noProof/>
        </w:rPr>
        <w:tab/>
        <w:t>1.4.</w:t>
      </w:r>
      <w:r>
        <w:rPr>
          <w:noProof/>
        </w:rPr>
        <w:tab/>
        <w:t xml:space="preserve">Tikslas (-ai) </w:t>
      </w:r>
    </w:p>
    <w:p>
      <w:pPr>
        <w:keepNext/>
        <w:tabs>
          <w:tab w:val="left" w:pos="850"/>
        </w:tabs>
        <w:ind w:left="850" w:hanging="850"/>
        <w:outlineLvl w:val="1"/>
        <w:rPr>
          <w:noProof/>
        </w:rPr>
      </w:pPr>
      <w:r>
        <w:rPr>
          <w:noProof/>
        </w:rPr>
        <w:tab/>
        <w:t>1.5.</w:t>
      </w:r>
      <w:r>
        <w:rPr>
          <w:noProof/>
        </w:rPr>
        <w:tab/>
        <w:t xml:space="preserve">Pasiūlymo (iniciatyvos) pagrindas </w:t>
      </w:r>
    </w:p>
    <w:p>
      <w:pPr>
        <w:keepNext/>
        <w:tabs>
          <w:tab w:val="left" w:pos="850"/>
        </w:tabs>
        <w:ind w:left="850" w:hanging="850"/>
        <w:outlineLvl w:val="1"/>
        <w:rPr>
          <w:noProof/>
        </w:rPr>
      </w:pPr>
      <w:r>
        <w:rPr>
          <w:noProof/>
        </w:rPr>
        <w:tab/>
        <w:t>1.6.</w:t>
      </w:r>
      <w:r>
        <w:rPr>
          <w:noProof/>
        </w:rPr>
        <w:tab/>
        <w:t xml:space="preserve">Trukmė ir finansinis poveikis </w:t>
      </w:r>
    </w:p>
    <w:p>
      <w:pPr>
        <w:keepNext/>
        <w:tabs>
          <w:tab w:val="left" w:pos="850"/>
        </w:tabs>
        <w:ind w:left="850" w:hanging="850"/>
        <w:outlineLvl w:val="1"/>
        <w:rPr>
          <w:noProof/>
        </w:rPr>
      </w:pPr>
      <w:r>
        <w:rPr>
          <w:noProof/>
        </w:rPr>
        <w:tab/>
        <w:t>1.7.</w:t>
      </w:r>
      <w:r>
        <w:rPr>
          <w:noProof/>
        </w:rPr>
        <w:tab/>
        <w:t xml:space="preserve">Numatytas (-i) valdymo būdas (-ai)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VALDYMO PRIEMONĖS </w:t>
      </w:r>
    </w:p>
    <w:p>
      <w:pPr>
        <w:keepNext/>
        <w:tabs>
          <w:tab w:val="left" w:pos="850"/>
        </w:tabs>
        <w:ind w:left="850" w:hanging="850"/>
        <w:outlineLvl w:val="1"/>
        <w:rPr>
          <w:noProof/>
        </w:rPr>
      </w:pPr>
      <w:r>
        <w:rPr>
          <w:noProof/>
        </w:rPr>
        <w:tab/>
        <w:t>2.1.</w:t>
      </w:r>
      <w:r>
        <w:rPr>
          <w:noProof/>
        </w:rPr>
        <w:tab/>
        <w:t xml:space="preserve">Stebėsenos ir atskaitomybės taisyklės </w:t>
      </w:r>
    </w:p>
    <w:p>
      <w:pPr>
        <w:keepNext/>
        <w:tabs>
          <w:tab w:val="left" w:pos="850"/>
        </w:tabs>
        <w:ind w:left="850" w:hanging="850"/>
        <w:outlineLvl w:val="1"/>
        <w:rPr>
          <w:noProof/>
        </w:rPr>
      </w:pPr>
      <w:r>
        <w:rPr>
          <w:noProof/>
        </w:rPr>
        <w:tab/>
        <w:t>2.2.</w:t>
      </w:r>
      <w:r>
        <w:rPr>
          <w:noProof/>
        </w:rPr>
        <w:tab/>
        <w:t xml:space="preserve">Valdymo ir kontrolės sistema </w:t>
      </w:r>
    </w:p>
    <w:p>
      <w:pPr>
        <w:keepNext/>
        <w:tabs>
          <w:tab w:val="left" w:pos="850"/>
        </w:tabs>
        <w:ind w:left="850" w:hanging="850"/>
        <w:outlineLvl w:val="1"/>
        <w:rPr>
          <w:noProof/>
        </w:rPr>
      </w:pPr>
      <w:r>
        <w:rPr>
          <w:noProof/>
        </w:rPr>
        <w:tab/>
        <w:t>2.3.</w:t>
      </w:r>
      <w:r>
        <w:rPr>
          <w:noProof/>
        </w:rPr>
        <w:tab/>
        <w:t xml:space="preserve">Sukčiavimo ir pažeidimų prevencinės priemonės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NUMATOMAS PASIŪLYMO (INICIATYVOS) FINANSINIS POVEIKIS </w:t>
      </w:r>
    </w:p>
    <w:p>
      <w:pPr>
        <w:keepNext/>
        <w:tabs>
          <w:tab w:val="left" w:pos="850"/>
        </w:tabs>
        <w:ind w:left="850" w:hanging="850"/>
        <w:outlineLvl w:val="1"/>
        <w:rPr>
          <w:noProof/>
        </w:rPr>
      </w:pPr>
      <w:r>
        <w:rPr>
          <w:noProof/>
        </w:rPr>
        <w:tab/>
        <w:t>3.1.</w:t>
      </w:r>
      <w:r>
        <w:rPr>
          <w:noProof/>
        </w:rPr>
        <w:tab/>
        <w:t xml:space="preserve">Atitinkama (-os) daugiametės finansinės programos išlaidų kategorija (-os) ir biudžeto išlaidų eilutė (-ės) </w:t>
      </w:r>
    </w:p>
    <w:p>
      <w:pPr>
        <w:keepNext/>
        <w:tabs>
          <w:tab w:val="left" w:pos="850"/>
        </w:tabs>
        <w:ind w:left="850" w:hanging="850"/>
        <w:outlineLvl w:val="1"/>
        <w:rPr>
          <w:b/>
          <w:noProof/>
        </w:rPr>
      </w:pPr>
      <w:r>
        <w:rPr>
          <w:noProof/>
        </w:rPr>
        <w:tab/>
        <w:t>3.2.</w:t>
      </w:r>
      <w:r>
        <w:rPr>
          <w:noProof/>
        </w:rPr>
        <w:tab/>
        <w:t>Numatomas poveikis išlaidoms</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Numatomo poveikio išlaidoms suvestinė </w:t>
      </w:r>
    </w:p>
    <w:p>
      <w:pPr>
        <w:keepNext/>
        <w:tabs>
          <w:tab w:val="left" w:pos="850"/>
        </w:tabs>
        <w:ind w:left="850" w:hanging="850"/>
        <w:outlineLvl w:val="2"/>
        <w:rPr>
          <w:i/>
          <w:noProof/>
        </w:rPr>
      </w:pPr>
      <w:r>
        <w:rPr>
          <w:noProof/>
        </w:rPr>
        <w:tab/>
      </w:r>
      <w:r>
        <w:rPr>
          <w:i/>
          <w:noProof/>
        </w:rPr>
        <w:t>3.2.2.</w:t>
      </w:r>
      <w:r>
        <w:rPr>
          <w:noProof/>
        </w:rPr>
        <w:tab/>
      </w:r>
      <w:r>
        <w:rPr>
          <w:i/>
          <w:noProof/>
        </w:rPr>
        <w:t xml:space="preserve">Numatomas poveikis veiklos asignavimams </w:t>
      </w:r>
    </w:p>
    <w:p>
      <w:pPr>
        <w:keepNext/>
        <w:tabs>
          <w:tab w:val="left" w:pos="850"/>
        </w:tabs>
        <w:ind w:left="850" w:hanging="850"/>
        <w:outlineLvl w:val="2"/>
        <w:rPr>
          <w:i/>
          <w:noProof/>
        </w:rPr>
      </w:pPr>
      <w:r>
        <w:rPr>
          <w:noProof/>
        </w:rPr>
        <w:tab/>
      </w:r>
      <w:r>
        <w:rPr>
          <w:i/>
          <w:noProof/>
        </w:rPr>
        <w:t>3.2.3.</w:t>
      </w:r>
      <w:r>
        <w:rPr>
          <w:noProof/>
        </w:rPr>
        <w:tab/>
      </w:r>
      <w:r>
        <w:rPr>
          <w:i/>
          <w:noProof/>
        </w:rPr>
        <w:t>Numatomas poveikis administracinio pobūdžio asignavimams</w:t>
      </w:r>
    </w:p>
    <w:p>
      <w:pPr>
        <w:keepNext/>
        <w:tabs>
          <w:tab w:val="left" w:pos="850"/>
        </w:tabs>
        <w:ind w:left="850" w:hanging="850"/>
        <w:outlineLvl w:val="2"/>
        <w:rPr>
          <w:i/>
          <w:noProof/>
        </w:rPr>
      </w:pPr>
      <w:r>
        <w:rPr>
          <w:noProof/>
        </w:rPr>
        <w:tab/>
      </w:r>
      <w:r>
        <w:rPr>
          <w:i/>
          <w:noProof/>
        </w:rPr>
        <w:t>3.2.4.</w:t>
      </w:r>
      <w:r>
        <w:rPr>
          <w:noProof/>
        </w:rPr>
        <w:tab/>
      </w:r>
      <w:r>
        <w:rPr>
          <w:i/>
          <w:noProof/>
        </w:rPr>
        <w:t>Suderinamumas su dabartine daugiamete finansine programa</w:t>
      </w:r>
    </w:p>
    <w:p>
      <w:pPr>
        <w:keepNext/>
        <w:tabs>
          <w:tab w:val="left" w:pos="850"/>
        </w:tabs>
        <w:ind w:left="850" w:hanging="850"/>
        <w:outlineLvl w:val="2"/>
        <w:rPr>
          <w:i/>
          <w:noProof/>
        </w:rPr>
      </w:pPr>
      <w:r>
        <w:rPr>
          <w:noProof/>
        </w:rPr>
        <w:tab/>
      </w:r>
      <w:r>
        <w:rPr>
          <w:i/>
          <w:noProof/>
        </w:rPr>
        <w:t>3.2.5.</w:t>
      </w:r>
      <w:r>
        <w:rPr>
          <w:noProof/>
        </w:rPr>
        <w:tab/>
      </w:r>
      <w:r>
        <w:rPr>
          <w:i/>
          <w:noProof/>
        </w:rPr>
        <w:t xml:space="preserve">Trečiųjų šalių įnašai </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Numatomas poveikis įplaukoms</w:t>
      </w:r>
    </w:p>
    <w:p>
      <w:pPr>
        <w:jc w:val="center"/>
        <w:rPr>
          <w:b/>
          <w:noProof/>
          <w:u w:val="single"/>
        </w:rPr>
      </w:pPr>
      <w:r>
        <w:rPr>
          <w:b/>
          <w:noProof/>
          <w:u w:val="single"/>
        </w:rPr>
        <w:t>FINANSINĖ TEISĖS AKTO PASIŪLYMO PAŽYMA</w:t>
      </w:r>
    </w:p>
    <w:p>
      <w:pPr>
        <w:pStyle w:val="ManualNumPar1"/>
        <w:rPr>
          <w:noProof/>
        </w:rPr>
      </w:pPr>
      <w:r>
        <w:t>1.</w:t>
      </w:r>
      <w:r>
        <w:tab/>
      </w:r>
      <w:r>
        <w:rPr>
          <w:noProof/>
        </w:rPr>
        <w:t xml:space="preserve">PASIŪLYMO (INICIATYVOS) STRUKTŪRA </w:t>
      </w:r>
    </w:p>
    <w:p>
      <w:pPr>
        <w:pStyle w:val="ManualNumPar2"/>
        <w:rPr>
          <w:noProof/>
        </w:rPr>
      </w:pPr>
      <w:r>
        <w:t>1.1.</w:t>
      </w:r>
      <w:r>
        <w:tab/>
      </w:r>
      <w:r>
        <w:rPr>
          <w:noProof/>
        </w:rPr>
        <w:t xml:space="preserve">Pasiūlymo (iniciatyvos) pavadinimas </w:t>
      </w:r>
    </w:p>
    <w:p>
      <w:pPr>
        <w:pBdr>
          <w:top w:val="single" w:sz="4" w:space="1" w:color="auto"/>
          <w:left w:val="single" w:sz="4" w:space="4" w:color="auto"/>
          <w:bottom w:val="single" w:sz="4" w:space="1" w:color="auto"/>
          <w:right w:val="single" w:sz="4" w:space="4" w:color="auto"/>
        </w:pBdr>
        <w:ind w:left="850"/>
        <w:rPr>
          <w:noProof/>
        </w:rPr>
      </w:pPr>
      <w:r>
        <w:rPr>
          <w:noProof/>
        </w:rPr>
        <w:t>Europos Parlamento ir Tarybos reglamento, kuriuo iš dalies keičiamos 2006 m. gruodžio 12 d. Reglamentas (EB) Nr. 1920/2006 dėl Europos narkotikų ir narkomanijos stebėsenos centro nuostatos dėl keitimosi informacija apie naujas psichoaktyviąsias medžiagas, ankstyvojo perspėjimo sistemas ir rizikos įvertinimo procedūrą, pasiūlymas</w:t>
      </w:r>
    </w:p>
    <w:p>
      <w:pPr>
        <w:pStyle w:val="ManualNumPar2"/>
        <w:rPr>
          <w:noProof/>
        </w:rPr>
      </w:pPr>
      <w:r>
        <w:t>1.2.</w:t>
      </w:r>
      <w:r>
        <w:tab/>
      </w:r>
      <w:r>
        <w:rPr>
          <w:noProof/>
        </w:rPr>
        <w:t>Atitinkama (-os) politikos sritis (-ys) VGV / VGB sistemoje</w:t>
      </w:r>
      <w:r>
        <w:rPr>
          <w:rStyle w:val="FootnoteReference"/>
          <w:b/>
          <w:noProof/>
        </w:rPr>
        <w:footnoteReference w:id="20"/>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18 – Migracija ir vidaus reikalai</w:t>
      </w:r>
    </w:p>
    <w:p>
      <w:pPr>
        <w:pStyle w:val="ManualNumPar2"/>
        <w:rPr>
          <w:noProof/>
        </w:rPr>
      </w:pPr>
      <w:r>
        <w:t>1.3.</w:t>
      </w:r>
      <w:r>
        <w:tab/>
      </w:r>
      <w:r>
        <w:rPr>
          <w:noProof/>
        </w:rPr>
        <w:t xml:space="preserve">Pasiūlymo (iniciatyvos) pobūdis </w:t>
      </w:r>
    </w:p>
    <w:p>
      <w:pPr>
        <w:ind w:left="850"/>
        <w:rPr>
          <w:b/>
          <w:noProof/>
          <w:sz w:val="22"/>
        </w:rPr>
      </w:pPr>
      <w:r>
        <w:rPr>
          <w:noProof/>
          <w:sz w:val="22"/>
        </w:rPr>
        <w:sym w:font="Wingdings" w:char="F0FD"/>
      </w:r>
      <w:r>
        <w:rPr>
          <w:noProof/>
        </w:rPr>
        <w:t xml:space="preserve"> Pasiūlymas (iniciatyva) susijęs su </w:t>
      </w:r>
      <w:r>
        <w:rPr>
          <w:b/>
          <w:noProof/>
        </w:rPr>
        <w:t>nauju veiksmu pagal agentūros įgaliojimus (eksponentinis augimas)</w:t>
      </w:r>
    </w:p>
    <w:p>
      <w:pPr>
        <w:ind w:left="850"/>
        <w:rPr>
          <w:noProof/>
          <w:sz w:val="22"/>
        </w:rPr>
      </w:pPr>
      <w:r>
        <w:rPr>
          <w:noProof/>
          <w:sz w:val="22"/>
        </w:rPr>
        <w:sym w:font="Wingdings" w:char="F0A8"/>
      </w:r>
      <w:r>
        <w:rPr>
          <w:noProof/>
          <w:sz w:val="22"/>
        </w:rPr>
        <w:t xml:space="preserve"> </w:t>
      </w:r>
      <w:r>
        <w:rPr>
          <w:noProof/>
        </w:rPr>
        <w:t xml:space="preserve">Pasiūlymas (iniciatyva) susijęs (-usi) su </w:t>
      </w:r>
      <w:r>
        <w:rPr>
          <w:b/>
          <w:noProof/>
        </w:rPr>
        <w:t>nauja priemone, kuri bus priimta įgyvendinus bandomąjį projektą ir (arba) atlikus parengiamuosius veiksmus</w:t>
      </w:r>
      <w:r>
        <w:rPr>
          <w:rStyle w:val="FootnoteReference"/>
          <w:noProof/>
        </w:rPr>
        <w:footnoteReference w:id="21"/>
      </w:r>
      <w:r>
        <w:rPr>
          <w:noProof/>
          <w:sz w:val="22"/>
        </w:rPr>
        <w:t xml:space="preserve"> </w:t>
      </w:r>
    </w:p>
    <w:p>
      <w:pPr>
        <w:ind w:left="850"/>
        <w:rPr>
          <w:noProof/>
          <w:sz w:val="22"/>
        </w:rPr>
      </w:pPr>
      <w:r>
        <w:rPr>
          <w:noProof/>
          <w:sz w:val="22"/>
        </w:rPr>
        <w:sym w:font="Wingdings" w:char="F0A8"/>
      </w:r>
      <w:r>
        <w:rPr>
          <w:noProof/>
          <w:sz w:val="22"/>
        </w:rPr>
        <w:t xml:space="preserve"> </w:t>
      </w:r>
      <w:r>
        <w:rPr>
          <w:noProof/>
        </w:rPr>
        <w:t xml:space="preserve">Pasiūlymas (iniciatyva) susijęs (-usi) su </w:t>
      </w:r>
      <w:r>
        <w:rPr>
          <w:b/>
          <w:noProof/>
        </w:rPr>
        <w:t>esamos priemonės galiojimo pratęsimu</w:t>
      </w:r>
      <w:r>
        <w:rPr>
          <w:noProof/>
          <w:sz w:val="22"/>
        </w:rPr>
        <w:t xml:space="preserve"> </w:t>
      </w:r>
    </w:p>
    <w:p>
      <w:pPr>
        <w:ind w:left="850"/>
        <w:rPr>
          <w:noProof/>
        </w:rPr>
      </w:pPr>
      <w:r>
        <w:rPr>
          <w:noProof/>
          <w:sz w:val="22"/>
        </w:rPr>
        <w:sym w:font="Wingdings" w:char="F0A8"/>
      </w:r>
      <w:r>
        <w:rPr>
          <w:noProof/>
          <w:sz w:val="22"/>
        </w:rPr>
        <w:t xml:space="preserve"> </w:t>
      </w:r>
      <w:r>
        <w:rPr>
          <w:noProof/>
        </w:rPr>
        <w:t xml:space="preserve">Pasiūlymas (iniciatyva) susijęs (-usi) </w:t>
      </w:r>
      <w:r>
        <w:rPr>
          <w:b/>
          <w:noProof/>
        </w:rPr>
        <w:t>su priemone, perorientuota į naują priemonę</w:t>
      </w:r>
      <w:r>
        <w:rPr>
          <w:noProof/>
        </w:rPr>
        <w:t xml:space="preserve"> </w:t>
      </w:r>
    </w:p>
    <w:p>
      <w:pPr>
        <w:pStyle w:val="ManualNumPar2"/>
        <w:rPr>
          <w:noProof/>
        </w:rPr>
      </w:pPr>
      <w:r>
        <w:t>1.4.</w:t>
      </w:r>
      <w:r>
        <w:tab/>
      </w:r>
      <w:r>
        <w:rPr>
          <w:noProof/>
        </w:rPr>
        <w:t>Tikslas (-ai)</w:t>
      </w:r>
    </w:p>
    <w:p>
      <w:pPr>
        <w:pStyle w:val="ManualNumPar3"/>
        <w:rPr>
          <w:noProof/>
        </w:rPr>
      </w:pPr>
      <w:r>
        <w:t>1.4.1.</w:t>
      </w:r>
      <w:r>
        <w:tab/>
      </w:r>
      <w:r>
        <w:rPr>
          <w:noProof/>
        </w:rPr>
        <w:t xml:space="preserve">Komisijos daugiametis (-čiai) strateginis (-iai) tikslas (-ai), kurio (-ių) siekiama šiuo pasiūlymu (šia iniciatyva) </w:t>
      </w:r>
    </w:p>
    <w:p>
      <w:pPr>
        <w:pBdr>
          <w:top w:val="single" w:sz="4" w:space="1" w:color="auto"/>
          <w:left w:val="single" w:sz="4" w:space="4" w:color="auto"/>
          <w:bottom w:val="single" w:sz="4" w:space="1" w:color="auto"/>
          <w:right w:val="single" w:sz="4" w:space="4" w:color="auto"/>
        </w:pBdr>
        <w:ind w:left="850"/>
        <w:rPr>
          <w:noProof/>
        </w:rPr>
      </w:pPr>
      <w:r>
        <w:rPr>
          <w:noProof/>
        </w:rPr>
        <w:t>2016 m. Komisijos darbo programoje „Abipusiu pasitikėjimu grindžiama teisingumo ir pagrindinių teisių erdvė“ pateikiama nuoroda į Europos saugumo darbotvarkės įgyvendinimą (COM(2015) 185 </w:t>
      </w:r>
      <w:r>
        <w:rPr>
          <w:i/>
          <w:noProof/>
        </w:rPr>
        <w:t>final</w:t>
      </w:r>
      <w:r>
        <w:rPr>
          <w:noProof/>
        </w:rPr>
        <w:t xml:space="preserve">, priimta 2015 4 28). Europos saugumo darbotvarkėje teigiama: </w:t>
      </w:r>
    </w:p>
    <w:p>
      <w:pPr>
        <w:pBdr>
          <w:top w:val="single" w:sz="4" w:space="1" w:color="auto"/>
          <w:left w:val="single" w:sz="4" w:space="4" w:color="auto"/>
          <w:bottom w:val="single" w:sz="4" w:space="1" w:color="auto"/>
          <w:right w:val="single" w:sz="4" w:space="4" w:color="auto"/>
        </w:pBdr>
        <w:ind w:left="850"/>
        <w:rPr>
          <w:noProof/>
        </w:rPr>
      </w:pPr>
      <w:r>
        <w:rPr>
          <w:noProof/>
        </w:rPr>
        <w:t>„Neteisėtų narkotikų rinka išlieka dinamiškiausia iš visų nusikalstamų rinkų; joje vyrauja nauja tendencija – naujų psichoaktyviųjų medžiagų (NPS) platinimas. Vis dažniau psichoaktyviosios medžiagos gaminamos ES, todėl reikia skubiai priimti naują teisės aktų sistemą.“</w:t>
      </w:r>
    </w:p>
    <w:p>
      <w:pPr>
        <w:pStyle w:val="ManualNumPar3"/>
        <w:rPr>
          <w:noProof/>
        </w:rPr>
      </w:pPr>
      <w:r>
        <w:t>1.4.2.</w:t>
      </w:r>
      <w:r>
        <w:tab/>
      </w:r>
      <w:r>
        <w:rPr>
          <w:noProof/>
        </w:rPr>
        <w:t xml:space="preserve">Konkretus (-ūs) tikslas (-ai) ir atitinkama VGV / VGB veikla </w:t>
      </w:r>
    </w:p>
    <w:p>
      <w:pPr>
        <w:pBdr>
          <w:top w:val="single" w:sz="4" w:space="1" w:color="auto"/>
          <w:left w:val="single" w:sz="4" w:space="4" w:color="auto"/>
          <w:bottom w:val="single" w:sz="4" w:space="1" w:color="auto"/>
          <w:right w:val="single" w:sz="4" w:space="4" w:color="auto"/>
        </w:pBdr>
        <w:ind w:left="850"/>
        <w:rPr>
          <w:bCs/>
          <w:noProof/>
        </w:rPr>
      </w:pPr>
      <w:r>
        <w:rPr>
          <w:noProof/>
          <w:u w:val="single"/>
        </w:rPr>
        <w:t>Susijęs bendrasis tikslas.</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Prisidėti užtikrinant aukštą saugumo lygį Europos Sąjungoje ir lengvinti teisėtas keliones, atliekant vieningą ir aukšto lygio patikrą prie išorės sienų ir veiksmingai tvarkant Šengeno vizas, laikantis Sąjungos įsipareigojimo gerbti pagrindines laisves ir žmogaus teises.</w:t>
      </w: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t xml:space="preserve">6 konkretus tikslas. </w:t>
      </w:r>
    </w:p>
    <w:p>
      <w:pPr>
        <w:pBdr>
          <w:top w:val="single" w:sz="4" w:space="1" w:color="auto"/>
          <w:left w:val="single" w:sz="4" w:space="4" w:color="auto"/>
          <w:bottom w:val="single" w:sz="4" w:space="1" w:color="auto"/>
          <w:right w:val="single" w:sz="4" w:space="4" w:color="auto"/>
        </w:pBdr>
        <w:ind w:left="850"/>
        <w:rPr>
          <w:bCs/>
          <w:noProof/>
        </w:rPr>
      </w:pPr>
      <w:r>
        <w:rPr>
          <w:noProof/>
        </w:rPr>
        <w:t>Remti iniciatyvas kovos su narkotikai politikos srityje, kiek tai susiję su teisminio bendradarbiavimo ir nusikaltimų prevencijos aspektais, glaudžiai susijusiais su bendruoju teisingumo programos tikslu, jeigu jos nepriklauso VSF arba programai „Sveikata ekonomikos augimui skatinti“.</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t xml:space="preserve">7 konkretus tikslas. </w:t>
      </w:r>
    </w:p>
    <w:p>
      <w:pPr>
        <w:pBdr>
          <w:top w:val="single" w:sz="4" w:space="1" w:color="auto"/>
          <w:left w:val="single" w:sz="4" w:space="4" w:color="auto"/>
          <w:bottom w:val="single" w:sz="4" w:space="1" w:color="auto"/>
          <w:right w:val="single" w:sz="4" w:space="4" w:color="auto"/>
        </w:pBdr>
        <w:ind w:left="850"/>
        <w:rPr>
          <w:noProof/>
        </w:rPr>
      </w:pPr>
      <w:r>
        <w:rPr>
          <w:noProof/>
        </w:rPr>
        <w:t xml:space="preserve">Prisidėti prie narkotikų vartojimo ir neteisėtos prekybos bei narkotikų individams ir visuomenei daromos žalos mažinimo taikant priemones, skirtas mažinti naujų narkotikų įsigijimo galimybių, gerinti narkotikų poreikio mažinimo tarnybų ir informacijos apie narkotikų pasiūlą kokybę, remiant informuotumo apie narkotikų keliamas grėsmes didinimo veiksmus, didinti gydymo efektyvumą ir remti tarpvalstybinį operatyvinį bendradarbiavimą kovojant su narkotikais.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Atitinkama VGV / VGB veikla</w:t>
      </w:r>
    </w:p>
    <w:p>
      <w:pPr>
        <w:pBdr>
          <w:top w:val="single" w:sz="4" w:space="1" w:color="auto"/>
          <w:left w:val="single" w:sz="4" w:space="4" w:color="auto"/>
          <w:bottom w:val="single" w:sz="4" w:space="1" w:color="auto"/>
          <w:right w:val="single" w:sz="4" w:space="4" w:color="auto"/>
        </w:pBdr>
        <w:ind w:left="850"/>
        <w:rPr>
          <w:noProof/>
        </w:rPr>
      </w:pPr>
      <w:r>
        <w:rPr>
          <w:noProof/>
        </w:rPr>
        <w:t>Kova su narkotikais</w:t>
      </w:r>
    </w:p>
    <w:p>
      <w:pPr>
        <w:pStyle w:val="ManualNumPar3"/>
        <w:rPr>
          <w:noProof/>
        </w:rPr>
      </w:pPr>
      <w:r>
        <w:t>1.4.3.</w:t>
      </w:r>
      <w:r>
        <w:tab/>
      </w:r>
      <w:r>
        <w:rPr>
          <w:noProof/>
        </w:rPr>
        <w:t>Numatomas (-i) rezultatas (-ai) ir poveikis</w:t>
      </w:r>
    </w:p>
    <w:p>
      <w:pPr>
        <w:ind w:left="850"/>
        <w:rPr>
          <w:i/>
          <w:noProof/>
          <w:sz w:val="20"/>
        </w:rPr>
      </w:pPr>
      <w:r>
        <w:rPr>
          <w:i/>
          <w:noProof/>
          <w:sz w:val="20"/>
        </w:rPr>
        <w:t>Nurodyti poveikį, kurį pasiūlymas (iniciatyva) turėtų padaryti tiksliniams gavėjams (tikslinėms grupėms).</w:t>
      </w:r>
    </w:p>
    <w:p>
      <w:pPr>
        <w:pBdr>
          <w:top w:val="single" w:sz="4" w:space="1" w:color="auto"/>
          <w:left w:val="single" w:sz="4" w:space="4" w:color="auto"/>
          <w:bottom w:val="single" w:sz="4" w:space="1" w:color="auto"/>
          <w:right w:val="single" w:sz="4" w:space="4" w:color="auto"/>
        </w:pBdr>
        <w:ind w:left="850"/>
        <w:rPr>
          <w:noProof/>
        </w:rPr>
      </w:pPr>
      <w:r>
        <w:rPr>
          <w:noProof/>
        </w:rPr>
        <w:t>Sukurti veiksmingą ir efektyvią ankstyvojo perspėjimo apie naujas psichoaktyviąsias medžiagas sistemą ir jų rizikos įvertinimo procedūrą, siekiant aktyviai apsaugoti, nustatyti, pagrįsti naujų psichoaktyviųjų medžiagų daromą didelę žalą, užkirsti jai kelią ir į ją reaguoti ir užtikrinti, kad naujos psichoaktyviosios medžiagos būtų kriminalizuojamos visose valstybėse narėse pagal Direktyvą (ES) .../... [kuria iš dalies keičiamas Tarybos pamatinis sprendimas 2004/757/TVR].</w:t>
      </w:r>
    </w:p>
    <w:p>
      <w:pPr>
        <w:pStyle w:val="ManualNumPar3"/>
        <w:rPr>
          <w:noProof/>
        </w:rPr>
      </w:pPr>
      <w:r>
        <w:t>1.4.4.</w:t>
      </w:r>
      <w:r>
        <w:tab/>
      </w:r>
      <w:r>
        <w:rPr>
          <w:noProof/>
        </w:rPr>
        <w:t xml:space="preserve">Rezultatų ir poveikio rodikliai </w:t>
      </w:r>
    </w:p>
    <w:p>
      <w:pPr>
        <w:ind w:left="850"/>
        <w:rPr>
          <w:i/>
          <w:noProof/>
          <w:sz w:val="20"/>
        </w:rPr>
      </w:pPr>
      <w:r>
        <w:rPr>
          <w:i/>
          <w:noProof/>
          <w:sz w:val="20"/>
        </w:rPr>
        <w:t>Nurodyti pasiūlymo (iniciatyvos) įgyvendinimo stebėjimo rodiklius.</w:t>
      </w:r>
    </w:p>
    <w:p>
      <w:pPr>
        <w:pBdr>
          <w:top w:val="single" w:sz="4" w:space="1" w:color="auto"/>
          <w:left w:val="single" w:sz="4" w:space="4" w:color="auto"/>
          <w:bottom w:val="single" w:sz="4" w:space="1" w:color="auto"/>
          <w:right w:val="single" w:sz="4" w:space="4" w:color="auto"/>
        </w:pBdr>
        <w:ind w:left="850"/>
        <w:rPr>
          <w:bCs/>
          <w:noProof/>
        </w:rPr>
      </w:pPr>
      <w:r>
        <w:rPr>
          <w:noProof/>
        </w:rPr>
        <w:t xml:space="preserve">1 rezultatų rodiklis (6 tikslas). </w:t>
      </w:r>
    </w:p>
    <w:p>
      <w:pPr>
        <w:pBdr>
          <w:top w:val="single" w:sz="4" w:space="1" w:color="auto"/>
          <w:left w:val="single" w:sz="4" w:space="4" w:color="auto"/>
          <w:bottom w:val="single" w:sz="4" w:space="1" w:color="auto"/>
          <w:right w:val="single" w:sz="4" w:space="4" w:color="auto"/>
        </w:pBdr>
        <w:ind w:left="850"/>
        <w:rPr>
          <w:noProof/>
        </w:rPr>
      </w:pPr>
      <w:r>
        <w:rPr>
          <w:noProof/>
        </w:rPr>
        <w:t>Įvertintų naujų psichoaktyviųjų medžiagų (prireikus įskaitant tyrimus) skaičius, leidžiantis ES arba valstybėms narėms imtis atitinkamų vartotojų apsaugos veiksmų, priklausomai nuo pobūdžio ir rizikos, kurią jos gali kelti vartotojams.</w:t>
      </w:r>
    </w:p>
    <w:p>
      <w:pPr>
        <w:pBdr>
          <w:top w:val="single" w:sz="4" w:space="1" w:color="auto"/>
          <w:left w:val="single" w:sz="4" w:space="4" w:color="auto"/>
          <w:bottom w:val="single" w:sz="4" w:space="1" w:color="auto"/>
          <w:right w:val="single" w:sz="4" w:space="4" w:color="auto"/>
        </w:pBdr>
        <w:ind w:left="850"/>
        <w:rPr>
          <w:bCs/>
          <w:noProof/>
        </w:rPr>
      </w:pPr>
      <w:r>
        <w:rPr>
          <w:noProof/>
        </w:rPr>
        <w:t xml:space="preserve">3 rezultatų rodiklis (7 tikslas). </w:t>
      </w:r>
    </w:p>
    <w:p>
      <w:pPr>
        <w:pBdr>
          <w:top w:val="single" w:sz="4" w:space="1" w:color="auto"/>
          <w:left w:val="single" w:sz="4" w:space="4" w:color="auto"/>
          <w:bottom w:val="single" w:sz="4" w:space="1" w:color="auto"/>
          <w:right w:val="single" w:sz="4" w:space="4" w:color="auto"/>
        </w:pBdr>
        <w:ind w:left="850"/>
        <w:rPr>
          <w:noProof/>
        </w:rPr>
      </w:pPr>
      <w:r>
        <w:rPr>
          <w:noProof/>
        </w:rPr>
        <w:t>Naujų psichoaktyviųjų medžiagų, apie kurias pranešė kelios valstybės narės ir kurios atrodo keliančios riziką, rizikos įvertinimo (prireikus įskaitant tyrimus) mastas, leidžiantis ES arba valstybėms narėms imtis atitinkamų vartotojų apsaugos veiksmų.</w:t>
      </w:r>
    </w:p>
    <w:p>
      <w:pPr>
        <w:pStyle w:val="ManualNumPar2"/>
        <w:rPr>
          <w:noProof/>
        </w:rPr>
      </w:pPr>
      <w:r>
        <w:rPr>
          <w:noProof/>
        </w:rPr>
        <w:br w:type="page"/>
      </w:r>
      <w:r>
        <w:t>1.5.</w:t>
      </w:r>
      <w:r>
        <w:tab/>
      </w:r>
      <w:r>
        <w:rPr>
          <w:noProof/>
        </w:rPr>
        <w:t xml:space="preserve">Pasiūlymo (iniciatyvos) pagrindas </w:t>
      </w:r>
    </w:p>
    <w:p>
      <w:pPr>
        <w:pStyle w:val="ManualNumPar3"/>
        <w:rPr>
          <w:noProof/>
        </w:rPr>
      </w:pPr>
      <w:r>
        <w:t>1.5.1.</w:t>
      </w:r>
      <w:r>
        <w:tab/>
      </w:r>
      <w:r>
        <w:rPr>
          <w:noProof/>
        </w:rPr>
        <w:t xml:space="preserve">Trumpalaikiai arba ilgalaikiai poreikiai </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Apsaugoti vartotojų sveikatą nuo kenksmingų naujų psichoaktyviųjų medžiagų keliamos rizikos</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Sukurti pagrindą priimti Sąjungos lygmens sprendimą dėl kenksmingų naujų psichoaktyviųjų medžiagų kriminalizavimo pagal Direktyvą (ES) .../... [kuria iš dalies keičiamas Tarybos pamatinis sprendimas 2004/757/TVR]</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Gerinti pajėgumus greitai nustatyti ir įvertinti naujas psichoaktyviąsias medžiagas</w:t>
      </w:r>
    </w:p>
    <w:p>
      <w:pPr>
        <w:pStyle w:val="ManualNumPar3"/>
        <w:rPr>
          <w:noProof/>
        </w:rPr>
      </w:pPr>
      <w:r>
        <w:t>1.5.2.</w:t>
      </w:r>
      <w:r>
        <w:tab/>
      </w:r>
      <w:r>
        <w:rPr>
          <w:noProof/>
        </w:rPr>
        <w:t>Papildoma ES dalyvavimo nauda</w:t>
      </w:r>
    </w:p>
    <w:p>
      <w:pPr>
        <w:pBdr>
          <w:top w:val="single" w:sz="4" w:space="1" w:color="auto"/>
          <w:left w:val="single" w:sz="4" w:space="4" w:color="auto"/>
          <w:bottom w:val="single" w:sz="4" w:space="1" w:color="auto"/>
          <w:right w:val="single" w:sz="4" w:space="4" w:color="auto"/>
        </w:pBdr>
        <w:ind w:left="850"/>
        <w:rPr>
          <w:noProof/>
        </w:rPr>
      </w:pPr>
      <w:r>
        <w:rPr>
          <w:noProof/>
        </w:rPr>
        <w:t>Sustiprinta ankstyvojo perspėjimo sistema pagerintų valstybių narių tarpusavio keitimąsi informacija, o tai itin padėtų pagerinti valstybių narių perspėjimą apie potencialiai kenksmingas medžiagas, atsiradusias kitose valstybėse narėse, kad jos galėtų pasirengti galimai grėsmei visuomenės sveikatai. Naujų psichoaktyviųjų medžiagų rizikos įvertinimas ES lygmeniu papildomai naudingas tuo, kad leidžia sutelkti visos Sąjungos mokslo išteklius ir analitinius pajėgumus ir užtikrinti geriausius duomenis apie medžiagą; taip sukuriamas tvirtas pagrindas priimti Sąjungos lygmens sprendimus dėl naujų psichoaktyviųjų medžiagų pagal Direktyvą (ES) .../... [kuria iš dalies keičiamas Tarybos pamatinis sprendimas 2004/757/TVR].</w:t>
      </w:r>
    </w:p>
    <w:p>
      <w:pPr>
        <w:pStyle w:val="ManualNumPar3"/>
        <w:rPr>
          <w:noProof/>
        </w:rPr>
      </w:pPr>
      <w:r>
        <w:t>1.5.3.</w:t>
      </w:r>
      <w:r>
        <w:tab/>
      </w:r>
      <w:r>
        <w:rPr>
          <w:noProof/>
        </w:rPr>
        <w:t>Panašios patirties išvados</w:t>
      </w:r>
    </w:p>
    <w:p>
      <w:pPr>
        <w:pBdr>
          <w:top w:val="single" w:sz="4" w:space="1" w:color="auto"/>
          <w:left w:val="single" w:sz="4" w:space="4" w:color="auto"/>
          <w:bottom w:val="single" w:sz="4" w:space="1" w:color="auto"/>
          <w:right w:val="single" w:sz="4" w:space="4" w:color="auto"/>
        </w:pBdr>
        <w:ind w:left="850"/>
        <w:rPr>
          <w:noProof/>
        </w:rPr>
      </w:pPr>
      <w:r>
        <w:rPr>
          <w:noProof/>
        </w:rPr>
        <w:t>Šiuo metu veikianti sistema, pagrįsta Tarybos sprendimu 2005/387/TVR dėl keitimosi informacija apie naujas psichoaktyvias medžiagas, jų rizikos įvertinimo ir kontrolės, veikia pernelyg lėtai, kad būtų galima veiksmingai įvertinti gausėjančias naujas psichoaktyviąsias medžiagas.</w:t>
      </w:r>
    </w:p>
    <w:p>
      <w:pPr>
        <w:pStyle w:val="ManualNumPar3"/>
        <w:rPr>
          <w:noProof/>
        </w:rPr>
      </w:pPr>
      <w:r>
        <w:t>1.5.4.</w:t>
      </w:r>
      <w:r>
        <w:tab/>
      </w:r>
      <w:r>
        <w:rPr>
          <w:noProof/>
        </w:rPr>
        <w:t>Suderinamumas ir galima sąveika su kitomis atitinkamomis priemonėmis</w:t>
      </w:r>
    </w:p>
    <w:p>
      <w:pPr>
        <w:pBdr>
          <w:top w:val="single" w:sz="4" w:space="1" w:color="auto"/>
          <w:left w:val="single" w:sz="4" w:space="4" w:color="auto"/>
          <w:bottom w:val="single" w:sz="4" w:space="1" w:color="auto"/>
          <w:right w:val="single" w:sz="4" w:space="4" w:color="auto"/>
        </w:pBdr>
        <w:ind w:left="850"/>
        <w:rPr>
          <w:noProof/>
        </w:rPr>
      </w:pPr>
      <w:r>
        <w:rPr>
          <w:noProof/>
        </w:rPr>
        <w:t>Veiksmai naujų psichoaktyviųjų medžiagų srityje atitinka Sąjungos politinių strategijų dokumentus, visų pirma Europos saugumo darbotvarkę</w:t>
      </w:r>
      <w:r>
        <w:rPr>
          <w:rStyle w:val="FootnoteReference"/>
          <w:noProof/>
        </w:rPr>
        <w:footnoteReference w:id="22"/>
      </w:r>
      <w:r>
        <w:rPr>
          <w:noProof/>
        </w:rPr>
        <w:t xml:space="preserve"> ir 2013–2020 m. ES kovos su narkotikais strategiją. ES veiksmai naujų psichoaktyviųjų medžiagų srityje taip pat visiškai atitinka Jungtinių Tautų lygmens veiksmus.</w:t>
      </w:r>
    </w:p>
    <w:p>
      <w:pPr>
        <w:pStyle w:val="ManualNumPar2"/>
        <w:rPr>
          <w:noProof/>
        </w:rPr>
      </w:pPr>
      <w:r>
        <w:t>1.6.</w:t>
      </w:r>
      <w:r>
        <w:tab/>
      </w:r>
      <w:r>
        <w:rPr>
          <w:noProof/>
        </w:rPr>
        <w:t xml:space="preserve">Trukmė ir finansinis poveikis </w:t>
      </w:r>
    </w:p>
    <w:p>
      <w:pPr>
        <w:ind w:left="850"/>
        <w:rPr>
          <w:noProof/>
        </w:rPr>
      </w:pPr>
      <w:r>
        <w:rPr>
          <w:noProof/>
        </w:rPr>
        <w:sym w:font="Wingdings" w:char="F0A8"/>
      </w:r>
      <w:r>
        <w:rPr>
          <w:noProof/>
        </w:rPr>
        <w:t xml:space="preserve"> Pasiūlymo (iniciatyvos) trukmė ribota: </w:t>
      </w:r>
    </w:p>
    <w:p>
      <w:pPr>
        <w:pStyle w:val="Tiret0"/>
        <w:numPr>
          <w:ilvl w:val="0"/>
          <w:numId w:val="21"/>
        </w:numPr>
        <w:ind w:firstLine="284"/>
        <w:rPr>
          <w:noProof/>
        </w:rPr>
      </w:pPr>
      <w:r>
        <w:rPr>
          <w:noProof/>
        </w:rPr>
        <w:sym w:font="Wingdings" w:char="F0A8"/>
      </w:r>
      <w:r>
        <w:rPr>
          <w:noProof/>
        </w:rPr>
        <w:t xml:space="preserve"> Pasiūlymas (iniciatyva) galioja nuo MMMM [MM DD] iki MMMM [MM DD]; </w:t>
      </w:r>
    </w:p>
    <w:p>
      <w:pPr>
        <w:pStyle w:val="Tiret0"/>
        <w:ind w:firstLine="284"/>
        <w:rPr>
          <w:noProof/>
        </w:rPr>
      </w:pPr>
      <w:r>
        <w:rPr>
          <w:noProof/>
        </w:rPr>
        <w:sym w:font="Wingdings" w:char="F0A8"/>
      </w:r>
      <w:r>
        <w:rPr>
          <w:noProof/>
        </w:rPr>
        <w:t xml:space="preserve"> Finansinis poveikis nuo MMMM iki MMMM. </w:t>
      </w:r>
    </w:p>
    <w:p>
      <w:pPr>
        <w:ind w:left="850"/>
        <w:rPr>
          <w:noProof/>
        </w:rPr>
      </w:pPr>
      <w:r>
        <w:rPr>
          <w:noProof/>
        </w:rPr>
        <w:sym w:font="Wingdings" w:char="F0FD"/>
      </w:r>
      <w:r>
        <w:rPr>
          <w:noProof/>
        </w:rPr>
        <w:t xml:space="preserve"> Pasiūlymo (iniciatyvos) </w:t>
      </w:r>
      <w:r>
        <w:rPr>
          <w:b/>
          <w:noProof/>
        </w:rPr>
        <w:t>trukmė neribota</w:t>
      </w:r>
    </w:p>
    <w:p>
      <w:pPr>
        <w:pStyle w:val="Tiret0"/>
        <w:ind w:firstLine="284"/>
        <w:rPr>
          <w:noProof/>
        </w:rPr>
      </w:pPr>
      <w:r>
        <w:rPr>
          <w:noProof/>
        </w:rPr>
        <w:sym w:font="Wingdings" w:char="F0A8"/>
      </w:r>
      <w:r>
        <w:rPr>
          <w:noProof/>
        </w:rPr>
        <w:t xml:space="preserve"> Įgyvendinimo pradinis laikotarpis nuo 2017 iki 2019 m.,</w:t>
      </w:r>
    </w:p>
    <w:p>
      <w:pPr>
        <w:pStyle w:val="Tiret0"/>
        <w:ind w:firstLine="284"/>
        <w:rPr>
          <w:noProof/>
        </w:rPr>
      </w:pPr>
      <w:r>
        <w:rPr>
          <w:noProof/>
        </w:rPr>
        <w:sym w:font="Wingdings" w:char="F0A8"/>
      </w:r>
      <w:r>
        <w:rPr>
          <w:noProof/>
        </w:rPr>
        <w:t xml:space="preserve"> vėliau – visuotinis taikymas.</w:t>
      </w:r>
    </w:p>
    <w:p>
      <w:pPr>
        <w:pStyle w:val="ManualNumPar2"/>
        <w:rPr>
          <w:noProof/>
        </w:rPr>
      </w:pPr>
      <w:r>
        <w:t>1.7.</w:t>
      </w:r>
      <w:r>
        <w:tab/>
      </w:r>
      <w:r>
        <w:rPr>
          <w:noProof/>
        </w:rPr>
        <w:t>Numatytas (-i) valdymo būdas (-ai)</w:t>
      </w:r>
      <w:r>
        <w:rPr>
          <w:rStyle w:val="FootnoteReference"/>
          <w:b/>
          <w:noProof/>
        </w:rPr>
        <w:footnoteReference w:id="23"/>
      </w:r>
    </w:p>
    <w:p>
      <w:pPr>
        <w:ind w:left="850"/>
        <w:rPr>
          <w:noProof/>
        </w:rPr>
      </w:pPr>
      <w:r>
        <w:rPr>
          <w:noProof/>
        </w:rPr>
        <w:sym w:font="Wingdings" w:char="F0A8"/>
      </w:r>
      <w:r>
        <w:rPr>
          <w:noProof/>
        </w:rPr>
        <w:t xml:space="preserve"> </w:t>
      </w:r>
      <w:r>
        <w:rPr>
          <w:b/>
          <w:noProof/>
        </w:rPr>
        <w:t>Tiesioginis valdymas,</w:t>
      </w:r>
      <w:r>
        <w:rPr>
          <w:noProof/>
        </w:rPr>
        <w:t xml:space="preserve"> vykdomas Komisijos:</w:t>
      </w:r>
    </w:p>
    <w:p>
      <w:pPr>
        <w:pStyle w:val="Tiret0"/>
        <w:ind w:firstLine="284"/>
        <w:rPr>
          <w:noProof/>
        </w:rPr>
      </w:pPr>
      <w:r>
        <w:rPr>
          <w:noProof/>
        </w:rPr>
        <w:sym w:font="Wingdings" w:char="F0A8"/>
      </w:r>
      <w:r>
        <w:rPr>
          <w:noProof/>
        </w:rPr>
        <w:t xml:space="preserve"> padalinių, įskaitant Sąjungos atstovybių darbuotojus; </w:t>
      </w:r>
    </w:p>
    <w:p>
      <w:pPr>
        <w:pStyle w:val="Tiret0"/>
        <w:ind w:firstLine="284"/>
        <w:rPr>
          <w:noProof/>
        </w:rPr>
      </w:pPr>
      <w:r>
        <w:rPr>
          <w:noProof/>
        </w:rPr>
        <w:sym w:font="Wingdings" w:char="F0A8"/>
      </w:r>
      <w:r>
        <w:rPr>
          <w:noProof/>
        </w:rPr>
        <w:t xml:space="preserve"> vykdomųjų įstaigų; </w:t>
      </w:r>
    </w:p>
    <w:p>
      <w:pPr>
        <w:ind w:left="850"/>
        <w:rPr>
          <w:noProof/>
        </w:rPr>
      </w:pPr>
      <w:r>
        <w:rPr>
          <w:noProof/>
        </w:rPr>
        <w:sym w:font="Wingdings" w:char="F0A8"/>
      </w:r>
      <w:r>
        <w:rPr>
          <w:noProof/>
        </w:rPr>
        <w:t xml:space="preserve"> </w:t>
      </w:r>
      <w:r>
        <w:rPr>
          <w:b/>
          <w:noProof/>
        </w:rPr>
        <w:t>Pasidalijamasis valdymas</w:t>
      </w:r>
      <w:r>
        <w:rPr>
          <w:noProof/>
        </w:rPr>
        <w:t xml:space="preserve"> kartu su valstybėmis narėmis </w:t>
      </w:r>
    </w:p>
    <w:p>
      <w:pPr>
        <w:ind w:left="850"/>
        <w:rPr>
          <w:noProof/>
        </w:rPr>
      </w:pPr>
      <w:r>
        <w:rPr>
          <w:noProof/>
        </w:rPr>
        <w:sym w:font="Wingdings" w:char="F0FD"/>
      </w:r>
      <w:r>
        <w:rPr>
          <w:noProof/>
        </w:rPr>
        <w:t xml:space="preserve"> </w:t>
      </w:r>
      <w:r>
        <w:rPr>
          <w:b/>
          <w:noProof/>
        </w:rPr>
        <w:t>Netiesioginis valdymas</w:t>
      </w:r>
      <w:r>
        <w:rPr>
          <w:noProof/>
        </w:rPr>
        <w:t>, biudžeto įgyvendinimo užduotis perduodant:</w:t>
      </w:r>
    </w:p>
    <w:p>
      <w:pPr>
        <w:pStyle w:val="Tiret0"/>
        <w:ind w:firstLine="284"/>
        <w:rPr>
          <w:noProof/>
        </w:rPr>
      </w:pPr>
      <w:r>
        <w:rPr>
          <w:noProof/>
        </w:rPr>
        <w:sym w:font="Wingdings" w:char="F0A8"/>
      </w:r>
      <w:r>
        <w:rPr>
          <w:noProof/>
        </w:rPr>
        <w:t xml:space="preserve"> trečiosioms šalims arba jų paskirtoms įstaigoms;</w:t>
      </w:r>
    </w:p>
    <w:p>
      <w:pPr>
        <w:pStyle w:val="Tiret0"/>
        <w:ind w:firstLine="284"/>
        <w:rPr>
          <w:noProof/>
        </w:rPr>
      </w:pPr>
      <w:r>
        <w:rPr>
          <w:noProof/>
        </w:rPr>
        <w:sym w:font="Wingdings" w:char="F0A8"/>
      </w:r>
      <w:r>
        <w:rPr>
          <w:noProof/>
        </w:rPr>
        <w:t xml:space="preserve"> tarptautinėms organizacijoms ir jų agentūroms (nurodyti);</w:t>
      </w:r>
    </w:p>
    <w:p>
      <w:pPr>
        <w:pStyle w:val="Tiret0"/>
        <w:ind w:firstLine="284"/>
        <w:rPr>
          <w:noProof/>
        </w:rPr>
      </w:pPr>
      <w:r>
        <w:rPr>
          <w:noProof/>
        </w:rPr>
        <w:sym w:font="Wingdings" w:char="F0A8"/>
      </w:r>
      <w:r>
        <w:rPr>
          <w:noProof/>
        </w:rPr>
        <w:t xml:space="preserve"> EIB arba Europos investicijų fondui;</w:t>
      </w:r>
    </w:p>
    <w:p>
      <w:pPr>
        <w:pStyle w:val="Tiret0"/>
        <w:ind w:firstLine="284"/>
        <w:rPr>
          <w:noProof/>
        </w:rPr>
      </w:pPr>
      <w:r>
        <w:rPr>
          <w:noProof/>
        </w:rPr>
        <w:sym w:font="Wingdings" w:char="F0FD"/>
      </w:r>
      <w:r>
        <w:rPr>
          <w:noProof/>
        </w:rPr>
        <w:t xml:space="preserve"> įstaigoms, nurodytoms Finansinio reglamento 208 ir 209 straipsniuose;</w:t>
      </w:r>
    </w:p>
    <w:p>
      <w:pPr>
        <w:pStyle w:val="Tiret0"/>
        <w:ind w:firstLine="284"/>
        <w:rPr>
          <w:noProof/>
        </w:rPr>
      </w:pPr>
      <w:r>
        <w:rPr>
          <w:noProof/>
        </w:rPr>
        <w:sym w:font="Wingdings" w:char="F0A8"/>
      </w:r>
      <w:r>
        <w:rPr>
          <w:noProof/>
        </w:rPr>
        <w:t xml:space="preserve"> viešosios teisės įstaigoms;</w:t>
      </w:r>
    </w:p>
    <w:p>
      <w:pPr>
        <w:pStyle w:val="Tiret0"/>
        <w:tabs>
          <w:tab w:val="clear" w:pos="850"/>
          <w:tab w:val="num" w:pos="1418"/>
        </w:tabs>
        <w:ind w:left="1418" w:hanging="284"/>
        <w:rPr>
          <w:noProof/>
        </w:rPr>
      </w:pPr>
      <w:r>
        <w:rPr>
          <w:noProof/>
        </w:rPr>
        <w:sym w:font="Wingdings" w:char="F0A8"/>
      </w:r>
      <w:r>
        <w:rPr>
          <w:noProof/>
        </w:rPr>
        <w:t xml:space="preserve"> įstaigoms, kurių veiklą reglamentuoja privatinė teisė, veikiančioms viešųjų paslaugų srityje, jeigu jos pateikia pakankamų finansinių garantijų;</w:t>
      </w:r>
    </w:p>
    <w:p>
      <w:pPr>
        <w:pStyle w:val="Tiret0"/>
        <w:tabs>
          <w:tab w:val="clear" w:pos="850"/>
          <w:tab w:val="num" w:pos="1418"/>
        </w:tabs>
        <w:ind w:left="1418" w:hanging="284"/>
        <w:rPr>
          <w:noProof/>
        </w:rPr>
      </w:pPr>
      <w:r>
        <w:rPr>
          <w:noProof/>
        </w:rPr>
        <w:sym w:font="Wingdings" w:char="F0A8"/>
      </w:r>
      <w:r>
        <w:rPr>
          <w:noProof/>
        </w:rPr>
        <w:t xml:space="preserve"> įstaigoms, kurių veiklą reglamentuoja valstybės narės privatinė teisė, kurioms pavesta įgyvendinti viešojo ir privačiojo sektorių partnerystę ir kurios pateikia pakankamų finansinių garantijų;</w:t>
      </w:r>
    </w:p>
    <w:p>
      <w:pPr>
        <w:pStyle w:val="Tiret0"/>
        <w:tabs>
          <w:tab w:val="clear" w:pos="850"/>
          <w:tab w:val="num" w:pos="1418"/>
        </w:tabs>
        <w:ind w:left="1418" w:hanging="284"/>
        <w:rPr>
          <w:noProof/>
        </w:rPr>
      </w:pPr>
      <w:r>
        <w:rPr>
          <w:noProof/>
        </w:rPr>
        <w:sym w:font="Wingdings" w:char="F0A8"/>
      </w:r>
      <w:r>
        <w:rPr>
          <w:noProof/>
        </w:rPr>
        <w:t xml:space="preserve"> asmenims, kuriems pavestas konkrečių BUSP veiksmų vykdymas pagal ES sutarties V antraštinę dalį, ir kurie nurodyti atitinkamame pagrindiniame teisės akte.</w:t>
      </w:r>
    </w:p>
    <w:p>
      <w:pPr>
        <w:pStyle w:val="Tiret0"/>
        <w:tabs>
          <w:tab w:val="clear" w:pos="850"/>
          <w:tab w:val="num" w:pos="1418"/>
        </w:tabs>
        <w:ind w:left="1418" w:hanging="284"/>
        <w:rPr>
          <w:noProof/>
          <w:sz w:val="20"/>
          <w:szCs w:val="20"/>
        </w:rPr>
      </w:pPr>
      <w:r>
        <w:rPr>
          <w:noProof/>
          <w:sz w:val="20"/>
        </w:rPr>
        <w:t>Jei nurodomas daugiau kaip vienas valdymo būdas, išsamią informaciją pateikti šio punkto pastabų skiltyje.</w:t>
      </w:r>
    </w:p>
    <w:p>
      <w:pPr>
        <w:rPr>
          <w:noProof/>
        </w:rPr>
      </w:pPr>
      <w:r>
        <w:rPr>
          <w:noProof/>
        </w:rPr>
        <w:t xml:space="preserve">Pastabos </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 xml:space="preserve">VALDYMO PRIEMONĖS </w:t>
      </w:r>
    </w:p>
    <w:p>
      <w:pPr>
        <w:pStyle w:val="ManualNumPar2"/>
        <w:rPr>
          <w:noProof/>
        </w:rPr>
      </w:pPr>
      <w:r>
        <w:t>2.1.</w:t>
      </w:r>
      <w:r>
        <w:tab/>
      </w:r>
      <w:r>
        <w:rPr>
          <w:noProof/>
        </w:rPr>
        <w:t xml:space="preserve">Stebėsenos ir atskaitomybės taisyklės </w:t>
      </w:r>
    </w:p>
    <w:p>
      <w:pPr>
        <w:ind w:left="850"/>
        <w:rPr>
          <w:i/>
          <w:noProof/>
          <w:sz w:val="20"/>
          <w:u w:val="single"/>
        </w:rPr>
      </w:pPr>
      <w:r>
        <w:rPr>
          <w:i/>
          <w:noProof/>
          <w:sz w:val="20"/>
        </w:rPr>
        <w:t>Nurodyti dažnumą ir sąlygas.</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Pagal Reglamento (EB) Nr. 1920/2006 dėl Europos narkotikų ir narkomanijos stebėsenos centro 23 straipsnį Centro veiklos išorės vertinimas atliekamas kas šešerius metus ir sutampa su dviejų Centro vykdomų trejų metų trukmės programų užbaigimu.</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Pagal Reglamento (EB) Nr. 1920/2006 dėl Europos narkotikų ir narkomanijos stebėsenos centro 9 straipsnio 7 dalį „[v]aldyba tvirtina metinį pranešimą apie Centro veiklą ir iki birželio 15 d. nusiunčia jį Europos Parlamentui, Tarybai, Komisijai, Audito Rūmams ir valstybėms narėms“.</w:t>
      </w:r>
    </w:p>
    <w:p>
      <w:pPr>
        <w:pStyle w:val="ManualNumPar2"/>
        <w:rPr>
          <w:noProof/>
        </w:rPr>
      </w:pPr>
      <w:r>
        <w:t>2.2.</w:t>
      </w:r>
      <w:r>
        <w:tab/>
      </w:r>
      <w:r>
        <w:rPr>
          <w:noProof/>
        </w:rPr>
        <w:t xml:space="preserve">Valdymo ir kontrolės sistema </w:t>
      </w:r>
    </w:p>
    <w:p>
      <w:pPr>
        <w:pStyle w:val="ManualNumPar3"/>
        <w:rPr>
          <w:noProof/>
        </w:rPr>
      </w:pPr>
      <w:r>
        <w:t>2.2.1.</w:t>
      </w:r>
      <w:r>
        <w:tab/>
      </w:r>
      <w:r>
        <w:rPr>
          <w:noProof/>
        </w:rPr>
        <w:t xml:space="preserve">Nustatyta rizika </w:t>
      </w:r>
    </w:p>
    <w:p>
      <w:pPr>
        <w:pBdr>
          <w:top w:val="single" w:sz="4" w:space="1" w:color="auto"/>
          <w:left w:val="single" w:sz="4" w:space="4" w:color="auto"/>
          <w:bottom w:val="single" w:sz="4" w:space="1" w:color="auto"/>
          <w:right w:val="single" w:sz="4" w:space="4" w:color="auto"/>
        </w:pBdr>
        <w:ind w:left="850"/>
        <w:rPr>
          <w:noProof/>
        </w:rPr>
      </w:pPr>
      <w:r>
        <w:rPr>
          <w:noProof/>
        </w:rPr>
        <w:t>Galimas vėlavimas įgyvendinti sušvelninamas reguliaria stebėsena.</w:t>
      </w:r>
    </w:p>
    <w:p>
      <w:pPr>
        <w:pStyle w:val="ManualNumPar3"/>
        <w:rPr>
          <w:noProof/>
        </w:rPr>
      </w:pPr>
      <w:r>
        <w:t>2.2.2.</w:t>
      </w:r>
      <w:r>
        <w:tab/>
      </w:r>
      <w:r>
        <w:rPr>
          <w:noProof/>
        </w:rPr>
        <w:t>Informacija apie įdiegtą vidaus kontrolės sistemą</w:t>
      </w:r>
    </w:p>
    <w:p>
      <w:pPr>
        <w:pBdr>
          <w:top w:val="single" w:sz="4" w:space="1" w:color="auto"/>
          <w:left w:val="single" w:sz="4" w:space="4" w:color="auto"/>
          <w:bottom w:val="single" w:sz="4" w:space="1" w:color="auto"/>
          <w:right w:val="single" w:sz="4" w:space="4" w:color="auto"/>
        </w:pBdr>
        <w:ind w:left="850"/>
        <w:rPr>
          <w:noProof/>
        </w:rPr>
      </w:pPr>
      <w:r>
        <w:rPr>
          <w:noProof/>
        </w:rPr>
        <w:t>Standartinės Komisijos kontrolės / pažeidimo procedūros dėl būsimo reglamento taikymo.</w:t>
      </w:r>
    </w:p>
    <w:p>
      <w:pPr>
        <w:pStyle w:val="ManualNumPar3"/>
        <w:rPr>
          <w:noProof/>
        </w:rPr>
      </w:pPr>
      <w:r>
        <w:t>2.2.3.</w:t>
      </w:r>
      <w:r>
        <w:tab/>
      </w:r>
      <w:r>
        <w:rPr>
          <w:noProof/>
        </w:rPr>
        <w:t xml:space="preserve">Numatomo klaidos rizikos laipsnio kontrolės ir vertinimo sąnaudų ir naudos apskaičiavimas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Netaikoma, nes konkreti rizika nenustatyta</w:t>
      </w:r>
    </w:p>
    <w:p>
      <w:pPr>
        <w:pStyle w:val="ManualNumPar2"/>
        <w:rPr>
          <w:noProof/>
        </w:rPr>
      </w:pPr>
      <w:r>
        <w:t>2.3.</w:t>
      </w:r>
      <w:r>
        <w:tab/>
      </w:r>
      <w:r>
        <w:rPr>
          <w:noProof/>
        </w:rPr>
        <w:t xml:space="preserve">Sukčiavimo ir pažeidimų prevencinės priemonės </w:t>
      </w:r>
    </w:p>
    <w:p>
      <w:pPr>
        <w:ind w:left="850"/>
        <w:rPr>
          <w:i/>
          <w:noProof/>
          <w:sz w:val="20"/>
        </w:rPr>
      </w:pPr>
      <w:r>
        <w:rPr>
          <w:i/>
          <w:noProof/>
          <w:sz w:val="20"/>
        </w:rPr>
        <w:t>Nurodyti dabartines arba numatytas prevencines ir apsaugos priemones.</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Pagal Reglamento (EB) Nr. 1920/2006 dėl Europos narkotikų ir narkomanijos stebėsenos centro 16 straipsnį, siekiant kovoti su sukčiavimu, korupcija arba kita Sąjungos finansiniams interesams poveikį darančia neteisėta veika, Reglamento 1073/1999 nuostatos Centrui taikomos be apribojimų.</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 xml:space="preserve">NUMATOMAS PASIŪLYMO (INICIATYVOS) FINANSINIS POVEIKIS </w:t>
      </w:r>
    </w:p>
    <w:p>
      <w:pPr>
        <w:pStyle w:val="ManualNumPar2"/>
        <w:rPr>
          <w:noProof/>
        </w:rPr>
      </w:pPr>
      <w:r>
        <w:t>3.1.</w:t>
      </w:r>
      <w:r>
        <w:tab/>
      </w:r>
      <w:r>
        <w:rPr>
          <w:noProof/>
        </w:rPr>
        <w:t xml:space="preserve">Atitinkama (-os) daugiametės finansinės programos išlaidų kategorija (-os) ir biudžeto išlaidų eilutė (-ės) </w:t>
      </w:r>
    </w:p>
    <w:p>
      <w:pPr>
        <w:pStyle w:val="Bullet1"/>
        <w:numPr>
          <w:ilvl w:val="0"/>
          <w:numId w:val="18"/>
        </w:numPr>
        <w:rPr>
          <w:noProof/>
        </w:rPr>
      </w:pPr>
      <w:r>
        <w:rPr>
          <w:noProof/>
        </w:rPr>
        <w:t xml:space="preserve">Dabartinės biudžeto eilutės </w:t>
      </w:r>
    </w:p>
    <w:p>
      <w:pPr>
        <w:ind w:left="850"/>
        <w:rPr>
          <w:noProof/>
        </w:rPr>
      </w:pPr>
      <w:r>
        <w:rPr>
          <w:noProof/>
        </w:rPr>
        <w:t xml:space="preserve">Daugiametės finansinės programos kategorijos ir biudžeto eilutės nurodytos </w:t>
      </w:r>
      <w:r>
        <w:rPr>
          <w:noProof/>
          <w:u w:val="single"/>
        </w:rPr>
        <w:t>eilės tvarka</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Daugiametės finansinės programos išlaidų kategorija</w:t>
            </w:r>
          </w:p>
        </w:tc>
        <w:tc>
          <w:tcPr>
            <w:tcW w:w="3960" w:type="dxa"/>
            <w:vAlign w:val="center"/>
          </w:tcPr>
          <w:p>
            <w:pPr>
              <w:spacing w:before="60" w:after="60"/>
              <w:jc w:val="center"/>
              <w:rPr>
                <w:noProof/>
                <w:sz w:val="22"/>
              </w:rPr>
            </w:pPr>
            <w:r>
              <w:rPr>
                <w:noProof/>
                <w:sz w:val="20"/>
              </w:rPr>
              <w:t>Biudžeto eilutė</w:t>
            </w:r>
          </w:p>
        </w:tc>
        <w:tc>
          <w:tcPr>
            <w:tcW w:w="1080" w:type="dxa"/>
            <w:vAlign w:val="center"/>
          </w:tcPr>
          <w:p>
            <w:pPr>
              <w:spacing w:before="60" w:after="60"/>
              <w:jc w:val="center"/>
              <w:rPr>
                <w:noProof/>
                <w:sz w:val="22"/>
              </w:rPr>
            </w:pPr>
            <w:r>
              <w:rPr>
                <w:noProof/>
                <w:sz w:val="18"/>
              </w:rPr>
              <w:t xml:space="preserve">Išlaidų </w:t>
            </w:r>
            <w:r>
              <w:rPr>
                <w:noProof/>
                <w:sz w:val="22"/>
              </w:rPr>
              <w:br/>
            </w:r>
            <w:r>
              <w:rPr>
                <w:noProof/>
                <w:sz w:val="18"/>
              </w:rPr>
              <w:t>rūšis</w:t>
            </w:r>
          </w:p>
        </w:tc>
        <w:tc>
          <w:tcPr>
            <w:tcW w:w="4440" w:type="dxa"/>
            <w:gridSpan w:val="4"/>
            <w:vAlign w:val="center"/>
          </w:tcPr>
          <w:p>
            <w:pPr>
              <w:spacing w:before="60" w:after="60"/>
              <w:jc w:val="center"/>
              <w:rPr>
                <w:noProof/>
                <w:sz w:val="22"/>
              </w:rPr>
            </w:pPr>
            <w:r>
              <w:rPr>
                <w:noProof/>
                <w:sz w:val="20"/>
              </w:rPr>
              <w:t xml:space="preserve">Įnašas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Numeris </w:t>
            </w:r>
            <w:r>
              <w:rPr>
                <w:noProof/>
                <w:sz w:val="22"/>
              </w:rPr>
              <w:br/>
            </w:r>
            <w:r>
              <w:rPr>
                <w:noProof/>
                <w:sz w:val="20"/>
              </w:rPr>
              <w:t>3 išlaidų kategorija</w:t>
            </w:r>
          </w:p>
        </w:tc>
        <w:tc>
          <w:tcPr>
            <w:tcW w:w="1080" w:type="dxa"/>
            <w:vAlign w:val="center"/>
          </w:tcPr>
          <w:p>
            <w:pPr>
              <w:jc w:val="center"/>
              <w:rPr>
                <w:noProof/>
                <w:sz w:val="22"/>
              </w:rPr>
            </w:pPr>
            <w:r>
              <w:rPr>
                <w:noProof/>
              </w:rPr>
              <w:t>DA / NDA</w:t>
            </w:r>
            <w:r>
              <w:rPr>
                <w:rStyle w:val="FootnoteReference"/>
                <w:noProof/>
              </w:rPr>
              <w:footnoteReference w:id="24"/>
            </w:r>
            <w:r>
              <w:rPr>
                <w:noProof/>
              </w:rPr>
              <w:t>.</w:t>
            </w:r>
            <w:r>
              <w:rPr>
                <w:rStyle w:val="CommentReference"/>
                <w:noProof/>
              </w:rPr>
              <w:t xml:space="preserve"> </w:t>
            </w:r>
          </w:p>
        </w:tc>
        <w:tc>
          <w:tcPr>
            <w:tcW w:w="956" w:type="dxa"/>
            <w:vAlign w:val="center"/>
          </w:tcPr>
          <w:p>
            <w:pPr>
              <w:jc w:val="center"/>
              <w:rPr>
                <w:noProof/>
                <w:sz w:val="22"/>
              </w:rPr>
            </w:pPr>
            <w:r>
              <w:rPr>
                <w:noProof/>
                <w:sz w:val="18"/>
              </w:rPr>
              <w:t>ELPA šalių</w:t>
            </w:r>
            <w:r>
              <w:rPr>
                <w:rStyle w:val="FootnoteReference"/>
                <w:noProof/>
              </w:rPr>
              <w:footnoteReference w:id="25"/>
            </w:r>
          </w:p>
          <w:p>
            <w:pPr>
              <w:spacing w:before="0" w:after="0"/>
              <w:jc w:val="center"/>
              <w:rPr>
                <w:b/>
                <w:noProof/>
                <w:sz w:val="18"/>
              </w:rPr>
            </w:pPr>
          </w:p>
        </w:tc>
        <w:tc>
          <w:tcPr>
            <w:tcW w:w="1080" w:type="dxa"/>
            <w:vAlign w:val="center"/>
          </w:tcPr>
          <w:p>
            <w:pPr>
              <w:jc w:val="center"/>
              <w:rPr>
                <w:noProof/>
                <w:sz w:val="22"/>
              </w:rPr>
            </w:pPr>
            <w:r>
              <w:rPr>
                <w:noProof/>
                <w:sz w:val="18"/>
              </w:rPr>
              <w:t>šalių kandidačių</w:t>
            </w:r>
            <w:r>
              <w:rPr>
                <w:rStyle w:val="FootnoteReference"/>
                <w:noProof/>
              </w:rPr>
              <w:footnoteReference w:id="26"/>
            </w:r>
          </w:p>
          <w:p>
            <w:pPr>
              <w:spacing w:before="0" w:after="0"/>
              <w:jc w:val="center"/>
              <w:rPr>
                <w:noProof/>
                <w:sz w:val="18"/>
              </w:rPr>
            </w:pPr>
          </w:p>
        </w:tc>
        <w:tc>
          <w:tcPr>
            <w:tcW w:w="956" w:type="dxa"/>
            <w:vAlign w:val="center"/>
          </w:tcPr>
          <w:p>
            <w:pPr>
              <w:jc w:val="center"/>
              <w:rPr>
                <w:noProof/>
                <w:sz w:val="18"/>
              </w:rPr>
            </w:pPr>
            <w:r>
              <w:rPr>
                <w:noProof/>
                <w:sz w:val="18"/>
              </w:rPr>
              <w:t>trečiųjų valstybių</w:t>
            </w:r>
          </w:p>
        </w:tc>
        <w:tc>
          <w:tcPr>
            <w:tcW w:w="1448" w:type="dxa"/>
            <w:vAlign w:val="center"/>
          </w:tcPr>
          <w:p>
            <w:pPr>
              <w:jc w:val="center"/>
              <w:rPr>
                <w:noProof/>
                <w:sz w:val="22"/>
              </w:rPr>
            </w:pPr>
            <w:r>
              <w:rPr>
                <w:noProof/>
                <w:sz w:val="16"/>
              </w:rPr>
              <w:t xml:space="preserve">pagal Finansinio reglamento 21 straipsnio 2 dalies b punktą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Europos narkotikų ir narkomanijos stebėsenos centras (ENNSC)</w:t>
            </w:r>
          </w:p>
          <w:p>
            <w:pPr>
              <w:spacing w:before="60"/>
              <w:rPr>
                <w:noProof/>
                <w:sz w:val="22"/>
              </w:rPr>
            </w:pPr>
            <w:r>
              <w:rPr>
                <w:noProof/>
                <w:sz w:val="22"/>
              </w:rPr>
              <w:t>18 06 02 Ankstesnių programų užbaigimas.</w:t>
            </w:r>
          </w:p>
          <w:p>
            <w:pPr>
              <w:spacing w:after="60"/>
              <w:rPr>
                <w:noProof/>
                <w:sz w:val="22"/>
              </w:rPr>
            </w:pPr>
          </w:p>
        </w:tc>
        <w:tc>
          <w:tcPr>
            <w:tcW w:w="1080" w:type="dxa"/>
            <w:vAlign w:val="center"/>
          </w:tcPr>
          <w:p>
            <w:pPr>
              <w:jc w:val="center"/>
              <w:rPr>
                <w:noProof/>
                <w:color w:val="0000FF"/>
                <w:sz w:val="22"/>
              </w:rPr>
            </w:pPr>
            <w:r>
              <w:rPr>
                <w:noProof/>
                <w:sz w:val="22"/>
              </w:rPr>
              <w:t>Skirtumas</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Bullet1"/>
        <w:rPr>
          <w:noProof/>
        </w:rPr>
      </w:pPr>
      <w:r>
        <w:rPr>
          <w:noProof/>
        </w:rPr>
        <w:t>Prašomos sukurti naujos biudžeto eilutės – Netaikoma</w:t>
      </w:r>
    </w:p>
    <w:p>
      <w:pPr>
        <w:ind w:left="850"/>
        <w:rPr>
          <w:i/>
          <w:noProof/>
          <w:sz w:val="20"/>
        </w:rPr>
      </w:pPr>
      <w:r>
        <w:rPr>
          <w:i/>
          <w:noProof/>
        </w:rPr>
        <w:t xml:space="preserve">Daugiametės finansinės programos kategorijos ir biudžeto eilutės nurodytos </w:t>
      </w:r>
      <w:r>
        <w:rPr>
          <w:i/>
          <w:noProof/>
          <w:u w:val="single"/>
        </w:rPr>
        <w:t>eilės tvarka</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Daugiametės finansinės programos išlaidų kategorija</w:t>
            </w:r>
          </w:p>
        </w:tc>
        <w:tc>
          <w:tcPr>
            <w:tcW w:w="3960" w:type="dxa"/>
            <w:vAlign w:val="center"/>
          </w:tcPr>
          <w:p>
            <w:pPr>
              <w:spacing w:before="60" w:after="60"/>
              <w:jc w:val="center"/>
              <w:rPr>
                <w:noProof/>
                <w:sz w:val="22"/>
              </w:rPr>
            </w:pPr>
            <w:r>
              <w:rPr>
                <w:noProof/>
                <w:sz w:val="20"/>
              </w:rPr>
              <w:t>Biudžeto eilutė</w:t>
            </w:r>
          </w:p>
        </w:tc>
        <w:tc>
          <w:tcPr>
            <w:tcW w:w="1080" w:type="dxa"/>
            <w:vAlign w:val="center"/>
          </w:tcPr>
          <w:p>
            <w:pPr>
              <w:spacing w:before="60" w:after="60"/>
              <w:jc w:val="center"/>
              <w:rPr>
                <w:noProof/>
                <w:sz w:val="22"/>
              </w:rPr>
            </w:pPr>
            <w:r>
              <w:rPr>
                <w:noProof/>
                <w:sz w:val="18"/>
              </w:rPr>
              <w:t xml:space="preserve">Išlaidų </w:t>
            </w:r>
            <w:r>
              <w:rPr>
                <w:noProof/>
                <w:sz w:val="22"/>
              </w:rPr>
              <w:br/>
            </w:r>
            <w:r>
              <w:rPr>
                <w:noProof/>
                <w:sz w:val="18"/>
              </w:rPr>
              <w:t>rūšis</w:t>
            </w:r>
          </w:p>
        </w:tc>
        <w:tc>
          <w:tcPr>
            <w:tcW w:w="4440" w:type="dxa"/>
            <w:gridSpan w:val="4"/>
            <w:vAlign w:val="center"/>
          </w:tcPr>
          <w:p>
            <w:pPr>
              <w:spacing w:before="60" w:after="60"/>
              <w:jc w:val="center"/>
              <w:rPr>
                <w:noProof/>
                <w:sz w:val="22"/>
              </w:rPr>
            </w:pPr>
            <w:r>
              <w:rPr>
                <w:noProof/>
                <w:sz w:val="20"/>
              </w:rPr>
              <w:t xml:space="preserve">Įnašas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Numeris </w:t>
            </w:r>
            <w:r>
              <w:rPr>
                <w:noProof/>
                <w:sz w:val="22"/>
              </w:rPr>
              <w:br/>
            </w:r>
            <w:r>
              <w:rPr>
                <w:noProof/>
                <w:sz w:val="22"/>
              </w:rPr>
              <w:br/>
            </w:r>
            <w:r>
              <w:rPr>
                <w:noProof/>
                <w:color w:val="0000FF"/>
                <w:sz w:val="22"/>
              </w:rPr>
              <w:t>[…]</w:t>
            </w:r>
            <w:r>
              <w:rPr>
                <w:noProof/>
                <w:sz w:val="20"/>
              </w:rPr>
              <w:t>[Išlaidų kategorija………………………………………]</w:t>
            </w:r>
          </w:p>
        </w:tc>
        <w:tc>
          <w:tcPr>
            <w:tcW w:w="1080" w:type="dxa"/>
            <w:vAlign w:val="center"/>
          </w:tcPr>
          <w:p>
            <w:pPr>
              <w:jc w:val="center"/>
              <w:rPr>
                <w:noProof/>
                <w:sz w:val="22"/>
              </w:rPr>
            </w:pPr>
            <w:r>
              <w:rPr>
                <w:noProof/>
                <w:sz w:val="18"/>
              </w:rPr>
              <w:t>DA / NDA</w:t>
            </w:r>
          </w:p>
        </w:tc>
        <w:tc>
          <w:tcPr>
            <w:tcW w:w="956" w:type="dxa"/>
            <w:vAlign w:val="center"/>
          </w:tcPr>
          <w:p>
            <w:pPr>
              <w:jc w:val="center"/>
              <w:rPr>
                <w:noProof/>
                <w:sz w:val="18"/>
              </w:rPr>
            </w:pPr>
            <w:r>
              <w:rPr>
                <w:noProof/>
                <w:sz w:val="18"/>
              </w:rPr>
              <w:t>ELPA šalių</w:t>
            </w:r>
          </w:p>
        </w:tc>
        <w:tc>
          <w:tcPr>
            <w:tcW w:w="1080" w:type="dxa"/>
            <w:vAlign w:val="center"/>
          </w:tcPr>
          <w:p>
            <w:pPr>
              <w:jc w:val="center"/>
              <w:rPr>
                <w:noProof/>
                <w:sz w:val="18"/>
              </w:rPr>
            </w:pPr>
            <w:r>
              <w:rPr>
                <w:noProof/>
                <w:sz w:val="18"/>
              </w:rPr>
              <w:t>šalių kandidačių</w:t>
            </w:r>
          </w:p>
        </w:tc>
        <w:tc>
          <w:tcPr>
            <w:tcW w:w="956" w:type="dxa"/>
            <w:vAlign w:val="center"/>
          </w:tcPr>
          <w:p>
            <w:pPr>
              <w:jc w:val="center"/>
              <w:rPr>
                <w:noProof/>
                <w:sz w:val="18"/>
              </w:rPr>
            </w:pPr>
            <w:r>
              <w:rPr>
                <w:noProof/>
                <w:sz w:val="18"/>
              </w:rPr>
              <w:t>trečiųjų valstybių</w:t>
            </w:r>
          </w:p>
        </w:tc>
        <w:tc>
          <w:tcPr>
            <w:tcW w:w="1448" w:type="dxa"/>
            <w:vAlign w:val="center"/>
          </w:tcPr>
          <w:p>
            <w:pPr>
              <w:jc w:val="center"/>
              <w:rPr>
                <w:noProof/>
                <w:sz w:val="22"/>
              </w:rPr>
            </w:pPr>
            <w:r>
              <w:rPr>
                <w:noProof/>
                <w:sz w:val="16"/>
              </w:rPr>
              <w:t xml:space="preserve">pagal Finansinio reglamento 21 straipsnio 2 dalies b punktą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color w:val="0000FF"/>
                <w:sz w:val="22"/>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TAIP / NE</w:t>
            </w:r>
          </w:p>
        </w:tc>
        <w:tc>
          <w:tcPr>
            <w:tcW w:w="1080" w:type="dxa"/>
            <w:vAlign w:val="center"/>
          </w:tcPr>
          <w:p>
            <w:pPr>
              <w:jc w:val="center"/>
              <w:rPr>
                <w:noProof/>
                <w:color w:val="0000FF"/>
                <w:sz w:val="18"/>
              </w:rPr>
            </w:pPr>
            <w:r>
              <w:rPr>
                <w:noProof/>
                <w:sz w:val="22"/>
              </w:rPr>
              <w:t>TAIP / NE</w:t>
            </w:r>
          </w:p>
        </w:tc>
        <w:tc>
          <w:tcPr>
            <w:tcW w:w="956" w:type="dxa"/>
            <w:vAlign w:val="center"/>
          </w:tcPr>
          <w:p>
            <w:pPr>
              <w:jc w:val="center"/>
              <w:rPr>
                <w:noProof/>
                <w:color w:val="0000FF"/>
                <w:sz w:val="18"/>
              </w:rPr>
            </w:pPr>
            <w:r>
              <w:rPr>
                <w:noProof/>
                <w:sz w:val="22"/>
              </w:rPr>
              <w:t>TAIP / NE</w:t>
            </w:r>
          </w:p>
        </w:tc>
        <w:tc>
          <w:tcPr>
            <w:tcW w:w="1448" w:type="dxa"/>
            <w:vAlign w:val="center"/>
          </w:tcPr>
          <w:p>
            <w:pPr>
              <w:jc w:val="center"/>
              <w:rPr>
                <w:noProof/>
                <w:sz w:val="22"/>
              </w:rPr>
            </w:pPr>
            <w:r>
              <w:rPr>
                <w:noProof/>
                <w:sz w:val="22"/>
              </w:rPr>
              <w:t>TAIP / NE</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 xml:space="preserve">Numatomas poveikis išlaidoms </w:t>
      </w:r>
    </w:p>
    <w:p>
      <w:pPr>
        <w:pStyle w:val="ManualNumPar3"/>
        <w:rPr>
          <w:noProof/>
        </w:rPr>
      </w:pPr>
      <w:r>
        <w:t>3.2.1.</w:t>
      </w:r>
      <w:r>
        <w:tab/>
      </w:r>
      <w:r>
        <w:rPr>
          <w:noProof/>
        </w:rPr>
        <w:t xml:space="preserve">Numatomo poveikio išlaidoms suvestinė </w:t>
      </w:r>
    </w:p>
    <w:p>
      <w:pPr>
        <w:jc w:val="right"/>
        <w:rPr>
          <w:noProof/>
          <w:sz w:val="20"/>
        </w:rPr>
      </w:pPr>
      <w:r>
        <w:rPr>
          <w:noProof/>
          <w:sz w:val="20"/>
        </w:rPr>
        <w:t>mln. EUR (tūkstantųjų tikslumu)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Daugiametės finansinės programos </w:t>
            </w:r>
            <w:r>
              <w:rPr>
                <w:noProof/>
                <w:sz w:val="22"/>
              </w:rPr>
              <w:br/>
            </w:r>
            <w:r>
              <w:rPr>
                <w:b/>
                <w:noProof/>
                <w:sz w:val="22"/>
              </w:rPr>
              <w:t xml:space="preserve">išlaidų kategorija </w:t>
            </w:r>
          </w:p>
        </w:tc>
        <w:tc>
          <w:tcPr>
            <w:tcW w:w="1080" w:type="dxa"/>
            <w:vAlign w:val="center"/>
          </w:tcPr>
          <w:p>
            <w:pPr>
              <w:spacing w:before="60" w:after="60"/>
              <w:jc w:val="center"/>
              <w:rPr>
                <w:noProof/>
                <w:sz w:val="22"/>
              </w:rPr>
            </w:pPr>
            <w:r>
              <w:rPr>
                <w:noProof/>
                <w:sz w:val="22"/>
              </w:rPr>
              <w:t>Numeris</w:t>
            </w:r>
          </w:p>
        </w:tc>
        <w:tc>
          <w:tcPr>
            <w:tcW w:w="7817" w:type="dxa"/>
            <w:vAlign w:val="center"/>
          </w:tcPr>
          <w:p>
            <w:pPr>
              <w:spacing w:before="60" w:after="60"/>
              <w:rPr>
                <w:noProof/>
                <w:sz w:val="22"/>
              </w:rPr>
            </w:pPr>
            <w:r>
              <w:rPr>
                <w:noProof/>
                <w:sz w:val="22"/>
              </w:rPr>
              <w:t xml:space="preserve"> 3 išlaidų kategorija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ENNSC</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2017</w:t>
            </w:r>
            <w:r>
              <w:rPr>
                <w:rStyle w:val="FootnoteReference"/>
                <w:noProof/>
              </w:rPr>
              <w:footnoteReference w:id="27"/>
            </w:r>
            <w:r>
              <w:rPr>
                <w:noProof/>
                <w:sz w:val="20"/>
              </w:rPr>
              <w:t xml:space="preserve"> metai</w:t>
            </w:r>
          </w:p>
        </w:tc>
        <w:tc>
          <w:tcPr>
            <w:tcW w:w="868" w:type="dxa"/>
            <w:vAlign w:val="center"/>
          </w:tcPr>
          <w:p>
            <w:pPr>
              <w:jc w:val="center"/>
              <w:rPr>
                <w:noProof/>
                <w:sz w:val="20"/>
              </w:rPr>
            </w:pPr>
            <w:r>
              <w:rPr>
                <w:b/>
                <w:noProof/>
                <w:sz w:val="20"/>
              </w:rPr>
              <w:t>2018</w:t>
            </w:r>
            <w:r>
              <w:rPr>
                <w:noProof/>
              </w:rPr>
              <w:br/>
            </w:r>
            <w:r>
              <w:rPr>
                <w:noProof/>
                <w:sz w:val="20"/>
              </w:rPr>
              <w:t>metai</w:t>
            </w:r>
          </w:p>
        </w:tc>
        <w:tc>
          <w:tcPr>
            <w:tcW w:w="868" w:type="dxa"/>
            <w:vAlign w:val="center"/>
          </w:tcPr>
          <w:p>
            <w:pPr>
              <w:jc w:val="center"/>
              <w:rPr>
                <w:b/>
                <w:noProof/>
                <w:sz w:val="20"/>
              </w:rPr>
            </w:pPr>
            <w:r>
              <w:rPr>
                <w:b/>
                <w:noProof/>
                <w:sz w:val="20"/>
              </w:rPr>
              <w:t>2019</w:t>
            </w:r>
            <w:r>
              <w:rPr>
                <w:noProof/>
              </w:rPr>
              <w:br/>
            </w:r>
            <w:r>
              <w:rPr>
                <w:noProof/>
                <w:sz w:val="20"/>
              </w:rPr>
              <w:t>metai</w:t>
            </w:r>
          </w:p>
        </w:tc>
        <w:tc>
          <w:tcPr>
            <w:tcW w:w="868" w:type="dxa"/>
            <w:vAlign w:val="center"/>
          </w:tcPr>
          <w:p>
            <w:pPr>
              <w:jc w:val="center"/>
              <w:rPr>
                <w:noProof/>
                <w:sz w:val="20"/>
              </w:rPr>
            </w:pPr>
            <w:r>
              <w:rPr>
                <w:b/>
                <w:noProof/>
                <w:sz w:val="20"/>
              </w:rPr>
              <w:t>2020</w:t>
            </w:r>
            <w:r>
              <w:rPr>
                <w:noProof/>
              </w:rPr>
              <w:br/>
            </w:r>
            <w:r>
              <w:rPr>
                <w:noProof/>
                <w:sz w:val="20"/>
              </w:rPr>
              <w:t>metai</w:t>
            </w:r>
          </w:p>
        </w:tc>
        <w:tc>
          <w:tcPr>
            <w:tcW w:w="2604" w:type="dxa"/>
            <w:gridSpan w:val="3"/>
            <w:vAlign w:val="center"/>
          </w:tcPr>
          <w:p>
            <w:pPr>
              <w:jc w:val="center"/>
              <w:rPr>
                <w:b/>
                <w:noProof/>
                <w:sz w:val="18"/>
              </w:rPr>
            </w:pPr>
            <w:r>
              <w:rPr>
                <w:noProof/>
                <w:sz w:val="18"/>
              </w:rPr>
              <w:t>Atsižvelgiant į poveikio trukmę įterpti reikiamą metų skaičių (žr. 1.6 punktą)</w:t>
            </w:r>
          </w:p>
        </w:tc>
        <w:tc>
          <w:tcPr>
            <w:tcW w:w="1777" w:type="dxa"/>
            <w:vAlign w:val="center"/>
          </w:tcPr>
          <w:p>
            <w:pPr>
              <w:jc w:val="center"/>
              <w:rPr>
                <w:b/>
                <w:noProof/>
                <w:sz w:val="20"/>
              </w:rPr>
            </w:pPr>
            <w:r>
              <w:rPr>
                <w:b/>
                <w:noProof/>
                <w:sz w:val="20"/>
              </w:rPr>
              <w:t>IŠ VISO</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Veiklos asignavimai</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Biudžeto eilutės numeris </w:t>
            </w:r>
            <w:r>
              <w:rPr>
                <w:b/>
                <w:noProof/>
                <w:sz w:val="20"/>
              </w:rPr>
              <w:t>18 06 02</w:t>
            </w:r>
          </w:p>
        </w:tc>
        <w:tc>
          <w:tcPr>
            <w:tcW w:w="1440" w:type="dxa"/>
            <w:vAlign w:val="center"/>
          </w:tcPr>
          <w:p>
            <w:pPr>
              <w:spacing w:before="20" w:after="20"/>
              <w:rPr>
                <w:noProof/>
                <w:sz w:val="18"/>
              </w:rPr>
            </w:pPr>
            <w:r>
              <w:rPr>
                <w:noProof/>
                <w:sz w:val="18"/>
              </w:rPr>
              <w:t>Įsipareigojimai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Mokėjimai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val="restart"/>
            <w:vAlign w:val="center"/>
          </w:tcPr>
          <w:p>
            <w:pPr>
              <w:rPr>
                <w:noProof/>
                <w:sz w:val="22"/>
              </w:rPr>
            </w:pPr>
            <w:r>
              <w:rPr>
                <w:noProof/>
                <w:sz w:val="20"/>
              </w:rPr>
              <w:t>Biudžeto eilutės numeris</w:t>
            </w:r>
          </w:p>
        </w:tc>
        <w:tc>
          <w:tcPr>
            <w:tcW w:w="1440" w:type="dxa"/>
            <w:vAlign w:val="center"/>
          </w:tcPr>
          <w:p>
            <w:pPr>
              <w:spacing w:before="20" w:after="20"/>
              <w:rPr>
                <w:noProof/>
                <w:sz w:val="18"/>
              </w:rPr>
            </w:pPr>
            <w:r>
              <w:rPr>
                <w:noProof/>
                <w:sz w:val="18"/>
              </w:rPr>
              <w:t>Įsipareigojimai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Mokėjimai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Administracinio pobūdžio asignavimai, finansuojami iš konkrečių programų rinkinio lėšų</w:t>
            </w:r>
            <w:r>
              <w:rPr>
                <w:rStyle w:val="FootnoteReference"/>
                <w:noProof/>
              </w:rPr>
              <w:footnoteReference w:id="2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Biudžeto eilutės numeris</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IŠ VISO asignavimų</w:t>
            </w:r>
            <w:r>
              <w:rPr>
                <w:noProof/>
                <w:sz w:val="22"/>
              </w:rPr>
              <w:br/>
            </w:r>
            <w:r>
              <w:rPr>
                <w:b/>
                <w:noProof/>
                <w:sz w:val="22"/>
              </w:rPr>
              <w:t>ENNSC</w:t>
            </w:r>
          </w:p>
        </w:tc>
        <w:tc>
          <w:tcPr>
            <w:tcW w:w="1440" w:type="dxa"/>
            <w:vAlign w:val="center"/>
          </w:tcPr>
          <w:p>
            <w:pPr>
              <w:rPr>
                <w:noProof/>
                <w:sz w:val="18"/>
              </w:rPr>
            </w:pPr>
            <w:r>
              <w:rPr>
                <w:noProof/>
                <w:sz w:val="18"/>
              </w:rPr>
              <w:t>Įsipareigojimai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rPr>
                <w:noProof/>
                <w:sz w:val="20"/>
              </w:rPr>
            </w:pPr>
          </w:p>
        </w:tc>
        <w:tc>
          <w:tcPr>
            <w:tcW w:w="1440" w:type="dxa"/>
            <w:vAlign w:val="center"/>
          </w:tcPr>
          <w:p>
            <w:pPr>
              <w:rPr>
                <w:noProof/>
                <w:sz w:val="18"/>
              </w:rPr>
            </w:pPr>
            <w:r>
              <w:rPr>
                <w:noProof/>
                <w:sz w:val="18"/>
              </w:rPr>
              <w:t>Mokėjimai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IŠ VISO veiklos asignavimų</w:t>
            </w:r>
          </w:p>
        </w:tc>
        <w:tc>
          <w:tcPr>
            <w:tcW w:w="1440" w:type="dxa"/>
            <w:vAlign w:val="center"/>
          </w:tcPr>
          <w:p>
            <w:pPr>
              <w:spacing w:beforeLines="20" w:before="48" w:afterLines="20" w:after="48"/>
              <w:rPr>
                <w:noProof/>
                <w:sz w:val="18"/>
              </w:rPr>
            </w:pPr>
            <w:r>
              <w:rPr>
                <w:noProof/>
                <w:sz w:val="18"/>
              </w:rPr>
              <w:t>Įsipareigojimai</w:t>
            </w:r>
          </w:p>
        </w:tc>
        <w:tc>
          <w:tcPr>
            <w:tcW w:w="654" w:type="dxa"/>
            <w:gridSpan w:val="2"/>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Mokėjimai</w:t>
            </w:r>
          </w:p>
        </w:tc>
        <w:tc>
          <w:tcPr>
            <w:tcW w:w="654" w:type="dxa"/>
            <w:gridSpan w:val="2"/>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IŠ VISO administracinio pobūdžio asignavimų, finansuojamų iš konkrečių programų rinkinio lėšų</w:t>
            </w:r>
          </w:p>
        </w:tc>
        <w:tc>
          <w:tcPr>
            <w:tcW w:w="654" w:type="dxa"/>
            <w:gridSpan w:val="2"/>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IŠ VISO asignavimų </w:t>
            </w:r>
            <w:r>
              <w:rPr>
                <w:noProof/>
              </w:rPr>
              <w:t>pagal daugiametės finansinės programos</w:t>
            </w:r>
            <w:r>
              <w:rPr>
                <w:noProof/>
                <w:sz w:val="22"/>
              </w:rPr>
              <w:br/>
            </w:r>
            <w:r>
              <w:rPr>
                <w:b/>
                <w:noProof/>
                <w:sz w:val="22"/>
              </w:rPr>
              <w:t>3 IŠLAIDŲ KATEGORIJĄ</w:t>
            </w:r>
          </w:p>
        </w:tc>
        <w:tc>
          <w:tcPr>
            <w:tcW w:w="1440" w:type="dxa"/>
            <w:vAlign w:val="center"/>
          </w:tcPr>
          <w:p>
            <w:pPr>
              <w:rPr>
                <w:noProof/>
                <w:sz w:val="18"/>
              </w:rPr>
            </w:pPr>
            <w:r>
              <w:rPr>
                <w:noProof/>
                <w:sz w:val="18"/>
              </w:rPr>
              <w:t>Įsipareigojimai</w:t>
            </w:r>
          </w:p>
        </w:tc>
        <w:tc>
          <w:tcPr>
            <w:tcW w:w="654" w:type="dxa"/>
            <w:gridSpan w:val="2"/>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Mokėjimai</w:t>
            </w:r>
          </w:p>
        </w:tc>
        <w:tc>
          <w:tcPr>
            <w:tcW w:w="654" w:type="dxa"/>
            <w:gridSpan w:val="2"/>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bl>
    <w:p>
      <w:pPr>
        <w:spacing w:after="40"/>
        <w:rPr>
          <w:b/>
          <w:noProof/>
          <w:color w:val="000000" w:themeColor="text1"/>
          <w:sz w:val="22"/>
          <w:u w:val="single"/>
        </w:rPr>
      </w:pPr>
      <w:r>
        <w:rPr>
          <w:b/>
          <w:noProof/>
          <w:color w:val="000000" w:themeColor="text1"/>
          <w:sz w:val="22"/>
          <w:u w:val="single"/>
        </w:rPr>
        <w:t xml:space="preserve">Jei pasiūlymas (iniciatyva) daro poveikį kelioms išlaidų kategorijoms: </w:t>
      </w:r>
      <w:r>
        <w:rPr>
          <w:b/>
          <w:noProof/>
          <w:color w:val="000000" w:themeColor="text1"/>
          <w:sz w:val="22"/>
        </w:rPr>
        <w:t>Netaikoma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color w:val="000000" w:themeColor="text1"/>
                <w:sz w:val="21"/>
              </w:rPr>
              <w:sym w:font="Wingdings" w:char="F09F"/>
            </w:r>
            <w:r>
              <w:rPr>
                <w:noProof/>
              </w:rPr>
              <w:t xml:space="preserve"> IŠ VISO veiklos asignavimų</w:t>
            </w:r>
          </w:p>
        </w:tc>
        <w:tc>
          <w:tcPr>
            <w:tcW w:w="1440" w:type="dxa"/>
            <w:vAlign w:val="center"/>
          </w:tcPr>
          <w:p>
            <w:pPr>
              <w:spacing w:beforeLines="20" w:before="48" w:afterLines="20" w:after="48"/>
              <w:rPr>
                <w:noProof/>
                <w:color w:val="000000" w:themeColor="text1"/>
                <w:sz w:val="18"/>
              </w:rPr>
            </w:pPr>
            <w:r>
              <w:rPr>
                <w:noProof/>
                <w:color w:val="000000" w:themeColor="text1"/>
                <w:sz w:val="18"/>
              </w:rPr>
              <w:t>Įsipareigojimai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Mokėjimai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rPr>
              <w:t xml:space="preserve"> IŠ VISO administracinio pobūdžio asignavimų, finansuojamų iš konkrečių programų rinkinio lėšų</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themeColor="text1"/>
                <w:sz w:val="22"/>
              </w:rPr>
            </w:pPr>
            <w:r>
              <w:rPr>
                <w:b/>
                <w:noProof/>
                <w:color w:val="000000" w:themeColor="text1"/>
                <w:sz w:val="22"/>
              </w:rPr>
              <w:t xml:space="preserve">IŠ VISO asignavimų </w:t>
            </w:r>
            <w:r>
              <w:rPr>
                <w:noProof/>
              </w:rPr>
              <w:t>pagal daugiametės finansinės programos</w:t>
            </w:r>
            <w:r>
              <w:rPr>
                <w:noProof/>
                <w:color w:val="000000" w:themeColor="text1"/>
                <w:sz w:val="22"/>
              </w:rPr>
              <w:br/>
            </w:r>
            <w:r>
              <w:rPr>
                <w:b/>
                <w:noProof/>
                <w:color w:val="000000" w:themeColor="text1"/>
                <w:sz w:val="22"/>
              </w:rPr>
              <w:t>1–5 IŠLAIDŲ KATEGORIJAS</w:t>
            </w:r>
            <w:r>
              <w:rPr>
                <w:noProof/>
                <w:color w:val="000000" w:themeColor="text1"/>
                <w:sz w:val="22"/>
              </w:rPr>
              <w:br/>
            </w:r>
            <w:r>
              <w:rPr>
                <w:noProof/>
                <w:color w:val="000000" w:themeColor="text1"/>
                <w:sz w:val="20"/>
              </w:rPr>
              <w:t>(Orientacinė suma)</w:t>
            </w:r>
          </w:p>
        </w:tc>
        <w:tc>
          <w:tcPr>
            <w:tcW w:w="1440" w:type="dxa"/>
            <w:vAlign w:val="center"/>
          </w:tcPr>
          <w:p>
            <w:pPr>
              <w:rPr>
                <w:noProof/>
                <w:color w:val="000000" w:themeColor="text1"/>
                <w:sz w:val="18"/>
              </w:rPr>
            </w:pPr>
            <w:r>
              <w:rPr>
                <w:noProof/>
                <w:color w:val="000000" w:themeColor="text1"/>
                <w:sz w:val="18"/>
              </w:rPr>
              <w:t>Įsipareigojimai</w:t>
            </w:r>
          </w:p>
        </w:tc>
        <w:tc>
          <w:tcPr>
            <w:tcW w:w="654" w:type="dxa"/>
            <w:vAlign w:val="center"/>
          </w:tcPr>
          <w:p>
            <w:pPr>
              <w:jc w:val="center"/>
              <w:rPr>
                <w:noProof/>
                <w:color w:val="000000" w:themeColor="text1"/>
                <w:sz w:val="14"/>
              </w:rPr>
            </w:pPr>
            <w:r>
              <w:rPr>
                <w:noProof/>
                <w:color w:val="000000" w:themeColor="text1"/>
                <w:sz w:val="14"/>
              </w:rPr>
              <w:t>=4+ 6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shd w:val="thinDiagStripe" w:color="C0C0C0" w:fill="auto"/>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Mokėjimai</w:t>
            </w:r>
          </w:p>
        </w:tc>
        <w:tc>
          <w:tcPr>
            <w:tcW w:w="654" w:type="dxa"/>
            <w:vAlign w:val="center"/>
          </w:tcPr>
          <w:p>
            <w:pPr>
              <w:jc w:val="center"/>
              <w:rPr>
                <w:noProof/>
                <w:color w:val="000000" w:themeColor="text1"/>
                <w:sz w:val="14"/>
              </w:rPr>
            </w:pPr>
            <w:r>
              <w:rPr>
                <w:noProof/>
                <w:color w:val="000000" w:themeColor="text1"/>
                <w:sz w:val="14"/>
              </w:rPr>
              <w:t>=5+ 6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bl>
    <w:p>
      <w:pPr>
        <w:rPr>
          <w:noProof/>
          <w:color w:val="000000" w:themeColor="text1"/>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Daugiametės finansinės programos </w:t>
            </w:r>
            <w:r>
              <w:rPr>
                <w:noProof/>
              </w:rPr>
              <w:br/>
            </w:r>
            <w:r>
              <w:rPr>
                <w:noProof/>
                <w:sz w:val="22"/>
              </w:rPr>
              <w:t>išlaidų kategorija</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„Administracinės išlaidos“</w:t>
            </w:r>
          </w:p>
        </w:tc>
      </w:tr>
    </w:tbl>
    <w:p>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2017</w:t>
            </w:r>
            <w:r>
              <w:rPr>
                <w:noProof/>
              </w:rPr>
              <w:br/>
            </w:r>
            <w:r>
              <w:rPr>
                <w:noProof/>
                <w:sz w:val="20"/>
              </w:rPr>
              <w:t>metai</w:t>
            </w:r>
          </w:p>
        </w:tc>
        <w:tc>
          <w:tcPr>
            <w:tcW w:w="868" w:type="dxa"/>
            <w:vAlign w:val="center"/>
          </w:tcPr>
          <w:p>
            <w:pPr>
              <w:jc w:val="center"/>
              <w:rPr>
                <w:noProof/>
                <w:sz w:val="20"/>
              </w:rPr>
            </w:pPr>
            <w:r>
              <w:rPr>
                <w:b/>
                <w:noProof/>
                <w:sz w:val="20"/>
              </w:rPr>
              <w:t>2018</w:t>
            </w:r>
            <w:r>
              <w:rPr>
                <w:noProof/>
              </w:rPr>
              <w:br/>
              <w:t>|</w:t>
            </w:r>
            <w:r>
              <w:rPr>
                <w:noProof/>
                <w:sz w:val="20"/>
              </w:rPr>
              <w:t>metai</w:t>
            </w:r>
          </w:p>
        </w:tc>
        <w:tc>
          <w:tcPr>
            <w:tcW w:w="868" w:type="dxa"/>
            <w:vAlign w:val="center"/>
          </w:tcPr>
          <w:p>
            <w:pPr>
              <w:jc w:val="center"/>
              <w:rPr>
                <w:noProof/>
                <w:sz w:val="20"/>
              </w:rPr>
            </w:pPr>
            <w:r>
              <w:rPr>
                <w:b/>
                <w:noProof/>
                <w:sz w:val="20"/>
              </w:rPr>
              <w:t>2019</w:t>
            </w:r>
            <w:r>
              <w:rPr>
                <w:noProof/>
              </w:rPr>
              <w:br/>
            </w:r>
            <w:r>
              <w:rPr>
                <w:noProof/>
                <w:sz w:val="20"/>
              </w:rPr>
              <w:t>metai</w:t>
            </w:r>
          </w:p>
        </w:tc>
        <w:tc>
          <w:tcPr>
            <w:tcW w:w="868" w:type="dxa"/>
            <w:vAlign w:val="center"/>
          </w:tcPr>
          <w:p>
            <w:pPr>
              <w:jc w:val="center"/>
              <w:rPr>
                <w:noProof/>
                <w:sz w:val="20"/>
              </w:rPr>
            </w:pPr>
            <w:r>
              <w:rPr>
                <w:b/>
                <w:noProof/>
                <w:sz w:val="20"/>
              </w:rPr>
              <w:t>2020</w:t>
            </w:r>
            <w:r>
              <w:rPr>
                <w:noProof/>
              </w:rPr>
              <w:br/>
            </w:r>
            <w:r>
              <w:rPr>
                <w:noProof/>
                <w:sz w:val="20"/>
              </w:rPr>
              <w:t>metai</w:t>
            </w:r>
          </w:p>
        </w:tc>
        <w:tc>
          <w:tcPr>
            <w:tcW w:w="2604" w:type="dxa"/>
            <w:gridSpan w:val="3"/>
            <w:vAlign w:val="center"/>
          </w:tcPr>
          <w:p>
            <w:pPr>
              <w:jc w:val="center"/>
              <w:rPr>
                <w:b/>
                <w:noProof/>
                <w:sz w:val="18"/>
              </w:rPr>
            </w:pPr>
            <w:r>
              <w:rPr>
                <w:noProof/>
                <w:sz w:val="18"/>
              </w:rPr>
              <w:t xml:space="preserve">Atsižvelgiant į poveikio trukmę įterpti reikiamą metų skaičių (žr. 1.6 punktą) </w:t>
            </w:r>
          </w:p>
        </w:tc>
        <w:tc>
          <w:tcPr>
            <w:tcW w:w="1777" w:type="dxa"/>
            <w:vAlign w:val="center"/>
          </w:tcPr>
          <w:p>
            <w:pPr>
              <w:jc w:val="center"/>
              <w:rPr>
                <w:b/>
                <w:noProof/>
                <w:sz w:val="20"/>
              </w:rPr>
            </w:pPr>
            <w:r>
              <w:rPr>
                <w:b/>
                <w:noProof/>
                <w:sz w:val="20"/>
              </w:rPr>
              <w:t>IŠ VISO</w:t>
            </w:r>
          </w:p>
        </w:tc>
      </w:tr>
      <w:tr>
        <w:trPr>
          <w:gridAfter w:val="10"/>
          <w:wAfter w:w="9947" w:type="dxa"/>
        </w:trPr>
        <w:tc>
          <w:tcPr>
            <w:tcW w:w="3960" w:type="dxa"/>
            <w:vAlign w:val="center"/>
          </w:tcPr>
          <w:p>
            <w:pPr>
              <w:spacing w:before="60" w:after="60"/>
              <w:jc w:val="center"/>
              <w:rPr>
                <w:noProof/>
                <w:sz w:val="22"/>
              </w:rPr>
            </w:pPr>
            <w:r>
              <w:rPr>
                <w:noProof/>
                <w:sz w:val="22"/>
              </w:rPr>
              <w:t>GD: HOME GD</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Žmogiškieji ištekliai</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Kitos administracinės išlaidos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noProof/>
              </w:rPr>
              <w:t>IŠ VISO HOME GD</w:t>
            </w:r>
          </w:p>
        </w:tc>
        <w:tc>
          <w:tcPr>
            <w:tcW w:w="2094" w:type="dxa"/>
            <w:gridSpan w:val="2"/>
            <w:vAlign w:val="center"/>
          </w:tcPr>
          <w:p>
            <w:pPr>
              <w:rPr>
                <w:noProof/>
                <w:sz w:val="14"/>
              </w:rPr>
            </w:pPr>
            <w:r>
              <w:rPr>
                <w:noProof/>
                <w:sz w:val="18"/>
              </w:rPr>
              <w:t xml:space="preserve">Asignavimai </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IŠ VISO asignavimų</w:t>
            </w:r>
            <w:r>
              <w:rPr>
                <w:noProof/>
              </w:rPr>
              <w:t xml:space="preserve"> </w:t>
            </w:r>
            <w:r>
              <w:rPr>
                <w:noProof/>
                <w:sz w:val="22"/>
              </w:rPr>
              <w:t xml:space="preserve">pagal daugiametės finansinės programos </w:t>
            </w:r>
            <w:r>
              <w:rPr>
                <w:b/>
                <w:noProof/>
                <w:sz w:val="22"/>
              </w:rPr>
              <w:t xml:space="preserve">5 IŠLAIDŲ KATEGORIJĄ </w:t>
            </w:r>
          </w:p>
        </w:tc>
        <w:tc>
          <w:tcPr>
            <w:tcW w:w="2094" w:type="dxa"/>
            <w:vAlign w:val="center"/>
          </w:tcPr>
          <w:p>
            <w:pPr>
              <w:spacing w:before="40" w:after="40"/>
              <w:rPr>
                <w:noProof/>
                <w:sz w:val="22"/>
              </w:rPr>
            </w:pPr>
            <w:r>
              <w:rPr>
                <w:noProof/>
                <w:sz w:val="18"/>
              </w:rPr>
              <w:t>(Iš viso įsipareigojimų = Iš viso mokėjimų)</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22"/>
        <w:gridCol w:w="91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2017</w:t>
            </w:r>
            <w:r>
              <w:rPr>
                <w:noProof/>
                <w:sz w:val="20"/>
              </w:rPr>
              <w:br/>
            </w:r>
            <w:r>
              <w:rPr>
                <w:rStyle w:val="FootnoteReference"/>
                <w:noProof/>
                <w:sz w:val="20"/>
              </w:rPr>
              <w:footnoteReference w:id="29"/>
            </w:r>
            <w:r>
              <w:rPr>
                <w:noProof/>
                <w:sz w:val="20"/>
              </w:rPr>
              <w:t xml:space="preserve"> metai</w:t>
            </w:r>
          </w:p>
        </w:tc>
        <w:tc>
          <w:tcPr>
            <w:tcW w:w="868" w:type="dxa"/>
            <w:vAlign w:val="center"/>
          </w:tcPr>
          <w:p>
            <w:pPr>
              <w:jc w:val="center"/>
              <w:rPr>
                <w:noProof/>
                <w:sz w:val="20"/>
              </w:rPr>
            </w:pPr>
            <w:r>
              <w:rPr>
                <w:b/>
                <w:noProof/>
                <w:sz w:val="20"/>
              </w:rPr>
              <w:t>2018</w:t>
            </w:r>
            <w:r>
              <w:rPr>
                <w:noProof/>
              </w:rPr>
              <w:br/>
            </w:r>
            <w:r>
              <w:rPr>
                <w:noProof/>
                <w:sz w:val="20"/>
              </w:rPr>
              <w:t>metai</w:t>
            </w:r>
          </w:p>
        </w:tc>
        <w:tc>
          <w:tcPr>
            <w:tcW w:w="868" w:type="dxa"/>
            <w:vAlign w:val="center"/>
          </w:tcPr>
          <w:p>
            <w:pPr>
              <w:jc w:val="center"/>
              <w:rPr>
                <w:noProof/>
                <w:sz w:val="20"/>
              </w:rPr>
            </w:pPr>
            <w:r>
              <w:rPr>
                <w:b/>
                <w:noProof/>
                <w:sz w:val="20"/>
              </w:rPr>
              <w:t>2019</w:t>
            </w:r>
            <w:r>
              <w:rPr>
                <w:noProof/>
              </w:rPr>
              <w:br/>
            </w:r>
            <w:r>
              <w:rPr>
                <w:noProof/>
                <w:sz w:val="20"/>
              </w:rPr>
              <w:t>metai</w:t>
            </w:r>
          </w:p>
        </w:tc>
        <w:tc>
          <w:tcPr>
            <w:tcW w:w="822" w:type="dxa"/>
            <w:vAlign w:val="center"/>
          </w:tcPr>
          <w:p>
            <w:pPr>
              <w:jc w:val="center"/>
              <w:rPr>
                <w:noProof/>
                <w:sz w:val="20"/>
              </w:rPr>
            </w:pPr>
            <w:r>
              <w:rPr>
                <w:b/>
                <w:noProof/>
                <w:sz w:val="20"/>
              </w:rPr>
              <w:t>2020</w:t>
            </w:r>
            <w:r>
              <w:rPr>
                <w:noProof/>
              </w:rPr>
              <w:br/>
            </w:r>
            <w:r>
              <w:rPr>
                <w:noProof/>
                <w:sz w:val="20"/>
              </w:rPr>
              <w:t>metai</w:t>
            </w:r>
          </w:p>
        </w:tc>
        <w:tc>
          <w:tcPr>
            <w:tcW w:w="2650" w:type="dxa"/>
            <w:gridSpan w:val="3"/>
            <w:vAlign w:val="center"/>
          </w:tcPr>
          <w:p>
            <w:pPr>
              <w:jc w:val="center"/>
              <w:rPr>
                <w:b/>
                <w:noProof/>
                <w:sz w:val="18"/>
              </w:rPr>
            </w:pPr>
            <w:r>
              <w:rPr>
                <w:noProof/>
                <w:sz w:val="18"/>
              </w:rPr>
              <w:t>Atsižvelgiant į poveikio trukmę įterpti reikiamą metų skaičių (žr. 1.6 punktą)</w:t>
            </w:r>
          </w:p>
        </w:tc>
        <w:tc>
          <w:tcPr>
            <w:tcW w:w="1777" w:type="dxa"/>
            <w:vAlign w:val="center"/>
          </w:tcPr>
          <w:p>
            <w:pPr>
              <w:jc w:val="center"/>
              <w:rPr>
                <w:b/>
                <w:noProof/>
                <w:sz w:val="20"/>
              </w:rPr>
            </w:pPr>
            <w:r>
              <w:rPr>
                <w:b/>
                <w:noProof/>
                <w:sz w:val="20"/>
              </w:rPr>
              <w:t>IŠ VISO</w:t>
            </w:r>
          </w:p>
        </w:tc>
      </w:tr>
      <w:tr>
        <w:tc>
          <w:tcPr>
            <w:tcW w:w="3960" w:type="dxa"/>
            <w:vMerge w:val="restart"/>
            <w:shd w:val="clear" w:color="auto" w:fill="C0C0C0"/>
            <w:vAlign w:val="center"/>
          </w:tcPr>
          <w:p>
            <w:pPr>
              <w:jc w:val="center"/>
              <w:rPr>
                <w:b/>
                <w:noProof/>
                <w:sz w:val="22"/>
              </w:rPr>
            </w:pPr>
            <w:r>
              <w:rPr>
                <w:b/>
                <w:noProof/>
                <w:sz w:val="22"/>
              </w:rPr>
              <w:t xml:space="preserve">IŠ VISO asignavimų </w:t>
            </w:r>
            <w:r>
              <w:rPr>
                <w:noProof/>
              </w:rPr>
              <w:t xml:space="preserve">pagal daugiametės finansinės programos </w:t>
            </w:r>
            <w:r>
              <w:rPr>
                <w:noProof/>
                <w:sz w:val="22"/>
              </w:rPr>
              <w:br/>
            </w:r>
            <w:r>
              <w:rPr>
                <w:b/>
                <w:noProof/>
                <w:sz w:val="22"/>
              </w:rPr>
              <w:t xml:space="preserve">1–5 IŠLAIDŲ KATEGORIJAS </w:t>
            </w:r>
          </w:p>
        </w:tc>
        <w:tc>
          <w:tcPr>
            <w:tcW w:w="2094" w:type="dxa"/>
            <w:gridSpan w:val="2"/>
            <w:vAlign w:val="center"/>
          </w:tcPr>
          <w:p>
            <w:pPr>
              <w:rPr>
                <w:noProof/>
                <w:sz w:val="14"/>
              </w:rPr>
            </w:pPr>
            <w:r>
              <w:rPr>
                <w:noProof/>
                <w:sz w:val="18"/>
              </w:rPr>
              <w:t>Įsipareigojimai</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r>
        <w:tc>
          <w:tcPr>
            <w:tcW w:w="3960" w:type="dxa"/>
            <w:vMerge/>
            <w:shd w:val="clear" w:color="auto" w:fill="C0C0C0"/>
          </w:tcPr>
          <w:p>
            <w:pPr>
              <w:rPr>
                <w:noProof/>
                <w:sz w:val="20"/>
                <w:highlight w:val="yellow"/>
              </w:rPr>
            </w:pPr>
          </w:p>
        </w:tc>
        <w:tc>
          <w:tcPr>
            <w:tcW w:w="2094" w:type="dxa"/>
            <w:gridSpan w:val="2"/>
            <w:shd w:val="clear" w:color="auto" w:fill="FFFFFF" w:themeFill="background1"/>
            <w:vAlign w:val="center"/>
          </w:tcPr>
          <w:p>
            <w:pPr>
              <w:rPr>
                <w:noProof/>
                <w:sz w:val="14"/>
              </w:rPr>
            </w:pPr>
            <w:r>
              <w:rPr>
                <w:noProof/>
                <w:sz w:val="18"/>
              </w:rPr>
              <w:t>Mokėjimai</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Numatomas poveikis veiklos asignavimams </w:t>
      </w:r>
    </w:p>
    <w:p>
      <w:pPr>
        <w:pStyle w:val="Tiret1"/>
        <w:numPr>
          <w:ilvl w:val="0"/>
          <w:numId w:val="19"/>
        </w:numPr>
        <w:tabs>
          <w:tab w:val="clear" w:pos="1417"/>
          <w:tab w:val="num" w:pos="1276"/>
          <w:tab w:val="left" w:pos="1701"/>
        </w:tabs>
        <w:rPr>
          <w:noProof/>
        </w:rPr>
      </w:pPr>
      <w:r>
        <w:rPr>
          <w:noProof/>
        </w:rPr>
        <w:sym w:font="Wingdings" w:char="F0A8"/>
      </w:r>
      <w:r>
        <w:rPr>
          <w:noProof/>
        </w:rPr>
        <w:tab/>
        <w:t xml:space="preserve">Pasiūlymui (iniciatyvai) įgyvendinti veiklos asignavimai nenaudojami </w:t>
      </w:r>
    </w:p>
    <w:p>
      <w:pPr>
        <w:pStyle w:val="Tiret1"/>
        <w:tabs>
          <w:tab w:val="clear" w:pos="1417"/>
          <w:tab w:val="num" w:pos="1276"/>
          <w:tab w:val="left" w:pos="1701"/>
        </w:tabs>
        <w:rPr>
          <w:noProof/>
        </w:rPr>
      </w:pPr>
      <w:r>
        <w:rPr>
          <w:noProof/>
        </w:rPr>
        <w:sym w:font="Wingdings" w:char="F0FD"/>
      </w:r>
      <w:r>
        <w:rPr>
          <w:noProof/>
        </w:rPr>
        <w:tab/>
        <w:t>Pasiūlymui (iniciatyvai) įgyvendinti papildomi veiklos asignavimai naudojami taip:</w:t>
      </w:r>
    </w:p>
    <w:p>
      <w:pPr>
        <w:jc w:val="right"/>
        <w:rPr>
          <w:noProof/>
          <w:sz w:val="20"/>
        </w:rPr>
      </w:pPr>
      <w:r>
        <w:rPr>
          <w:noProof/>
          <w:sz w:val="20"/>
        </w:rPr>
        <w:t>Įsipareigojimų asignavimai mln. EUR (tūkstantųjų tikslumu)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79"/>
        <w:gridCol w:w="64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Nurodyti tikslus ir rezultatus* </w:t>
            </w:r>
          </w:p>
          <w:p>
            <w:pPr>
              <w:ind w:right="-29"/>
              <w:jc w:val="center"/>
              <w:rPr>
                <w:b/>
                <w:noProof/>
                <w:sz w:val="18"/>
                <w:szCs w:val="18"/>
              </w:rPr>
            </w:pPr>
          </w:p>
          <w:p>
            <w:pPr>
              <w:ind w:right="-29"/>
              <w:jc w:val="center"/>
              <w:rPr>
                <w:noProof/>
                <w:sz w:val="18"/>
                <w:szCs w:val="18"/>
              </w:rPr>
            </w:pPr>
            <w:r>
              <w:rPr>
                <w:noProof/>
                <w:sz w:val="18"/>
              </w:rPr>
              <w:sym w:font="Wingdings" w:char="F0F2"/>
            </w:r>
          </w:p>
        </w:tc>
        <w:tc>
          <w:tcPr>
            <w:tcW w:w="779" w:type="dxa"/>
            <w:vAlign w:val="center"/>
          </w:tcPr>
          <w:p>
            <w:pPr>
              <w:ind w:right="-29"/>
              <w:jc w:val="center"/>
              <w:rPr>
                <w:noProof/>
                <w:sz w:val="18"/>
                <w:szCs w:val="18"/>
              </w:rPr>
            </w:pPr>
          </w:p>
        </w:tc>
        <w:tc>
          <w:tcPr>
            <w:tcW w:w="64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2017</w:t>
            </w:r>
            <w:r>
              <w:rPr>
                <w:noProof/>
              </w:rPr>
              <w:br/>
            </w:r>
            <w:r>
              <w:rPr>
                <w:noProof/>
                <w:sz w:val="18"/>
              </w:rPr>
              <w:t>metai</w:t>
            </w:r>
          </w:p>
        </w:tc>
        <w:tc>
          <w:tcPr>
            <w:tcW w:w="1260" w:type="dxa"/>
            <w:gridSpan w:val="2"/>
            <w:vAlign w:val="center"/>
          </w:tcPr>
          <w:p>
            <w:pPr>
              <w:ind w:right="-29"/>
              <w:jc w:val="center"/>
              <w:rPr>
                <w:noProof/>
                <w:sz w:val="18"/>
                <w:szCs w:val="18"/>
              </w:rPr>
            </w:pPr>
            <w:r>
              <w:rPr>
                <w:b/>
                <w:noProof/>
                <w:sz w:val="18"/>
              </w:rPr>
              <w:t>2018</w:t>
            </w:r>
            <w:r>
              <w:rPr>
                <w:noProof/>
              </w:rPr>
              <w:br/>
            </w:r>
            <w:r>
              <w:rPr>
                <w:noProof/>
                <w:sz w:val="18"/>
              </w:rPr>
              <w:t>metai</w:t>
            </w:r>
          </w:p>
        </w:tc>
        <w:tc>
          <w:tcPr>
            <w:tcW w:w="1440" w:type="dxa"/>
            <w:gridSpan w:val="2"/>
            <w:vAlign w:val="center"/>
          </w:tcPr>
          <w:p>
            <w:pPr>
              <w:ind w:right="-29"/>
              <w:jc w:val="center"/>
              <w:rPr>
                <w:noProof/>
                <w:sz w:val="18"/>
                <w:szCs w:val="18"/>
              </w:rPr>
            </w:pPr>
            <w:r>
              <w:rPr>
                <w:b/>
                <w:noProof/>
                <w:sz w:val="18"/>
              </w:rPr>
              <w:t>2019</w:t>
            </w:r>
            <w:r>
              <w:rPr>
                <w:noProof/>
              </w:rPr>
              <w:br/>
            </w:r>
            <w:r>
              <w:rPr>
                <w:noProof/>
                <w:sz w:val="18"/>
              </w:rPr>
              <w:t>metai</w:t>
            </w:r>
          </w:p>
        </w:tc>
        <w:tc>
          <w:tcPr>
            <w:tcW w:w="1620" w:type="dxa"/>
            <w:gridSpan w:val="2"/>
            <w:vAlign w:val="center"/>
          </w:tcPr>
          <w:p>
            <w:pPr>
              <w:ind w:right="-29"/>
              <w:jc w:val="center"/>
              <w:rPr>
                <w:noProof/>
                <w:sz w:val="18"/>
                <w:szCs w:val="18"/>
              </w:rPr>
            </w:pPr>
            <w:r>
              <w:rPr>
                <w:b/>
                <w:noProof/>
                <w:sz w:val="18"/>
              </w:rPr>
              <w:t>2020</w:t>
            </w:r>
            <w:r>
              <w:rPr>
                <w:noProof/>
              </w:rPr>
              <w:br/>
            </w:r>
            <w:r>
              <w:rPr>
                <w:noProof/>
                <w:sz w:val="18"/>
              </w:rPr>
              <w:t>metai</w:t>
            </w:r>
          </w:p>
        </w:tc>
        <w:tc>
          <w:tcPr>
            <w:tcW w:w="3600" w:type="dxa"/>
            <w:gridSpan w:val="6"/>
            <w:vAlign w:val="center"/>
          </w:tcPr>
          <w:p>
            <w:pPr>
              <w:jc w:val="center"/>
              <w:rPr>
                <w:noProof/>
                <w:sz w:val="18"/>
                <w:szCs w:val="18"/>
              </w:rPr>
            </w:pPr>
            <w:r>
              <w:rPr>
                <w:noProof/>
                <w:sz w:val="18"/>
              </w:rPr>
              <w:t>Atsižvelgiant į poveikio trukmę įterpti reikiamą metų skaičių (žr. 1.6 punktą)</w:t>
            </w:r>
          </w:p>
        </w:tc>
        <w:tc>
          <w:tcPr>
            <w:tcW w:w="1620" w:type="dxa"/>
            <w:gridSpan w:val="2"/>
            <w:tcBorders>
              <w:left w:val="nil"/>
              <w:bottom w:val="nil"/>
            </w:tcBorders>
            <w:vAlign w:val="center"/>
          </w:tcPr>
          <w:p>
            <w:pPr>
              <w:ind w:right="-29"/>
              <w:jc w:val="center"/>
              <w:rPr>
                <w:noProof/>
                <w:sz w:val="18"/>
                <w:szCs w:val="18"/>
              </w:rPr>
            </w:pPr>
            <w:r>
              <w:rPr>
                <w:b/>
                <w:noProof/>
                <w:sz w:val="18"/>
              </w:rPr>
              <w:t>IŠ VISO</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REZULTATAI</w:t>
            </w:r>
          </w:p>
        </w:tc>
      </w:tr>
      <w:tr>
        <w:trPr>
          <w:cantSplit/>
          <w:trHeight w:val="1134"/>
          <w:jc w:val="center"/>
        </w:trPr>
        <w:tc>
          <w:tcPr>
            <w:tcW w:w="1423" w:type="dxa"/>
            <w:vMerge/>
            <w:vAlign w:val="center"/>
          </w:tcPr>
          <w:p>
            <w:pPr>
              <w:rPr>
                <w:noProof/>
                <w:sz w:val="18"/>
                <w:szCs w:val="18"/>
              </w:rPr>
            </w:pPr>
          </w:p>
        </w:tc>
        <w:tc>
          <w:tcPr>
            <w:tcW w:w="779" w:type="dxa"/>
            <w:vAlign w:val="center"/>
          </w:tcPr>
          <w:p>
            <w:pPr>
              <w:jc w:val="center"/>
              <w:rPr>
                <w:noProof/>
                <w:sz w:val="18"/>
                <w:szCs w:val="18"/>
              </w:rPr>
            </w:pPr>
            <w:r>
              <w:rPr>
                <w:noProof/>
                <w:sz w:val="18"/>
              </w:rPr>
              <w:t>Rūšis</w:t>
            </w:r>
            <w:r>
              <w:rPr>
                <w:rStyle w:val="FootnoteReference"/>
                <w:noProof/>
              </w:rPr>
              <w:footnoteReference w:id="30"/>
            </w:r>
          </w:p>
          <w:p>
            <w:pPr>
              <w:spacing w:before="0" w:after="0"/>
              <w:jc w:val="center"/>
              <w:rPr>
                <w:noProof/>
                <w:sz w:val="18"/>
                <w:szCs w:val="18"/>
              </w:rPr>
            </w:pPr>
          </w:p>
        </w:tc>
        <w:tc>
          <w:tcPr>
            <w:tcW w:w="642" w:type="dxa"/>
            <w:vAlign w:val="center"/>
          </w:tcPr>
          <w:p>
            <w:pPr>
              <w:jc w:val="center"/>
              <w:rPr>
                <w:noProof/>
                <w:sz w:val="18"/>
                <w:szCs w:val="18"/>
              </w:rPr>
            </w:pPr>
            <w:r>
              <w:rPr>
                <w:noProof/>
                <w:sz w:val="18"/>
              </w:rPr>
              <w:t>Vidutinės sąnaudos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Bendras skaičius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Iš viso sąnaudų</w:t>
            </w:r>
          </w:p>
        </w:tc>
      </w:tr>
      <w:tr>
        <w:trPr>
          <w:jc w:val="center"/>
        </w:trPr>
        <w:tc>
          <w:tcPr>
            <w:tcW w:w="2844" w:type="dxa"/>
            <w:gridSpan w:val="3"/>
            <w:vAlign w:val="center"/>
          </w:tcPr>
          <w:p>
            <w:pPr>
              <w:spacing w:before="60" w:after="60"/>
              <w:ind w:right="-29"/>
              <w:jc w:val="center"/>
              <w:rPr>
                <w:noProof/>
                <w:sz w:val="16"/>
                <w:szCs w:val="16"/>
              </w:rPr>
            </w:pPr>
            <w:r>
              <w:rPr>
                <w:noProof/>
                <w:sz w:val="16"/>
              </w:rPr>
              <w:t>6 ir 7 KONKRETŪS TIKSLAI</w:t>
            </w:r>
            <w:r>
              <w:rPr>
                <w:rStyle w:val="FootnoteReference"/>
                <w:noProof/>
              </w:rPr>
              <w:footnoteReference w:id="31"/>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664"/>
          <w:jc w:val="center"/>
        </w:trPr>
        <w:tc>
          <w:tcPr>
            <w:tcW w:w="1423" w:type="dxa"/>
          </w:tcPr>
          <w:p>
            <w:pPr>
              <w:ind w:right="-29"/>
              <w:jc w:val="center"/>
              <w:rPr>
                <w:noProof/>
                <w:sz w:val="18"/>
                <w:szCs w:val="18"/>
              </w:rPr>
            </w:pPr>
            <w:r>
              <w:rPr>
                <w:noProof/>
                <w:sz w:val="18"/>
              </w:rPr>
              <w:t>- Rezultatas</w:t>
            </w:r>
          </w:p>
        </w:tc>
        <w:tc>
          <w:tcPr>
            <w:tcW w:w="779" w:type="dxa"/>
          </w:tcPr>
          <w:p>
            <w:pPr>
              <w:ind w:right="-29"/>
              <w:jc w:val="center"/>
              <w:rPr>
                <w:noProof/>
                <w:sz w:val="16"/>
                <w:szCs w:val="16"/>
              </w:rPr>
            </w:pPr>
            <w:r>
              <w:rPr>
                <w:noProof/>
                <w:sz w:val="16"/>
              </w:rPr>
              <w:t>Sistemų plėtra</w:t>
            </w:r>
          </w:p>
          <w:p>
            <w:pPr>
              <w:ind w:right="-29"/>
              <w:jc w:val="center"/>
              <w:rPr>
                <w:noProof/>
                <w:sz w:val="16"/>
                <w:szCs w:val="16"/>
              </w:rPr>
            </w:pPr>
            <w:r>
              <w:rPr>
                <w:noProof/>
                <w:sz w:val="16"/>
              </w:rPr>
              <w:t xml:space="preserve"> plėtra</w:t>
            </w: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0.676</w:t>
            </w:r>
          </w:p>
        </w:tc>
      </w:tr>
      <w:tr>
        <w:trPr>
          <w:trHeight w:hRule="exact" w:val="664"/>
          <w:jc w:val="center"/>
        </w:trPr>
        <w:tc>
          <w:tcPr>
            <w:tcW w:w="1423" w:type="dxa"/>
          </w:tcPr>
          <w:p>
            <w:pPr>
              <w:ind w:right="-29"/>
              <w:jc w:val="center"/>
              <w:rPr>
                <w:noProof/>
                <w:sz w:val="18"/>
              </w:rPr>
            </w:pPr>
            <w:r>
              <w:rPr>
                <w:noProof/>
                <w:sz w:val="18"/>
              </w:rPr>
              <w:t>- Rezultatas</w:t>
            </w:r>
          </w:p>
        </w:tc>
        <w:tc>
          <w:tcPr>
            <w:tcW w:w="779" w:type="dxa"/>
          </w:tcPr>
          <w:p>
            <w:pPr>
              <w:ind w:right="-29"/>
              <w:jc w:val="center"/>
              <w:rPr>
                <w:noProof/>
                <w:sz w:val="16"/>
                <w:szCs w:val="16"/>
              </w:rPr>
            </w:pP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6"/>
                <w:szCs w:val="16"/>
              </w:rPr>
            </w:pPr>
            <w:r>
              <w:rPr>
                <w:noProof/>
                <w:sz w:val="16"/>
              </w:rPr>
              <w:t>6, 7, 8 konkrečių tikslų tarpinė suma</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0,676</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IŠ VISO SĄNAUDŲ</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0,676</w:t>
            </w:r>
          </w:p>
        </w:tc>
      </w:tr>
    </w:tbl>
    <w:p>
      <w:pPr>
        <w:rPr>
          <w:noProof/>
        </w:rPr>
        <w:sectPr>
          <w:pgSz w:w="16840" w:h="11907" w:orient="landscape" w:code="9"/>
          <w:pgMar w:top="1134" w:right="1418" w:bottom="567" w:left="1418" w:header="709" w:footer="709" w:gutter="0"/>
          <w:cols w:space="708"/>
          <w:docGrid w:linePitch="360"/>
        </w:sectPr>
      </w:pPr>
      <w:r>
        <w:rPr>
          <w:noProof/>
        </w:rPr>
        <w:t>* Pateikti tik naujų su NPM susijusių užduočių rezultatai.</w:t>
      </w:r>
      <w:r>
        <w:rPr>
          <w:noProof/>
        </w:rPr>
        <w:tab/>
      </w:r>
    </w:p>
    <w:p>
      <w:pPr>
        <w:pStyle w:val="ManualNumPar3"/>
        <w:rPr>
          <w:noProof/>
        </w:rPr>
      </w:pPr>
      <w:r>
        <w:t>3.2.3.</w:t>
      </w:r>
      <w:r>
        <w:tab/>
      </w:r>
      <w:r>
        <w:rPr>
          <w:noProof/>
        </w:rPr>
        <w:t>Numatomas poveikis administracinio pobūdžio asignavimams</w:t>
      </w:r>
    </w:p>
    <w:p>
      <w:pPr>
        <w:pStyle w:val="ManualNumPar4"/>
        <w:rPr>
          <w:noProof/>
        </w:rPr>
      </w:pPr>
      <w:r>
        <w:t>3.2.3.1.</w:t>
      </w:r>
      <w:r>
        <w:tab/>
      </w:r>
      <w:r>
        <w:rPr>
          <w:noProof/>
        </w:rPr>
        <w:t xml:space="preserve">Santrauka </w:t>
      </w:r>
    </w:p>
    <w:p>
      <w:pPr>
        <w:pStyle w:val="Tiret0"/>
        <w:numPr>
          <w:ilvl w:val="0"/>
          <w:numId w:val="20"/>
        </w:numPr>
        <w:tabs>
          <w:tab w:val="left" w:pos="1134"/>
        </w:tabs>
        <w:ind w:firstLine="1"/>
        <w:rPr>
          <w:noProof/>
        </w:rPr>
      </w:pPr>
      <w:r>
        <w:rPr>
          <w:noProof/>
        </w:rPr>
        <w:sym w:font="Wingdings" w:char="F0A8"/>
      </w:r>
      <w:r>
        <w:rPr>
          <w:noProof/>
        </w:rPr>
        <w:tab/>
        <w:t xml:space="preserve">Pasiūlymui (iniciatyvai) įgyvendinti administracinio pobūdžio asignavimų nenaudojama </w:t>
      </w:r>
    </w:p>
    <w:p>
      <w:pPr>
        <w:pStyle w:val="Tiret0"/>
        <w:tabs>
          <w:tab w:val="left" w:pos="1134"/>
        </w:tabs>
        <w:ind w:firstLine="1"/>
        <w:rPr>
          <w:noProof/>
        </w:rPr>
      </w:pPr>
      <w:r>
        <w:rPr>
          <w:noProof/>
        </w:rPr>
        <w:sym w:font="Wingdings" w:char="F0FD"/>
      </w:r>
      <w:r>
        <w:rPr>
          <w:noProof/>
        </w:rPr>
        <w:tab/>
        <w:t>Pasiūlymui (iniciatyvai) įgyvendinti administracinio pobūdžio asignavimai naudojami taip:</w:t>
      </w:r>
    </w:p>
    <w:p>
      <w:pPr>
        <w:rPr>
          <w:noProof/>
          <w:sz w:val="20"/>
        </w:rPr>
      </w:pPr>
      <w:r>
        <w:rPr>
          <w:noProof/>
          <w:sz w:val="20"/>
        </w:rPr>
        <w:t>mln. EUR (tūkstantųjų tikslumu)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b/>
                <w:noProof/>
                <w:sz w:val="16"/>
              </w:rPr>
              <w:t xml:space="preserve"> </w:t>
            </w:r>
            <w:r>
              <w:rPr>
                <w:rStyle w:val="FootnoteReference"/>
                <w:b/>
                <w:noProof/>
                <w:sz w:val="16"/>
              </w:rPr>
              <w:footnoteReference w:id="32"/>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3240" w:type="dxa"/>
            <w:vAlign w:val="center"/>
          </w:tcPr>
          <w:p>
            <w:pPr>
              <w:spacing w:line="200" w:lineRule="exact"/>
              <w:jc w:val="center"/>
              <w:rPr>
                <w:b/>
                <w:noProof/>
                <w:sz w:val="16"/>
                <w:szCs w:val="16"/>
              </w:rPr>
            </w:pPr>
            <w:r>
              <w:rPr>
                <w:noProof/>
                <w:sz w:val="16"/>
              </w:rPr>
              <w:t>Atsižvelgiant į poveikio trukmę įterpti reikiamą metų skaičių (žr. 1.6 punktą)</w:t>
            </w:r>
          </w:p>
        </w:tc>
        <w:tc>
          <w:tcPr>
            <w:tcW w:w="1080" w:type="dxa"/>
            <w:vAlign w:val="center"/>
          </w:tcPr>
          <w:p>
            <w:pPr>
              <w:spacing w:before="60" w:after="60" w:line="200" w:lineRule="exact"/>
              <w:jc w:val="center"/>
              <w:rPr>
                <w:b/>
                <w:noProof/>
                <w:sz w:val="16"/>
                <w:szCs w:val="16"/>
              </w:rPr>
            </w:pPr>
            <w:r>
              <w:rPr>
                <w:b/>
                <w:noProof/>
                <w:sz w:val="16"/>
              </w:rPr>
              <w:t>IŠ VISO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Daugiametės finansinės programos 5 IŠLAIDŲ KATEGORIJA</w:t>
            </w:r>
            <w:r>
              <w:rPr>
                <w:noProof/>
                <w:sz w:val="22"/>
              </w:rPr>
              <w:br/>
            </w:r>
          </w:p>
        </w:tc>
        <w:tc>
          <w:tcPr>
            <w:tcW w:w="1080" w:type="dxa"/>
            <w:vAlign w:val="center"/>
          </w:tcPr>
          <w:p>
            <w:pPr>
              <w:spacing w:before="60" w:after="60" w:line="200" w:lineRule="exact"/>
              <w:jc w:val="right"/>
              <w:rPr>
                <w:noProof/>
                <w:sz w:val="16"/>
                <w:szCs w:val="16"/>
              </w:rPr>
            </w:pPr>
            <w:r>
              <w:rPr>
                <w:noProof/>
                <w:sz w:val="16"/>
              </w:rPr>
              <w:t>2017</w:t>
            </w:r>
          </w:p>
        </w:tc>
        <w:tc>
          <w:tcPr>
            <w:tcW w:w="1080" w:type="dxa"/>
            <w:vAlign w:val="center"/>
          </w:tcPr>
          <w:p>
            <w:pPr>
              <w:spacing w:before="60" w:after="60" w:line="200" w:lineRule="exact"/>
              <w:jc w:val="right"/>
              <w:rPr>
                <w:noProof/>
                <w:sz w:val="16"/>
                <w:szCs w:val="16"/>
              </w:rPr>
            </w:pPr>
            <w:r>
              <w:rPr>
                <w:noProof/>
                <w:sz w:val="16"/>
              </w:rPr>
              <w:t>2018</w:t>
            </w:r>
          </w:p>
        </w:tc>
        <w:tc>
          <w:tcPr>
            <w:tcW w:w="1080" w:type="dxa"/>
            <w:vAlign w:val="center"/>
          </w:tcPr>
          <w:p>
            <w:pPr>
              <w:spacing w:before="60" w:after="60" w:line="200" w:lineRule="exact"/>
              <w:jc w:val="right"/>
              <w:rPr>
                <w:noProof/>
                <w:sz w:val="16"/>
                <w:szCs w:val="16"/>
              </w:rPr>
            </w:pPr>
            <w:r>
              <w:rPr>
                <w:noProof/>
                <w:sz w:val="16"/>
              </w:rPr>
              <w:t>2019</w:t>
            </w:r>
          </w:p>
        </w:tc>
        <w:tc>
          <w:tcPr>
            <w:tcW w:w="1080" w:type="dxa"/>
            <w:vAlign w:val="center"/>
          </w:tcPr>
          <w:p>
            <w:pPr>
              <w:spacing w:before="60" w:after="60" w:line="200" w:lineRule="exact"/>
              <w:jc w:val="right"/>
              <w:rPr>
                <w:noProof/>
                <w:sz w:val="16"/>
                <w:szCs w:val="16"/>
              </w:rPr>
            </w:pPr>
            <w:r>
              <w:rPr>
                <w:noProof/>
                <w:sz w:val="16"/>
              </w:rPr>
              <w:t>2020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Žmogiškieji ištekliai (viso etato darbuotojų HOME GD)</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Kitos administracinės išlaidos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Daugiametės finansinės programos 5 IŠLAIDŲ KATEGORIJA Iš viso</w:t>
            </w:r>
            <w:r>
              <w:rPr>
                <w:noProof/>
                <w:sz w:val="22"/>
              </w:rPr>
              <w:br/>
            </w:r>
            <w:r>
              <w:rPr>
                <w:b/>
                <w:noProof/>
                <w:sz w:val="16"/>
              </w:rPr>
              <w:t xml:space="preserve"> </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bl>
    <w:p>
      <w:pPr>
        <w:spacing w:line="200" w:lineRule="exact"/>
        <w:rPr>
          <w:noProof/>
          <w:sz w:val="16"/>
          <w:szCs w:val="16"/>
          <w:highlight w:val="yellow"/>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IŠ VISO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1,6080</w:t>
            </w:r>
          </w:p>
        </w:tc>
      </w:tr>
    </w:tbl>
    <w:p>
      <w:pPr>
        <w:rPr>
          <w:noProof/>
          <w:sz w:val="18"/>
        </w:rPr>
      </w:pPr>
      <w:r>
        <w:rPr>
          <w:noProof/>
          <w:sz w:val="18"/>
        </w:rPr>
        <w:t>Žmogiškųjų išteklių ir kitų administracinio pobūdžio išlaidų asignavimų poreikiai bus tenkinami iš GD asignavimų, jau paskirtų priemonei valdyti ir (arba) perskirstytų generaliniame direktorate, ir prireikus finansuojami iš papildomų lėšų, kurios atsakingam GD gali būti skiriamos pagal metinę asignavimų skyrimo procedūrą ir atsižvelgiant į biudžeto apribojimus.</w:t>
      </w:r>
    </w:p>
    <w:p>
      <w:pPr>
        <w:rPr>
          <w:noProof/>
        </w:rPr>
      </w:pPr>
    </w:p>
    <w:p>
      <w:pPr>
        <w:pStyle w:val="ManualNumPar4"/>
        <w:rPr>
          <w:noProof/>
        </w:rPr>
      </w:pPr>
      <w:r>
        <w:t>3.2.3.2.</w:t>
      </w:r>
      <w:r>
        <w:tab/>
      </w:r>
      <w:r>
        <w:rPr>
          <w:noProof/>
        </w:rPr>
        <w:t>Numatomi žmogiškųjų išteklių poreikiai</w:t>
      </w:r>
    </w:p>
    <w:p>
      <w:pPr>
        <w:pStyle w:val="Tiret0"/>
        <w:numPr>
          <w:ilvl w:val="0"/>
          <w:numId w:val="20"/>
        </w:numPr>
        <w:tabs>
          <w:tab w:val="left" w:pos="1134"/>
        </w:tabs>
        <w:ind w:firstLine="1"/>
        <w:rPr>
          <w:noProof/>
        </w:rPr>
      </w:pPr>
      <w:r>
        <w:rPr>
          <w:noProof/>
        </w:rPr>
        <w:sym w:font="Wingdings" w:char="F0A8"/>
      </w:r>
      <w:r>
        <w:rPr>
          <w:noProof/>
        </w:rPr>
        <w:tab/>
        <w:t xml:space="preserve">Pasiūlymui (iniciatyvai) įgyvendinti žmogiškųjų išteklių nenaudojama. </w:t>
      </w:r>
    </w:p>
    <w:p>
      <w:pPr>
        <w:pStyle w:val="Tiret0"/>
        <w:numPr>
          <w:ilvl w:val="0"/>
          <w:numId w:val="20"/>
        </w:numPr>
        <w:tabs>
          <w:tab w:val="left" w:pos="1134"/>
        </w:tabs>
        <w:ind w:firstLine="1"/>
        <w:rPr>
          <w:noProof/>
        </w:rPr>
      </w:pPr>
      <w:r>
        <w:rPr>
          <w:noProof/>
        </w:rPr>
        <w:sym w:font="Wingdings" w:char="F0FD"/>
      </w:r>
      <w:r>
        <w:rPr>
          <w:noProof/>
        </w:rPr>
        <w:tab/>
        <w:t>Pasiūlymui (iniciatyvai) įgyvendinti žmogiškieji ištekliai naudojami taip:</w:t>
      </w:r>
    </w:p>
    <w:p>
      <w:pPr>
        <w:spacing w:after="60"/>
        <w:jc w:val="right"/>
        <w:rPr>
          <w:i/>
          <w:noProof/>
          <w:sz w:val="20"/>
        </w:rPr>
      </w:pPr>
      <w:r>
        <w:rPr>
          <w:i/>
          <w:noProof/>
          <w:sz w:val="20"/>
        </w:rPr>
        <w:t>Sąmatą surašyti etatų vienetais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spacing w:before="40" w:after="40"/>
              <w:jc w:val="center"/>
              <w:rPr>
                <w:i/>
                <w:noProof/>
                <w:sz w:val="16"/>
                <w:szCs w:val="16"/>
              </w:rPr>
            </w:pPr>
          </w:p>
        </w:tc>
        <w:tc>
          <w:tcPr>
            <w:tcW w:w="318" w:type="pct"/>
            <w:shd w:val="clear" w:color="auto" w:fill="auto"/>
            <w:vAlign w:val="center"/>
          </w:tcPr>
          <w:p>
            <w:pPr>
              <w:spacing w:before="20" w:after="20"/>
              <w:jc w:val="center"/>
              <w:rPr>
                <w:noProof/>
                <w:sz w:val="16"/>
                <w:szCs w:val="16"/>
              </w:rPr>
            </w:pPr>
            <w:r>
              <w:rPr>
                <w:b/>
                <w:noProof/>
                <w:sz w:val="16"/>
              </w:rPr>
              <w:t>N</w:t>
            </w:r>
            <w:r>
              <w:rPr>
                <w:noProof/>
              </w:rPr>
              <w:t xml:space="preserve"> </w:t>
            </w:r>
            <w:r>
              <w:rPr>
                <w:noProof/>
                <w:sz w:val="16"/>
              </w:rPr>
              <w:t>metai</w:t>
            </w:r>
          </w:p>
        </w:tc>
        <w:tc>
          <w:tcPr>
            <w:tcW w:w="318" w:type="pct"/>
            <w:shd w:val="clear" w:color="auto" w:fill="auto"/>
            <w:vAlign w:val="center"/>
          </w:tcPr>
          <w:p>
            <w:pPr>
              <w:spacing w:before="20" w:after="20"/>
              <w:jc w:val="center"/>
              <w:rPr>
                <w:noProof/>
                <w:sz w:val="16"/>
                <w:szCs w:val="16"/>
              </w:rPr>
            </w:pPr>
            <w:r>
              <w:rPr>
                <w:b/>
                <w:noProof/>
                <w:sz w:val="16"/>
              </w:rPr>
              <w:t>N+1</w:t>
            </w:r>
            <w:r>
              <w:rPr>
                <w:noProof/>
              </w:rPr>
              <w:t xml:space="preserve"> </w:t>
            </w:r>
            <w:r>
              <w:rPr>
                <w:noProof/>
              </w:rPr>
              <w:br/>
            </w:r>
            <w:r>
              <w:rPr>
                <w:noProof/>
                <w:sz w:val="16"/>
              </w:rPr>
              <w:t>metai</w:t>
            </w:r>
          </w:p>
        </w:tc>
        <w:tc>
          <w:tcPr>
            <w:tcW w:w="1891" w:type="pct"/>
            <w:shd w:val="clear" w:color="auto" w:fill="auto"/>
            <w:vAlign w:val="center"/>
          </w:tcPr>
          <w:p>
            <w:pPr>
              <w:spacing w:before="20" w:after="20"/>
              <w:jc w:val="center"/>
              <w:rPr>
                <w:noProof/>
                <w:sz w:val="16"/>
                <w:szCs w:val="16"/>
              </w:rPr>
            </w:pPr>
            <w:r>
              <w:rPr>
                <w:b/>
                <w:noProof/>
                <w:sz w:val="16"/>
              </w:rPr>
              <w:t>N+2</w:t>
            </w:r>
            <w:r>
              <w:rPr>
                <w:noProof/>
                <w:sz w:val="16"/>
              </w:rPr>
              <w:t xml:space="preserve"> </w:t>
            </w:r>
            <w:r>
              <w:rPr>
                <w:noProof/>
                <w:sz w:val="16"/>
                <w:szCs w:val="16"/>
              </w:rPr>
              <w:br/>
            </w:r>
            <w:r>
              <w:rPr>
                <w:noProof/>
                <w:sz w:val="16"/>
              </w:rPr>
              <w:t>metai</w:t>
            </w:r>
          </w:p>
        </w:tc>
        <w:tc>
          <w:tcPr>
            <w:tcW w:w="226" w:type="pct"/>
            <w:shd w:val="clear" w:color="auto" w:fill="auto"/>
            <w:vAlign w:val="center"/>
          </w:tcPr>
          <w:p>
            <w:pPr>
              <w:spacing w:before="20" w:after="20"/>
              <w:jc w:val="center"/>
              <w:rPr>
                <w:noProof/>
                <w:sz w:val="16"/>
                <w:szCs w:val="16"/>
              </w:rPr>
            </w:pPr>
            <w:r>
              <w:rPr>
                <w:b/>
                <w:noProof/>
                <w:sz w:val="16"/>
              </w:rPr>
              <w:t>N+3</w:t>
            </w:r>
            <w:r>
              <w:rPr>
                <w:noProof/>
                <w:sz w:val="16"/>
              </w:rPr>
              <w:t xml:space="preserve"> </w:t>
            </w:r>
            <w:r>
              <w:rPr>
                <w:noProof/>
                <w:sz w:val="16"/>
                <w:szCs w:val="16"/>
              </w:rPr>
              <w:br/>
            </w:r>
            <w:r>
              <w:rPr>
                <w:noProof/>
                <w:sz w:val="16"/>
              </w:rPr>
              <w:t>metai</w:t>
            </w:r>
          </w:p>
        </w:tc>
        <w:tc>
          <w:tcPr>
            <w:tcW w:w="345" w:type="pct"/>
            <w:gridSpan w:val="3"/>
            <w:shd w:val="clear" w:color="auto" w:fill="auto"/>
            <w:vAlign w:val="center"/>
          </w:tcPr>
          <w:p>
            <w:pPr>
              <w:jc w:val="center"/>
              <w:rPr>
                <w:b/>
                <w:noProof/>
                <w:sz w:val="16"/>
                <w:szCs w:val="16"/>
              </w:rPr>
            </w:pPr>
            <w:r>
              <w:rPr>
                <w:noProof/>
                <w:sz w:val="16"/>
              </w:rPr>
              <w:t>Atsižvelgiant į poveikio trukmę įterpti reikiamą metų skaičių (žr. 1.6 punktą)</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rPr>
              <w:t>Etatų plano pareigybės (pareigūnai ir laikinieji darbuotojai)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b/>
                <w:noProof/>
                <w:sz w:val="16"/>
                <w:szCs w:val="16"/>
              </w:rPr>
            </w:pPr>
            <w:r>
              <w:rPr>
                <w:noProof/>
                <w:sz w:val="16"/>
              </w:rPr>
              <w:t>18 01 01 01 (Komisijos būstinė ir atstovybės)</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1891" w:type="pct"/>
            <w:shd w:val="clear" w:color="auto" w:fill="auto"/>
            <w:vAlign w:val="center"/>
          </w:tcPr>
          <w:p>
            <w:pPr>
              <w:spacing w:beforeLines="20" w:before="48" w:afterLines="20" w:after="48"/>
              <w:jc w:val="center"/>
              <w:rPr>
                <w:noProof/>
                <w:sz w:val="16"/>
                <w:szCs w:val="16"/>
              </w:rPr>
            </w:pPr>
            <w:r>
              <w:rPr>
                <w:noProof/>
                <w:sz w:val="16"/>
              </w:rPr>
              <w:t>3</w:t>
            </w:r>
          </w:p>
        </w:tc>
        <w:tc>
          <w:tcPr>
            <w:tcW w:w="226" w:type="pct"/>
            <w:shd w:val="clear" w:color="auto" w:fill="auto"/>
            <w:vAlign w:val="center"/>
          </w:tcPr>
          <w:p>
            <w:pPr>
              <w:spacing w:beforeLines="20" w:before="48" w:afterLines="20" w:after="48"/>
              <w:jc w:val="center"/>
              <w:rPr>
                <w:noProof/>
                <w:sz w:val="16"/>
                <w:szCs w:val="16"/>
              </w:rPr>
            </w:pPr>
            <w:r>
              <w:rPr>
                <w:noProof/>
                <w:sz w:val="16"/>
              </w:rPr>
              <w:t>3</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01 02 (atstovybės)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05 01 (Netiesioginiai moksliniai tyrimai)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10 01 05 01 (Tiesioginiai moksliniai tyrimai)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spacing w:before="60" w:after="60"/>
              <w:jc w:val="left"/>
              <w:rPr>
                <w:b/>
                <w:noProof/>
                <w:sz w:val="16"/>
                <w:szCs w:val="16"/>
              </w:rPr>
            </w:pPr>
            <w:r>
              <w:rPr>
                <w:b/>
                <w:noProof/>
                <w:sz w:val="16"/>
              </w:rPr>
              <w:sym w:font="Wingdings" w:char="F09F"/>
            </w:r>
            <w:r>
              <w:rPr>
                <w:b/>
                <w:noProof/>
              </w:rPr>
              <w:t>Išorės darbuotojai (etatų vienetais)</w:t>
            </w:r>
            <w:r>
              <w:rPr>
                <w:b/>
                <w:noProof/>
                <w:sz w:val="16"/>
              </w:rPr>
              <w:t xml:space="preserve"> visą darbo dieną</w:t>
            </w:r>
            <w:r>
              <w:rPr>
                <w:rStyle w:val="FootnoteReference"/>
                <w:b/>
                <w:noProof/>
                <w:sz w:val="16"/>
              </w:rPr>
              <w:footnoteReference w:id="33"/>
            </w:r>
            <w:r>
              <w:rPr>
                <w:rStyle w:val="CommentReference"/>
                <w:noProof/>
              </w:rPr>
              <w:t xml:space="preserve"> </w:t>
            </w:r>
          </w:p>
          <w:p>
            <w:pPr>
              <w:spacing w:before="0" w:after="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b/>
                <w:noProof/>
                <w:sz w:val="16"/>
                <w:szCs w:val="16"/>
              </w:rPr>
            </w:pPr>
            <w:r>
              <w:rPr>
                <w:noProof/>
                <w:sz w:val="16"/>
              </w:rPr>
              <w:t>XX 01 02 01 (CA, SNE, INT finansuojami iš bendrojo biudžeto)</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XX 01 02 02 (CA, LA, SNE, INT ir JED atstovybėse)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spacing w:beforeLines="20" w:before="48" w:afterLines="20" w:after="48"/>
              <w:ind w:left="136"/>
              <w:jc w:val="left"/>
              <w:rPr>
                <w:b/>
                <w:noProof/>
                <w:sz w:val="16"/>
                <w:szCs w:val="16"/>
              </w:rPr>
            </w:pPr>
            <w:r>
              <w:rPr>
                <w:noProof/>
              </w:rPr>
              <w:t>XX 01 04 yy</w:t>
            </w:r>
            <w:r>
              <w:rPr>
                <w:rStyle w:val="FootnoteReference"/>
                <w:noProof/>
              </w:rPr>
              <w:footnoteReference w:id="34"/>
            </w:r>
          </w:p>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būstinėje</w:t>
            </w:r>
          </w:p>
          <w:p>
            <w:pPr>
              <w:spacing w:beforeLines="20" w:before="48" w:afterLines="20" w:after="48"/>
              <w:ind w:left="136"/>
              <w:jc w:val="left"/>
              <w:rPr>
                <w:b/>
                <w:noProof/>
                <w:sz w:val="16"/>
                <w:szCs w:val="16"/>
              </w:rPr>
            </w:pP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xml:space="preserve">- atstovybėse </w:t>
            </w: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rPr>
              <w:t>XX 01 05 02 (CA, SNE, INT– netiesioginiai moksliniai tyrimai)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10 01 05 02 (CA, SNE, INT– tiesioginiai moksliniai tyrimai)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Kitos biudžeto eilutės (nurodyti)</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IŠ VISO</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noProof/>
        </w:rPr>
        <w:t>XX yra atitinkama politikos sritis arba biudžeto antraštinė dalis.</w:t>
      </w:r>
    </w:p>
    <w:p>
      <w:pPr>
        <w:ind w:left="850"/>
        <w:rPr>
          <w:noProof/>
          <w:sz w:val="18"/>
          <w:szCs w:val="18"/>
        </w:rPr>
      </w:pPr>
      <w:r>
        <w:rPr>
          <w:noProof/>
          <w:sz w:val="18"/>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pPr>
        <w:rPr>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Pareigūnai ir laikinieji darbuotojai</w:t>
            </w:r>
          </w:p>
        </w:tc>
        <w:tc>
          <w:tcPr>
            <w:tcW w:w="7200" w:type="dxa"/>
          </w:tcPr>
          <w:p>
            <w:pPr>
              <w:rPr>
                <w:noProof/>
                <w:sz w:val="20"/>
              </w:rPr>
            </w:pPr>
            <w:r>
              <w:rPr>
                <w:noProof/>
                <w:sz w:val="20"/>
              </w:rPr>
              <w:t>Atstovauja Komisijai Agentūros valdančiojoje taryboje. Rengia Komisijos nuomonę apie metinę darbo programą ir stebi jos įgyvendinimą. Prižiūri Agentūros biudžeto rengimą ir stebi jo vykdymą. Padeda Agentūrai plėtoti savo veiklą pagal ES politikos nuostatas, be kita ko, dalyvaudami ekspertų posėdžiuose.</w:t>
            </w:r>
          </w:p>
        </w:tc>
      </w:tr>
      <w:tr>
        <w:tc>
          <w:tcPr>
            <w:tcW w:w="3240" w:type="dxa"/>
          </w:tcPr>
          <w:p>
            <w:pPr>
              <w:spacing w:before="60" w:after="60"/>
              <w:rPr>
                <w:noProof/>
                <w:sz w:val="20"/>
              </w:rPr>
            </w:pPr>
            <w:r>
              <w:rPr>
                <w:noProof/>
                <w:sz w:val="20"/>
              </w:rPr>
              <w:t>Išorės darbuotojai</w:t>
            </w:r>
          </w:p>
        </w:tc>
        <w:tc>
          <w:tcPr>
            <w:tcW w:w="7200" w:type="dxa"/>
          </w:tcPr>
          <w:p>
            <w:pPr>
              <w:rPr>
                <w:noProof/>
                <w:sz w:val="20"/>
              </w:rPr>
            </w:pPr>
          </w:p>
        </w:tc>
      </w:tr>
    </w:tbl>
    <w:p>
      <w:pPr>
        <w:pStyle w:val="ManualNumPar3"/>
        <w:rPr>
          <w:noProof/>
        </w:rPr>
      </w:pPr>
      <w:r>
        <w:t>3.2.4.</w:t>
      </w:r>
      <w:r>
        <w:tab/>
      </w:r>
      <w:r>
        <w:rPr>
          <w:noProof/>
        </w:rPr>
        <w:t xml:space="preserve">Suderinamumas su dabartine daugiamete finansine programa </w:t>
      </w:r>
    </w:p>
    <w:p>
      <w:pPr>
        <w:pStyle w:val="Tiret0"/>
        <w:numPr>
          <w:ilvl w:val="0"/>
          <w:numId w:val="20"/>
        </w:numPr>
        <w:tabs>
          <w:tab w:val="left" w:pos="1134"/>
        </w:tabs>
        <w:ind w:firstLine="1"/>
        <w:rPr>
          <w:noProof/>
        </w:rPr>
      </w:pPr>
      <w:r>
        <w:rPr>
          <w:noProof/>
        </w:rPr>
        <w:sym w:font="Wingdings" w:char="F0FD"/>
      </w:r>
      <w:r>
        <w:rPr>
          <w:noProof/>
        </w:rPr>
        <w:tab/>
        <w:t>Pasiūlymas (iniciatyva) atitinka dabartinę daugiametę finansinę programą.</w:t>
      </w:r>
    </w:p>
    <w:p>
      <w:pPr>
        <w:pStyle w:val="Tiret0"/>
        <w:numPr>
          <w:ilvl w:val="0"/>
          <w:numId w:val="20"/>
        </w:numPr>
        <w:tabs>
          <w:tab w:val="left" w:pos="1134"/>
        </w:tabs>
        <w:ind w:firstLine="1"/>
        <w:rPr>
          <w:noProof/>
        </w:rPr>
      </w:pPr>
      <w:r>
        <w:rPr>
          <w:noProof/>
        </w:rPr>
        <w:sym w:font="Wingdings" w:char="F0A8"/>
      </w:r>
      <w:r>
        <w:rPr>
          <w:noProof/>
        </w:rPr>
        <w:tab/>
        <w:t>Atsižvelgiant į pasiūlymą (iniciatyvą), reikės pakeisti daugiametės finansinės programos atitinkamos išlaidų kategorijos programavimą.</w:t>
      </w:r>
    </w:p>
    <w:p>
      <w:pPr>
        <w:pBdr>
          <w:top w:val="single" w:sz="4" w:space="1" w:color="auto"/>
          <w:left w:val="single" w:sz="4" w:space="4" w:color="auto"/>
          <w:bottom w:val="single" w:sz="4" w:space="1" w:color="auto"/>
          <w:right w:val="single" w:sz="4" w:space="4" w:color="auto"/>
        </w:pBdr>
        <w:ind w:left="850"/>
        <w:rPr>
          <w:noProof/>
        </w:rPr>
      </w:pPr>
      <w:r>
        <w:rPr>
          <w:noProof/>
          <w:sz w:val="20"/>
        </w:rPr>
        <w:t>Paaiškinti, kaip reikia pakeisti programavimą, ir nurodyti atitinkamas biudžeto eilutes bei sumas.</w:t>
      </w:r>
    </w:p>
    <w:p>
      <w:pPr>
        <w:pStyle w:val="Tiret0"/>
        <w:numPr>
          <w:ilvl w:val="0"/>
          <w:numId w:val="20"/>
        </w:numPr>
        <w:tabs>
          <w:tab w:val="left" w:pos="1134"/>
        </w:tabs>
        <w:ind w:firstLine="1"/>
        <w:rPr>
          <w:noProof/>
        </w:rPr>
      </w:pPr>
      <w:r>
        <w:rPr>
          <w:noProof/>
        </w:rPr>
        <w:sym w:font="Wingdings" w:char="F0A8"/>
      </w:r>
      <w:r>
        <w:rPr>
          <w:noProof/>
        </w:rPr>
        <w:tab/>
        <w:t>Įgyvendinant pasiūlymą (iniciatyvą) būtina taikyti lankstumo priemonę arba patikslinti daugiametę finansinę programą.</w:t>
      </w:r>
    </w:p>
    <w:p>
      <w:pPr>
        <w:pBdr>
          <w:top w:val="single" w:sz="4" w:space="1" w:color="auto"/>
          <w:left w:val="single" w:sz="4" w:space="4" w:color="auto"/>
          <w:bottom w:val="single" w:sz="4" w:space="1" w:color="auto"/>
          <w:right w:val="single" w:sz="4" w:space="4" w:color="auto"/>
        </w:pBdr>
        <w:ind w:left="850"/>
        <w:rPr>
          <w:noProof/>
        </w:rPr>
      </w:pPr>
      <w:r>
        <w:rPr>
          <w:noProof/>
          <w:sz w:val="20"/>
        </w:rPr>
        <w:t>Paaiškinti, ką reikia atlikti, ir nurodyti atitinkamas išlaidų kategorijas, biudžeto eilutes ir sumas.</w:t>
      </w:r>
    </w:p>
    <w:p>
      <w:pPr>
        <w:pStyle w:val="ManualNumPar3"/>
        <w:rPr>
          <w:noProof/>
        </w:rPr>
      </w:pPr>
      <w:r>
        <w:t>3.2.5.</w:t>
      </w:r>
      <w:r>
        <w:tab/>
      </w:r>
      <w:r>
        <w:rPr>
          <w:noProof/>
        </w:rPr>
        <w:t xml:space="preserve">Trečiųjų šalių įnašai </w:t>
      </w:r>
    </w:p>
    <w:p>
      <w:pPr>
        <w:pStyle w:val="Tiret0"/>
        <w:numPr>
          <w:ilvl w:val="0"/>
          <w:numId w:val="20"/>
        </w:numPr>
        <w:tabs>
          <w:tab w:val="left" w:pos="1134"/>
        </w:tabs>
        <w:ind w:firstLine="1"/>
        <w:rPr>
          <w:noProof/>
        </w:rPr>
      </w:pPr>
      <w:r>
        <w:rPr>
          <w:noProof/>
        </w:rPr>
        <w:sym w:font="Wingdings" w:char="F0FD"/>
      </w:r>
      <w:r>
        <w:rPr>
          <w:noProof/>
        </w:rPr>
        <w:tab/>
        <w:t xml:space="preserve">Pasiūlyme (iniciatyvoje) nenumatyta bendro su trečiosiomis šalimis finansavimo. </w:t>
      </w:r>
    </w:p>
    <w:p>
      <w:pPr>
        <w:pStyle w:val="Tiret0"/>
        <w:numPr>
          <w:ilvl w:val="0"/>
          <w:numId w:val="20"/>
        </w:numPr>
        <w:tabs>
          <w:tab w:val="left" w:pos="1134"/>
        </w:tabs>
        <w:ind w:firstLine="1"/>
        <w:rPr>
          <w:noProof/>
        </w:rPr>
      </w:pPr>
      <w:r>
        <w:rPr>
          <w:noProof/>
        </w:rPr>
        <w:t>Pasiūlyme (iniciatyvoje) numatytas bendras finansavimas apskaičiuojamas taip:</w:t>
      </w:r>
    </w:p>
    <w:p>
      <w:pPr>
        <w:jc w:val="right"/>
        <w:rPr>
          <w:noProof/>
          <w:sz w:val="20"/>
        </w:rPr>
      </w:pPr>
      <w:r>
        <w:rPr>
          <w:noProof/>
          <w:sz w:val="20"/>
        </w:rPr>
        <w:t>Asignavimai mln. EUR (tūkstantųjų tikslumu) 2016 m. 2017 m. 2018 m.</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N</w:t>
            </w:r>
            <w:r>
              <w:rPr>
                <w:noProof/>
              </w:rPr>
              <w:t xml:space="preserve"> </w:t>
            </w:r>
            <w:r>
              <w:rPr>
                <w:noProof/>
                <w:sz w:val="20"/>
              </w:rPr>
              <w:t>metai</w:t>
            </w:r>
          </w:p>
        </w:tc>
        <w:tc>
          <w:tcPr>
            <w:tcW w:w="964" w:type="dxa"/>
            <w:vAlign w:val="center"/>
          </w:tcPr>
          <w:p>
            <w:pPr>
              <w:jc w:val="center"/>
              <w:rPr>
                <w:noProof/>
                <w:sz w:val="20"/>
              </w:rPr>
            </w:pPr>
            <w:r>
              <w:rPr>
                <w:b/>
                <w:noProof/>
                <w:sz w:val="20"/>
              </w:rPr>
              <w:t>N+1</w:t>
            </w:r>
            <w:r>
              <w:rPr>
                <w:noProof/>
              </w:rPr>
              <w:t xml:space="preserve"> </w:t>
            </w:r>
            <w:r>
              <w:rPr>
                <w:noProof/>
              </w:rPr>
              <w:br/>
            </w:r>
            <w:r>
              <w:rPr>
                <w:noProof/>
                <w:sz w:val="20"/>
              </w:rPr>
              <w:t>metai</w:t>
            </w:r>
          </w:p>
        </w:tc>
        <w:tc>
          <w:tcPr>
            <w:tcW w:w="964" w:type="dxa"/>
            <w:vAlign w:val="center"/>
          </w:tcPr>
          <w:p>
            <w:pPr>
              <w:jc w:val="center"/>
              <w:rPr>
                <w:noProof/>
                <w:sz w:val="20"/>
              </w:rPr>
            </w:pPr>
            <w:r>
              <w:rPr>
                <w:b/>
                <w:noProof/>
                <w:sz w:val="20"/>
              </w:rPr>
              <w:t>N+2</w:t>
            </w:r>
            <w:r>
              <w:rPr>
                <w:noProof/>
              </w:rPr>
              <w:t xml:space="preserve"> </w:t>
            </w:r>
            <w:r>
              <w:rPr>
                <w:noProof/>
              </w:rPr>
              <w:br/>
            </w:r>
            <w:r>
              <w:rPr>
                <w:noProof/>
                <w:sz w:val="20"/>
              </w:rPr>
              <w:t>metai</w:t>
            </w:r>
          </w:p>
        </w:tc>
        <w:tc>
          <w:tcPr>
            <w:tcW w:w="964" w:type="dxa"/>
            <w:vAlign w:val="center"/>
          </w:tcPr>
          <w:p>
            <w:pPr>
              <w:jc w:val="center"/>
              <w:rPr>
                <w:noProof/>
                <w:sz w:val="20"/>
              </w:rPr>
            </w:pPr>
            <w:r>
              <w:rPr>
                <w:b/>
                <w:noProof/>
                <w:sz w:val="20"/>
              </w:rPr>
              <w:t>N+3</w:t>
            </w:r>
            <w:r>
              <w:rPr>
                <w:noProof/>
              </w:rPr>
              <w:br/>
            </w:r>
            <w:r>
              <w:rPr>
                <w:noProof/>
                <w:sz w:val="20"/>
              </w:rPr>
              <w:t>metai</w:t>
            </w:r>
          </w:p>
        </w:tc>
        <w:tc>
          <w:tcPr>
            <w:tcW w:w="2892" w:type="dxa"/>
            <w:gridSpan w:val="3"/>
            <w:vAlign w:val="center"/>
          </w:tcPr>
          <w:p>
            <w:pPr>
              <w:jc w:val="center"/>
              <w:rPr>
                <w:b/>
                <w:noProof/>
                <w:sz w:val="20"/>
              </w:rPr>
            </w:pPr>
            <w:r>
              <w:rPr>
                <w:noProof/>
                <w:sz w:val="20"/>
              </w:rPr>
              <w:t>Atsižvelgiant į poveikio trukmę įterpti reikiamą metų skaičių (žr. 1.6 punktą)</w:t>
            </w:r>
          </w:p>
        </w:tc>
        <w:tc>
          <w:tcPr>
            <w:tcW w:w="1158" w:type="dxa"/>
            <w:vAlign w:val="center"/>
          </w:tcPr>
          <w:p>
            <w:pPr>
              <w:spacing w:before="60" w:after="60"/>
              <w:jc w:val="center"/>
              <w:rPr>
                <w:noProof/>
                <w:sz w:val="20"/>
              </w:rPr>
            </w:pPr>
            <w:r>
              <w:rPr>
                <w:noProof/>
                <w:sz w:val="20"/>
              </w:rPr>
              <w:t>Iš viso</w:t>
            </w:r>
          </w:p>
        </w:tc>
      </w:tr>
      <w:tr>
        <w:trPr>
          <w:cantSplit/>
        </w:trPr>
        <w:tc>
          <w:tcPr>
            <w:tcW w:w="2340" w:type="dxa"/>
          </w:tcPr>
          <w:p>
            <w:pPr>
              <w:rPr>
                <w:noProof/>
                <w:sz w:val="22"/>
              </w:rPr>
            </w:pPr>
            <w:r>
              <w:rPr>
                <w:noProof/>
                <w:sz w:val="20"/>
              </w:rPr>
              <w:t>Nurodyti bendrą finansavimą teikiančią įstaigą</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IŠ VISO bendrai finansuojamų asignavimų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highlight w:val="yellow"/>
        </w:rPr>
      </w:pPr>
    </w:p>
    <w:p>
      <w:pPr>
        <w:pStyle w:val="ManualNumPar2"/>
        <w:rPr>
          <w:noProof/>
        </w:rPr>
      </w:pPr>
      <w:r>
        <w:t>3.3.</w:t>
      </w:r>
      <w:r>
        <w:tab/>
      </w:r>
      <w:r>
        <w:rPr>
          <w:noProof/>
        </w:rPr>
        <w:t xml:space="preserve">Numatomas poveikis įplaukoms </w:t>
      </w:r>
    </w:p>
    <w:p>
      <w:pPr>
        <w:pStyle w:val="Tiret0"/>
        <w:numPr>
          <w:ilvl w:val="0"/>
          <w:numId w:val="20"/>
        </w:numPr>
        <w:tabs>
          <w:tab w:val="left" w:pos="1134"/>
        </w:tabs>
        <w:ind w:firstLine="1"/>
        <w:rPr>
          <w:noProof/>
        </w:rPr>
      </w:pPr>
      <w:r>
        <w:rPr>
          <w:noProof/>
        </w:rPr>
        <w:sym w:font="Wingdings" w:char="F0FD"/>
      </w:r>
      <w:r>
        <w:rPr>
          <w:noProof/>
        </w:rPr>
        <w:tab/>
        <w:t>Pasiūlymas (iniciatyva) neturi finansinio poveikio įplaukoms.</w:t>
      </w:r>
    </w:p>
    <w:p>
      <w:pPr>
        <w:pStyle w:val="Tiret0"/>
        <w:numPr>
          <w:ilvl w:val="0"/>
          <w:numId w:val="20"/>
        </w:numPr>
        <w:tabs>
          <w:tab w:val="left" w:pos="1134"/>
        </w:tabs>
        <w:ind w:firstLine="1"/>
        <w:rPr>
          <w:noProof/>
        </w:rPr>
      </w:pPr>
      <w:r>
        <w:rPr>
          <w:noProof/>
        </w:rPr>
        <w:sym w:font="Wingdings" w:char="F0A8"/>
      </w:r>
      <w:r>
        <w:rPr>
          <w:noProof/>
        </w:rPr>
        <w:tab/>
        <w:t>Pasiūlymas (iniciatyva) turi finansinį poveikį:</w:t>
      </w:r>
    </w:p>
    <w:p>
      <w:pPr>
        <w:pStyle w:val="Tiret1"/>
        <w:tabs>
          <w:tab w:val="left" w:pos="1843"/>
        </w:tabs>
        <w:ind w:hanging="283"/>
        <w:rPr>
          <w:noProof/>
        </w:rPr>
      </w:pPr>
      <w:r>
        <w:rPr>
          <w:noProof/>
        </w:rPr>
        <w:sym w:font="Wingdings" w:char="F0A8"/>
      </w:r>
      <w:r>
        <w:rPr>
          <w:noProof/>
        </w:rPr>
        <w:tab/>
        <w:t xml:space="preserve">nuosaviems ištekliams </w:t>
      </w:r>
    </w:p>
    <w:p>
      <w:pPr>
        <w:pStyle w:val="Tiret1"/>
        <w:tabs>
          <w:tab w:val="left" w:pos="1843"/>
        </w:tabs>
        <w:ind w:hanging="283"/>
        <w:rPr>
          <w:noProof/>
        </w:rPr>
      </w:pPr>
      <w:r>
        <w:rPr>
          <w:noProof/>
        </w:rPr>
        <w:sym w:font="Wingdings" w:char="F0A8"/>
      </w:r>
      <w:r>
        <w:rPr>
          <w:noProof/>
        </w:rPr>
        <w:tab/>
        <w:t xml:space="preserve">įvairioms įplaukoms </w:t>
      </w:r>
    </w:p>
    <w:p>
      <w:pPr>
        <w:jc w:val="right"/>
        <w:rPr>
          <w:i/>
          <w:noProof/>
          <w:sz w:val="20"/>
        </w:rPr>
      </w:pPr>
      <w:r>
        <w:rPr>
          <w:noProof/>
        </w:rPr>
        <w:t>mln. EUR (tūkstantųjų tikslumu)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Biudžeto įplaukų eilutė</w:t>
            </w:r>
          </w:p>
        </w:tc>
        <w:tc>
          <w:tcPr>
            <w:tcW w:w="1276" w:type="dxa"/>
            <w:vMerge w:val="restart"/>
            <w:vAlign w:val="center"/>
          </w:tcPr>
          <w:p>
            <w:pPr>
              <w:jc w:val="center"/>
              <w:rPr>
                <w:noProof/>
                <w:sz w:val="18"/>
              </w:rPr>
            </w:pPr>
            <w:r>
              <w:rPr>
                <w:noProof/>
                <w:sz w:val="18"/>
              </w:rPr>
              <w:t>Einamųjų finansinių metų asignavimai</w:t>
            </w:r>
          </w:p>
        </w:tc>
        <w:tc>
          <w:tcPr>
            <w:tcW w:w="7200" w:type="dxa"/>
            <w:gridSpan w:val="7"/>
            <w:vAlign w:val="center"/>
          </w:tcPr>
          <w:p>
            <w:pPr>
              <w:jc w:val="center"/>
              <w:rPr>
                <w:noProof/>
                <w:sz w:val="18"/>
              </w:rPr>
            </w:pPr>
            <w:r>
              <w:rPr>
                <w:noProof/>
                <w:sz w:val="18"/>
              </w:rPr>
              <w:t>Pasiūlymo (iniciatyvos) poveikis</w:t>
            </w:r>
            <w:r>
              <w:rPr>
                <w:rStyle w:val="FootnoteReference"/>
                <w:noProof/>
              </w:rPr>
              <w:footnoteReference w:id="3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b/>
                <w:noProof/>
                <w:sz w:val="18"/>
              </w:rPr>
              <w:t>N</w:t>
            </w:r>
            <w:r>
              <w:rPr>
                <w:noProof/>
              </w:rPr>
              <w:t xml:space="preserve"> </w:t>
            </w:r>
            <w:r>
              <w:rPr>
                <w:noProof/>
                <w:sz w:val="18"/>
              </w:rPr>
              <w:t>metai</w:t>
            </w:r>
          </w:p>
        </w:tc>
        <w:tc>
          <w:tcPr>
            <w:tcW w:w="900" w:type="dxa"/>
            <w:vAlign w:val="center"/>
          </w:tcPr>
          <w:p>
            <w:pPr>
              <w:jc w:val="center"/>
              <w:rPr>
                <w:noProof/>
                <w:sz w:val="18"/>
              </w:rPr>
            </w:pPr>
            <w:r>
              <w:rPr>
                <w:b/>
                <w:noProof/>
                <w:sz w:val="18"/>
              </w:rPr>
              <w:t>N+1</w:t>
            </w:r>
            <w:r>
              <w:rPr>
                <w:noProof/>
              </w:rPr>
              <w:t xml:space="preserve"> </w:t>
            </w:r>
            <w:r>
              <w:rPr>
                <w:noProof/>
              </w:rPr>
              <w:br/>
            </w:r>
            <w:r>
              <w:rPr>
                <w:noProof/>
                <w:sz w:val="18"/>
              </w:rPr>
              <w:t>metai</w:t>
            </w:r>
          </w:p>
        </w:tc>
        <w:tc>
          <w:tcPr>
            <w:tcW w:w="900" w:type="dxa"/>
            <w:vAlign w:val="center"/>
          </w:tcPr>
          <w:p>
            <w:pPr>
              <w:jc w:val="center"/>
              <w:rPr>
                <w:noProof/>
                <w:sz w:val="18"/>
              </w:rPr>
            </w:pPr>
            <w:r>
              <w:rPr>
                <w:b/>
                <w:noProof/>
                <w:sz w:val="18"/>
              </w:rPr>
              <w:t>N+2</w:t>
            </w:r>
            <w:r>
              <w:rPr>
                <w:noProof/>
              </w:rPr>
              <w:t xml:space="preserve"> </w:t>
            </w:r>
            <w:r>
              <w:rPr>
                <w:noProof/>
              </w:rPr>
              <w:br/>
            </w:r>
            <w:r>
              <w:rPr>
                <w:noProof/>
                <w:sz w:val="18"/>
              </w:rPr>
              <w:t>metai</w:t>
            </w:r>
          </w:p>
        </w:tc>
        <w:tc>
          <w:tcPr>
            <w:tcW w:w="1080" w:type="dxa"/>
            <w:vAlign w:val="center"/>
          </w:tcPr>
          <w:p>
            <w:pPr>
              <w:jc w:val="center"/>
              <w:rPr>
                <w:noProof/>
                <w:sz w:val="18"/>
              </w:rPr>
            </w:pPr>
            <w:r>
              <w:rPr>
                <w:b/>
                <w:noProof/>
                <w:sz w:val="18"/>
              </w:rPr>
              <w:t>N+3</w:t>
            </w:r>
            <w:r>
              <w:rPr>
                <w:noProof/>
              </w:rPr>
              <w:t xml:space="preserve"> </w:t>
            </w:r>
            <w:r>
              <w:rPr>
                <w:noProof/>
              </w:rPr>
              <w:br/>
            </w:r>
            <w:r>
              <w:rPr>
                <w:noProof/>
                <w:sz w:val="18"/>
              </w:rPr>
              <w:t>metai</w:t>
            </w:r>
          </w:p>
        </w:tc>
        <w:tc>
          <w:tcPr>
            <w:tcW w:w="3240" w:type="dxa"/>
            <w:gridSpan w:val="3"/>
            <w:vAlign w:val="center"/>
          </w:tcPr>
          <w:p>
            <w:pPr>
              <w:jc w:val="center"/>
              <w:rPr>
                <w:b/>
                <w:noProof/>
                <w:sz w:val="18"/>
              </w:rPr>
            </w:pPr>
            <w:r>
              <w:rPr>
                <w:noProof/>
                <w:sz w:val="18"/>
              </w:rPr>
              <w:t>Atsižvelgiant į poveikio trukmę įterpti reikiamą metų skaičių (žr. 1.6 punktą)</w:t>
            </w:r>
          </w:p>
        </w:tc>
      </w:tr>
      <w:tr>
        <w:trPr>
          <w:trHeight w:val="388"/>
        </w:trPr>
        <w:tc>
          <w:tcPr>
            <w:tcW w:w="2144" w:type="dxa"/>
            <w:vAlign w:val="center"/>
          </w:tcPr>
          <w:p>
            <w:pPr>
              <w:spacing w:before="40" w:after="40"/>
              <w:rPr>
                <w:noProof/>
                <w:sz w:val="18"/>
              </w:rPr>
            </w:pPr>
            <w:r>
              <w:rPr>
                <w:noProof/>
                <w:sz w:val="18"/>
              </w:rPr>
              <w:t>...........straipsnis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Įvairių asignuotųjų įplaukų atveju nurodyti biudžeto išlaidų eilutę (-es), kuriai (-ioms) daromas poveikis.</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Nurodyti poveikio įplaukoms apskaičiavimo metodą.</w:t>
      </w:r>
    </w:p>
    <w:p>
      <w:pPr>
        <w:pStyle w:val="Text1"/>
        <w:pBdr>
          <w:top w:val="single" w:sz="4" w:space="1" w:color="auto"/>
          <w:left w:val="single" w:sz="4" w:space="4" w:color="auto"/>
          <w:bottom w:val="single" w:sz="4" w:space="1" w:color="auto"/>
          <w:right w:val="single" w:sz="4" w:space="4" w:color="auto"/>
        </w:pBdr>
        <w:rPr>
          <w:noProof/>
        </w:rPr>
      </w:pPr>
    </w:p>
    <w:sectPr>
      <w:headerReference w:type="default" r:id="rId17"/>
      <w:footerReference w:type="default" r:id="rId18"/>
      <w:headerReference w:type="first" r:id="rId19"/>
      <w:footerReference w:type="first" r:id="rId2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Ataskaita apie ES narkotikų rinką 2016 m., p. 28.</w:t>
      </w:r>
    </w:p>
  </w:footnote>
  <w:footnote w:id="2">
    <w:p>
      <w:pPr>
        <w:pStyle w:val="FootnoteText"/>
      </w:pPr>
      <w:r>
        <w:rPr>
          <w:rStyle w:val="FootnoteReference"/>
        </w:rPr>
        <w:footnoteRef/>
      </w:r>
      <w:r>
        <w:tab/>
        <w:t>Jungtinių Tautų Generalinės Asamblėjos rezoliucija A/RES/S-30/1.</w:t>
      </w:r>
    </w:p>
  </w:footnote>
  <w:footnote w:id="3">
    <w:p>
      <w:pPr>
        <w:pStyle w:val="FootnoteText"/>
        <w:rPr>
          <w:lang w:val="pt-PT"/>
        </w:rPr>
      </w:pPr>
      <w:r>
        <w:rPr>
          <w:rStyle w:val="FootnoteReference"/>
        </w:rPr>
        <w:footnoteRef/>
      </w:r>
      <w:r>
        <w:tab/>
        <w:t>COM(2013) 619 galutinis.</w:t>
      </w:r>
    </w:p>
  </w:footnote>
  <w:footnote w:id="4">
    <w:p>
      <w:pPr>
        <w:pStyle w:val="FootnoteText"/>
        <w:rPr>
          <w:lang w:val="pt-PT"/>
        </w:rPr>
      </w:pPr>
      <w:r>
        <w:rPr>
          <w:rStyle w:val="FootnoteReference"/>
        </w:rPr>
        <w:footnoteRef/>
      </w:r>
      <w:r>
        <w:tab/>
        <w:t>COM(2013) 618 galutinis.</w:t>
      </w:r>
    </w:p>
  </w:footnote>
  <w:footnote w:id="5">
    <w:p>
      <w:pPr>
        <w:pStyle w:val="FootnoteText"/>
      </w:pPr>
      <w:r>
        <w:rPr>
          <w:rStyle w:val="FootnoteReference"/>
        </w:rPr>
        <w:footnoteRef/>
      </w:r>
      <w:r>
        <w:tab/>
        <w:t>OL L 127, 2005 5 10, p. 32. Įvairios politinių strategijų galimybės išnagrinėtos prie abiejų pasiūlymų pridėtame poveikio vertinime SWD(2013) 319 </w:t>
      </w:r>
      <w:r>
        <w:rPr>
          <w:i/>
        </w:rPr>
        <w:t>final</w:t>
      </w:r>
      <w:r>
        <w:t>.</w:t>
      </w:r>
    </w:p>
  </w:footnote>
  <w:footnote w:id="6">
    <w:p>
      <w:pPr>
        <w:pStyle w:val="FootnoteText"/>
      </w:pPr>
      <w:r>
        <w:rPr>
          <w:rStyle w:val="FootnoteReference"/>
        </w:rPr>
        <w:footnoteRef/>
      </w:r>
      <w:r>
        <w:tab/>
        <w:t>Europos Parlamento dokumentas P7_TA(2014)0453.</w:t>
      </w:r>
    </w:p>
  </w:footnote>
  <w:footnote w:id="7">
    <w:p>
      <w:pPr>
        <w:pStyle w:val="FootnoteText"/>
      </w:pPr>
      <w:r>
        <w:rPr>
          <w:rStyle w:val="FootnoteReference"/>
        </w:rPr>
        <w:footnoteRef/>
      </w:r>
      <w:r>
        <w:tab/>
        <w:t>Suvestinė ataskaita. Tarybos dokumentas 7908/1/16 REV, 2016 m. gegužės 27 d.</w:t>
      </w:r>
    </w:p>
  </w:footnote>
  <w:footnote w:id="8">
    <w:p>
      <w:pPr>
        <w:pStyle w:val="FootnoteText"/>
        <w:rPr>
          <w:lang w:val="pt-PT"/>
        </w:rPr>
      </w:pPr>
      <w:r>
        <w:rPr>
          <w:rStyle w:val="FootnoteReference"/>
        </w:rPr>
        <w:footnoteRef/>
      </w:r>
      <w:r>
        <w:tab/>
        <w:t xml:space="preserve">COM(2015) 185 </w:t>
      </w:r>
      <w:r>
        <w:rPr>
          <w:i/>
        </w:rPr>
        <w:t>final</w:t>
      </w:r>
      <w:r>
        <w:t xml:space="preserve">. </w:t>
      </w:r>
    </w:p>
  </w:footnote>
  <w:footnote w:id="9">
    <w:p>
      <w:pPr>
        <w:pStyle w:val="FootnoteText"/>
        <w:rPr>
          <w:lang w:val="pt-PT"/>
        </w:rPr>
      </w:pPr>
      <w:r>
        <w:rPr>
          <w:rStyle w:val="FootnoteReference"/>
        </w:rPr>
        <w:footnoteRef/>
      </w:r>
      <w:r>
        <w:tab/>
        <w:t>OL L 335, 2004 11 11, p. 8.</w:t>
      </w:r>
    </w:p>
  </w:footnote>
  <w:footnote w:id="10">
    <w:p>
      <w:pPr>
        <w:pStyle w:val="FootnoteText"/>
      </w:pPr>
      <w:r>
        <w:rPr>
          <w:rStyle w:val="FootnoteReference"/>
        </w:rPr>
        <w:footnoteRef/>
      </w:r>
      <w:r>
        <w:tab/>
        <w:t>SWD(2013) 319 final, p. 46-75.</w:t>
      </w:r>
    </w:p>
  </w:footnote>
  <w:footnote w:id="11">
    <w:p>
      <w:pPr>
        <w:pStyle w:val="FootnoteText"/>
      </w:pPr>
      <w:r>
        <w:rPr>
          <w:rStyle w:val="FootnoteReference"/>
        </w:rPr>
        <w:footnoteRef/>
      </w:r>
      <w:r>
        <w:tab/>
        <w:t xml:space="preserve">OL C , , p. </w:t>
      </w:r>
    </w:p>
  </w:footnote>
  <w:footnote w:id="12">
    <w:p>
      <w:pPr>
        <w:pStyle w:val="FootnoteText"/>
      </w:pPr>
      <w:r>
        <w:rPr>
          <w:rStyle w:val="FootnoteReference"/>
        </w:rPr>
        <w:footnoteRef/>
      </w:r>
      <w:r>
        <w:tab/>
        <w:t>OL C , , p. .</w:t>
      </w:r>
    </w:p>
  </w:footnote>
  <w:footnote w:id="13">
    <w:p>
      <w:pPr>
        <w:pStyle w:val="FootnoteText"/>
      </w:pPr>
      <w:r>
        <w:rPr>
          <w:rStyle w:val="FootnoteReference"/>
        </w:rPr>
        <w:footnoteRef/>
      </w:r>
      <w:r>
        <w:tab/>
        <w:t>1997 m. birželio 16 d. Tarybos Bendrieji veiksmai 97/396/TVR dėl keitimosi informacija apie naujus sintetinius narkotikus, jų pavojų įvertinimo ir kontrolės (OL L 167, 1997 6 25, p. 1).</w:t>
      </w:r>
    </w:p>
  </w:footnote>
  <w:footnote w:id="14">
    <w:p>
      <w:pPr>
        <w:pStyle w:val="FootnoteText"/>
      </w:pPr>
      <w:r>
        <w:rPr>
          <w:rStyle w:val="FootnoteReference"/>
        </w:rPr>
        <w:footnoteRef/>
      </w:r>
      <w:r>
        <w:tab/>
        <w:t xml:space="preserve">2005 m. gegužės 10 d. Tarybos sprendimas 2005/387/TVR dėl keitimosi informacija apie naujas psichoaktyvias medžiagas, jų rizikos įvertinimo ir kontrolės (OL L 127, 2005 5 20, p. 32). </w:t>
      </w:r>
    </w:p>
  </w:footnote>
  <w:footnote w:id="15">
    <w:p>
      <w:pPr>
        <w:pStyle w:val="FootnoteText"/>
      </w:pPr>
      <w:r>
        <w:rPr>
          <w:rStyle w:val="FootnoteReference"/>
        </w:rPr>
        <w:footnoteRef/>
      </w:r>
      <w:r>
        <w:tab/>
        <w:t>2004 m. spalio 25 d. Tarybos pamatinis sprendimas 2004/757/TVR, nustatantis būtiniausias nuostatas dėl nusikalstamų veikų sudėties požymių ir bausmių neteisėtos prekybos narkotikais srityje (OL L 335, 2004 11 11, p. 8).</w:t>
      </w:r>
    </w:p>
  </w:footnote>
  <w:footnote w:id="16">
    <w:p>
      <w:pPr>
        <w:pStyle w:val="FootnoteText"/>
      </w:pPr>
      <w:r>
        <w:rPr>
          <w:rStyle w:val="FootnoteReference"/>
        </w:rPr>
        <w:footnoteRef/>
      </w:r>
      <w:r>
        <w:tab/>
        <w:t>2006 m. gruodžio 12 d. Europos Parlamento ir Tarybos reglamentas (EB) Nr. 1920/2006 dėl Europos narkotikų ir narkomanijos stebėsenos centro (nauja redakcija) (OL L 376, 2006 12 27, p. 1).</w:t>
      </w:r>
    </w:p>
  </w:footnote>
  <w:footnote w:id="17">
    <w:p>
      <w:pPr>
        <w:pStyle w:val="FootnoteText"/>
      </w:pPr>
      <w:r>
        <w:rPr>
          <w:rStyle w:val="FootnoteReference"/>
        </w:rPr>
        <w:footnoteRef/>
      </w:r>
      <w:r>
        <w:tab/>
        <w:t>2001 m. lapkričio 6 d. Europos Parlamento ir Tarybos direktyva 2001/83/EB dėl Bendrijos kodekso, reglamentuojančio žmonėms skirtus vaistus (OL L 311, 2001 11 28, p. 67).</w:t>
      </w:r>
    </w:p>
  </w:footnote>
  <w:footnote w:id="18">
    <w:p>
      <w:pPr>
        <w:pStyle w:val="FootnoteText"/>
      </w:pPr>
      <w:r>
        <w:rPr>
          <w:rStyle w:val="FootnoteReference"/>
        </w:rPr>
        <w:footnoteRef/>
      </w:r>
      <w:r>
        <w:tab/>
        <w:t>2001 m. lapkričio 6 d. Europos Parlamento ir Tarybos direktyva 2001/82/EB dėl Bendrijos kodekso, reglamentuojančio veterinarinius vaistus (OL L 311, 2001 11 28, p. 1).</w:t>
      </w:r>
    </w:p>
  </w:footnote>
  <w:footnote w:id="19">
    <w:p>
      <w:pPr>
        <w:pStyle w:val="FootnoteText"/>
      </w:pPr>
      <w:r>
        <w:rPr>
          <w:rStyle w:val="FootnoteReference"/>
        </w:rPr>
        <w:footnoteRef/>
      </w:r>
      <w:r>
        <w:tab/>
        <w:t>2001 m. balandžio 4 d. Europos Parlamento ir Tarybos direktyva 2001/20/EB dėl valstybių narių įstatymų ir kitų teisės aktų, susijusių su geros klinikinės praktikos įgyvendinimu atliekant žmonėms skirtų vaistų klinikinius tyrimus, suderinimo (OL L 121, 2001 5 1, p. 34).</w:t>
      </w:r>
    </w:p>
  </w:footnote>
  <w:footnote w:id="20">
    <w:p>
      <w:pPr>
        <w:pStyle w:val="FootnoteText"/>
      </w:pPr>
      <w:r>
        <w:rPr>
          <w:rStyle w:val="FootnoteReference"/>
        </w:rPr>
        <w:footnoteRef/>
      </w:r>
      <w:r>
        <w:tab/>
        <w:t>VGV – veikla grindžiamas valdymas, VGB – veikla grindžiamas biudžeto sudarymas.</w:t>
      </w:r>
    </w:p>
  </w:footnote>
  <w:footnote w:id="21">
    <w:p>
      <w:pPr>
        <w:pStyle w:val="FootnoteText"/>
        <w:rPr>
          <w:szCs w:val="24"/>
        </w:rPr>
      </w:pPr>
      <w:r>
        <w:rPr>
          <w:rStyle w:val="FootnoteReference"/>
        </w:rPr>
        <w:footnoteRef/>
      </w:r>
      <w:r>
        <w:tab/>
        <w:t>Kaip nurodyta Finansinio reglamento 54 straipsnio 2 dalies a arba b punkte.</w:t>
      </w:r>
    </w:p>
  </w:footnote>
  <w:footnote w:id="22">
    <w:p>
      <w:pPr>
        <w:pStyle w:val="FootnoteText"/>
      </w:pPr>
      <w:r>
        <w:rPr>
          <w:rStyle w:val="FootnoteReference"/>
        </w:rPr>
        <w:footnoteRef/>
      </w:r>
      <w:r>
        <w:tab/>
        <w:t>COM(2015) 185 final.</w:t>
      </w:r>
    </w:p>
  </w:footnote>
  <w:footnote w:id="23">
    <w:p>
      <w:pPr>
        <w:pStyle w:val="FootnoteText"/>
      </w:pPr>
      <w:r>
        <w:rPr>
          <w:rStyle w:val="FootnoteReference"/>
        </w:rPr>
        <w:footnoteRef/>
      </w:r>
      <w:r>
        <w:tab/>
        <w:t xml:space="preserve">Informacija apie valdymo būdus ir nuorodos į Finansinį reglamentą pateikiamos svetainėje „BudgWeb“ </w:t>
      </w:r>
      <w:hyperlink r:id="rId1">
        <w:r>
          <w:rPr>
            <w:rStyle w:val="Hyperlink"/>
            <w:sz w:val="18"/>
          </w:rPr>
          <w:t>http://www.cc.cec/budg/man/budgmanag/budgmanag_en.html.</w:t>
        </w:r>
      </w:hyperlink>
    </w:p>
  </w:footnote>
  <w:footnote w:id="24">
    <w:p>
      <w:pPr>
        <w:pStyle w:val="FootnoteText"/>
      </w:pPr>
      <w:r>
        <w:rPr>
          <w:rStyle w:val="FootnoteReference"/>
        </w:rPr>
        <w:footnoteRef/>
      </w:r>
      <w:r>
        <w:tab/>
        <w:t>DA – diferencijuotieji asignavimai / NDA – nediferencijuotieji asignavimai.</w:t>
      </w:r>
    </w:p>
  </w:footnote>
  <w:footnote w:id="25">
    <w:p>
      <w:pPr>
        <w:pStyle w:val="FootnoteText"/>
        <w:rPr>
          <w:szCs w:val="24"/>
        </w:rPr>
      </w:pPr>
      <w:r>
        <w:rPr>
          <w:rStyle w:val="FootnoteReference"/>
        </w:rPr>
        <w:footnoteRef/>
      </w:r>
      <w:r>
        <w:tab/>
        <w:t xml:space="preserve">ELPA: Europos laisvosios prekybos asociacija. </w:t>
      </w:r>
    </w:p>
  </w:footnote>
  <w:footnote w:id="26">
    <w:p>
      <w:pPr>
        <w:pStyle w:val="FootnoteText"/>
        <w:rPr>
          <w:szCs w:val="24"/>
        </w:rPr>
      </w:pPr>
      <w:r>
        <w:rPr>
          <w:rStyle w:val="FootnoteReference"/>
        </w:rPr>
        <w:footnoteRef/>
      </w:r>
      <w:r>
        <w:tab/>
        <w:t>Šalių kandidačių ir, kai taikoma, Vakarų Balkanų potencialių šalių kandidačių.</w:t>
      </w:r>
    </w:p>
  </w:footnote>
  <w:footnote w:id="27">
    <w:p>
      <w:pPr>
        <w:pStyle w:val="FootnoteText"/>
        <w:rPr>
          <w:szCs w:val="24"/>
        </w:rPr>
      </w:pPr>
      <w:r>
        <w:rPr>
          <w:rStyle w:val="FootnoteReference"/>
        </w:rPr>
        <w:footnoteRef/>
      </w:r>
      <w:r>
        <w:tab/>
        <w:t>N metai yra pasiūlymo (iniciatyvos) įgyvendinimo pradžios metai.</w:t>
      </w:r>
    </w:p>
  </w:footnote>
  <w:footnote w:id="28">
    <w:p>
      <w:pPr>
        <w:pStyle w:val="FootnoteText"/>
        <w:rPr>
          <w:szCs w:val="24"/>
        </w:rPr>
      </w:pPr>
      <w:r>
        <w:rPr>
          <w:rStyle w:val="FootnoteReference"/>
        </w:rPr>
        <w:footnoteRef/>
      </w:r>
      <w:r>
        <w:tab/>
        <w:t>Techninė ir (arba) administracinė pagalba bei išlaidos ES programų ir (arba) veiksmų įgyvendinimui remti (buvusios BA eilutės), netiesioginiai moksliniai tyrimai, tiesioginiai moksliniai tyrimai.</w:t>
      </w:r>
    </w:p>
  </w:footnote>
  <w:footnote w:id="29">
    <w:p>
      <w:pPr>
        <w:pStyle w:val="FootnoteText"/>
      </w:pPr>
      <w:r>
        <w:rPr>
          <w:rStyle w:val="FootnoteReference"/>
        </w:rPr>
        <w:footnoteRef/>
      </w:r>
      <w:r>
        <w:tab/>
        <w:t>N metai yra pasiūlymo (iniciatyvos) įgyvendinimo pradžios metai.</w:t>
      </w:r>
    </w:p>
  </w:footnote>
  <w:footnote w:id="30">
    <w:p>
      <w:pPr>
        <w:pStyle w:val="FootnoteText"/>
        <w:rPr>
          <w:szCs w:val="24"/>
        </w:rPr>
      </w:pPr>
      <w:r>
        <w:rPr>
          <w:rStyle w:val="FootnoteReference"/>
        </w:rPr>
        <w:footnoteRef/>
      </w:r>
      <w:r>
        <w:tab/>
        <w:t>Rezultatai – tai būsimi produktai ir paslaugos (pvz., finansuota studentų mainų, nutiesta kelių kilometrų ir kt.).</w:t>
      </w:r>
    </w:p>
  </w:footnote>
  <w:footnote w:id="31">
    <w:p>
      <w:pPr>
        <w:pStyle w:val="FootnoteText"/>
        <w:rPr>
          <w:szCs w:val="24"/>
        </w:rPr>
      </w:pPr>
      <w:r>
        <w:rPr>
          <w:rStyle w:val="FootnoteReference"/>
        </w:rPr>
        <w:footnoteRef/>
      </w:r>
      <w:r>
        <w:tab/>
        <w:t xml:space="preserve">Kaip apibūdinta 1.4.2 punkte. „Konkretus (-ūs) tikslas (-ai)“ </w:t>
      </w:r>
    </w:p>
  </w:footnote>
  <w:footnote w:id="32">
    <w:p>
      <w:pPr>
        <w:pStyle w:val="FootnoteText"/>
      </w:pPr>
      <w:r>
        <w:rPr>
          <w:rStyle w:val="FootnoteReference"/>
        </w:rPr>
        <w:footnoteRef/>
      </w:r>
      <w:r>
        <w:tab/>
        <w:t>N metai yra pasiūlymo (iniciatyvos) įgyvendinimo pradžios metai.</w:t>
      </w:r>
    </w:p>
  </w:footnote>
  <w:footnote w:id="33">
    <w:p>
      <w:pPr>
        <w:pStyle w:val="FootnoteText"/>
      </w:pPr>
      <w:r>
        <w:rPr>
          <w:rStyle w:val="FootnoteReference"/>
        </w:rPr>
        <w:footnoteRef/>
      </w:r>
      <w:r>
        <w:tab/>
        <w:t xml:space="preserve">CA – sutartininkas („Contract Staff“), LA – vietinis darbuotojas („Local Staff“), SNE – deleguotasis nacionalinis ekspertas („Seconded National Expert“), INT – per agentūrą įdarbintas darbuotojas („agency staff“), JED – jaunesnysis delegacijos ekspertas („Junior Expert in Delegations“). </w:t>
      </w:r>
    </w:p>
  </w:footnote>
  <w:footnote w:id="34">
    <w:p>
      <w:pPr>
        <w:pStyle w:val="FootnoteText"/>
      </w:pPr>
      <w:r>
        <w:rPr>
          <w:rStyle w:val="FootnoteReference"/>
        </w:rPr>
        <w:footnoteRef/>
      </w:r>
      <w:r>
        <w:tab/>
        <w:t>Neviršijant viršutinės ribos, nustatytos išorės darbuotojams, finansuojamiems iš veiklos asignavimų (buvusių BA eilučių).</w:t>
      </w:r>
    </w:p>
  </w:footnote>
  <w:footnote w:id="35">
    <w:p>
      <w:pPr>
        <w:pStyle w:val="FootnoteText"/>
        <w:rPr>
          <w:szCs w:val="24"/>
        </w:rPr>
      </w:pPr>
      <w:r>
        <w:rPr>
          <w:rStyle w:val="FootnoteReference"/>
        </w:rPr>
        <w:footnoteRef/>
      </w:r>
      <w:r>
        <w:tab/>
        <w:t>Tradiciniai nuosavi ištekliai (muitai, cukraus mokesčiai) turi būti nurodomi grynosiomis sumomis, t. y. iš bendros sumos atskaičius 25 %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62F6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B40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96E0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100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F8E7D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2"/>
  </w:num>
  <w:num w:numId="14">
    <w:abstractNumId w:val="1"/>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0"/>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num>
  <w:num w:numId="23">
    <w:abstractNumId w:val="10"/>
  </w:num>
  <w:num w:numId="24">
    <w:abstractNumId w:val="21"/>
  </w:num>
  <w:num w:numId="25">
    <w:abstractNumId w:val="9"/>
  </w:num>
  <w:num w:numId="26">
    <w:abstractNumId w:val="11"/>
  </w:num>
  <w:num w:numId="27">
    <w:abstractNumId w:val="7"/>
  </w:num>
  <w:num w:numId="28">
    <w:abstractNumId w:val="20"/>
  </w:num>
  <w:num w:numId="29">
    <w:abstractNumId w:val="6"/>
  </w:num>
  <w:num w:numId="30">
    <w:abstractNumId w:val="12"/>
  </w:num>
  <w:num w:numId="31">
    <w:abstractNumId w:val="16"/>
  </w:num>
  <w:num w:numId="32">
    <w:abstractNumId w:val="17"/>
  </w:num>
  <w:num w:numId="33">
    <w:abstractNumId w:val="8"/>
  </w:num>
  <w:num w:numId="34">
    <w:abstractNumId w:val="15"/>
  </w:num>
  <w:num w:numId="35">
    <w:abstractNumId w:val="24"/>
  </w:num>
  <w:num w:numId="36">
    <w:abstractNumId w:val="18"/>
  </w:num>
  <w:num w:numId="37">
    <w:abstractNumId w:val="10"/>
  </w:num>
  <w:num w:numId="38">
    <w:abstractNumId w:val="21"/>
  </w:num>
  <w:num w:numId="39">
    <w:abstractNumId w:val="9"/>
  </w:num>
  <w:num w:numId="40">
    <w:abstractNumId w:val="11"/>
  </w:num>
  <w:num w:numId="41">
    <w:abstractNumId w:val="7"/>
  </w:num>
  <w:num w:numId="42">
    <w:abstractNumId w:val="20"/>
  </w:num>
  <w:num w:numId="43">
    <w:abstractNumId w:val="6"/>
  </w:num>
  <w:num w:numId="44">
    <w:abstractNumId w:val="12"/>
  </w:num>
  <w:num w:numId="45">
    <w:abstractNumId w:val="16"/>
  </w:num>
  <w:num w:numId="46">
    <w:abstractNumId w:val="17"/>
  </w:num>
  <w:num w:numId="47">
    <w:abstractNumId w:val="8"/>
  </w:num>
  <w:num w:numId="48">
    <w:abstractNumId w:val="15"/>
  </w:num>
  <w:num w:numId="4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5 11:49: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9"/>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599D91CF96648C8BE7AC82BB68F1BD7"/>
    <w:docVar w:name="LW_CROSSREFERENCE" w:val="&lt;UNUSED&gt;"/>
    <w:docVar w:name="LW_DocType" w:val="COM"/>
    <w:docVar w:name="LW_EMISSION" w:val="2016 08 29"/>
    <w:docVar w:name="LW_EMISSION_ISODATE" w:val="2016-08-29"/>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261"/>
    <w:docVar w:name="LW_REF.II.NEW.CP_YEAR" w:val="2016"/>
    <w:docVar w:name="LW_REF.INST.NEW" w:val="COM"/>
    <w:docVar w:name="LW_REF.INST.NEW_ADOPTED" w:val="final"/>
    <w:docVar w:name="LW_REF.INST.NEW_TEXT" w:val="(2016) 547"/>
    <w:docVar w:name="LW_REF.INTERNE" w:val="&lt;UNUSED&gt;"/>
    <w:docVar w:name="LW_SOUS.TITRE.OBJ.CP" w:val="&lt;UNUSED&gt;"/>
    <w:docVar w:name="LW_STATUT.CP" w:val="Pasi\u363?lymas"/>
    <w:docVar w:name="LW_SUPERTITRE" w:val="&lt;UNUSED&gt;"/>
    <w:docVar w:name="LW_TITRE.OBJ.CP" w:val="kuriuo i\u353? dalies kei\u269?iamos Reglamento (EB) Nr. 1920/2006 nuostatos d\u279?l keitimosi informacija apie naujas psichoaktyvi\u261?sias med\u382?iagas, ankstyvojo persp\u279?jimo sistemas ir rizikos \u303?vertinimo proced\u363?r\u261?"/>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47218">
      <w:bodyDiv w:val="1"/>
      <w:marLeft w:val="0"/>
      <w:marRight w:val="0"/>
      <w:marTop w:val="0"/>
      <w:marBottom w:val="0"/>
      <w:divBdr>
        <w:top w:val="none" w:sz="0" w:space="0" w:color="auto"/>
        <w:left w:val="none" w:sz="0" w:space="0" w:color="auto"/>
        <w:bottom w:val="none" w:sz="0" w:space="0" w:color="auto"/>
        <w:right w:val="none" w:sz="0" w:space="0" w:color="auto"/>
      </w:divBdr>
    </w:div>
    <w:div w:id="15086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ECAA-CBC8-4422-8B51-E3B60482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26</Pages>
  <Words>5686</Words>
  <Characters>40202</Characters>
  <Application>Microsoft Office Word</Application>
  <DocSecurity>0</DocSecurity>
  <Lines>1546</Lines>
  <Paragraphs>695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2016-07-20T10:33:00Z</cp:lastPrinted>
  <dcterms:created xsi:type="dcterms:W3CDTF">2016-08-24T13:48:00Z</dcterms:created>
  <dcterms:modified xsi:type="dcterms:W3CDTF">2016-08-25T09:49:00Z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