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2D1" w:rsidRDefault="005C70ED">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D2C0CA370B8945A48F460686D7530908" style="width:450.6pt;height:422.05pt">
            <v:imagedata r:id="rId8" o:title=""/>
          </v:shape>
        </w:pict>
      </w:r>
    </w:p>
    <w:bookmarkEnd w:id="0"/>
    <w:p w:rsidR="000432D1" w:rsidRDefault="000432D1">
      <w:pPr>
        <w:rPr>
          <w:noProof/>
        </w:rPr>
        <w:sectPr w:rsidR="000432D1">
          <w:headerReference w:type="even" r:id="rId9"/>
          <w:headerReference w:type="default" r:id="rId10"/>
          <w:footerReference w:type="even" r:id="rId11"/>
          <w:footerReference w:type="default" r:id="rId12"/>
          <w:headerReference w:type="first" r:id="rId13"/>
          <w:footerReference w:type="first" r:id="rId14"/>
          <w:pgSz w:w="11906" w:h="16838"/>
          <w:pgMar w:top="1134" w:right="1417" w:bottom="1134" w:left="1417" w:header="709" w:footer="709" w:gutter="0"/>
          <w:pgNumType w:start="1"/>
          <w:cols w:space="720"/>
          <w:docGrid w:linePitch="360"/>
        </w:sect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0432D1">
        <w:tc>
          <w:tcPr>
            <w:tcW w:w="9180" w:type="dxa"/>
            <w:shd w:val="clear" w:color="auto" w:fill="CCCCCC"/>
          </w:tcPr>
          <w:p w:rsidR="000432D1" w:rsidRDefault="005C70ED">
            <w:pPr>
              <w:pStyle w:val="Heading1"/>
              <w:numPr>
                <w:ilvl w:val="0"/>
                <w:numId w:val="0"/>
              </w:numPr>
              <w:jc w:val="center"/>
              <w:rPr>
                <w:noProof/>
                <w:szCs w:val="24"/>
              </w:rPr>
            </w:pPr>
            <w:bookmarkStart w:id="1" w:name="_Toc420505472"/>
            <w:bookmarkStart w:id="2" w:name="_Toc420577265"/>
            <w:bookmarkStart w:id="3" w:name="_Toc431457026"/>
            <w:r>
              <w:rPr>
                <w:noProof/>
              </w:rPr>
              <w:lastRenderedPageBreak/>
              <w:t>Scheda di sintesi</w:t>
            </w:r>
            <w:bookmarkEnd w:id="1"/>
            <w:bookmarkEnd w:id="2"/>
            <w:bookmarkEnd w:id="3"/>
          </w:p>
        </w:tc>
      </w:tr>
      <w:tr w:rsidR="000432D1">
        <w:tc>
          <w:tcPr>
            <w:tcW w:w="9180" w:type="dxa"/>
            <w:shd w:val="clear" w:color="auto" w:fill="4F81BD"/>
          </w:tcPr>
          <w:p w:rsidR="000432D1" w:rsidRDefault="005C70ED">
            <w:pPr>
              <w:jc w:val="both"/>
              <w:rPr>
                <w:rFonts w:ascii="Times New Roman" w:hAnsi="Times New Roman" w:cs="Times New Roman"/>
                <w:noProof/>
                <w:sz w:val="24"/>
                <w:szCs w:val="24"/>
              </w:rPr>
            </w:pPr>
            <w:r>
              <w:rPr>
                <w:rFonts w:ascii="Times New Roman" w:hAnsi="Times New Roman"/>
                <w:noProof/>
                <w:color w:val="FFFFFF"/>
                <w:sz w:val="24"/>
              </w:rPr>
              <w:t xml:space="preserve">Valutazione d’impatto di una proposta di regolamento del Parlamento europeo e </w:t>
            </w:r>
            <w:r>
              <w:rPr>
                <w:rFonts w:ascii="Times New Roman" w:hAnsi="Times New Roman"/>
                <w:noProof/>
                <w:color w:val="FFFFFF"/>
                <w:sz w:val="24"/>
              </w:rPr>
              <w:t>del Consiglio che istituisce un sistema di certificazione dell’Unione per le apparecchiature di controllo di sicurezza dell’aviazione</w:t>
            </w:r>
          </w:p>
        </w:tc>
      </w:tr>
      <w:tr w:rsidR="000432D1">
        <w:tc>
          <w:tcPr>
            <w:tcW w:w="9180" w:type="dxa"/>
            <w:shd w:val="clear" w:color="auto" w:fill="CCCCCC"/>
          </w:tcPr>
          <w:p w:rsidR="000432D1" w:rsidRDefault="005C70ED">
            <w:pPr>
              <w:spacing w:before="60" w:after="60"/>
              <w:jc w:val="center"/>
              <w:rPr>
                <w:rFonts w:ascii="Times New Roman" w:hAnsi="Times New Roman" w:cs="Times New Roman"/>
                <w:b/>
                <w:noProof/>
                <w:sz w:val="24"/>
                <w:szCs w:val="24"/>
              </w:rPr>
            </w:pPr>
            <w:r>
              <w:rPr>
                <w:rFonts w:ascii="Times New Roman" w:hAnsi="Times New Roman"/>
                <w:b/>
                <w:noProof/>
                <w:sz w:val="24"/>
              </w:rPr>
              <w:t>A. Necessità di agire</w:t>
            </w:r>
          </w:p>
        </w:tc>
      </w:tr>
      <w:tr w:rsidR="000432D1">
        <w:tc>
          <w:tcPr>
            <w:tcW w:w="9180" w:type="dxa"/>
            <w:shd w:val="clear" w:color="auto" w:fill="E0E0E0"/>
          </w:tcPr>
          <w:p w:rsidR="000432D1" w:rsidRDefault="005C70ED">
            <w:pPr>
              <w:spacing w:before="60" w:after="60"/>
              <w:rPr>
                <w:rFonts w:ascii="Times New Roman" w:hAnsi="Times New Roman" w:cs="Times New Roman"/>
                <w:noProof/>
                <w:sz w:val="24"/>
                <w:szCs w:val="24"/>
              </w:rPr>
            </w:pPr>
            <w:r>
              <w:rPr>
                <w:rFonts w:ascii="Times New Roman" w:hAnsi="Times New Roman"/>
                <w:b/>
                <w:noProof/>
                <w:sz w:val="24"/>
              </w:rPr>
              <w:t xml:space="preserve">Qual è il problema e perché affrontarlo a livello dell’UE?  </w:t>
            </w:r>
          </w:p>
        </w:tc>
      </w:tr>
      <w:tr w:rsidR="000432D1">
        <w:tc>
          <w:tcPr>
            <w:tcW w:w="9180" w:type="dxa"/>
          </w:tcPr>
          <w:p w:rsidR="000432D1" w:rsidRDefault="005C70ED">
            <w:pPr>
              <w:pStyle w:val="Text1"/>
              <w:ind w:left="0"/>
              <w:rPr>
                <w:noProof/>
                <w:szCs w:val="24"/>
              </w:rPr>
            </w:pPr>
            <w:r>
              <w:rPr>
                <w:noProof/>
              </w:rPr>
              <w:t xml:space="preserve">L’iniziativa in esame affronta l’inesistenza di un mercato interno per le apparecchiature di controllo (screening) di sicurezza dell’aviazione. Ne conseguono inefficienze e ostacoli </w:t>
            </w:r>
            <w:r>
              <w:rPr>
                <w:b/>
                <w:noProof/>
              </w:rPr>
              <w:t>alla competitività dei fabbricanti europei</w:t>
            </w:r>
            <w:r>
              <w:rPr>
                <w:noProof/>
              </w:rPr>
              <w:t xml:space="preserve"> di tali apparecchiature.</w:t>
            </w:r>
          </w:p>
          <w:p w:rsidR="000432D1" w:rsidRDefault="005C70ED">
            <w:pPr>
              <w:jc w:val="both"/>
              <w:rPr>
                <w:rFonts w:ascii="Times New Roman" w:hAnsi="Times New Roman" w:cs="Times New Roman"/>
                <w:noProof/>
                <w:sz w:val="24"/>
                <w:szCs w:val="24"/>
              </w:rPr>
            </w:pPr>
            <w:r>
              <w:rPr>
                <w:rFonts w:ascii="Times New Roman" w:hAnsi="Times New Roman"/>
                <w:noProof/>
                <w:sz w:val="24"/>
              </w:rPr>
              <w:t>In ass</w:t>
            </w:r>
            <w:r>
              <w:rPr>
                <w:rFonts w:ascii="Times New Roman" w:hAnsi="Times New Roman"/>
                <w:noProof/>
                <w:sz w:val="24"/>
              </w:rPr>
              <w:t xml:space="preserve">enza di un’iniziativa strategica a sostegno della competitività dei fabbricanti europei le loro quote di mercato sui mercati mondiali sono destinate a ridursi. </w:t>
            </w:r>
          </w:p>
        </w:tc>
      </w:tr>
      <w:tr w:rsidR="000432D1">
        <w:tc>
          <w:tcPr>
            <w:tcW w:w="9180" w:type="dxa"/>
            <w:shd w:val="clear" w:color="auto" w:fill="E6E6E6"/>
          </w:tcPr>
          <w:p w:rsidR="000432D1" w:rsidRDefault="005C70ED">
            <w:pPr>
              <w:spacing w:before="60" w:after="60"/>
              <w:jc w:val="both"/>
              <w:rPr>
                <w:rFonts w:ascii="Times New Roman" w:hAnsi="Times New Roman" w:cs="Times New Roman"/>
                <w:noProof/>
                <w:sz w:val="24"/>
                <w:szCs w:val="24"/>
              </w:rPr>
            </w:pPr>
            <w:r>
              <w:rPr>
                <w:rFonts w:ascii="Times New Roman" w:hAnsi="Times New Roman"/>
                <w:b/>
                <w:noProof/>
                <w:sz w:val="24"/>
              </w:rPr>
              <w:t>Che cosa si vuole conseguire?</w:t>
            </w:r>
          </w:p>
        </w:tc>
      </w:tr>
      <w:tr w:rsidR="000432D1">
        <w:tc>
          <w:tcPr>
            <w:tcW w:w="9180" w:type="dxa"/>
          </w:tcPr>
          <w:p w:rsidR="000432D1" w:rsidRDefault="005C70ED">
            <w:pPr>
              <w:jc w:val="both"/>
              <w:rPr>
                <w:rFonts w:ascii="Times New Roman" w:hAnsi="Times New Roman" w:cs="Times New Roman"/>
                <w:noProof/>
                <w:sz w:val="24"/>
                <w:szCs w:val="24"/>
              </w:rPr>
            </w:pPr>
            <w:r>
              <w:rPr>
                <w:rFonts w:ascii="Times New Roman" w:hAnsi="Times New Roman"/>
                <w:noProof/>
                <w:sz w:val="24"/>
              </w:rPr>
              <w:t xml:space="preserve">Il corretto funzionamento del mercato interno dell’UE delle apparecchiature di controllo di sicurezza dell’aviazione e un aumento della competitività globale delle imprese dell’UE. </w:t>
            </w:r>
          </w:p>
        </w:tc>
      </w:tr>
      <w:tr w:rsidR="000432D1">
        <w:tc>
          <w:tcPr>
            <w:tcW w:w="9180" w:type="dxa"/>
            <w:shd w:val="clear" w:color="auto" w:fill="E6E6E6"/>
          </w:tcPr>
          <w:p w:rsidR="000432D1" w:rsidRDefault="005C70ED">
            <w:pPr>
              <w:spacing w:before="60" w:after="60"/>
              <w:jc w:val="both"/>
              <w:rPr>
                <w:rFonts w:ascii="Times New Roman" w:hAnsi="Times New Roman" w:cs="Times New Roman"/>
                <w:noProof/>
                <w:sz w:val="24"/>
                <w:szCs w:val="24"/>
              </w:rPr>
            </w:pPr>
            <w:r>
              <w:rPr>
                <w:rFonts w:ascii="Times New Roman" w:hAnsi="Times New Roman"/>
                <w:b/>
                <w:noProof/>
                <w:sz w:val="24"/>
              </w:rPr>
              <w:t>Qual è il valore aggiunto dell’azione a livello dell’UE (sussidiarietà)?</w:t>
            </w:r>
          </w:p>
        </w:tc>
      </w:tr>
      <w:tr w:rsidR="000432D1">
        <w:tc>
          <w:tcPr>
            <w:tcW w:w="9180" w:type="dxa"/>
          </w:tcPr>
          <w:p w:rsidR="000432D1" w:rsidRDefault="005C70ED">
            <w:pPr>
              <w:jc w:val="both"/>
              <w:rPr>
                <w:rFonts w:ascii="Times New Roman" w:hAnsi="Times New Roman" w:cs="Times New Roman"/>
                <w:noProof/>
                <w:sz w:val="24"/>
                <w:szCs w:val="24"/>
              </w:rPr>
            </w:pPr>
            <w:r>
              <w:rPr>
                <w:rFonts w:ascii="Times New Roman" w:hAnsi="Times New Roman"/>
                <w:noProof/>
                <w:sz w:val="24"/>
              </w:rPr>
              <w:t xml:space="preserve">Gli Stati membri, in collaborazione con la Commissione, hanno parzialmente affrontato questo problema mediante un accordo di cooperazione non vincolante sullo sviluppo di metodologie comuni di prova. Tuttavia, tale accordo non prevede il rilascio di </w:t>
            </w:r>
            <w:r>
              <w:rPr>
                <w:rFonts w:ascii="Times New Roman" w:hAnsi="Times New Roman"/>
                <w:noProof/>
                <w:sz w:val="24"/>
              </w:rPr>
              <w:t>certificazioni. Nulla induce a ritenere che gli Stati membri intendano istituire un sistema di certificazione vincolante a livello multilaterale. L’azione dell’UE è pertanto necessaria. Tale azione apporterebbe un valore aggiunto, in quanto i fabbricanti t</w:t>
            </w:r>
            <w:r>
              <w:rPr>
                <w:rFonts w:ascii="Times New Roman" w:hAnsi="Times New Roman"/>
                <w:noProof/>
                <w:sz w:val="24"/>
              </w:rPr>
              <w:t>rarrebbero vantaggio dall’esistenza di un mercato interno e migliorerebbero la loro competitività a livello mondiale.</w:t>
            </w:r>
          </w:p>
        </w:tc>
      </w:tr>
      <w:tr w:rsidR="000432D1">
        <w:tc>
          <w:tcPr>
            <w:tcW w:w="9180" w:type="dxa"/>
            <w:shd w:val="clear" w:color="auto" w:fill="CCCCCC"/>
          </w:tcPr>
          <w:p w:rsidR="000432D1" w:rsidRDefault="005C70ED">
            <w:pPr>
              <w:spacing w:before="60" w:after="60"/>
              <w:jc w:val="center"/>
              <w:rPr>
                <w:rFonts w:ascii="Times New Roman" w:hAnsi="Times New Roman" w:cs="Times New Roman"/>
                <w:b/>
                <w:noProof/>
                <w:sz w:val="24"/>
                <w:szCs w:val="24"/>
              </w:rPr>
            </w:pPr>
            <w:r>
              <w:rPr>
                <w:rFonts w:ascii="Times New Roman" w:hAnsi="Times New Roman"/>
                <w:b/>
                <w:noProof/>
                <w:sz w:val="24"/>
              </w:rPr>
              <w:t>B. Soluzioni</w:t>
            </w:r>
          </w:p>
        </w:tc>
      </w:tr>
      <w:tr w:rsidR="000432D1">
        <w:tc>
          <w:tcPr>
            <w:tcW w:w="9180" w:type="dxa"/>
            <w:shd w:val="clear" w:color="auto" w:fill="E6E6E6"/>
          </w:tcPr>
          <w:p w:rsidR="000432D1" w:rsidRDefault="005C70ED">
            <w:pPr>
              <w:spacing w:before="60"/>
              <w:rPr>
                <w:rFonts w:ascii="Times New Roman" w:hAnsi="Times New Roman" w:cs="Times New Roman"/>
                <w:noProof/>
                <w:sz w:val="24"/>
                <w:szCs w:val="24"/>
              </w:rPr>
            </w:pPr>
            <w:r>
              <w:rPr>
                <w:rFonts w:ascii="Times New Roman" w:hAnsi="Times New Roman"/>
                <w:b/>
                <w:noProof/>
                <w:sz w:val="24"/>
              </w:rPr>
              <w:t>Quali sono le diverse opzioni per conseguire gli obiettivi? Esiste un’opzione preferita? In caso negativo, perché no?</w:t>
            </w:r>
          </w:p>
        </w:tc>
      </w:tr>
      <w:tr w:rsidR="000432D1">
        <w:tc>
          <w:tcPr>
            <w:tcW w:w="9180" w:type="dxa"/>
          </w:tcPr>
          <w:p w:rsidR="000432D1" w:rsidRDefault="005C70ED">
            <w:pPr>
              <w:jc w:val="both"/>
              <w:rPr>
                <w:rFonts w:ascii="Times New Roman" w:hAnsi="Times New Roman" w:cs="Times New Roman"/>
                <w:noProof/>
                <w:sz w:val="24"/>
                <w:szCs w:val="24"/>
              </w:rPr>
            </w:pPr>
            <w:r>
              <w:rPr>
                <w:rFonts w:ascii="Times New Roman" w:hAnsi="Times New Roman"/>
                <w:noProof/>
                <w:sz w:val="24"/>
              </w:rPr>
              <w:t xml:space="preserve">Sono state elaborate cinque opzioni strategiche. </w:t>
            </w:r>
          </w:p>
          <w:p w:rsidR="000432D1" w:rsidRDefault="005C70ED">
            <w:pPr>
              <w:jc w:val="both"/>
              <w:rPr>
                <w:rFonts w:ascii="Times New Roman" w:hAnsi="Times New Roman" w:cs="Times New Roman"/>
                <w:noProof/>
                <w:sz w:val="24"/>
                <w:szCs w:val="24"/>
              </w:rPr>
            </w:pPr>
            <w:r>
              <w:rPr>
                <w:rFonts w:ascii="Times New Roman" w:hAnsi="Times New Roman"/>
                <w:b/>
                <w:noProof/>
                <w:sz w:val="24"/>
              </w:rPr>
              <w:t>1. “Scenario di base”,</w:t>
            </w:r>
            <w:r>
              <w:rPr>
                <w:rFonts w:ascii="Times New Roman" w:hAnsi="Times New Roman"/>
                <w:noProof/>
                <w:sz w:val="24"/>
              </w:rPr>
              <w:t xml:space="preserve"> la Commissione non prende nessuna iniziativa. </w:t>
            </w:r>
            <w:r>
              <w:rPr>
                <w:rFonts w:ascii="Times New Roman" w:hAnsi="Times New Roman"/>
                <w:b/>
                <w:noProof/>
                <w:sz w:val="24"/>
              </w:rPr>
              <w:t>2. Una raccomandazione</w:t>
            </w:r>
            <w:r>
              <w:rPr>
                <w:rFonts w:ascii="Times New Roman" w:hAnsi="Times New Roman"/>
                <w:noProof/>
                <w:sz w:val="24"/>
              </w:rPr>
              <w:t xml:space="preserve"> agli Stati membri. </w:t>
            </w:r>
            <w:r>
              <w:rPr>
                <w:rFonts w:ascii="Times New Roman" w:hAnsi="Times New Roman"/>
                <w:b/>
                <w:noProof/>
                <w:sz w:val="24"/>
              </w:rPr>
              <w:t>3. “Legislazione”</w:t>
            </w:r>
            <w:r>
              <w:rPr>
                <w:rFonts w:ascii="Times New Roman" w:hAnsi="Times New Roman"/>
                <w:noProof/>
                <w:sz w:val="24"/>
              </w:rPr>
              <w:t xml:space="preserve"> – una proposta di legge per consentire ai fabbricanti di commercializzare e v</w:t>
            </w:r>
            <w:r>
              <w:rPr>
                <w:rFonts w:ascii="Times New Roman" w:hAnsi="Times New Roman"/>
                <w:noProof/>
                <w:sz w:val="24"/>
              </w:rPr>
              <w:t xml:space="preserve">endere i propri prodotti in tutta l’Unione, una volta certificati in uno Stato membro: </w:t>
            </w:r>
            <w:r>
              <w:rPr>
                <w:rFonts w:ascii="Times New Roman" w:hAnsi="Times New Roman"/>
                <w:b/>
                <w:noProof/>
                <w:sz w:val="24"/>
              </w:rPr>
              <w:t>3.1. il “vecchio approccio”</w:t>
            </w:r>
            <w:r>
              <w:rPr>
                <w:rFonts w:ascii="Times New Roman" w:hAnsi="Times New Roman"/>
                <w:noProof/>
                <w:sz w:val="24"/>
              </w:rPr>
              <w:t xml:space="preserve">, </w:t>
            </w:r>
            <w:r>
              <w:rPr>
                <w:rFonts w:ascii="Times New Roman" w:hAnsi="Times New Roman"/>
                <w:b/>
                <w:noProof/>
                <w:sz w:val="24"/>
              </w:rPr>
              <w:t>3.2. il “nuovo approccio”, 3.3. l’“approccio centralizzato”</w:t>
            </w:r>
            <w:r>
              <w:rPr>
                <w:rFonts w:ascii="Times New Roman" w:hAnsi="Times New Roman"/>
                <w:noProof/>
                <w:sz w:val="24"/>
              </w:rPr>
              <w:t>.</w:t>
            </w:r>
          </w:p>
          <w:p w:rsidR="000432D1" w:rsidRDefault="005C70ED">
            <w:pPr>
              <w:jc w:val="both"/>
              <w:rPr>
                <w:rFonts w:ascii="Times New Roman" w:hAnsi="Times New Roman" w:cs="Times New Roman"/>
                <w:noProof/>
                <w:sz w:val="24"/>
                <w:szCs w:val="24"/>
              </w:rPr>
            </w:pPr>
            <w:r>
              <w:rPr>
                <w:rFonts w:ascii="Times New Roman" w:hAnsi="Times New Roman"/>
                <w:b/>
                <w:noProof/>
                <w:sz w:val="24"/>
              </w:rPr>
              <w:t>L’opzione preferita è la 3.1 “vecchio approccio”</w:t>
            </w:r>
            <w:r>
              <w:rPr>
                <w:rFonts w:ascii="Times New Roman" w:hAnsi="Times New Roman"/>
                <w:noProof/>
                <w:sz w:val="24"/>
              </w:rPr>
              <w:t>, che produrrebbe considerevoli</w:t>
            </w:r>
            <w:r>
              <w:rPr>
                <w:rFonts w:ascii="Times New Roman" w:hAnsi="Times New Roman"/>
                <w:noProof/>
                <w:sz w:val="24"/>
              </w:rPr>
              <w:t xml:space="preserve"> effetti positivi e gode di un ampio sostegno delle parti interessate.</w:t>
            </w:r>
          </w:p>
        </w:tc>
      </w:tr>
      <w:tr w:rsidR="000432D1">
        <w:tc>
          <w:tcPr>
            <w:tcW w:w="9180" w:type="dxa"/>
            <w:shd w:val="clear" w:color="auto" w:fill="CCCCCC"/>
          </w:tcPr>
          <w:p w:rsidR="000432D1" w:rsidRDefault="005C70ED">
            <w:pPr>
              <w:spacing w:before="60"/>
              <w:rPr>
                <w:rFonts w:ascii="Times New Roman" w:hAnsi="Times New Roman" w:cs="Times New Roman"/>
                <w:noProof/>
                <w:sz w:val="24"/>
                <w:szCs w:val="24"/>
              </w:rPr>
            </w:pPr>
            <w:r>
              <w:rPr>
                <w:rFonts w:ascii="Times New Roman" w:hAnsi="Times New Roman"/>
                <w:b/>
                <w:noProof/>
                <w:sz w:val="24"/>
              </w:rPr>
              <w:t xml:space="preserve">Quali sono le opinioni delle diverse parti interessate? Quali sono i sostenitori delle varie </w:t>
            </w:r>
            <w:r>
              <w:rPr>
                <w:rFonts w:ascii="Times New Roman" w:hAnsi="Times New Roman"/>
                <w:b/>
                <w:noProof/>
                <w:sz w:val="24"/>
              </w:rPr>
              <w:lastRenderedPageBreak/>
              <w:t>opzioni?</w:t>
            </w:r>
          </w:p>
        </w:tc>
      </w:tr>
      <w:tr w:rsidR="000432D1">
        <w:tc>
          <w:tcPr>
            <w:tcW w:w="9180" w:type="dxa"/>
          </w:tcPr>
          <w:p w:rsidR="000432D1" w:rsidRDefault="005C70ED">
            <w:pPr>
              <w:jc w:val="both"/>
              <w:rPr>
                <w:rFonts w:ascii="Times New Roman" w:hAnsi="Times New Roman" w:cs="Times New Roman"/>
                <w:noProof/>
                <w:sz w:val="24"/>
                <w:szCs w:val="24"/>
              </w:rPr>
            </w:pPr>
            <w:r>
              <w:rPr>
                <w:rFonts w:ascii="Times New Roman" w:hAnsi="Times New Roman"/>
                <w:noProof/>
                <w:sz w:val="24"/>
              </w:rPr>
              <w:lastRenderedPageBreak/>
              <w:t>I gruppi di parti interessate non hanno sostenuto le opzioni 1 e 2. La maggioranza delle parti interessate ha preferito l’opzione 3.3, seguita da vicino dalle opzioni 3.1 e 3.2. I gruppi delle parti interessate hanno dato risposte sostanzialmente omogenee.</w:t>
            </w:r>
            <w:r>
              <w:rPr>
                <w:rFonts w:ascii="Times New Roman" w:hAnsi="Times New Roman"/>
                <w:noProof/>
                <w:sz w:val="24"/>
              </w:rPr>
              <w:t xml:space="preserve"> </w:t>
            </w:r>
          </w:p>
        </w:tc>
      </w:tr>
      <w:tr w:rsidR="000432D1">
        <w:tc>
          <w:tcPr>
            <w:tcW w:w="9180" w:type="dxa"/>
            <w:shd w:val="clear" w:color="auto" w:fill="CCCCCC"/>
          </w:tcPr>
          <w:p w:rsidR="000432D1" w:rsidRDefault="005C70ED">
            <w:pPr>
              <w:spacing w:before="60" w:after="60"/>
              <w:jc w:val="center"/>
              <w:rPr>
                <w:b/>
                <w:noProof/>
                <w:sz w:val="24"/>
                <w:szCs w:val="24"/>
              </w:rPr>
            </w:pPr>
            <w:bookmarkStart w:id="4" w:name="_GoBack"/>
            <w:bookmarkEnd w:id="4"/>
            <w:r>
              <w:rPr>
                <w:b/>
                <w:noProof/>
                <w:sz w:val="24"/>
              </w:rPr>
              <w:t>C. Impatto dell’opzione preferita</w:t>
            </w:r>
          </w:p>
        </w:tc>
      </w:tr>
      <w:tr w:rsidR="000432D1">
        <w:tc>
          <w:tcPr>
            <w:tcW w:w="9180" w:type="dxa"/>
            <w:shd w:val="clear" w:color="auto" w:fill="E6E6E6"/>
          </w:tcPr>
          <w:p w:rsidR="000432D1" w:rsidRDefault="005C70ED">
            <w:pPr>
              <w:spacing w:before="60" w:after="60"/>
              <w:rPr>
                <w:noProof/>
                <w:sz w:val="24"/>
                <w:szCs w:val="24"/>
              </w:rPr>
            </w:pPr>
            <w:r>
              <w:rPr>
                <w:b/>
                <w:noProof/>
              </w:rPr>
              <w:t>Quali sono i vantaggi dell’opzione preferita (se ne esiste una, altrimenti delle opzioni principali)?</w:t>
            </w:r>
          </w:p>
        </w:tc>
      </w:tr>
      <w:tr w:rsidR="000432D1">
        <w:tc>
          <w:tcPr>
            <w:tcW w:w="9180" w:type="dxa"/>
          </w:tcPr>
          <w:p w:rsidR="000432D1" w:rsidRDefault="005C70ED">
            <w:pPr>
              <w:jc w:val="both"/>
              <w:rPr>
                <w:rFonts w:ascii="Times New Roman" w:hAnsi="Times New Roman" w:cs="Times New Roman"/>
                <w:noProof/>
                <w:sz w:val="24"/>
                <w:szCs w:val="24"/>
              </w:rPr>
            </w:pPr>
            <w:r>
              <w:rPr>
                <w:rFonts w:ascii="Times New Roman" w:hAnsi="Times New Roman"/>
                <w:noProof/>
                <w:sz w:val="24"/>
              </w:rPr>
              <w:t>La certificazione avverrebbe in un solo Stato membro. Si prevede che le azioni proposte: aumentino l’efficienza del mercato dell’UE, migliorino la libera circolazione delle merci, amplino la scelta dei consumatori, riducano gli oneri amministrativi, accorc</w:t>
            </w:r>
            <w:r>
              <w:rPr>
                <w:rFonts w:ascii="Times New Roman" w:hAnsi="Times New Roman"/>
                <w:noProof/>
                <w:sz w:val="24"/>
              </w:rPr>
              <w:t xml:space="preserve">ino i tempi di commercializzazione e rafforzino la competitività dei fabbricanti europei. Ne deriverebbe un aumento complessivo delle vendite dei fabbricanti dell’UE nei paesi terzi e un incremento generale dell’occupazione nel settore. </w:t>
            </w:r>
          </w:p>
        </w:tc>
      </w:tr>
      <w:tr w:rsidR="000432D1">
        <w:tc>
          <w:tcPr>
            <w:tcW w:w="9180" w:type="dxa"/>
            <w:shd w:val="clear" w:color="auto" w:fill="E6E6E6"/>
          </w:tcPr>
          <w:p w:rsidR="000432D1" w:rsidRDefault="005C70ED">
            <w:pPr>
              <w:spacing w:before="60" w:after="60"/>
              <w:rPr>
                <w:noProof/>
                <w:sz w:val="24"/>
                <w:szCs w:val="24"/>
              </w:rPr>
            </w:pPr>
            <w:r>
              <w:rPr>
                <w:b/>
                <w:noProof/>
                <w:sz w:val="24"/>
              </w:rPr>
              <w:t>Quali sono i cost</w:t>
            </w:r>
            <w:r>
              <w:rPr>
                <w:b/>
                <w:noProof/>
                <w:sz w:val="24"/>
              </w:rPr>
              <w:t>i dell’opzione preferita (se ne esiste una, altrimenti delle opzioni principali)?</w:t>
            </w:r>
            <w:r>
              <w:rPr>
                <w:noProof/>
                <w:sz w:val="24"/>
              </w:rPr>
              <w:t xml:space="preserve"> </w:t>
            </w:r>
          </w:p>
        </w:tc>
      </w:tr>
      <w:tr w:rsidR="000432D1">
        <w:tc>
          <w:tcPr>
            <w:tcW w:w="9180" w:type="dxa"/>
          </w:tcPr>
          <w:p w:rsidR="000432D1" w:rsidRDefault="005C70ED">
            <w:pPr>
              <w:jc w:val="both"/>
              <w:rPr>
                <w:rFonts w:ascii="Times New Roman" w:hAnsi="Times New Roman" w:cs="Times New Roman"/>
                <w:noProof/>
                <w:sz w:val="24"/>
                <w:szCs w:val="24"/>
              </w:rPr>
            </w:pPr>
            <w:r>
              <w:rPr>
                <w:rFonts w:ascii="Times New Roman" w:hAnsi="Times New Roman"/>
                <w:noProof/>
                <w:sz w:val="24"/>
              </w:rPr>
              <w:t>La riduzione della necessità di sottoporre a prova più volte un’unica unità o apparecchiatura dovrebbe portare a una riduzione del numero di prove svolte da un singolo labo</w:t>
            </w:r>
            <w:r>
              <w:rPr>
                <w:rFonts w:ascii="Times New Roman" w:hAnsi="Times New Roman"/>
                <w:noProof/>
                <w:sz w:val="24"/>
              </w:rPr>
              <w:t xml:space="preserve">ratorio ogni anno, comportando minori entrate per i laboratori, ma tale riduzione dovrebbe essere di entità minore rispetto ai risparmi realizzati dai fabbricanti. </w:t>
            </w:r>
          </w:p>
        </w:tc>
      </w:tr>
      <w:tr w:rsidR="000432D1">
        <w:tc>
          <w:tcPr>
            <w:tcW w:w="9180" w:type="dxa"/>
            <w:shd w:val="clear" w:color="auto" w:fill="E6E6E6"/>
          </w:tcPr>
          <w:p w:rsidR="000432D1" w:rsidRDefault="005C70ED">
            <w:pPr>
              <w:spacing w:before="60" w:after="60"/>
              <w:rPr>
                <w:noProof/>
                <w:sz w:val="24"/>
                <w:szCs w:val="24"/>
              </w:rPr>
            </w:pPr>
            <w:r>
              <w:rPr>
                <w:b/>
                <w:noProof/>
                <w:sz w:val="24"/>
              </w:rPr>
              <w:t>Quali sono gli impatti sulle PMI e sulla competitività?</w:t>
            </w:r>
          </w:p>
        </w:tc>
      </w:tr>
      <w:tr w:rsidR="000432D1">
        <w:tc>
          <w:tcPr>
            <w:tcW w:w="9180" w:type="dxa"/>
          </w:tcPr>
          <w:p w:rsidR="000432D1" w:rsidRDefault="005C70ED">
            <w:pPr>
              <w:jc w:val="both"/>
              <w:rPr>
                <w:rFonts w:ascii="Times New Roman" w:hAnsi="Times New Roman" w:cs="Times New Roman"/>
                <w:noProof/>
                <w:sz w:val="24"/>
                <w:szCs w:val="24"/>
              </w:rPr>
            </w:pPr>
            <w:r>
              <w:rPr>
                <w:rFonts w:ascii="Times New Roman" w:hAnsi="Times New Roman"/>
                <w:noProof/>
                <w:sz w:val="24"/>
              </w:rPr>
              <w:t xml:space="preserve">L’incertezza giuridica derivante </w:t>
            </w:r>
            <w:r>
              <w:rPr>
                <w:rFonts w:ascii="Times New Roman" w:hAnsi="Times New Roman"/>
                <w:noProof/>
                <w:sz w:val="24"/>
              </w:rPr>
              <w:t>dall’attuale sistema di certificazione accresce i costi di sviluppo e i tempi di immissione sul mercato delle apparecchiature di controllo di sicurezza dell’aviazione. Date le limitate risorse di cui dispongono le PMI, questo problema è proporzionalmente m</w:t>
            </w:r>
            <w:r>
              <w:rPr>
                <w:rFonts w:ascii="Times New Roman" w:hAnsi="Times New Roman"/>
                <w:noProof/>
                <w:sz w:val="24"/>
              </w:rPr>
              <w:t>aggiore per queste ultime imprese che per quelle di maggiori dimensioni. Gli effetti positivi dell’opzione 3.1 dovrebbero pertanto essere maggiormente sentiti dalle PMI.</w:t>
            </w:r>
          </w:p>
        </w:tc>
      </w:tr>
      <w:tr w:rsidR="000432D1">
        <w:tc>
          <w:tcPr>
            <w:tcW w:w="9180" w:type="dxa"/>
            <w:shd w:val="clear" w:color="auto" w:fill="E6E6E6"/>
          </w:tcPr>
          <w:p w:rsidR="000432D1" w:rsidRDefault="005C70ED">
            <w:pPr>
              <w:spacing w:before="60"/>
              <w:rPr>
                <w:b/>
                <w:i/>
                <w:noProof/>
                <w:sz w:val="24"/>
                <w:szCs w:val="24"/>
              </w:rPr>
            </w:pPr>
            <w:r>
              <w:rPr>
                <w:b/>
                <w:noProof/>
              </w:rPr>
              <w:t>L’impatto sui bilanci nazionali e sulle amministrazioni sarà ingente?</w:t>
            </w:r>
          </w:p>
        </w:tc>
      </w:tr>
      <w:tr w:rsidR="000432D1">
        <w:tc>
          <w:tcPr>
            <w:tcW w:w="9180" w:type="dxa"/>
          </w:tcPr>
          <w:p w:rsidR="000432D1" w:rsidRDefault="005C70ED">
            <w:pPr>
              <w:jc w:val="both"/>
              <w:rPr>
                <w:noProof/>
                <w:sz w:val="24"/>
                <w:szCs w:val="24"/>
              </w:rPr>
            </w:pPr>
            <w:r>
              <w:rPr>
                <w:rFonts w:ascii="Times New Roman" w:hAnsi="Times New Roman"/>
                <w:noProof/>
                <w:sz w:val="24"/>
              </w:rPr>
              <w:t>No.</w:t>
            </w:r>
          </w:p>
        </w:tc>
      </w:tr>
      <w:tr w:rsidR="000432D1">
        <w:tc>
          <w:tcPr>
            <w:tcW w:w="9180" w:type="dxa"/>
            <w:shd w:val="clear" w:color="auto" w:fill="E6E6E6"/>
          </w:tcPr>
          <w:p w:rsidR="000432D1" w:rsidRDefault="005C70ED">
            <w:pPr>
              <w:spacing w:before="60"/>
              <w:rPr>
                <w:noProof/>
                <w:sz w:val="24"/>
                <w:szCs w:val="24"/>
              </w:rPr>
            </w:pPr>
            <w:r>
              <w:rPr>
                <w:b/>
                <w:noProof/>
                <w:sz w:val="24"/>
              </w:rPr>
              <w:t xml:space="preserve">Sono </w:t>
            </w:r>
            <w:r>
              <w:rPr>
                <w:b/>
                <w:noProof/>
                <w:sz w:val="24"/>
              </w:rPr>
              <w:t>previsti altri impatti significativi?</w:t>
            </w:r>
            <w:r>
              <w:rPr>
                <w:noProof/>
                <w:sz w:val="24"/>
              </w:rPr>
              <w:t xml:space="preserve"> </w:t>
            </w:r>
          </w:p>
        </w:tc>
      </w:tr>
      <w:tr w:rsidR="000432D1">
        <w:tc>
          <w:tcPr>
            <w:tcW w:w="9180" w:type="dxa"/>
          </w:tcPr>
          <w:p w:rsidR="000432D1" w:rsidRDefault="005C70ED">
            <w:pPr>
              <w:jc w:val="both"/>
              <w:rPr>
                <w:rFonts w:ascii="Times New Roman" w:hAnsi="Times New Roman" w:cs="Times New Roman"/>
                <w:noProof/>
                <w:sz w:val="24"/>
                <w:szCs w:val="24"/>
              </w:rPr>
            </w:pPr>
            <w:r>
              <w:rPr>
                <w:rFonts w:ascii="Times New Roman" w:hAnsi="Times New Roman"/>
                <w:noProof/>
                <w:sz w:val="24"/>
              </w:rPr>
              <w:t>No.</w:t>
            </w:r>
          </w:p>
        </w:tc>
      </w:tr>
      <w:tr w:rsidR="000432D1">
        <w:tc>
          <w:tcPr>
            <w:tcW w:w="9180" w:type="dxa"/>
            <w:shd w:val="clear" w:color="auto" w:fill="C0C0C0"/>
          </w:tcPr>
          <w:p w:rsidR="000432D1" w:rsidRDefault="005C70ED">
            <w:pPr>
              <w:spacing w:before="60" w:after="60"/>
              <w:jc w:val="center"/>
              <w:rPr>
                <w:b/>
                <w:noProof/>
                <w:sz w:val="24"/>
                <w:szCs w:val="24"/>
              </w:rPr>
            </w:pPr>
            <w:r>
              <w:rPr>
                <w:b/>
                <w:noProof/>
                <w:sz w:val="24"/>
              </w:rPr>
              <w:t>D. Seguito</w:t>
            </w:r>
          </w:p>
        </w:tc>
      </w:tr>
      <w:tr w:rsidR="000432D1">
        <w:tc>
          <w:tcPr>
            <w:tcW w:w="9180" w:type="dxa"/>
            <w:shd w:val="clear" w:color="auto" w:fill="E6E6E6"/>
          </w:tcPr>
          <w:p w:rsidR="000432D1" w:rsidRDefault="005C70ED">
            <w:pPr>
              <w:spacing w:before="60"/>
              <w:rPr>
                <w:noProof/>
                <w:sz w:val="24"/>
                <w:szCs w:val="24"/>
              </w:rPr>
            </w:pPr>
            <w:r>
              <w:rPr>
                <w:b/>
                <w:noProof/>
                <w:sz w:val="24"/>
              </w:rPr>
              <w:t xml:space="preserve">Quando saranno riesaminate le misure proposte? </w:t>
            </w:r>
          </w:p>
        </w:tc>
      </w:tr>
      <w:tr w:rsidR="000432D1">
        <w:tc>
          <w:tcPr>
            <w:tcW w:w="9180" w:type="dxa"/>
          </w:tcPr>
          <w:p w:rsidR="000432D1" w:rsidRDefault="005C70ED">
            <w:pPr>
              <w:jc w:val="both"/>
              <w:rPr>
                <w:rFonts w:ascii="Times New Roman" w:hAnsi="Times New Roman" w:cs="Times New Roman"/>
                <w:noProof/>
                <w:sz w:val="24"/>
                <w:szCs w:val="24"/>
              </w:rPr>
            </w:pPr>
            <w:r>
              <w:rPr>
                <w:rFonts w:ascii="Times New Roman" w:hAnsi="Times New Roman"/>
                <w:noProof/>
                <w:sz w:val="24"/>
              </w:rPr>
              <w:t>Ogni cinque anni.</w:t>
            </w:r>
          </w:p>
        </w:tc>
      </w:tr>
    </w:tbl>
    <w:p w:rsidR="000432D1" w:rsidRDefault="000432D1" w:rsidP="005C70ED">
      <w:pPr>
        <w:rPr>
          <w:noProof/>
        </w:rPr>
      </w:pPr>
    </w:p>
    <w:sectPr w:rsidR="000432D1">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32D1" w:rsidRDefault="005C70ED">
      <w:pPr>
        <w:spacing w:after="0" w:line="240" w:lineRule="auto"/>
      </w:pPr>
      <w:r>
        <w:separator/>
      </w:r>
    </w:p>
  </w:endnote>
  <w:endnote w:type="continuationSeparator" w:id="0">
    <w:p w:rsidR="000432D1" w:rsidRDefault="005C70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2D1" w:rsidRDefault="000432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2D1" w:rsidRDefault="005C70ED">
    <w:pPr>
      <w:pStyle w:val="FooterCoverPage"/>
      <w:rPr>
        <w:rFonts w:ascii="Arial" w:hAnsi="Arial" w:cs="Arial"/>
        <w:b/>
        <w:sz w:val="48"/>
      </w:rPr>
    </w:pPr>
    <w:r>
      <w:rPr>
        <w:rFonts w:ascii="Arial" w:hAnsi="Arial" w:cs="Arial"/>
        <w:b/>
        <w:sz w:val="48"/>
      </w:rPr>
      <w:t>IT</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IT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2D1" w:rsidRDefault="000432D1">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2D1" w:rsidRDefault="000432D1">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6407709"/>
      <w:docPartObj>
        <w:docPartGallery w:val="Page Numbers (Bottom of Page)"/>
        <w:docPartUnique/>
      </w:docPartObj>
    </w:sdtPr>
    <w:sdtEndPr>
      <w:rPr>
        <w:noProof/>
      </w:rPr>
    </w:sdtEndPr>
    <w:sdtContent>
      <w:p w:rsidR="000432D1" w:rsidRDefault="005C70ED">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rsidR="000432D1" w:rsidRDefault="000432D1">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2D1" w:rsidRDefault="000432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32D1" w:rsidRDefault="005C70ED">
      <w:pPr>
        <w:spacing w:after="0" w:line="240" w:lineRule="auto"/>
      </w:pPr>
      <w:r>
        <w:separator/>
      </w:r>
    </w:p>
  </w:footnote>
  <w:footnote w:type="continuationSeparator" w:id="0">
    <w:p w:rsidR="000432D1" w:rsidRDefault="005C70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2D1" w:rsidRDefault="000432D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2D1" w:rsidRDefault="000432D1">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2D1" w:rsidRDefault="000432D1">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2D1" w:rsidRDefault="000432D1">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2D1" w:rsidRDefault="000432D1">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2D1" w:rsidRDefault="000432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ocStatus" w:val="Green"/>
    <w:docVar w:name="LW_ACCOMPAGNANT.CP" w:val="che accompagna il documento"/>
    <w:docVar w:name="LW_CONFIDENCE" w:val=" "/>
    <w:docVar w:name="LW_CONST_RESTREINT_UE" w:val="RESTREINT UE"/>
    <w:docVar w:name="LW_CORRIGENDUM" w:val="&lt;UNUSED&gt;"/>
    <w:docVar w:name="LW_COVERPAGE_GUID" w:val="D2C0CA370B8945A48F460686D7530908"/>
    <w:docVar w:name="LW_CROSSREFERENCE" w:val="{COM(2016) 491 final}_x000b_{SWD(2016) 261 final}"/>
    <w:docVar w:name="LW_DocType" w:val="NORMAL"/>
    <w:docVar w:name="LW_EMISSION" w:val="7.9.2016"/>
    <w:docVar w:name="LW_EMISSION_ISODATE" w:val="2016-09-07"/>
    <w:docVar w:name="LW_EMISSION_LOCATION" w:val="BRX"/>
    <w:docVar w:name="LW_EMISSION_PREFIX" w:val="Bruxelles, "/>
    <w:docVar w:name="LW_EMISSION_SUFFIX" w:val=" "/>
    <w:docVar w:name="LW_ID_DOCTYPE_NONLW" w:val="CP-027"/>
    <w:docVar w:name="LW_LANGUE" w:val="IT"/>
    <w:docVar w:name="LW_MARKING" w:val="&lt;UNUSED&gt;"/>
    <w:docVar w:name="LW_NOM.INST" w:val="COMMISSIONE EUROPEA"/>
    <w:docVar w:name="LW_NOM.INST_JOINTDOC" w:val="&lt;EMPTY&gt;"/>
    <w:docVar w:name="LW_OBJETACTEPRINCIPAL.CP" w:val="che istituisce un sistema di certificazione dell'Unione per le apparecchiature di controllo di sicurezza dell'aviazione"/>
    <w:docVar w:name="LW_PART_NBR" w:val="1"/>
    <w:docVar w:name="LW_PART_NBR_TOTAL" w:val="1"/>
    <w:docVar w:name="LW_REF.INST.NEW" w:val="SWD"/>
    <w:docVar w:name="LW_REF.INST.NEW_ADOPTED" w:val="final"/>
    <w:docVar w:name="LW_REF.INST.NEW_TEXT" w:val="(2016) 259"/>
    <w:docVar w:name="LW_REF.INTERNE" w:val="&lt;UNUSED&gt;"/>
    <w:docVar w:name="LW_SUPERTITRE" w:val="&lt;UNUSED&gt;"/>
    <w:docVar w:name="LW_TITRE.OBJ.CP" w:val="&lt;UNUSED&gt;"/>
    <w:docVar w:name="LW_TYPE.DOC.CP" w:val="DOCUMENTO DI LAVORO DEI SERVIZI DELLA COMMISSIONE_x000b__x000b_SINTESI DELLA VALUTAZIONE D'IMPATTO_x000b_"/>
    <w:docVar w:name="LW_TYPEACTEPRINCIPAL.CP" w:val="Proposta di REGOLAMENTO DEL PARLAMENTO EUROPEO E DEL CONSIGLIO_x000b_"/>
  </w:docVars>
  <w:rsids>
    <w:rsidRoot w:val="000432D1"/>
    <w:rsid w:val="000432D1"/>
    <w:rsid w:val="005C70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it-IT" w:bidi="it-I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Text1"/>
    <w:link w:val="Heading1Char"/>
    <w:uiPriority w:val="9"/>
    <w:qFormat/>
    <w:pPr>
      <w:keepNext/>
      <w:numPr>
        <w:numId w:val="1"/>
      </w:numPr>
      <w:spacing w:before="360" w:after="120" w:line="240" w:lineRule="auto"/>
      <w:jc w:val="both"/>
      <w:outlineLvl w:val="0"/>
    </w:pPr>
    <w:rPr>
      <w:rFonts w:ascii="Times New Roman" w:eastAsia="Times New Roman" w:hAnsi="Times New Roman" w:cs="Times New Roman"/>
      <w:b/>
      <w:bCs/>
      <w:smallCaps/>
      <w:sz w:val="24"/>
      <w:szCs w:val="28"/>
    </w:rPr>
  </w:style>
  <w:style w:type="paragraph" w:styleId="Heading2">
    <w:name w:val="heading 2"/>
    <w:basedOn w:val="Normal"/>
    <w:next w:val="Text1"/>
    <w:link w:val="Heading2Char"/>
    <w:uiPriority w:val="9"/>
    <w:unhideWhenUsed/>
    <w:qFormat/>
    <w:pPr>
      <w:keepNext/>
      <w:numPr>
        <w:ilvl w:val="1"/>
        <w:numId w:val="1"/>
      </w:numPr>
      <w:spacing w:before="120" w:after="120" w:line="240" w:lineRule="auto"/>
      <w:jc w:val="both"/>
      <w:outlineLvl w:val="1"/>
    </w:pPr>
    <w:rPr>
      <w:rFonts w:ascii="Times New Roman" w:eastAsia="Times New Roman" w:hAnsi="Times New Roman" w:cs="Times New Roman"/>
      <w:b/>
      <w:bCs/>
      <w:sz w:val="24"/>
      <w:szCs w:val="26"/>
    </w:rPr>
  </w:style>
  <w:style w:type="paragraph" w:styleId="Heading3">
    <w:name w:val="heading 3"/>
    <w:basedOn w:val="Normal"/>
    <w:next w:val="Text1"/>
    <w:link w:val="Heading3Char"/>
    <w:uiPriority w:val="9"/>
    <w:semiHidden/>
    <w:unhideWhenUsed/>
    <w:qFormat/>
    <w:pPr>
      <w:keepNext/>
      <w:numPr>
        <w:ilvl w:val="2"/>
        <w:numId w:val="1"/>
      </w:numPr>
      <w:spacing w:before="120" w:after="120" w:line="240" w:lineRule="auto"/>
      <w:jc w:val="both"/>
      <w:outlineLvl w:val="2"/>
    </w:pPr>
    <w:rPr>
      <w:rFonts w:ascii="Times New Roman" w:eastAsia="Times New Roman" w:hAnsi="Times New Roman" w:cs="Times New Roman"/>
      <w:bCs/>
      <w:i/>
      <w:sz w:val="24"/>
    </w:rPr>
  </w:style>
  <w:style w:type="paragraph" w:styleId="Heading4">
    <w:name w:val="heading 4"/>
    <w:basedOn w:val="Normal"/>
    <w:next w:val="Text1"/>
    <w:link w:val="Heading4Char"/>
    <w:uiPriority w:val="9"/>
    <w:unhideWhenUsed/>
    <w:qFormat/>
    <w:pPr>
      <w:keepNext/>
      <w:numPr>
        <w:ilvl w:val="3"/>
        <w:numId w:val="1"/>
      </w:numPr>
      <w:spacing w:before="120" w:after="120" w:line="240" w:lineRule="auto"/>
      <w:jc w:val="both"/>
      <w:outlineLvl w:val="3"/>
    </w:pPr>
    <w:rPr>
      <w:rFonts w:ascii="Times New Roman" w:eastAsia="Times New Roman" w:hAnsi="Times New Roman" w:cs="Times New Roman"/>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character" w:customStyle="1" w:styleId="Heading1Char">
    <w:name w:val="Heading 1 Char"/>
    <w:basedOn w:val="DefaultParagraphFont"/>
    <w:link w:val="Heading1"/>
    <w:uiPriority w:val="9"/>
    <w:rPr>
      <w:rFonts w:ascii="Times New Roman" w:eastAsia="Times New Roman" w:hAnsi="Times New Roman" w:cs="Times New Roman"/>
      <w:b/>
      <w:bCs/>
      <w:smallCaps/>
      <w:sz w:val="24"/>
      <w:szCs w:val="28"/>
      <w:lang w:eastAsia="it-IT"/>
    </w:rPr>
  </w:style>
  <w:style w:type="character" w:customStyle="1" w:styleId="Heading2Char">
    <w:name w:val="Heading 2 Char"/>
    <w:basedOn w:val="DefaultParagraphFont"/>
    <w:link w:val="Heading2"/>
    <w:uiPriority w:val="9"/>
    <w:rPr>
      <w:rFonts w:ascii="Times New Roman" w:eastAsia="Times New Roman" w:hAnsi="Times New Roman" w:cs="Times New Roman"/>
      <w:b/>
      <w:bCs/>
      <w:sz w:val="24"/>
      <w:szCs w:val="26"/>
      <w:lang w:eastAsia="it-IT"/>
    </w:rPr>
  </w:style>
  <w:style w:type="character" w:customStyle="1" w:styleId="Heading3Char">
    <w:name w:val="Heading 3 Char"/>
    <w:basedOn w:val="DefaultParagraphFont"/>
    <w:link w:val="Heading3"/>
    <w:uiPriority w:val="9"/>
    <w:semiHidden/>
    <w:rPr>
      <w:rFonts w:ascii="Times New Roman" w:eastAsia="Times New Roman" w:hAnsi="Times New Roman" w:cs="Times New Roman"/>
      <w:bCs/>
      <w:i/>
      <w:sz w:val="24"/>
      <w:lang w:eastAsia="it-IT"/>
    </w:rPr>
  </w:style>
  <w:style w:type="character" w:customStyle="1" w:styleId="Heading4Char">
    <w:name w:val="Heading 4 Char"/>
    <w:basedOn w:val="DefaultParagraphFont"/>
    <w:link w:val="Heading4"/>
    <w:uiPriority w:val="9"/>
    <w:rPr>
      <w:rFonts w:ascii="Times New Roman" w:eastAsia="Times New Roman" w:hAnsi="Times New Roman" w:cs="Times New Roman"/>
      <w:bCs/>
      <w:iCs/>
      <w:sz w:val="24"/>
      <w:lang w:eastAsia="it-IT"/>
    </w:rPr>
  </w:style>
  <w:style w:type="paragraph" w:customStyle="1" w:styleId="Text1">
    <w:name w:val="Text 1"/>
    <w:basedOn w:val="Normal"/>
    <w:pPr>
      <w:spacing w:before="120" w:after="120" w:line="240" w:lineRule="auto"/>
      <w:ind w:left="850"/>
      <w:jc w:val="both"/>
    </w:pPr>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FootnoteReference">
    <w:name w:val="footnote reference"/>
    <w:basedOn w:val="DefaultParagraphFont"/>
    <w:uiPriority w:val="99"/>
    <w:semiHidden/>
    <w:unhideWhenUse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it-IT" w:bidi="it-I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Text1"/>
    <w:link w:val="Heading1Char"/>
    <w:uiPriority w:val="9"/>
    <w:qFormat/>
    <w:pPr>
      <w:keepNext/>
      <w:numPr>
        <w:numId w:val="1"/>
      </w:numPr>
      <w:spacing w:before="360" w:after="120" w:line="240" w:lineRule="auto"/>
      <w:jc w:val="both"/>
      <w:outlineLvl w:val="0"/>
    </w:pPr>
    <w:rPr>
      <w:rFonts w:ascii="Times New Roman" w:eastAsia="Times New Roman" w:hAnsi="Times New Roman" w:cs="Times New Roman"/>
      <w:b/>
      <w:bCs/>
      <w:smallCaps/>
      <w:sz w:val="24"/>
      <w:szCs w:val="28"/>
    </w:rPr>
  </w:style>
  <w:style w:type="paragraph" w:styleId="Heading2">
    <w:name w:val="heading 2"/>
    <w:basedOn w:val="Normal"/>
    <w:next w:val="Text1"/>
    <w:link w:val="Heading2Char"/>
    <w:uiPriority w:val="9"/>
    <w:unhideWhenUsed/>
    <w:qFormat/>
    <w:pPr>
      <w:keepNext/>
      <w:numPr>
        <w:ilvl w:val="1"/>
        <w:numId w:val="1"/>
      </w:numPr>
      <w:spacing w:before="120" w:after="120" w:line="240" w:lineRule="auto"/>
      <w:jc w:val="both"/>
      <w:outlineLvl w:val="1"/>
    </w:pPr>
    <w:rPr>
      <w:rFonts w:ascii="Times New Roman" w:eastAsia="Times New Roman" w:hAnsi="Times New Roman" w:cs="Times New Roman"/>
      <w:b/>
      <w:bCs/>
      <w:sz w:val="24"/>
      <w:szCs w:val="26"/>
    </w:rPr>
  </w:style>
  <w:style w:type="paragraph" w:styleId="Heading3">
    <w:name w:val="heading 3"/>
    <w:basedOn w:val="Normal"/>
    <w:next w:val="Text1"/>
    <w:link w:val="Heading3Char"/>
    <w:uiPriority w:val="9"/>
    <w:semiHidden/>
    <w:unhideWhenUsed/>
    <w:qFormat/>
    <w:pPr>
      <w:keepNext/>
      <w:numPr>
        <w:ilvl w:val="2"/>
        <w:numId w:val="1"/>
      </w:numPr>
      <w:spacing w:before="120" w:after="120" w:line="240" w:lineRule="auto"/>
      <w:jc w:val="both"/>
      <w:outlineLvl w:val="2"/>
    </w:pPr>
    <w:rPr>
      <w:rFonts w:ascii="Times New Roman" w:eastAsia="Times New Roman" w:hAnsi="Times New Roman" w:cs="Times New Roman"/>
      <w:bCs/>
      <w:i/>
      <w:sz w:val="24"/>
    </w:rPr>
  </w:style>
  <w:style w:type="paragraph" w:styleId="Heading4">
    <w:name w:val="heading 4"/>
    <w:basedOn w:val="Normal"/>
    <w:next w:val="Text1"/>
    <w:link w:val="Heading4Char"/>
    <w:uiPriority w:val="9"/>
    <w:unhideWhenUsed/>
    <w:qFormat/>
    <w:pPr>
      <w:keepNext/>
      <w:numPr>
        <w:ilvl w:val="3"/>
        <w:numId w:val="1"/>
      </w:numPr>
      <w:spacing w:before="120" w:after="120" w:line="240" w:lineRule="auto"/>
      <w:jc w:val="both"/>
      <w:outlineLvl w:val="3"/>
    </w:pPr>
    <w:rPr>
      <w:rFonts w:ascii="Times New Roman" w:eastAsia="Times New Roman" w:hAnsi="Times New Roman" w:cs="Times New Roman"/>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character" w:customStyle="1" w:styleId="Heading1Char">
    <w:name w:val="Heading 1 Char"/>
    <w:basedOn w:val="DefaultParagraphFont"/>
    <w:link w:val="Heading1"/>
    <w:uiPriority w:val="9"/>
    <w:rPr>
      <w:rFonts w:ascii="Times New Roman" w:eastAsia="Times New Roman" w:hAnsi="Times New Roman" w:cs="Times New Roman"/>
      <w:b/>
      <w:bCs/>
      <w:smallCaps/>
      <w:sz w:val="24"/>
      <w:szCs w:val="28"/>
      <w:lang w:eastAsia="it-IT"/>
    </w:rPr>
  </w:style>
  <w:style w:type="character" w:customStyle="1" w:styleId="Heading2Char">
    <w:name w:val="Heading 2 Char"/>
    <w:basedOn w:val="DefaultParagraphFont"/>
    <w:link w:val="Heading2"/>
    <w:uiPriority w:val="9"/>
    <w:rPr>
      <w:rFonts w:ascii="Times New Roman" w:eastAsia="Times New Roman" w:hAnsi="Times New Roman" w:cs="Times New Roman"/>
      <w:b/>
      <w:bCs/>
      <w:sz w:val="24"/>
      <w:szCs w:val="26"/>
      <w:lang w:eastAsia="it-IT"/>
    </w:rPr>
  </w:style>
  <w:style w:type="character" w:customStyle="1" w:styleId="Heading3Char">
    <w:name w:val="Heading 3 Char"/>
    <w:basedOn w:val="DefaultParagraphFont"/>
    <w:link w:val="Heading3"/>
    <w:uiPriority w:val="9"/>
    <w:semiHidden/>
    <w:rPr>
      <w:rFonts w:ascii="Times New Roman" w:eastAsia="Times New Roman" w:hAnsi="Times New Roman" w:cs="Times New Roman"/>
      <w:bCs/>
      <w:i/>
      <w:sz w:val="24"/>
      <w:lang w:eastAsia="it-IT"/>
    </w:rPr>
  </w:style>
  <w:style w:type="character" w:customStyle="1" w:styleId="Heading4Char">
    <w:name w:val="Heading 4 Char"/>
    <w:basedOn w:val="DefaultParagraphFont"/>
    <w:link w:val="Heading4"/>
    <w:uiPriority w:val="9"/>
    <w:rPr>
      <w:rFonts w:ascii="Times New Roman" w:eastAsia="Times New Roman" w:hAnsi="Times New Roman" w:cs="Times New Roman"/>
      <w:bCs/>
      <w:iCs/>
      <w:sz w:val="24"/>
      <w:lang w:eastAsia="it-IT"/>
    </w:rPr>
  </w:style>
  <w:style w:type="paragraph" w:customStyle="1" w:styleId="Text1">
    <w:name w:val="Text 1"/>
    <w:basedOn w:val="Normal"/>
    <w:pPr>
      <w:spacing w:before="120" w:after="120" w:line="240" w:lineRule="auto"/>
      <w:ind w:left="850"/>
      <w:jc w:val="both"/>
    </w:pPr>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FootnoteReference">
    <w:name w:val="footnote reference"/>
    <w:basedOn w:val="DefaultParagraphFont"/>
    <w:uiPriority w:val="99"/>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oter" Target="footer5.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717</Words>
  <Characters>3809</Characters>
  <Application>Microsoft Office Word</Application>
  <DocSecurity>0</DocSecurity>
  <Lines>74</Lines>
  <Paragraphs>33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Stefanie Heilemann</cp:lastModifiedBy>
  <cp:revision>22</cp:revision>
  <dcterms:created xsi:type="dcterms:W3CDTF">2015-10-16T12:41:00Z</dcterms:created>
  <dcterms:modified xsi:type="dcterms:W3CDTF">2016-09-02T11:40:00Z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DocStatus">
    <vt:lpwstr>Green</vt:lpwstr>
  </property>
  <property fmtid="{D5CDD505-2E9C-101B-9397-08002B2CF9AE}" pid="5" name="Classification">
    <vt:lpwstr> </vt:lpwstr>
  </property>
</Properties>
</file>