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BF" w:rsidRDefault="00F43C4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C1E2B6905A94A228E78A9A911BE5372" style="width:450pt;height:435pt">
            <v:imagedata r:id="rId8" o:title=""/>
          </v:shape>
        </w:pict>
      </w:r>
    </w:p>
    <w:bookmarkEnd w:id="0"/>
    <w:p w:rsidR="004630BF" w:rsidRDefault="004630BF">
      <w:pPr>
        <w:rPr>
          <w:noProof/>
        </w:rPr>
        <w:sectPr w:rsidR="004630B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630BF">
        <w:tc>
          <w:tcPr>
            <w:tcW w:w="9180" w:type="dxa"/>
            <w:shd w:val="clear" w:color="auto" w:fill="CCCCCC"/>
          </w:tcPr>
          <w:p w:rsidR="004630BF" w:rsidRDefault="00F43C45">
            <w:pPr>
              <w:pStyle w:val="Heading1"/>
              <w:numPr>
                <w:ilvl w:val="0"/>
                <w:numId w:val="0"/>
              </w:numPr>
              <w:jc w:val="center"/>
              <w:rPr>
                <w:noProof/>
                <w:szCs w:val="24"/>
              </w:rPr>
            </w:pPr>
            <w:r>
              <w:rPr>
                <w:noProof/>
              </w:rPr>
              <w:lastRenderedPageBreak/>
              <w:t>Resumo da avaliação de impacto</w:t>
            </w:r>
          </w:p>
        </w:tc>
      </w:tr>
      <w:tr w:rsidR="004630BF">
        <w:tc>
          <w:tcPr>
            <w:tcW w:w="9180" w:type="dxa"/>
            <w:shd w:val="clear" w:color="auto" w:fill="4F81BD"/>
          </w:tcPr>
          <w:p w:rsidR="004630BF" w:rsidRDefault="00F43C45">
            <w:pPr>
              <w:jc w:val="both"/>
              <w:rPr>
                <w:rFonts w:ascii="Times New Roman" w:hAnsi="Times New Roman" w:cs="Times New Roman"/>
                <w:noProof/>
                <w:sz w:val="24"/>
                <w:szCs w:val="24"/>
              </w:rPr>
            </w:pPr>
            <w:r>
              <w:rPr>
                <w:rFonts w:ascii="Times New Roman" w:hAnsi="Times New Roman"/>
                <w:noProof/>
                <w:color w:val="FFFFFF"/>
                <w:sz w:val="24"/>
              </w:rPr>
              <w:t xml:space="preserve">Avaliação de impacto da proposta de regulamento do Parlamento </w:t>
            </w:r>
            <w:r>
              <w:rPr>
                <w:rFonts w:ascii="Times New Roman" w:hAnsi="Times New Roman"/>
                <w:noProof/>
                <w:color w:val="FFFFFF"/>
                <w:sz w:val="24"/>
              </w:rPr>
              <w:t>Europeu e do Conselho que cria um sistema de certificação da UE para os equipamentos de rastreio de segurança da aviação</w:t>
            </w:r>
          </w:p>
        </w:tc>
      </w:tr>
      <w:tr w:rsidR="004630BF">
        <w:tc>
          <w:tcPr>
            <w:tcW w:w="9180" w:type="dxa"/>
            <w:shd w:val="clear" w:color="auto" w:fill="CCCCCC"/>
          </w:tcPr>
          <w:p w:rsidR="004630BF" w:rsidRDefault="00F43C45">
            <w:pPr>
              <w:spacing w:before="60" w:after="60"/>
              <w:jc w:val="center"/>
              <w:rPr>
                <w:rFonts w:ascii="Times New Roman" w:hAnsi="Times New Roman" w:cs="Times New Roman"/>
                <w:b/>
                <w:noProof/>
                <w:sz w:val="24"/>
                <w:szCs w:val="24"/>
              </w:rPr>
            </w:pPr>
            <w:r>
              <w:rPr>
                <w:rFonts w:ascii="Times New Roman" w:hAnsi="Times New Roman"/>
                <w:b/>
                <w:noProof/>
                <w:sz w:val="24"/>
              </w:rPr>
              <w:t>A. Necessidade de medidas</w:t>
            </w:r>
          </w:p>
        </w:tc>
      </w:tr>
      <w:tr w:rsidR="004630BF">
        <w:tc>
          <w:tcPr>
            <w:tcW w:w="9180" w:type="dxa"/>
            <w:shd w:val="clear" w:color="auto" w:fill="E0E0E0"/>
          </w:tcPr>
          <w:p w:rsidR="004630BF" w:rsidRDefault="00F43C45">
            <w:pPr>
              <w:spacing w:before="60" w:after="60"/>
              <w:rPr>
                <w:rFonts w:ascii="Times New Roman" w:hAnsi="Times New Roman" w:cs="Times New Roman"/>
                <w:noProof/>
                <w:sz w:val="24"/>
                <w:szCs w:val="24"/>
              </w:rPr>
            </w:pPr>
            <w:r>
              <w:rPr>
                <w:rFonts w:ascii="Times New Roman" w:hAnsi="Times New Roman"/>
                <w:b/>
                <w:noProof/>
                <w:sz w:val="24"/>
              </w:rPr>
              <w:t>Em que consiste o problema e por que motivo é necessária uma ação a nível da UE?</w:t>
            </w:r>
          </w:p>
        </w:tc>
      </w:tr>
      <w:tr w:rsidR="004630BF">
        <w:tc>
          <w:tcPr>
            <w:tcW w:w="9180" w:type="dxa"/>
          </w:tcPr>
          <w:p w:rsidR="004630BF" w:rsidRDefault="00F43C45">
            <w:pPr>
              <w:pStyle w:val="Text1"/>
              <w:ind w:left="0"/>
              <w:rPr>
                <w:noProof/>
                <w:szCs w:val="24"/>
              </w:rPr>
            </w:pPr>
            <w:r>
              <w:rPr>
                <w:noProof/>
              </w:rPr>
              <w:t xml:space="preserve">A presente iniciativa aborda a questão da inexistência de um mercado interno dos equipamentos de rastreio de segurança da aviação. Esta situação provoca ineficiências e prejudica a </w:t>
            </w:r>
            <w:r>
              <w:rPr>
                <w:b/>
                <w:noProof/>
              </w:rPr>
              <w:t>competitividade dos fabricantes europeus</w:t>
            </w:r>
            <w:r>
              <w:rPr>
                <w:noProof/>
              </w:rPr>
              <w:t xml:space="preserve"> desses equipamentos.</w:t>
            </w:r>
          </w:p>
          <w:p w:rsidR="004630BF" w:rsidRDefault="00F43C45">
            <w:pPr>
              <w:jc w:val="both"/>
              <w:rPr>
                <w:rFonts w:ascii="Times New Roman" w:hAnsi="Times New Roman" w:cs="Times New Roman"/>
                <w:noProof/>
                <w:sz w:val="24"/>
                <w:szCs w:val="24"/>
              </w:rPr>
            </w:pPr>
            <w:r>
              <w:rPr>
                <w:rFonts w:ascii="Times New Roman" w:hAnsi="Times New Roman"/>
                <w:noProof/>
                <w:sz w:val="24"/>
              </w:rPr>
              <w:t>Sem uma inici</w:t>
            </w:r>
            <w:r>
              <w:rPr>
                <w:rFonts w:ascii="Times New Roman" w:hAnsi="Times New Roman"/>
                <w:noProof/>
                <w:sz w:val="24"/>
              </w:rPr>
              <w:t>ativa estratégica destinada a apoiar a competitividade dos fabricantes europeus, as suas quotas de mercado no mercado mundial irão diminuir.</w:t>
            </w:r>
          </w:p>
        </w:tc>
      </w:tr>
      <w:tr w:rsidR="004630BF">
        <w:tc>
          <w:tcPr>
            <w:tcW w:w="9180" w:type="dxa"/>
            <w:shd w:val="clear" w:color="auto" w:fill="E6E6E6"/>
          </w:tcPr>
          <w:p w:rsidR="004630BF" w:rsidRDefault="00F43C45">
            <w:pPr>
              <w:spacing w:before="60" w:after="60"/>
              <w:jc w:val="both"/>
              <w:rPr>
                <w:rFonts w:ascii="Times New Roman" w:hAnsi="Times New Roman" w:cs="Times New Roman"/>
                <w:noProof/>
                <w:sz w:val="24"/>
                <w:szCs w:val="24"/>
              </w:rPr>
            </w:pPr>
            <w:r>
              <w:rPr>
                <w:rFonts w:ascii="Times New Roman" w:hAnsi="Times New Roman"/>
                <w:b/>
                <w:noProof/>
                <w:sz w:val="24"/>
              </w:rPr>
              <w:t>Quais os objetivos a atingir?</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 xml:space="preserve">O bom funcionamento do mercado interno da UE dos equipamentos de rastreio de segurança da aviação e o aumento da competitividade a nível mundial das empresas da UE. </w:t>
            </w:r>
          </w:p>
        </w:tc>
      </w:tr>
      <w:tr w:rsidR="004630BF">
        <w:tc>
          <w:tcPr>
            <w:tcW w:w="9180" w:type="dxa"/>
            <w:shd w:val="clear" w:color="auto" w:fill="E6E6E6"/>
          </w:tcPr>
          <w:p w:rsidR="004630BF" w:rsidRDefault="00F43C45">
            <w:pPr>
              <w:spacing w:before="60" w:after="60"/>
              <w:jc w:val="both"/>
              <w:rPr>
                <w:rFonts w:ascii="Times New Roman" w:hAnsi="Times New Roman" w:cs="Times New Roman"/>
                <w:noProof/>
                <w:sz w:val="24"/>
                <w:szCs w:val="24"/>
              </w:rPr>
            </w:pPr>
            <w:r>
              <w:rPr>
                <w:rFonts w:ascii="Times New Roman" w:hAnsi="Times New Roman"/>
                <w:b/>
                <w:noProof/>
                <w:sz w:val="24"/>
              </w:rPr>
              <w:t>Qual o valor acrescentado da ação a nível da UE (subsidiariedade)?</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 xml:space="preserve">Os Estados-Membros, </w:t>
            </w:r>
            <w:r>
              <w:rPr>
                <w:rFonts w:ascii="Times New Roman" w:hAnsi="Times New Roman"/>
                <w:noProof/>
                <w:sz w:val="24"/>
              </w:rPr>
              <w:t>juntamente com a Comissão, resolveram parcialmente este problema celebrando um acordo de cooperação não vinculativo e desenvolvendo metodologias de ensaio comuns. Esse acordo, contudo, não permite emitir certificações. Não há qualquer indicação de que os E</w:t>
            </w:r>
            <w:r>
              <w:rPr>
                <w:rFonts w:ascii="Times New Roman" w:hAnsi="Times New Roman"/>
                <w:noProof/>
                <w:sz w:val="24"/>
              </w:rPr>
              <w:t>stados-Membros tencionem criar um sistema de certificação mutuamente acordado e juridicamente vinculativo. A ação da UE resulta, por conseguinte, necessária. Essa ação representaria um valor acrescentado, dado que os fabricantes poderiam tirar partido da e</w:t>
            </w:r>
            <w:r>
              <w:rPr>
                <w:rFonts w:ascii="Times New Roman" w:hAnsi="Times New Roman"/>
                <w:noProof/>
                <w:sz w:val="24"/>
              </w:rPr>
              <w:t>xistência de um mercado interno, melhorando a sua competitividade a nível mundial.</w:t>
            </w:r>
          </w:p>
        </w:tc>
      </w:tr>
      <w:tr w:rsidR="004630BF">
        <w:tc>
          <w:tcPr>
            <w:tcW w:w="9180" w:type="dxa"/>
            <w:shd w:val="clear" w:color="auto" w:fill="CCCCCC"/>
          </w:tcPr>
          <w:p w:rsidR="004630BF" w:rsidRDefault="00F43C45">
            <w:pPr>
              <w:spacing w:before="60" w:after="60"/>
              <w:jc w:val="center"/>
              <w:rPr>
                <w:rFonts w:ascii="Times New Roman" w:hAnsi="Times New Roman" w:cs="Times New Roman"/>
                <w:b/>
                <w:noProof/>
                <w:sz w:val="24"/>
                <w:szCs w:val="24"/>
              </w:rPr>
            </w:pPr>
            <w:r>
              <w:rPr>
                <w:rFonts w:ascii="Times New Roman" w:hAnsi="Times New Roman"/>
                <w:b/>
                <w:noProof/>
                <w:sz w:val="24"/>
              </w:rPr>
              <w:t>B. Soluções</w:t>
            </w:r>
          </w:p>
        </w:tc>
      </w:tr>
      <w:tr w:rsidR="004630BF">
        <w:tc>
          <w:tcPr>
            <w:tcW w:w="9180" w:type="dxa"/>
            <w:shd w:val="clear" w:color="auto" w:fill="E6E6E6"/>
          </w:tcPr>
          <w:p w:rsidR="004630BF" w:rsidRDefault="00F43C45">
            <w:pPr>
              <w:spacing w:before="60"/>
              <w:rPr>
                <w:rFonts w:ascii="Times New Roman" w:hAnsi="Times New Roman" w:cs="Times New Roman"/>
                <w:noProof/>
                <w:sz w:val="24"/>
                <w:szCs w:val="24"/>
              </w:rPr>
            </w:pPr>
            <w:r>
              <w:rPr>
                <w:rFonts w:ascii="Times New Roman" w:hAnsi="Times New Roman"/>
                <w:b/>
                <w:noProof/>
                <w:sz w:val="24"/>
              </w:rPr>
              <w:t>Quais as diversas opções para a consecução dos objetivos? É dada preferência a alguma das opções? Em caso negativo, por que razão?</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 xml:space="preserve">Foram estudadas cinco opções: </w:t>
            </w:r>
          </w:p>
          <w:p w:rsidR="004630BF" w:rsidRDefault="00F43C45">
            <w:pPr>
              <w:jc w:val="both"/>
              <w:rPr>
                <w:rFonts w:ascii="Times New Roman" w:hAnsi="Times New Roman" w:cs="Times New Roman"/>
                <w:noProof/>
                <w:sz w:val="24"/>
                <w:szCs w:val="24"/>
              </w:rPr>
            </w:pPr>
            <w:r>
              <w:rPr>
                <w:rFonts w:ascii="Times New Roman" w:hAnsi="Times New Roman"/>
                <w:b/>
                <w:noProof/>
                <w:sz w:val="24"/>
              </w:rPr>
              <w:t>1. «Cenário de base»,</w:t>
            </w:r>
            <w:r>
              <w:rPr>
                <w:rFonts w:ascii="Times New Roman" w:hAnsi="Times New Roman"/>
                <w:noProof/>
                <w:sz w:val="24"/>
              </w:rPr>
              <w:t xml:space="preserve"> a Comissão não lança qualquer iniciativa. </w:t>
            </w:r>
            <w:r>
              <w:rPr>
                <w:rFonts w:ascii="Times New Roman" w:hAnsi="Times New Roman"/>
                <w:b/>
                <w:noProof/>
                <w:sz w:val="24"/>
              </w:rPr>
              <w:t xml:space="preserve">2. </w:t>
            </w:r>
            <w:r>
              <w:rPr>
                <w:rFonts w:ascii="Times New Roman" w:hAnsi="Times New Roman"/>
                <w:noProof/>
                <w:sz w:val="24"/>
              </w:rPr>
              <w:t xml:space="preserve">Adoção de uma </w:t>
            </w:r>
            <w:r>
              <w:rPr>
                <w:rFonts w:ascii="Times New Roman" w:hAnsi="Times New Roman"/>
                <w:b/>
                <w:noProof/>
                <w:sz w:val="24"/>
              </w:rPr>
              <w:t xml:space="preserve">recomendação </w:t>
            </w:r>
            <w:r>
              <w:rPr>
                <w:rFonts w:ascii="Times New Roman" w:hAnsi="Times New Roman"/>
                <w:noProof/>
                <w:sz w:val="24"/>
              </w:rPr>
              <w:t xml:space="preserve">dirigida aos Estados-Membros. </w:t>
            </w:r>
            <w:r>
              <w:rPr>
                <w:rFonts w:ascii="Times New Roman" w:hAnsi="Times New Roman"/>
                <w:b/>
                <w:noProof/>
                <w:sz w:val="24"/>
              </w:rPr>
              <w:t xml:space="preserve">3. </w:t>
            </w:r>
            <w:r>
              <w:rPr>
                <w:rFonts w:ascii="Times New Roman" w:hAnsi="Times New Roman"/>
                <w:noProof/>
                <w:sz w:val="24"/>
              </w:rPr>
              <w:t>«</w:t>
            </w:r>
            <w:r>
              <w:rPr>
                <w:rFonts w:ascii="Times New Roman" w:hAnsi="Times New Roman"/>
                <w:b/>
                <w:noProof/>
                <w:sz w:val="24"/>
              </w:rPr>
              <w:t>Legislação»</w:t>
            </w:r>
            <w:r>
              <w:rPr>
                <w:rFonts w:ascii="Times New Roman" w:hAnsi="Times New Roman"/>
                <w:noProof/>
                <w:sz w:val="24"/>
              </w:rPr>
              <w:t>: adoção de uma proposta legislativa que permita aos fabricantes comercializar e vende</w:t>
            </w:r>
            <w:r>
              <w:rPr>
                <w:rFonts w:ascii="Times New Roman" w:hAnsi="Times New Roman"/>
                <w:noProof/>
                <w:sz w:val="24"/>
              </w:rPr>
              <w:t xml:space="preserve">r os seus produtos em toda a União, após serem certificados num Estado-Membro: </w:t>
            </w:r>
            <w:r>
              <w:rPr>
                <w:rFonts w:ascii="Times New Roman" w:hAnsi="Times New Roman"/>
                <w:b/>
                <w:noProof/>
                <w:sz w:val="24"/>
              </w:rPr>
              <w:t>3.1. «Antiga abordagem»</w:t>
            </w:r>
            <w:r>
              <w:rPr>
                <w:rFonts w:ascii="Times New Roman" w:hAnsi="Times New Roman"/>
                <w:noProof/>
                <w:sz w:val="24"/>
              </w:rPr>
              <w:t xml:space="preserve">, </w:t>
            </w:r>
            <w:r>
              <w:rPr>
                <w:rFonts w:ascii="Times New Roman" w:hAnsi="Times New Roman"/>
                <w:b/>
                <w:noProof/>
                <w:sz w:val="24"/>
              </w:rPr>
              <w:t>3.2. «Nova abordagem», 3.3. «Abordagem centralizada»</w:t>
            </w:r>
            <w:r>
              <w:rPr>
                <w:rFonts w:ascii="Times New Roman" w:hAnsi="Times New Roman"/>
                <w:noProof/>
                <w:sz w:val="24"/>
              </w:rPr>
              <w:t>.</w:t>
            </w:r>
          </w:p>
          <w:p w:rsidR="004630BF" w:rsidRDefault="00F43C45">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opção preferida é a 3.1 «Antiga abordagem»</w:t>
            </w:r>
            <w:r>
              <w:rPr>
                <w:rFonts w:ascii="Times New Roman" w:hAnsi="Times New Roman"/>
                <w:noProof/>
                <w:sz w:val="24"/>
              </w:rPr>
              <w:t>, que teria um forte impacto positivo e recolhe um amp</w:t>
            </w:r>
            <w:r>
              <w:rPr>
                <w:rFonts w:ascii="Times New Roman" w:hAnsi="Times New Roman"/>
                <w:noProof/>
                <w:sz w:val="24"/>
              </w:rPr>
              <w:t>lo apoio junto das partes interessadas.</w:t>
            </w:r>
          </w:p>
        </w:tc>
      </w:tr>
      <w:tr w:rsidR="004630BF">
        <w:tc>
          <w:tcPr>
            <w:tcW w:w="9180" w:type="dxa"/>
            <w:shd w:val="clear" w:color="auto" w:fill="CCCCCC"/>
          </w:tcPr>
          <w:p w:rsidR="004630BF" w:rsidRDefault="00F43C45">
            <w:pPr>
              <w:spacing w:before="60"/>
              <w:rPr>
                <w:rFonts w:ascii="Times New Roman" w:hAnsi="Times New Roman" w:cs="Times New Roman"/>
                <w:noProof/>
                <w:sz w:val="24"/>
                <w:szCs w:val="24"/>
              </w:rPr>
            </w:pPr>
            <w:r>
              <w:rPr>
                <w:rFonts w:ascii="Times New Roman" w:hAnsi="Times New Roman"/>
                <w:b/>
                <w:noProof/>
                <w:sz w:val="24"/>
              </w:rPr>
              <w:lastRenderedPageBreak/>
              <w:t>Quais os diferentes pontos de vista das partes interessadas? Quem apoia cada uma das opções?</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 xml:space="preserve">Os grupos de partes interessadas não apoiaram as opções 1 e 2. A maioria deu preferência à opção 3.3, seguida de perto pelas opções 3.1 e 3.2. Os grupos de partes interessadas deram respostas substancialmente homogéneas a estas questões. </w:t>
            </w:r>
          </w:p>
        </w:tc>
      </w:tr>
      <w:tr w:rsidR="004630BF">
        <w:tc>
          <w:tcPr>
            <w:tcW w:w="9180" w:type="dxa"/>
            <w:shd w:val="clear" w:color="auto" w:fill="CCCCCC"/>
          </w:tcPr>
          <w:p w:rsidR="004630BF" w:rsidRDefault="00F43C45">
            <w:pPr>
              <w:spacing w:before="60" w:after="60"/>
              <w:jc w:val="center"/>
              <w:rPr>
                <w:b/>
                <w:noProof/>
                <w:sz w:val="24"/>
                <w:szCs w:val="24"/>
              </w:rPr>
            </w:pPr>
            <w:r>
              <w:rPr>
                <w:b/>
                <w:noProof/>
                <w:sz w:val="24"/>
              </w:rPr>
              <w:t xml:space="preserve">C. Impactos da </w:t>
            </w:r>
            <w:r>
              <w:rPr>
                <w:b/>
                <w:noProof/>
                <w:sz w:val="24"/>
              </w:rPr>
              <w:t>opção preferida</w:t>
            </w:r>
          </w:p>
        </w:tc>
      </w:tr>
      <w:tr w:rsidR="004630BF">
        <w:tc>
          <w:tcPr>
            <w:tcW w:w="9180" w:type="dxa"/>
            <w:shd w:val="clear" w:color="auto" w:fill="E6E6E6"/>
          </w:tcPr>
          <w:p w:rsidR="004630BF" w:rsidRDefault="00F43C45">
            <w:pPr>
              <w:spacing w:before="60" w:after="60"/>
              <w:rPr>
                <w:noProof/>
                <w:sz w:val="24"/>
                <w:szCs w:val="24"/>
              </w:rPr>
            </w:pPr>
            <w:r>
              <w:rPr>
                <w:b/>
                <w:noProof/>
                <w:sz w:val="24"/>
              </w:rPr>
              <w:t>Quais os benefícios da opção preferida (se existirem, caso contrário das principais opções)?</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A certificação seria efetuada num único Estado-Membro. A ação proposta deve: contribuir para aumentar a eficiência dos mercados da UE, melhorar a</w:t>
            </w:r>
            <w:r>
              <w:rPr>
                <w:rFonts w:ascii="Times New Roman" w:hAnsi="Times New Roman"/>
                <w:noProof/>
                <w:sz w:val="24"/>
              </w:rPr>
              <w:t xml:space="preserve"> livre circulação de mercadorias, aumentar a escolha dos clientes, reduzir os encargos administrativos, reduzir os prazos de colocação no mercado e reforçar a competitividade dos fabricantes europeus. Tal conduziria a um aumento global das vendas dos fabri</w:t>
            </w:r>
            <w:r>
              <w:rPr>
                <w:rFonts w:ascii="Times New Roman" w:hAnsi="Times New Roman"/>
                <w:noProof/>
                <w:sz w:val="24"/>
              </w:rPr>
              <w:t>cantes da UE nos países terceiros e a uma melhoria dos números globais do emprego neste setor.</w:t>
            </w:r>
          </w:p>
        </w:tc>
      </w:tr>
      <w:tr w:rsidR="004630BF">
        <w:tc>
          <w:tcPr>
            <w:tcW w:w="9180" w:type="dxa"/>
            <w:shd w:val="clear" w:color="auto" w:fill="E6E6E6"/>
          </w:tcPr>
          <w:p w:rsidR="004630BF" w:rsidRDefault="00F43C45">
            <w:pPr>
              <w:spacing w:before="60" w:after="60"/>
              <w:rPr>
                <w:noProof/>
                <w:sz w:val="24"/>
                <w:szCs w:val="24"/>
              </w:rPr>
            </w:pPr>
            <w:r>
              <w:rPr>
                <w:b/>
                <w:noProof/>
                <w:sz w:val="24"/>
              </w:rPr>
              <w:t>Quais os custos da opção preferida (se existirem, caso contrário das principais opções)?</w:t>
            </w:r>
            <w:r>
              <w:rPr>
                <w:noProof/>
                <w:sz w:val="24"/>
              </w:rPr>
              <w:t xml:space="preserve"> </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A redução da necessidade de testar várias vezes a mesma peça ou equip</w:t>
            </w:r>
            <w:r>
              <w:rPr>
                <w:rFonts w:ascii="Times New Roman" w:hAnsi="Times New Roman"/>
                <w:noProof/>
                <w:sz w:val="24"/>
              </w:rPr>
              <w:t>amento deve permitir reduzir o número de ensaios anuais a efetuar anualmente por cada laboratório, o que implicará uma redução das receitas dos mesmos, mas todavia inferior às poupanças efetuadas pelos fabricantes.</w:t>
            </w:r>
          </w:p>
        </w:tc>
      </w:tr>
      <w:tr w:rsidR="004630BF">
        <w:tc>
          <w:tcPr>
            <w:tcW w:w="9180" w:type="dxa"/>
            <w:shd w:val="clear" w:color="auto" w:fill="E6E6E6"/>
          </w:tcPr>
          <w:p w:rsidR="004630BF" w:rsidRDefault="00F43C45">
            <w:pPr>
              <w:spacing w:before="60" w:after="60"/>
              <w:rPr>
                <w:noProof/>
                <w:sz w:val="24"/>
                <w:szCs w:val="24"/>
              </w:rPr>
            </w:pPr>
            <w:r>
              <w:rPr>
                <w:b/>
                <w:noProof/>
                <w:sz w:val="24"/>
              </w:rPr>
              <w:t>Qual o impacto sobre as PME e a competit</w:t>
            </w:r>
            <w:r>
              <w:rPr>
                <w:b/>
                <w:noProof/>
                <w:sz w:val="24"/>
              </w:rPr>
              <w:t>ividade?</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A incerteza jurídica causada pelo atual sistema de certificação agrava os custos de desenvolvimento e os prazos de colocação no mercado dos equipamentos de rastreio de segurança da aviação. Dados os recursos limitados ao dispor das PME, este prob</w:t>
            </w:r>
            <w:r>
              <w:rPr>
                <w:rFonts w:ascii="Times New Roman" w:hAnsi="Times New Roman"/>
                <w:noProof/>
                <w:sz w:val="24"/>
              </w:rPr>
              <w:t>lema é proporcionalmente mais grave para este tipo de empresas do que para as empresas de maior dimensão. Os impactos positivos da opção 3.1 devem, por conseguinte, ter uma maior repercussão nas PME.</w:t>
            </w:r>
          </w:p>
        </w:tc>
      </w:tr>
      <w:tr w:rsidR="004630BF">
        <w:tc>
          <w:tcPr>
            <w:tcW w:w="9180" w:type="dxa"/>
            <w:shd w:val="clear" w:color="auto" w:fill="E6E6E6"/>
          </w:tcPr>
          <w:p w:rsidR="004630BF" w:rsidRDefault="00F43C45">
            <w:pPr>
              <w:spacing w:before="60"/>
              <w:rPr>
                <w:b/>
                <w:i/>
                <w:noProof/>
                <w:sz w:val="24"/>
                <w:szCs w:val="24"/>
              </w:rPr>
            </w:pPr>
            <w:r>
              <w:rPr>
                <w:b/>
                <w:noProof/>
                <w:sz w:val="24"/>
              </w:rPr>
              <w:t xml:space="preserve">O impacto nos orçamentos e administrações públicas </w:t>
            </w:r>
            <w:r>
              <w:rPr>
                <w:b/>
                <w:noProof/>
                <w:sz w:val="24"/>
              </w:rPr>
              <w:t>nacionais será significativo?</w:t>
            </w:r>
          </w:p>
        </w:tc>
      </w:tr>
      <w:tr w:rsidR="004630BF">
        <w:tc>
          <w:tcPr>
            <w:tcW w:w="9180" w:type="dxa"/>
          </w:tcPr>
          <w:p w:rsidR="004630BF" w:rsidRDefault="00F43C45">
            <w:pPr>
              <w:jc w:val="both"/>
              <w:rPr>
                <w:noProof/>
                <w:sz w:val="24"/>
                <w:szCs w:val="24"/>
              </w:rPr>
            </w:pPr>
            <w:r>
              <w:rPr>
                <w:rFonts w:ascii="Times New Roman" w:hAnsi="Times New Roman"/>
                <w:noProof/>
                <w:sz w:val="24"/>
              </w:rPr>
              <w:t>Não.</w:t>
            </w:r>
          </w:p>
        </w:tc>
      </w:tr>
      <w:tr w:rsidR="004630BF">
        <w:tc>
          <w:tcPr>
            <w:tcW w:w="9180" w:type="dxa"/>
            <w:shd w:val="clear" w:color="auto" w:fill="E6E6E6"/>
          </w:tcPr>
          <w:p w:rsidR="004630BF" w:rsidRDefault="00F43C45">
            <w:pPr>
              <w:spacing w:before="60"/>
              <w:rPr>
                <w:noProof/>
                <w:sz w:val="24"/>
                <w:szCs w:val="24"/>
              </w:rPr>
            </w:pPr>
            <w:r>
              <w:rPr>
                <w:b/>
                <w:noProof/>
                <w:sz w:val="24"/>
              </w:rPr>
              <w:t>Haverá outros impactos significativos?</w:t>
            </w:r>
            <w:r>
              <w:rPr>
                <w:noProof/>
                <w:sz w:val="24"/>
              </w:rPr>
              <w:t xml:space="preserve"> </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Não.</w:t>
            </w:r>
          </w:p>
        </w:tc>
      </w:tr>
      <w:tr w:rsidR="004630BF">
        <w:tc>
          <w:tcPr>
            <w:tcW w:w="9180" w:type="dxa"/>
            <w:shd w:val="clear" w:color="auto" w:fill="C0C0C0"/>
          </w:tcPr>
          <w:p w:rsidR="004630BF" w:rsidRDefault="00F43C45">
            <w:pPr>
              <w:spacing w:before="60" w:after="60"/>
              <w:jc w:val="center"/>
              <w:rPr>
                <w:b/>
                <w:noProof/>
                <w:sz w:val="24"/>
                <w:szCs w:val="24"/>
              </w:rPr>
            </w:pPr>
            <w:r>
              <w:rPr>
                <w:b/>
                <w:noProof/>
                <w:sz w:val="24"/>
              </w:rPr>
              <w:t>D. Seguimento</w:t>
            </w:r>
          </w:p>
        </w:tc>
      </w:tr>
      <w:tr w:rsidR="004630BF">
        <w:tc>
          <w:tcPr>
            <w:tcW w:w="9180" w:type="dxa"/>
            <w:shd w:val="clear" w:color="auto" w:fill="E6E6E6"/>
          </w:tcPr>
          <w:p w:rsidR="004630BF" w:rsidRDefault="00F43C45">
            <w:pPr>
              <w:spacing w:before="60"/>
              <w:rPr>
                <w:noProof/>
                <w:sz w:val="24"/>
                <w:szCs w:val="24"/>
              </w:rPr>
            </w:pPr>
            <w:r>
              <w:rPr>
                <w:b/>
                <w:noProof/>
                <w:sz w:val="24"/>
              </w:rPr>
              <w:t>Quando será revista a medida proposta?</w:t>
            </w:r>
          </w:p>
        </w:tc>
      </w:tr>
      <w:tr w:rsidR="004630BF">
        <w:tc>
          <w:tcPr>
            <w:tcW w:w="9180" w:type="dxa"/>
          </w:tcPr>
          <w:p w:rsidR="004630BF" w:rsidRDefault="00F43C45">
            <w:pPr>
              <w:jc w:val="both"/>
              <w:rPr>
                <w:rFonts w:ascii="Times New Roman" w:hAnsi="Times New Roman" w:cs="Times New Roman"/>
                <w:noProof/>
                <w:sz w:val="24"/>
                <w:szCs w:val="24"/>
              </w:rPr>
            </w:pPr>
            <w:r>
              <w:rPr>
                <w:rFonts w:ascii="Times New Roman" w:hAnsi="Times New Roman"/>
                <w:noProof/>
                <w:sz w:val="24"/>
              </w:rPr>
              <w:t>De cinco em cinco anos.</w:t>
            </w:r>
          </w:p>
        </w:tc>
      </w:tr>
    </w:tbl>
    <w:p w:rsidR="004630BF" w:rsidRDefault="004630BF" w:rsidP="00F43C45">
      <w:pPr>
        <w:rPr>
          <w:noProof/>
        </w:rPr>
      </w:pPr>
      <w:bookmarkStart w:id="1" w:name="_GoBack"/>
      <w:bookmarkEnd w:id="1"/>
    </w:p>
    <w:sectPr w:rsidR="004630B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BF" w:rsidRDefault="00F43C45">
      <w:pPr>
        <w:spacing w:after="0" w:line="240" w:lineRule="auto"/>
      </w:pPr>
      <w:r>
        <w:separator/>
      </w:r>
    </w:p>
  </w:endnote>
  <w:endnote w:type="continuationSeparator" w:id="0">
    <w:p w:rsidR="004630BF" w:rsidRDefault="00F4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F43C45">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07709"/>
      <w:docPartObj>
        <w:docPartGallery w:val="Page Numbers (Bottom of Page)"/>
        <w:docPartUnique/>
      </w:docPartObj>
    </w:sdtPr>
    <w:sdtEndPr>
      <w:rPr>
        <w:noProof/>
      </w:rPr>
    </w:sdtEndPr>
    <w:sdtContent>
      <w:p w:rsidR="004630BF" w:rsidRDefault="00F43C4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630BF" w:rsidRDefault="004630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BF" w:rsidRDefault="00F43C45">
      <w:pPr>
        <w:spacing w:after="0" w:line="240" w:lineRule="auto"/>
      </w:pPr>
      <w:r>
        <w:separator/>
      </w:r>
    </w:p>
  </w:footnote>
  <w:footnote w:type="continuationSeparator" w:id="0">
    <w:p w:rsidR="004630BF" w:rsidRDefault="00F43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BF" w:rsidRDefault="00463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que acompanha o documento"/>
    <w:docVar w:name="LW_CONFIDENCE" w:val=" "/>
    <w:docVar w:name="LW_CONST_RESTREINT_UE" w:val="RESTREINT UE"/>
    <w:docVar w:name="LW_CORRIGENDUM" w:val="&lt;UNUSED&gt;"/>
    <w:docVar w:name="LW_COVERPAGE_GUID" w:val="4C1E2B6905A94A228E78A9A911BE5372"/>
    <w:docVar w:name="LW_CROSSREFERENCE" w:val="{COM(2016) 491 final}_x000b_{SWD(2016) 261 final}"/>
    <w:docVar w:name="LW_DocType" w:val="NORMAL"/>
    <w:docVar w:name="LW_EMISSION" w:val="7.9.2016"/>
    <w:docVar w:name="LW_EMISSION_ISODATE" w:val="2016-09-07"/>
    <w:docVar w:name="LW_EMISSION_LOCATION" w:val="BRX"/>
    <w:docVar w:name="LW_EMISSION_PREFIX" w:val="Bruxelas, "/>
    <w:docVar w:name="LW_EMISSION_SUFFIX" w:val=" "/>
    <w:docVar w:name="LW_ID_DOCTYPE_NONLW" w:val="CP-027"/>
    <w:docVar w:name="LW_LANGUE" w:val="PT"/>
    <w:docVar w:name="LW_MARKING" w:val="&lt;UNUSED&gt;"/>
    <w:docVar w:name="LW_NOM.INST" w:val="COMISSÃO EUROPEIA"/>
    <w:docVar w:name="LW_NOM.INST_JOINTDOC" w:val="&lt;EMPTY&gt;"/>
    <w:docVar w:name="LW_OBJETACTEPRINCIPAL.CP" w:val="que cria um sistema de certificação da UE para os equipamentos de rastreio de segurança da aviação"/>
    <w:docVar w:name="LW_PART_NBR" w:val="1"/>
    <w:docVar w:name="LW_PART_NBR_TOTAL" w:val="1"/>
    <w:docVar w:name="LW_REF.INST.NEW" w:val="SWD"/>
    <w:docVar w:name="LW_REF.INST.NEW_ADOPTED" w:val="final"/>
    <w:docVar w:name="LW_REF.INST.NEW_TEXT" w:val="(2016) 259"/>
    <w:docVar w:name="LW_REF.INTERNE" w:val="&lt;UNUSED&gt;"/>
    <w:docVar w:name="LW_SUPERTITRE" w:val="&lt;UNUSED&gt;"/>
    <w:docVar w:name="LW_TITRE.OBJ.CP" w:val="&lt;UNUSED&gt;"/>
    <w:docVar w:name="LW_TYPE.DOC.CP" w:val="DOCUMENTO DE TRABALHO DOS SERVIÇOS DA COMISSÃO_x000b__x000b_SÍNTESE DA AVALIAÇÃO DE IMPACTO_x000b_"/>
    <w:docVar w:name="LW_TYPEACTEPRINCIPAL.CP" w:val="_x000b_Proposta de REGULAMENTO DO PARLAMENTO EUROPEU E DO CONSELHO_x000b_"/>
  </w:docVars>
  <w:rsids>
    <w:rsidRoot w:val="004630BF"/>
    <w:rsid w:val="004630BF"/>
    <w:rsid w:val="00F4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pt-P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pt-PT"/>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pt-P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pt-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pt-P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pt-PT"/>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pt-P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pt-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689</Words>
  <Characters>3663</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39</cp:revision>
  <dcterms:created xsi:type="dcterms:W3CDTF">2015-10-16T12:41:00Z</dcterms:created>
  <dcterms:modified xsi:type="dcterms:W3CDTF">2016-09-02T11:33:00Z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