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61" w:rsidRDefault="00BF0EC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91230886066472B92E8E9309528EE44" style="width:450.25pt;height:436.3pt">
            <v:imagedata r:id="rId8" o:title=""/>
          </v:shape>
        </w:pict>
      </w:r>
    </w:p>
    <w:bookmarkEnd w:id="0"/>
    <w:p w:rsidR="00471661" w:rsidRDefault="00471661">
      <w:pPr>
        <w:rPr>
          <w:noProof/>
        </w:rPr>
        <w:sectPr w:rsidR="0047166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1661">
        <w:tc>
          <w:tcPr>
            <w:tcW w:w="9180" w:type="dxa"/>
            <w:shd w:val="clear" w:color="auto" w:fill="CCCCCC"/>
          </w:tcPr>
          <w:p w:rsidR="00471661" w:rsidRDefault="00BF0ECF">
            <w:pPr>
              <w:pStyle w:val="Heading1"/>
              <w:numPr>
                <w:ilvl w:val="0"/>
                <w:numId w:val="0"/>
              </w:numPr>
              <w:jc w:val="center"/>
              <w:rPr>
                <w:noProof/>
                <w:szCs w:val="24"/>
              </w:rPr>
            </w:pPr>
            <w:bookmarkStart w:id="1" w:name="_Toc420505472"/>
            <w:bookmarkStart w:id="2" w:name="_Toc420577265"/>
            <w:bookmarkStart w:id="3" w:name="_Toc431457026"/>
            <w:r>
              <w:rPr>
                <w:noProof/>
              </w:rPr>
              <w:lastRenderedPageBreak/>
              <w:t>Обобщение</w:t>
            </w:r>
            <w:bookmarkEnd w:id="1"/>
            <w:bookmarkEnd w:id="2"/>
            <w:bookmarkEnd w:id="3"/>
          </w:p>
        </w:tc>
      </w:tr>
      <w:tr w:rsidR="00471661">
        <w:tc>
          <w:tcPr>
            <w:tcW w:w="9180" w:type="dxa"/>
            <w:shd w:val="clear" w:color="auto" w:fill="4F81BD"/>
          </w:tcPr>
          <w:p w:rsidR="00471661" w:rsidRDefault="00BF0ECF">
            <w:pPr>
              <w:jc w:val="both"/>
              <w:rPr>
                <w:rFonts w:ascii="Times New Roman" w:hAnsi="Times New Roman" w:cs="Times New Roman"/>
                <w:noProof/>
                <w:sz w:val="24"/>
                <w:szCs w:val="24"/>
              </w:rPr>
            </w:pPr>
            <w:r>
              <w:rPr>
                <w:rFonts w:ascii="Times New Roman" w:hAnsi="Times New Roman"/>
                <w:noProof/>
                <w:color w:val="FFFFFF"/>
                <w:sz w:val="24"/>
              </w:rPr>
              <w:t>Оценка на въздействието във връзка с предложение за регламент на Европейския парламент и</w:t>
            </w:r>
            <w:r>
              <w:rPr>
                <w:rFonts w:ascii="Times New Roman" w:hAnsi="Times New Roman"/>
                <w:noProof/>
                <w:color w:val="FFFFFF"/>
                <w:sz w:val="24"/>
              </w:rPr>
              <w:t xml:space="preserve"> на Съвета за създаване на система на ЕС за сертифициране на оборудване за проверка във областта на въздухоплаването</w:t>
            </w:r>
          </w:p>
        </w:tc>
      </w:tr>
      <w:tr w:rsidR="00471661">
        <w:tc>
          <w:tcPr>
            <w:tcW w:w="9180" w:type="dxa"/>
            <w:shd w:val="clear" w:color="auto" w:fill="CCCCCC"/>
          </w:tcPr>
          <w:p w:rsidR="00471661" w:rsidRDefault="00BF0ECF">
            <w:pPr>
              <w:spacing w:before="60" w:after="60"/>
              <w:jc w:val="center"/>
              <w:rPr>
                <w:rFonts w:ascii="Times New Roman" w:hAnsi="Times New Roman" w:cs="Times New Roman"/>
                <w:b/>
                <w:noProof/>
                <w:sz w:val="24"/>
                <w:szCs w:val="24"/>
              </w:rPr>
            </w:pPr>
            <w:r>
              <w:rPr>
                <w:rFonts w:ascii="Times New Roman" w:hAnsi="Times New Roman"/>
                <w:b/>
                <w:noProof/>
                <w:sz w:val="24"/>
              </w:rPr>
              <w:t>А. Необходимостта от мерки</w:t>
            </w:r>
          </w:p>
        </w:tc>
      </w:tr>
      <w:tr w:rsidR="00471661">
        <w:tc>
          <w:tcPr>
            <w:tcW w:w="9180" w:type="dxa"/>
            <w:shd w:val="clear" w:color="auto" w:fill="E0E0E0"/>
          </w:tcPr>
          <w:p w:rsidR="00471661" w:rsidRDefault="00BF0ECF">
            <w:pPr>
              <w:spacing w:before="60" w:after="60"/>
              <w:rPr>
                <w:rFonts w:ascii="Times New Roman" w:hAnsi="Times New Roman" w:cs="Times New Roman"/>
                <w:noProof/>
                <w:sz w:val="24"/>
                <w:szCs w:val="24"/>
              </w:rPr>
            </w:pPr>
            <w:r>
              <w:rPr>
                <w:rFonts w:ascii="Times New Roman" w:hAnsi="Times New Roman"/>
                <w:b/>
                <w:noProof/>
                <w:sz w:val="24"/>
              </w:rPr>
              <w:t xml:space="preserve">Какъв е проблемът и защо този проблем се поставя на равнище ЕС? </w:t>
            </w:r>
          </w:p>
        </w:tc>
      </w:tr>
      <w:tr w:rsidR="00471661">
        <w:tc>
          <w:tcPr>
            <w:tcW w:w="9180" w:type="dxa"/>
          </w:tcPr>
          <w:p w:rsidR="00471661" w:rsidRDefault="00BF0ECF">
            <w:pPr>
              <w:pStyle w:val="Text1"/>
              <w:ind w:left="0"/>
              <w:rPr>
                <w:noProof/>
                <w:szCs w:val="24"/>
              </w:rPr>
            </w:pPr>
            <w:r>
              <w:rPr>
                <w:noProof/>
              </w:rPr>
              <w:t xml:space="preserve">Тази инициатива е насочена към преодоляване на липсата на вътрешен пазар за оборудването за проверка в областта на въздухоплаването. Това води до неефективност и възпрепятства </w:t>
            </w:r>
            <w:r>
              <w:rPr>
                <w:b/>
                <w:noProof/>
              </w:rPr>
              <w:t>конкурентоспособността на европейските производители</w:t>
            </w:r>
            <w:r>
              <w:rPr>
                <w:noProof/>
              </w:rPr>
              <w:t xml:space="preserve"> на такова оборудване.</w:t>
            </w:r>
          </w:p>
          <w:p w:rsidR="00471661" w:rsidRDefault="00BF0ECF">
            <w:pPr>
              <w:jc w:val="both"/>
              <w:rPr>
                <w:rFonts w:ascii="Times New Roman" w:hAnsi="Times New Roman" w:cs="Times New Roman"/>
                <w:noProof/>
                <w:sz w:val="24"/>
                <w:szCs w:val="24"/>
              </w:rPr>
            </w:pPr>
            <w:r>
              <w:rPr>
                <w:rFonts w:ascii="Times New Roman" w:hAnsi="Times New Roman"/>
                <w:noProof/>
                <w:sz w:val="24"/>
              </w:rPr>
              <w:t>Без п</w:t>
            </w:r>
            <w:r>
              <w:rPr>
                <w:rFonts w:ascii="Times New Roman" w:hAnsi="Times New Roman"/>
                <w:noProof/>
                <w:sz w:val="24"/>
              </w:rPr>
              <w:t xml:space="preserve">олитическа инициатива в подкрепа на конкурентоспособността на европейските производители, техните пазарни дялове на световния пазар ще отбелязват спад. </w:t>
            </w:r>
          </w:p>
        </w:tc>
      </w:tr>
      <w:tr w:rsidR="00471661">
        <w:tc>
          <w:tcPr>
            <w:tcW w:w="9180" w:type="dxa"/>
            <w:shd w:val="clear" w:color="auto" w:fill="E6E6E6"/>
          </w:tcPr>
          <w:p w:rsidR="00471661" w:rsidRDefault="00BF0ECF">
            <w:pPr>
              <w:spacing w:before="60" w:after="60"/>
              <w:jc w:val="both"/>
              <w:rPr>
                <w:rFonts w:ascii="Times New Roman" w:hAnsi="Times New Roman" w:cs="Times New Roman"/>
                <w:noProof/>
                <w:sz w:val="24"/>
                <w:szCs w:val="24"/>
              </w:rPr>
            </w:pPr>
            <w:r>
              <w:rPr>
                <w:rFonts w:ascii="Times New Roman" w:hAnsi="Times New Roman"/>
                <w:b/>
                <w:noProof/>
                <w:sz w:val="24"/>
              </w:rPr>
              <w:t>Какво следва да бъде постигнато?</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 xml:space="preserve">Правилно функциониране на вътрешния пазар на ЕС за оборудване за проверка в областта на въздухоплаването и повишаване на конкурентоспособността в световен план на дружествата от ЕС. </w:t>
            </w:r>
          </w:p>
        </w:tc>
      </w:tr>
      <w:tr w:rsidR="00471661">
        <w:tc>
          <w:tcPr>
            <w:tcW w:w="9180" w:type="dxa"/>
            <w:shd w:val="clear" w:color="auto" w:fill="E6E6E6"/>
          </w:tcPr>
          <w:p w:rsidR="00471661" w:rsidRDefault="00BF0ECF">
            <w:pPr>
              <w:spacing w:before="60" w:after="60"/>
              <w:jc w:val="both"/>
              <w:rPr>
                <w:rFonts w:ascii="Times New Roman" w:hAnsi="Times New Roman" w:cs="Times New Roman"/>
                <w:noProof/>
                <w:sz w:val="24"/>
                <w:szCs w:val="24"/>
              </w:rPr>
            </w:pPr>
            <w:r>
              <w:rPr>
                <w:rFonts w:ascii="Times New Roman" w:hAnsi="Times New Roman"/>
                <w:b/>
                <w:noProof/>
                <w:sz w:val="24"/>
              </w:rPr>
              <w:t>Какво предимство имат действията на равнище ЕС (субсидиарност)?</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 xml:space="preserve">Заедно </w:t>
            </w:r>
            <w:r>
              <w:rPr>
                <w:rFonts w:ascii="Times New Roman" w:hAnsi="Times New Roman"/>
                <w:noProof/>
                <w:sz w:val="24"/>
              </w:rPr>
              <w:t>с Комисията държавите членки дадоха частичен отговор на този проблем чрез необвързващо споразумение за сътрудничество за разработването на общи методологии за изпитване. По силата на това споразумение обаче не се издават сертификати. Няма индикации, че дър</w:t>
            </w:r>
            <w:r>
              <w:rPr>
                <w:rFonts w:ascii="Times New Roman" w:hAnsi="Times New Roman"/>
                <w:noProof/>
                <w:sz w:val="24"/>
              </w:rPr>
              <w:t>жавите членки планират създаването на задължителна взаимно договорена система за сертифициране. Ето защо е необходимо действие от страна на ЕС. Действието на равнище ЕС би имало добавена стойност, тъй като производителите ще се възползват предимствата на в</w:t>
            </w:r>
            <w:r>
              <w:rPr>
                <w:rFonts w:ascii="Times New Roman" w:hAnsi="Times New Roman"/>
                <w:noProof/>
                <w:sz w:val="24"/>
              </w:rPr>
              <w:t>ътрешен пазар и ще подобрят своята конкурентоспособност в световен мащаб.</w:t>
            </w:r>
          </w:p>
        </w:tc>
      </w:tr>
      <w:tr w:rsidR="00471661">
        <w:tc>
          <w:tcPr>
            <w:tcW w:w="9180" w:type="dxa"/>
            <w:shd w:val="clear" w:color="auto" w:fill="CCCCCC"/>
          </w:tcPr>
          <w:p w:rsidR="00471661" w:rsidRDefault="00BF0ECF">
            <w:pPr>
              <w:spacing w:before="60" w:after="60"/>
              <w:jc w:val="center"/>
              <w:rPr>
                <w:rFonts w:ascii="Times New Roman" w:hAnsi="Times New Roman" w:cs="Times New Roman"/>
                <w:b/>
                <w:noProof/>
                <w:sz w:val="24"/>
                <w:szCs w:val="24"/>
              </w:rPr>
            </w:pPr>
            <w:r>
              <w:rPr>
                <w:rFonts w:ascii="Times New Roman" w:hAnsi="Times New Roman"/>
                <w:b/>
                <w:noProof/>
                <w:sz w:val="24"/>
              </w:rPr>
              <w:t>Б. Решения</w:t>
            </w:r>
          </w:p>
        </w:tc>
      </w:tr>
      <w:tr w:rsidR="00471661">
        <w:tc>
          <w:tcPr>
            <w:tcW w:w="9180" w:type="dxa"/>
            <w:shd w:val="clear" w:color="auto" w:fill="E6E6E6"/>
          </w:tcPr>
          <w:p w:rsidR="00471661" w:rsidRDefault="00BF0ECF">
            <w:pPr>
              <w:spacing w:before="60"/>
              <w:rPr>
                <w:rFonts w:ascii="Times New Roman" w:hAnsi="Times New Roman" w:cs="Times New Roman"/>
                <w:noProof/>
                <w:sz w:val="24"/>
                <w:szCs w:val="24"/>
              </w:rPr>
            </w:pPr>
            <w:r>
              <w:rPr>
                <w:rFonts w:ascii="Times New Roman" w:hAnsi="Times New Roman"/>
                <w:b/>
                <w:noProof/>
                <w:sz w:val="24"/>
              </w:rPr>
              <w:t>Какви са различните варианти за постигане на целите? Има ли предпочитан вариант или не? Ако отговорът е не, защо?</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 xml:space="preserve">Разработени са пет варианта на политиката: </w:t>
            </w:r>
          </w:p>
          <w:p w:rsidR="00471661" w:rsidRDefault="00BF0ECF">
            <w:pPr>
              <w:jc w:val="both"/>
              <w:rPr>
                <w:rFonts w:ascii="Times New Roman" w:hAnsi="Times New Roman" w:cs="Times New Roman"/>
                <w:noProof/>
                <w:sz w:val="24"/>
                <w:szCs w:val="24"/>
              </w:rPr>
            </w:pPr>
            <w:r>
              <w:rPr>
                <w:rFonts w:ascii="Times New Roman" w:hAnsi="Times New Roman"/>
                <w:b/>
                <w:noProof/>
                <w:sz w:val="24"/>
              </w:rPr>
              <w:t xml:space="preserve">1. „Базов </w:t>
            </w:r>
            <w:r>
              <w:rPr>
                <w:rFonts w:ascii="Times New Roman" w:hAnsi="Times New Roman"/>
                <w:b/>
                <w:noProof/>
                <w:sz w:val="24"/>
              </w:rPr>
              <w:t>сценарий“</w:t>
            </w:r>
            <w:r>
              <w:rPr>
                <w:rFonts w:ascii="Times New Roman" w:hAnsi="Times New Roman"/>
                <w:noProof/>
                <w:sz w:val="24"/>
              </w:rPr>
              <w:t xml:space="preserve">, при който Комисията не стартира инициатива. </w:t>
            </w:r>
            <w:r>
              <w:rPr>
                <w:rFonts w:ascii="Times New Roman" w:hAnsi="Times New Roman"/>
                <w:b/>
                <w:noProof/>
                <w:sz w:val="24"/>
              </w:rPr>
              <w:t>2. Препоръка</w:t>
            </w:r>
            <w:r>
              <w:rPr>
                <w:rFonts w:ascii="Times New Roman" w:hAnsi="Times New Roman"/>
                <w:noProof/>
                <w:sz w:val="24"/>
              </w:rPr>
              <w:t xml:space="preserve"> към държавите членки. </w:t>
            </w:r>
            <w:r>
              <w:rPr>
                <w:rFonts w:ascii="Times New Roman" w:hAnsi="Times New Roman"/>
                <w:b/>
                <w:noProof/>
                <w:sz w:val="24"/>
              </w:rPr>
              <w:t xml:space="preserve">3. „Законодателство“ </w:t>
            </w:r>
            <w:r>
              <w:rPr>
                <w:rFonts w:ascii="Times New Roman" w:hAnsi="Times New Roman"/>
                <w:noProof/>
                <w:sz w:val="24"/>
              </w:rPr>
              <w:t>— законодателно предложение, което да позволи на производителите да предлагат на пазара и продават своите продукти в целия Съюз, след като тези п</w:t>
            </w:r>
            <w:r>
              <w:rPr>
                <w:rFonts w:ascii="Times New Roman" w:hAnsi="Times New Roman"/>
                <w:noProof/>
                <w:sz w:val="24"/>
              </w:rPr>
              <w:t xml:space="preserve">родукти са били сертифицирани в една държава членка: </w:t>
            </w:r>
            <w:r>
              <w:rPr>
                <w:rFonts w:ascii="Times New Roman" w:hAnsi="Times New Roman"/>
                <w:b/>
                <w:noProof/>
                <w:sz w:val="24"/>
              </w:rPr>
              <w:t>3.1. „Стар подход“,</w:t>
            </w:r>
            <w:r>
              <w:rPr>
                <w:rFonts w:ascii="Times New Roman" w:hAnsi="Times New Roman"/>
                <w:noProof/>
                <w:sz w:val="24"/>
              </w:rPr>
              <w:t xml:space="preserve"> </w:t>
            </w:r>
            <w:r>
              <w:rPr>
                <w:rFonts w:ascii="Times New Roman" w:hAnsi="Times New Roman"/>
                <w:b/>
                <w:noProof/>
                <w:sz w:val="24"/>
              </w:rPr>
              <w:t xml:space="preserve">3.2. „Нов подход“, 3.3. „Централизиран подход“. </w:t>
            </w:r>
          </w:p>
          <w:p w:rsidR="00471661" w:rsidRDefault="00BF0ECF">
            <w:pPr>
              <w:jc w:val="both"/>
              <w:rPr>
                <w:rFonts w:ascii="Times New Roman" w:hAnsi="Times New Roman" w:cs="Times New Roman"/>
                <w:noProof/>
                <w:sz w:val="24"/>
                <w:szCs w:val="24"/>
              </w:rPr>
            </w:pPr>
            <w:r>
              <w:rPr>
                <w:rFonts w:ascii="Times New Roman" w:hAnsi="Times New Roman"/>
                <w:b/>
                <w:noProof/>
                <w:sz w:val="24"/>
              </w:rPr>
              <w:t>Предпочетен е вариант 3.1 „Стар подход“,</w:t>
            </w:r>
            <w:r>
              <w:rPr>
                <w:rFonts w:ascii="Times New Roman" w:hAnsi="Times New Roman"/>
                <w:noProof/>
                <w:sz w:val="24"/>
              </w:rPr>
              <w:t xml:space="preserve"> който би имал значително положително </w:t>
            </w:r>
            <w:r>
              <w:rPr>
                <w:rFonts w:ascii="Times New Roman" w:hAnsi="Times New Roman"/>
                <w:noProof/>
                <w:sz w:val="24"/>
              </w:rPr>
              <w:lastRenderedPageBreak/>
              <w:t>въздействие и широка подкрепа сред всички заинтересовани</w:t>
            </w:r>
            <w:r>
              <w:rPr>
                <w:rFonts w:ascii="Times New Roman" w:hAnsi="Times New Roman"/>
                <w:noProof/>
                <w:sz w:val="24"/>
              </w:rPr>
              <w:t xml:space="preserve"> страни.</w:t>
            </w:r>
          </w:p>
        </w:tc>
      </w:tr>
      <w:tr w:rsidR="00471661">
        <w:tc>
          <w:tcPr>
            <w:tcW w:w="9180" w:type="dxa"/>
            <w:shd w:val="clear" w:color="auto" w:fill="CCCCCC"/>
          </w:tcPr>
          <w:p w:rsidR="00471661" w:rsidRDefault="00BF0ECF">
            <w:pPr>
              <w:spacing w:before="60"/>
              <w:rPr>
                <w:rFonts w:ascii="Times New Roman" w:hAnsi="Times New Roman" w:cs="Times New Roman"/>
                <w:noProof/>
                <w:sz w:val="24"/>
                <w:szCs w:val="24"/>
              </w:rPr>
            </w:pPr>
            <w:r>
              <w:rPr>
                <w:rFonts w:ascii="Times New Roman" w:hAnsi="Times New Roman"/>
                <w:b/>
                <w:noProof/>
                <w:sz w:val="24"/>
              </w:rPr>
              <w:lastRenderedPageBreak/>
              <w:t>Какви са мненията на различните заинтересовани страни? Кой подкрепя отделните варианти?</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Групите на заинтересованите страни не подкрепиха варианти 1 и 2. Повечето заинтересовани страни предпочетоха вариант 3.3, непосредствено след който се нареждат варианти 3.1 и 3.2. Отговорите на тези въпроси, които дадоха заинтересованите страни, бяха до го</w:t>
            </w:r>
            <w:r>
              <w:rPr>
                <w:rFonts w:ascii="Times New Roman" w:hAnsi="Times New Roman"/>
                <w:noProof/>
                <w:sz w:val="24"/>
              </w:rPr>
              <w:t xml:space="preserve">ляма степен еднородни. </w:t>
            </w:r>
          </w:p>
        </w:tc>
      </w:tr>
      <w:tr w:rsidR="00471661">
        <w:tc>
          <w:tcPr>
            <w:tcW w:w="9180" w:type="dxa"/>
            <w:shd w:val="clear" w:color="auto" w:fill="CCCCCC"/>
          </w:tcPr>
          <w:p w:rsidR="00471661" w:rsidRDefault="00BF0ECF">
            <w:pPr>
              <w:spacing w:before="60" w:after="60"/>
              <w:jc w:val="center"/>
              <w:rPr>
                <w:b/>
                <w:noProof/>
                <w:sz w:val="24"/>
                <w:szCs w:val="24"/>
              </w:rPr>
            </w:pPr>
            <w:bookmarkStart w:id="4" w:name="_GoBack"/>
            <w:bookmarkEnd w:id="4"/>
            <w:r>
              <w:rPr>
                <w:b/>
                <w:noProof/>
                <w:sz w:val="24"/>
              </w:rPr>
              <w:t>В. Въздействие на предпочетения вариант</w:t>
            </w:r>
          </w:p>
        </w:tc>
      </w:tr>
      <w:tr w:rsidR="00471661">
        <w:tc>
          <w:tcPr>
            <w:tcW w:w="9180" w:type="dxa"/>
            <w:shd w:val="clear" w:color="auto" w:fill="E6E6E6"/>
          </w:tcPr>
          <w:p w:rsidR="00471661" w:rsidRDefault="00BF0ECF">
            <w:pPr>
              <w:spacing w:before="60" w:after="60"/>
              <w:rPr>
                <w:noProof/>
                <w:sz w:val="24"/>
                <w:szCs w:val="24"/>
              </w:rPr>
            </w:pPr>
            <w:r>
              <w:rPr>
                <w:b/>
                <w:noProof/>
                <w:sz w:val="24"/>
              </w:rPr>
              <w:t>Какви са ползите от предпочетения вариант (ако има такъв, в противен случай — от основните варианти)?</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 xml:space="preserve">Сертифицирането ще се извършва само в една държава членка. Очаква предложеното действие на политиката да повиши пазарната ефективност в ЕС, да подобри свободното движение на стоки, да подобри избора на потребителите, да намали административната тежест, да </w:t>
            </w:r>
            <w:r>
              <w:rPr>
                <w:rFonts w:ascii="Times New Roman" w:hAnsi="Times New Roman"/>
                <w:noProof/>
                <w:sz w:val="24"/>
              </w:rPr>
              <w:t>съкрати времето за пускане на пазара и да подобри конкурентоспособността на европейските производители. Това следва да доведе до общо увеличение на продажбите на производителите от ЕС в трети държави, както и да увеличи общите данни за заетостта в сектора.</w:t>
            </w:r>
            <w:r>
              <w:rPr>
                <w:rFonts w:ascii="Times New Roman" w:hAnsi="Times New Roman"/>
                <w:noProof/>
                <w:sz w:val="24"/>
              </w:rPr>
              <w:t xml:space="preserve"> </w:t>
            </w:r>
          </w:p>
        </w:tc>
      </w:tr>
      <w:tr w:rsidR="00471661">
        <w:tc>
          <w:tcPr>
            <w:tcW w:w="9180" w:type="dxa"/>
            <w:shd w:val="clear" w:color="auto" w:fill="E6E6E6"/>
          </w:tcPr>
          <w:p w:rsidR="00471661" w:rsidRDefault="00BF0ECF">
            <w:pPr>
              <w:spacing w:before="60" w:after="60"/>
              <w:rPr>
                <w:noProof/>
                <w:sz w:val="24"/>
                <w:szCs w:val="24"/>
              </w:rPr>
            </w:pPr>
            <w:r>
              <w:rPr>
                <w:b/>
                <w:noProof/>
                <w:sz w:val="24"/>
              </w:rPr>
              <w:t>Какви са разходите за предпочетения вариант (ако има такъв, в противен случай — за основните варианти)?</w:t>
            </w:r>
            <w:r>
              <w:rPr>
                <w:noProof/>
                <w:sz w:val="24"/>
              </w:rPr>
              <w:t xml:space="preserve"> </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Намаляването на необходимостта от многократно изпитване на единица оборудване ще доведе до намаляване на годишния брой на изпитвания, извършвани от</w:t>
            </w:r>
            <w:r>
              <w:rPr>
                <w:rFonts w:ascii="Times New Roman" w:hAnsi="Times New Roman"/>
                <w:noProof/>
                <w:sz w:val="24"/>
              </w:rPr>
              <w:t xml:space="preserve"> дадена лаборатория, което от своя страна ще доведе до намаляване на доходите на лабораториите, което обаче ще е по-малко от спестените от производителите разходи. </w:t>
            </w:r>
          </w:p>
        </w:tc>
      </w:tr>
      <w:tr w:rsidR="00471661">
        <w:tc>
          <w:tcPr>
            <w:tcW w:w="9180" w:type="dxa"/>
            <w:shd w:val="clear" w:color="auto" w:fill="E6E6E6"/>
          </w:tcPr>
          <w:p w:rsidR="00471661" w:rsidRDefault="00BF0ECF">
            <w:pPr>
              <w:spacing w:before="60" w:after="60"/>
              <w:rPr>
                <w:noProof/>
                <w:sz w:val="24"/>
                <w:szCs w:val="24"/>
              </w:rPr>
            </w:pPr>
            <w:r>
              <w:rPr>
                <w:b/>
                <w:noProof/>
                <w:sz w:val="24"/>
              </w:rPr>
              <w:t>Какво е въздействието върху МСП и конкурентоспособността?</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Настоящата правна несигурност н</w:t>
            </w:r>
            <w:r>
              <w:rPr>
                <w:rFonts w:ascii="Times New Roman" w:hAnsi="Times New Roman"/>
                <w:noProof/>
                <w:sz w:val="24"/>
              </w:rPr>
              <w:t>а приложимата понастоящем система за сертифициране увеличава разходите за развойна дейност, както и времето за пускане на пазара на оборудването за проверка. Като се имат предвид ограничените ресурси, с които разполагат МСП, това представлява пропорционалн</w:t>
            </w:r>
            <w:r>
              <w:rPr>
                <w:rFonts w:ascii="Times New Roman" w:hAnsi="Times New Roman"/>
                <w:noProof/>
                <w:sz w:val="24"/>
              </w:rPr>
              <w:t>о по-голям проблем за такива предприятие в сравнение с по-големите компании. Ето защо се очаква положителното въздействие на вариант 3.1 да бъде по-висок за МСП.</w:t>
            </w:r>
          </w:p>
        </w:tc>
      </w:tr>
      <w:tr w:rsidR="00471661">
        <w:tc>
          <w:tcPr>
            <w:tcW w:w="9180" w:type="dxa"/>
            <w:shd w:val="clear" w:color="auto" w:fill="E6E6E6"/>
          </w:tcPr>
          <w:p w:rsidR="00471661" w:rsidRDefault="00BF0ECF">
            <w:pPr>
              <w:spacing w:before="60"/>
              <w:rPr>
                <w:b/>
                <w:i/>
                <w:noProof/>
                <w:sz w:val="24"/>
                <w:szCs w:val="24"/>
              </w:rPr>
            </w:pPr>
            <w:r>
              <w:rPr>
                <w:b/>
                <w:noProof/>
                <w:sz w:val="24"/>
              </w:rPr>
              <w:t>Ще има ли значително въздействие върху националните бюджети и администрации?</w:t>
            </w:r>
          </w:p>
        </w:tc>
      </w:tr>
      <w:tr w:rsidR="00471661">
        <w:tc>
          <w:tcPr>
            <w:tcW w:w="9180" w:type="dxa"/>
          </w:tcPr>
          <w:p w:rsidR="00471661" w:rsidRDefault="00BF0ECF">
            <w:pPr>
              <w:jc w:val="both"/>
              <w:rPr>
                <w:noProof/>
                <w:sz w:val="24"/>
                <w:szCs w:val="24"/>
              </w:rPr>
            </w:pPr>
            <w:r>
              <w:rPr>
                <w:rFonts w:ascii="Times New Roman" w:hAnsi="Times New Roman"/>
                <w:noProof/>
                <w:sz w:val="24"/>
              </w:rPr>
              <w:t>Не</w:t>
            </w:r>
          </w:p>
        </w:tc>
      </w:tr>
      <w:tr w:rsidR="00471661">
        <w:tc>
          <w:tcPr>
            <w:tcW w:w="9180" w:type="dxa"/>
            <w:shd w:val="clear" w:color="auto" w:fill="E6E6E6"/>
          </w:tcPr>
          <w:p w:rsidR="00471661" w:rsidRDefault="00BF0ECF">
            <w:pPr>
              <w:spacing w:before="60"/>
              <w:rPr>
                <w:noProof/>
                <w:sz w:val="24"/>
                <w:szCs w:val="24"/>
              </w:rPr>
            </w:pPr>
            <w:r>
              <w:rPr>
                <w:b/>
                <w:noProof/>
                <w:sz w:val="24"/>
              </w:rPr>
              <w:t xml:space="preserve">Ще има ли </w:t>
            </w:r>
            <w:r>
              <w:rPr>
                <w:b/>
                <w:noProof/>
                <w:sz w:val="24"/>
              </w:rPr>
              <w:t>други значителни въздействия?</w:t>
            </w:r>
            <w:r>
              <w:rPr>
                <w:noProof/>
                <w:sz w:val="24"/>
              </w:rPr>
              <w:t xml:space="preserve"> </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lastRenderedPageBreak/>
              <w:t>Не</w:t>
            </w:r>
          </w:p>
        </w:tc>
      </w:tr>
      <w:tr w:rsidR="00471661">
        <w:tc>
          <w:tcPr>
            <w:tcW w:w="9180" w:type="dxa"/>
            <w:shd w:val="clear" w:color="auto" w:fill="C0C0C0"/>
          </w:tcPr>
          <w:p w:rsidR="00471661" w:rsidRDefault="00BF0ECF">
            <w:pPr>
              <w:spacing w:before="60" w:after="60"/>
              <w:jc w:val="center"/>
              <w:rPr>
                <w:b/>
                <w:noProof/>
                <w:sz w:val="24"/>
                <w:szCs w:val="24"/>
              </w:rPr>
            </w:pPr>
            <w:r>
              <w:rPr>
                <w:b/>
                <w:noProof/>
                <w:sz w:val="24"/>
              </w:rPr>
              <w:t>Г. Последващи действия</w:t>
            </w:r>
          </w:p>
        </w:tc>
      </w:tr>
      <w:tr w:rsidR="00471661">
        <w:tc>
          <w:tcPr>
            <w:tcW w:w="9180" w:type="dxa"/>
            <w:shd w:val="clear" w:color="auto" w:fill="E6E6E6"/>
          </w:tcPr>
          <w:p w:rsidR="00471661" w:rsidRDefault="00BF0ECF">
            <w:pPr>
              <w:spacing w:before="60"/>
              <w:rPr>
                <w:noProof/>
                <w:sz w:val="24"/>
                <w:szCs w:val="24"/>
              </w:rPr>
            </w:pPr>
            <w:r>
              <w:rPr>
                <w:b/>
                <w:noProof/>
                <w:sz w:val="24"/>
              </w:rPr>
              <w:t xml:space="preserve">Кога ще бъде следващото преразглеждане на политиката? </w:t>
            </w:r>
          </w:p>
        </w:tc>
      </w:tr>
      <w:tr w:rsidR="00471661">
        <w:tc>
          <w:tcPr>
            <w:tcW w:w="9180" w:type="dxa"/>
          </w:tcPr>
          <w:p w:rsidR="00471661" w:rsidRDefault="00BF0ECF">
            <w:pPr>
              <w:jc w:val="both"/>
              <w:rPr>
                <w:rFonts w:ascii="Times New Roman" w:hAnsi="Times New Roman" w:cs="Times New Roman"/>
                <w:noProof/>
                <w:sz w:val="24"/>
                <w:szCs w:val="24"/>
              </w:rPr>
            </w:pPr>
            <w:r>
              <w:rPr>
                <w:rFonts w:ascii="Times New Roman" w:hAnsi="Times New Roman"/>
                <w:noProof/>
                <w:sz w:val="24"/>
              </w:rPr>
              <w:t>На всеки 5 години</w:t>
            </w:r>
          </w:p>
        </w:tc>
      </w:tr>
    </w:tbl>
    <w:p w:rsidR="00471661" w:rsidRDefault="00471661">
      <w:pPr>
        <w:rPr>
          <w:noProof/>
          <w:sz w:val="24"/>
          <w:szCs w:val="24"/>
        </w:rPr>
      </w:pPr>
    </w:p>
    <w:p w:rsidR="00471661" w:rsidRDefault="00471661">
      <w:pPr>
        <w:rPr>
          <w:noProof/>
        </w:rPr>
      </w:pPr>
    </w:p>
    <w:p w:rsidR="00471661" w:rsidRDefault="00471661">
      <w:pPr>
        <w:rPr>
          <w:noProof/>
        </w:rPr>
      </w:pPr>
    </w:p>
    <w:sectPr w:rsidR="004716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61" w:rsidRDefault="00BF0ECF">
      <w:pPr>
        <w:spacing w:after="0" w:line="240" w:lineRule="auto"/>
      </w:pPr>
      <w:r>
        <w:separator/>
      </w:r>
    </w:p>
  </w:endnote>
  <w:endnote w:type="continuationSeparator" w:id="0">
    <w:p w:rsidR="00471661" w:rsidRDefault="00B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BF0ECF">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07709"/>
      <w:docPartObj>
        <w:docPartGallery w:val="Page Numbers (Bottom of Page)"/>
        <w:docPartUnique/>
      </w:docPartObj>
    </w:sdtPr>
    <w:sdtEndPr>
      <w:rPr>
        <w:noProof/>
      </w:rPr>
    </w:sdtEndPr>
    <w:sdtContent>
      <w:p w:rsidR="00471661" w:rsidRDefault="00BF0EC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71661" w:rsidRDefault="004716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61" w:rsidRDefault="00BF0ECF">
      <w:pPr>
        <w:spacing w:after="0" w:line="240" w:lineRule="auto"/>
      </w:pPr>
      <w:r>
        <w:separator/>
      </w:r>
    </w:p>
  </w:footnote>
  <w:footnote w:type="continuationSeparator" w:id="0">
    <w:p w:rsidR="00471661" w:rsidRDefault="00BF0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61" w:rsidRDefault="00471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u1087?\u1088?\u1080?\u1076?\u1088?\u1091?\u1078?\u1072?\u1074?\u1072?\u1097?"/>
    <w:docVar w:name="LW_CONFIDENCE" w:val=" "/>
    <w:docVar w:name="LW_CONST_RESTREINT_UE" w:val="RESTREINT UE"/>
    <w:docVar w:name="LW_CORRIGENDUM" w:val="&lt;UNUSED&gt;"/>
    <w:docVar w:name="LW_COVERPAGE_GUID" w:val="991230886066472B92E8E9309528EE44"/>
    <w:docVar w:name="LW_CROSSREFERENCE" w:val="{COM(2016) 491 final}_x000b_{SWD(2016) 261 final}"/>
    <w:docVar w:name="LW_DocType" w:val="NORMAL"/>
    <w:docVar w:name="LW_EMISSION" w:val="7.9.2016"/>
    <w:docVar w:name="LW_EMISSION_ISODATE" w:val="2016-09-07"/>
    <w:docVar w:name="LW_EMISSION_LOCATION" w:val="BRX"/>
    <w:docVar w:name="LW_EMISSION_PREFIX" w:val="Брюксел, "/>
    <w:docVar w:name="LW_EMISSION_SUFFIX" w:val=" \u1075?."/>
    <w:docVar w:name="LW_ID_DOCTYPE_NONLW" w:val="CP-027"/>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89?\u1098?\u1079?\u1076?\u1072?\u1074?\u1072?\u1085?\u1077? \u1085?\u1072? \u1089?\u1080?\u1089?\u1090?\u1077?\u1084?\u1072? \u1085?\u1072? \u1045?\u1057? \u1079?\u1072? \u1089?\u1077?\u1088?\u1090?\u1080?\u1092?\u1080?\u1094?\u1080?\u1088?\u1072?\u1085?\u1077? \u1085?\u1072? \u1086?\u1073?\u1086?\u1088?\u1091?\u1076?\u1074?\u1072?\u1085?\u1077?\u1090?\u1086? \u1079?\u1072? \u1087?\u1088?\u1086?\u1074?\u1077?\u1088?\u1082?\u1072? \u1079?\u1072? \u1072?\u1074?\u1080?\u1072?\u1094?\u1080?\u1086?\u1085?\u1085?\u1072? \u1089?\u1080?\u1075?\u1091?\u1088?\u1085?\u1086?\u1089?\u1090?"/>
    <w:docVar w:name="LW_PART_NBR" w:val="1"/>
    <w:docVar w:name="LW_PART_NBR_TOTAL" w:val="1"/>
    <w:docVar w:name="LW_REF.INST.NEW" w:val="SWD"/>
    <w:docVar w:name="LW_REF.INST.NEW_ADOPTED" w:val="final"/>
    <w:docVar w:name="LW_REF.INST.NEW_TEXT" w:val="(2016) 259"/>
    <w:docVar w:name="LW_REF.INTERNE" w:val="&lt;UNUSED&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4?\u1041?\u1054?\u1041?\u1065?\u1045?\u1053?\u1040? \u1054?\u1062?\u1045?\u1053?\u1050?\u1040? \u1053?\u1040? \u1042?\u1066?\u1047?\u1044?\u1045?\u1049?\u1057?\u1058?\u1042?\u1048?\u1045?\u1058?\u1054?_x000b_"/>
    <w:docVar w:name="LW_TYPEACTEPRINCIPAL.CP" w:val="\u1055?\u1088?\u1077?\u1076?\u1083?\u1086?\u1078?\u1077?\u1085?\u1080?\u1077? \u1079?\u1072?_x000b_\u1056?\u1045?\u1043?\u1051?\u1040?\u1052?\u1045?\u1053?\u1058? \u1053?\u1040? \u1045?\u1042?\u1056?\u1054?\u1055?\u1045?\u1049?\u1057?\u1050?\u1048?\u1071? \u1055?\u1040?\u1056?\u1051?\u1040?\u1052?\u1045?\u1053?\u1058? \u1048? \u1053?\u1040? \u1057?\u1066?\u1042?\u1045?\u1058?\u1040?_x000b_"/>
  </w:docVars>
  <w:rsids>
    <w:rsidRoot w:val="00471661"/>
    <w:rsid w:val="00471661"/>
    <w:rsid w:val="00BF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bg-BG"/>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bg-BG"/>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bg-BG"/>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bg-BG"/>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bg-BG"/>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bg-BG"/>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bg-BG"/>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bg-BG"/>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711</Words>
  <Characters>3780</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dcterms:created xsi:type="dcterms:W3CDTF">2015-10-16T12:41:00Z</dcterms:created>
  <dcterms:modified xsi:type="dcterms:W3CDTF">2016-09-02T11:46:00Z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