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D" w:rsidRDefault="00024185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B9CB74BADA441F898B79C16E25BA55" style="width:450.25pt;height:410.5pt">
            <v:imagedata r:id="rId8" o:title=""/>
          </v:shape>
        </w:pict>
      </w:r>
    </w:p>
    <w:p w:rsidR="00A444DD" w:rsidRDefault="00A444DD">
      <w:pPr>
        <w:rPr>
          <w:noProof/>
        </w:rPr>
        <w:sectPr w:rsidR="00A444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444DD" w:rsidRDefault="00024185">
      <w:pPr>
        <w:pStyle w:val="Typedudocument"/>
        <w:rPr>
          <w:noProof/>
        </w:rPr>
      </w:pPr>
      <w:r>
        <w:rPr>
          <w:noProof/>
        </w:rPr>
        <w:lastRenderedPageBreak/>
        <w:t>MELLÉKLETEK</w:t>
      </w:r>
    </w:p>
    <w:p w:rsidR="00A444DD" w:rsidRDefault="00024185">
      <w:pPr>
        <w:pStyle w:val="Accompagnant"/>
        <w:rPr>
          <w:noProof/>
        </w:rPr>
      </w:pPr>
      <w:r>
        <w:rPr>
          <w:noProof/>
        </w:rPr>
        <w:t>a következőhöz:</w:t>
      </w:r>
    </w:p>
    <w:p w:rsidR="00A444DD" w:rsidRDefault="00024185">
      <w:pPr>
        <w:pStyle w:val="Typeacteprincipal"/>
        <w:rPr>
          <w:noProof/>
        </w:rPr>
      </w:pPr>
      <w:r>
        <w:rPr>
          <w:noProof/>
        </w:rPr>
        <w:t>az Európai Parlament és a Tanács rendelete</w:t>
      </w:r>
    </w:p>
    <w:p w:rsidR="00A444DD" w:rsidRDefault="00024185">
      <w:pPr>
        <w:pStyle w:val="Objetacteprincipal"/>
        <w:rPr>
          <w:noProof/>
        </w:rPr>
      </w:pPr>
      <w:r>
        <w:rPr>
          <w:noProof/>
        </w:rPr>
        <w:t xml:space="preserve">a légiközlekedés-védelmi </w:t>
      </w:r>
      <w:r>
        <w:rPr>
          <w:noProof/>
        </w:rPr>
        <w:t>átvizsgáló berendezések uniós minősítési rendszerének létrehozásáról</w:t>
      </w:r>
    </w:p>
    <w:p w:rsidR="00A444DD" w:rsidRDefault="00024185">
      <w:pPr>
        <w:pStyle w:val="Annexetitre"/>
        <w:rPr>
          <w:noProof/>
        </w:rPr>
      </w:pPr>
      <w:r>
        <w:rPr>
          <w:noProof/>
        </w:rPr>
        <w:t>A MELLÉKLETEK JEGYZÉKE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I. melléklet </w:t>
      </w:r>
      <w:r>
        <w:rPr>
          <w:noProof/>
        </w:rPr>
        <w:tab/>
      </w:r>
      <w:r>
        <w:rPr>
          <w:noProof/>
          <w:color w:val="000000"/>
        </w:rPr>
        <w:t xml:space="preserve">Teljesítőképességi követelmények 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II. melléklet</w:t>
      </w:r>
      <w:r>
        <w:rPr>
          <w:noProof/>
        </w:rPr>
        <w:tab/>
      </w:r>
      <w:r>
        <w:rPr>
          <w:noProof/>
          <w:color w:val="000000"/>
        </w:rPr>
        <w:t>EU-megfelelőségi nyilatkozat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III. melléklet</w:t>
      </w:r>
      <w:r>
        <w:rPr>
          <w:noProof/>
        </w:rPr>
        <w:tab/>
      </w:r>
      <w:r>
        <w:rPr>
          <w:noProof/>
          <w:color w:val="000000"/>
        </w:rPr>
        <w:t>EU-típusjóváhagyási jel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IV. melléklet</w:t>
      </w:r>
      <w:r>
        <w:rPr>
          <w:noProof/>
        </w:rPr>
        <w:tab/>
      </w:r>
      <w:r>
        <w:rPr>
          <w:noProof/>
          <w:color w:val="000000"/>
        </w:rPr>
        <w:t xml:space="preserve">A légiközlekedés-védelmi átvizsgáló berendezések típusjóváhagyását célzó közös tesztelési módszerek 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V. melléklet </w:t>
      </w:r>
      <w:r>
        <w:rPr>
          <w:noProof/>
        </w:rPr>
        <w:tab/>
      </w:r>
      <w:r>
        <w:rPr>
          <w:noProof/>
          <w:color w:val="000000"/>
        </w:rPr>
        <w:t xml:space="preserve">EU-típusjóváhagyási engedély 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VI. melléklet</w:t>
      </w:r>
      <w:r>
        <w:rPr>
          <w:noProof/>
        </w:rPr>
        <w:tab/>
      </w:r>
      <w:r>
        <w:rPr>
          <w:noProof/>
          <w:color w:val="000000"/>
        </w:rPr>
        <w:t xml:space="preserve">A gyártás megfelelőségének ellenőrzésére szolgáló eljárások </w:t>
      </w:r>
    </w:p>
    <w:p w:rsidR="00A444DD" w:rsidRDefault="00024185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VII. melléklet</w:t>
      </w:r>
      <w:r>
        <w:rPr>
          <w:noProof/>
        </w:rPr>
        <w:tab/>
      </w:r>
      <w:r>
        <w:rPr>
          <w:noProof/>
          <w:color w:val="000000"/>
        </w:rPr>
        <w:t>Szabványok, amelyekne</w:t>
      </w:r>
      <w:r>
        <w:rPr>
          <w:noProof/>
          <w:color w:val="000000"/>
        </w:rPr>
        <w:t>k a műszaki szolgálatoknak meg kell felelniük</w:t>
      </w:r>
    </w:p>
    <w:p w:rsidR="00A444DD" w:rsidRDefault="00A444DD">
      <w:pPr>
        <w:spacing w:before="0" w:after="200" w:line="276" w:lineRule="auto"/>
        <w:ind w:left="1440" w:hanging="1440"/>
        <w:jc w:val="left"/>
        <w:rPr>
          <w:rFonts w:eastAsia="Calibri"/>
          <w:noProof/>
          <w:color w:val="000000"/>
          <w:szCs w:val="24"/>
        </w:rPr>
      </w:pPr>
    </w:p>
    <w:p w:rsidR="00A444DD" w:rsidRDefault="00024185">
      <w:pPr>
        <w:rPr>
          <w:noProof/>
        </w:rPr>
      </w:pPr>
      <w:r>
        <w:rPr>
          <w:noProof/>
        </w:rPr>
        <w:br w:type="page"/>
      </w:r>
    </w:p>
    <w:p w:rsidR="00A444DD" w:rsidRDefault="00024185">
      <w:pPr>
        <w:pStyle w:val="Annexetitre"/>
        <w:rPr>
          <w:noProof/>
        </w:rPr>
      </w:pPr>
      <w:r>
        <w:rPr>
          <w:noProof/>
        </w:rPr>
        <w:lastRenderedPageBreak/>
        <w:t>I. melléklet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TELJESÍTŐKÉPESSÉGI KÖVETELMÉNYEK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A teljesítendő teljesítőképességi követelmények az alábbiak: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a 300/2008/EK európai parlamenti és tanácsi rendeletben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és annak kiegészítő vagy végrehajtási jogi aktusaiban meghatározott teljesítőképességi követelmények. </w:t>
      </w:r>
    </w:p>
    <w:p w:rsidR="00A444DD" w:rsidRDefault="00A444DD">
      <w:pPr>
        <w:spacing w:before="0" w:after="200" w:line="276" w:lineRule="auto"/>
        <w:jc w:val="center"/>
        <w:rPr>
          <w:b/>
          <w:noProof/>
          <w:u w:val="single"/>
        </w:rPr>
      </w:pPr>
    </w:p>
    <w:p w:rsidR="00A444DD" w:rsidRDefault="00024185"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br w:type="column"/>
      </w:r>
      <w:r>
        <w:rPr>
          <w:noProof/>
        </w:rPr>
        <w:lastRenderedPageBreak/>
        <w:t>II. melléklet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EU-MEGFELELŐSÉGI NYILATKOZAT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 ÁLTALÁNOS LEÍRÁS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A megfelelőségi nyilatkozatot legfeljebb A4-es formátumban (210 x 297 mm) vagy legfelje</w:t>
      </w:r>
      <w:r>
        <w:rPr>
          <w:noProof/>
        </w:rPr>
        <w:t>bb A4-esre hajtogatható formátumban kell kiállítani. A papíralapú adathordozó elektronikus fájllal is helyettesíthető.</w:t>
      </w:r>
      <w:r>
        <w:rPr>
          <w:noProof/>
          <w:highlight w:val="yellow"/>
        </w:rPr>
        <w:t xml:space="preserve"> 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noProof/>
        </w:rPr>
        <w:t xml:space="preserve"> 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noProof/>
        </w:rPr>
        <w:t>EU-MEGFELELŐSÉGI NYILATKOZAT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Alulírott [ ........................................................ (</w:t>
      </w:r>
      <w:r>
        <w:rPr>
          <w:i/>
          <w:noProof/>
        </w:rPr>
        <w:t>teljes név és beosztás</w:t>
      </w:r>
      <w:r>
        <w:rPr>
          <w:noProof/>
        </w:rPr>
        <w:t xml:space="preserve">)]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ezúton ig</w:t>
      </w:r>
      <w:r>
        <w:rPr>
          <w:noProof/>
        </w:rPr>
        <w:t xml:space="preserve">azolom, hogy a berendezés: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0.1. Gyártmány (a gyártó kereskedelmi neve): ................................................. 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0.2. Típus: ................................................................... ..........................................</w:t>
      </w:r>
      <w:r>
        <w:rPr>
          <w:noProof/>
        </w:rPr>
        <w:t xml:space="preserve">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0.3 Konfiguráció: ................................................................................ .....................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0.4 Kereskedelmi név: ................................................................... .....................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0.5. A berendezés </w:t>
      </w:r>
      <w:r>
        <w:rPr>
          <w:noProof/>
        </w:rPr>
        <w:t xml:space="preserve">kategóriája:............................................................................. ..............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0.6. A gyártó neve és címe: ............................................................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0.7. A berendezés azonosítószámának helye: ...........................................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0.8. A gyártó képviselőjének (ha van) neve és címe: .............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0.9. A berendezés azonosítószáma: ...................................................................</w:t>
      </w:r>
      <w:r>
        <w:rPr>
          <w:noProof/>
        </w:rPr>
        <w:t>...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minden tekintetben megfelel a(z) </w:t>
      </w:r>
      <w:r>
        <w:rPr>
          <w:i/>
          <w:noProof/>
        </w:rPr>
        <w:t>(… -án/-én)</w:t>
      </w:r>
      <w:r>
        <w:rPr>
          <w:noProof/>
        </w:rPr>
        <w:t xml:space="preserve"> kiadott, </w:t>
      </w:r>
      <w:r>
        <w:rPr>
          <w:i/>
          <w:noProof/>
        </w:rPr>
        <w:t>(EU</w:t>
      </w:r>
      <w:r>
        <w:rPr>
          <w:noProof/>
        </w:rPr>
        <w:t xml:space="preserve"> </w:t>
      </w:r>
      <w:r>
        <w:rPr>
          <w:i/>
          <w:noProof/>
        </w:rPr>
        <w:t>-típusjóváhagyási engedély számú, beleértve a kiterjesztési számot is, ha van)</w:t>
      </w:r>
      <w:r>
        <w:rPr>
          <w:noProof/>
        </w:rPr>
        <w:t xml:space="preserve"> típusjóváhagyásban leírt típusnak, és állandóan forgalmazható vagy használatba vehető a tagállamokban. </w:t>
      </w:r>
    </w:p>
    <w:p w:rsidR="00A444DD" w:rsidRDefault="00A444DD">
      <w:pPr>
        <w:spacing w:before="0" w:after="200" w:line="276" w:lineRule="auto"/>
        <w:rPr>
          <w:rFonts w:eastAsia="Calibri"/>
          <w:noProof/>
          <w:szCs w:val="24"/>
        </w:rPr>
      </w:pP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szCs w:val="24"/>
        </w:rPr>
      </w:pPr>
      <w:r>
        <w:rPr>
          <w:noProof/>
        </w:rPr>
        <w:t>(Hely) (Dá</w:t>
      </w:r>
      <w:r>
        <w:rPr>
          <w:noProof/>
        </w:rPr>
        <w:t>tum): ….…………………..            (Aláírás):....................................................</w:t>
      </w:r>
    </w:p>
    <w:p w:rsidR="00A444DD" w:rsidRDefault="00A444DD">
      <w:pPr>
        <w:spacing w:before="0" w:after="200" w:line="276" w:lineRule="auto"/>
        <w:rPr>
          <w:rFonts w:eastAsia="Calibri"/>
          <w:noProof/>
          <w:szCs w:val="24"/>
        </w:rPr>
      </w:pPr>
    </w:p>
    <w:p w:rsidR="00A444DD" w:rsidRDefault="00024185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III. melléklet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EU-TÍPUSJÓVÁHAGYÁSI JEL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 Az EU-típusjóváhagyási szám öt szakaszból áll az alábbiak szerint: A szakaszokat valamennyi esetben a „*” jel választja e</w:t>
      </w:r>
      <w:r>
        <w:rPr>
          <w:noProof/>
          <w:color w:val="000000"/>
        </w:rPr>
        <w:t xml:space="preserve">l.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 szakasz: Kis „e”, amelyet az EU-típusjóváhagyást kibocsátó tagállam alábbi megkülönböztető száma követ: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1 Németország esetében; 2 Franciaország esetében; 3 Olaszország esetében; 4 Hollandia esetében; 5 Svédország esetében; 6 Belgium esetében; 7 Magyarország esetében; 8 a Cseh Köztársaság esetében; 9 Spanyolország esetében; 11 az Egyesült Királyság esetében; </w:t>
      </w:r>
      <w:r>
        <w:rPr>
          <w:noProof/>
          <w:color w:val="000000"/>
        </w:rPr>
        <w:t xml:space="preserve">12 Ausztria esetében; 13 Luxemburg esetében; 17 Finnország esetében; 18 Dánia esetében; 19 Románia esetében; 20 Lengyelország esetében; 21 Portugália esetében; 23 Görögország esetében; 24 Írország esetében; 25 Horvátország esetében; 26 Szlovénia esetében; </w:t>
      </w:r>
      <w:r>
        <w:rPr>
          <w:noProof/>
          <w:color w:val="000000"/>
        </w:rPr>
        <w:t xml:space="preserve">27 Szlovákia esetében; 29 Észtország esetében; 32 Lettország esetében; 34 Bulgária esetében; 36 Litvánia esetében; 49 Ciprus esetében; 50 Málta esetében.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szakasz: Az alapirányelv vagy -rendelet száma.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3. szakasz: A berendezésre alkalmazandó legfrissebb</w:t>
      </w:r>
      <w:r>
        <w:rPr>
          <w:noProof/>
          <w:color w:val="000000"/>
        </w:rPr>
        <w:t xml:space="preserve"> teljesítőképességi követelmény azonosítószáma vagy betűje, és amely alapján a jóváhagyást kibocsátották. 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4. szakasz: négyjegyű sorszám (adott esetben nullával kitöltött kezdő pozíciókkal) az alapul szolgáló EU-típusjóváhagyási szám jelölésére. A számozás</w:t>
      </w:r>
      <w:r>
        <w:rPr>
          <w:noProof/>
          <w:color w:val="000000"/>
        </w:rPr>
        <w:t>t 0001-gyel kell kezdeni.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5. szakasz: kétjegyű sorszám (adott esetben nullával kitöltött kezdő pozíciókkal) a kiterjesztés jelölésére. A számozást minden alapul szolgáló jóváhagyási szám esetében 00-val kell kezdeni.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Példa a Franciaország által hármas s</w:t>
      </w:r>
      <w:r>
        <w:rPr>
          <w:noProof/>
          <w:color w:val="000000"/>
        </w:rPr>
        <w:t>orszámmal kiadott típusjóváhagyásra (eddig kiterjesztés nélkül) a 185/2010/EU bizottsági rendelet alapján: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e2*185/2010*ETD1*0003*00</w:t>
      </w:r>
    </w:p>
    <w:p w:rsidR="00A444DD" w:rsidRDefault="00024185">
      <w:pPr>
        <w:rPr>
          <w:noProof/>
        </w:rPr>
      </w:pPr>
      <w:r>
        <w:rPr>
          <w:noProof/>
        </w:rPr>
        <w:br w:type="page"/>
      </w:r>
    </w:p>
    <w:p w:rsidR="00A444DD" w:rsidRDefault="00024185">
      <w:pPr>
        <w:spacing w:before="0" w:after="200" w:line="276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IV. melléklet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A LÉGIKÖZLEKEDÉS-VÉDELMI ÁTVIZSGÁLÓ BERENDEZÉS TÍPUSJÓVÁHAGYÁSÁT CÉLZÓ KÖZÖS TESZTELÉSI MÓDSZEREK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A 8. cikk</w:t>
      </w:r>
      <w:r>
        <w:rPr>
          <w:noProof/>
        </w:rPr>
        <w:t>ben említett tesztelésekre vonatkozóan alkalmazott közös tesztelési módszerek a közös értékelési eljárás (Common Evaluation Process, CEP) keretében kidolgozott és a Európai Polgári Repülési Konferencia (European Civil Aviation Conference, ECAC) által jóváh</w:t>
      </w:r>
      <w:r>
        <w:rPr>
          <w:noProof/>
        </w:rPr>
        <w:t xml:space="preserve">agyott közös tesztelési módszerek. </w:t>
      </w:r>
    </w:p>
    <w:p w:rsidR="00A444DD" w:rsidRDefault="00A444DD">
      <w:pPr>
        <w:spacing w:before="0" w:after="200" w:line="276" w:lineRule="auto"/>
        <w:rPr>
          <w:rFonts w:eastAsia="Calibri"/>
          <w:noProof/>
          <w:szCs w:val="24"/>
        </w:rPr>
      </w:pPr>
    </w:p>
    <w:p w:rsidR="00A444DD" w:rsidRDefault="00024185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V. melléklet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MINTA 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AZ EU-TÍPUSJÓVÁHAGYÁSI ENGEDÉLY 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noProof/>
          <w:color w:val="000000"/>
          <w:szCs w:val="24"/>
        </w:rPr>
      </w:pPr>
      <w:r>
        <w:rPr>
          <w:b/>
          <w:noProof/>
          <w:color w:val="000000"/>
        </w:rPr>
        <w:t>[KITERJESZTÉSE] [ELUTASÍTÁSA] [VISSZAVONÁSA]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Legnagyobb formátum: A4 (210 × 297 mm) 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AZ UNIÓS LÉGIKÖZLEKEDÉS-VÉDELMI ÁTVIZSGÁLÓ BERENDEZÉS </w:t>
      </w:r>
    </w:p>
    <w:p w:rsidR="00A444DD" w:rsidRDefault="00A444DD">
      <w:pPr>
        <w:spacing w:before="0" w:after="200" w:line="276" w:lineRule="auto"/>
        <w:jc w:val="right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jc w:val="righ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A jóváhagyó hatóság bélyegzője </w:t>
      </w:r>
    </w:p>
    <w:p w:rsidR="00A444DD" w:rsidRDefault="00A444DD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A rendeletre vonatkozóan… </w:t>
      </w:r>
    </w:p>
    <w:p w:rsidR="00A444DD" w:rsidRDefault="00A444DD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[EU-típusjóváhagyási szám:]</w:t>
      </w:r>
    </w:p>
    <w:p w:rsidR="00A444DD" w:rsidRDefault="00A444DD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[A kiterjesztés oka][Az elutasítás oka][A visszavonás oka]: </w:t>
      </w:r>
    </w:p>
    <w:p w:rsidR="00A444DD" w:rsidRDefault="00A444DD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[EU-típusjóváhagyás kiterjesztésének száma]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I. SZAKASZ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0.1. Gyártmány (a gyártó kereskedelmi neve):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0.2. Típus: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0.2.1. Konfiguráció: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0.2.2. Kereskedelmi név(nevek)</w:t>
      </w:r>
      <w:r>
        <w:rPr>
          <w:rStyle w:val="FootnoteReference"/>
          <w:noProof/>
        </w:rPr>
        <w:footnoteReference w:id="2"/>
      </w:r>
      <w:r>
        <w:rPr>
          <w:noProof/>
          <w:color w:val="000000"/>
        </w:rPr>
        <w:t xml:space="preserve">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0.3.    Típus és konfiguráció azonosító jelölése, ha fel van tüntetve a légiközlekedés-védelmi átvizsgáló berendezésen: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0.3.1. A jelölés(ek) helye: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0.4. A berendezés kategóriája</w:t>
      </w:r>
      <w:r>
        <w:rPr>
          <w:rStyle w:val="FootnoteReference"/>
          <w:noProof/>
        </w:rPr>
        <w:footnoteReference w:id="3"/>
      </w:r>
      <w:r>
        <w:rPr>
          <w:noProof/>
          <w:color w:val="000000"/>
        </w:rPr>
        <w:t xml:space="preserve">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lastRenderedPageBreak/>
        <w:t xml:space="preserve">0.5. </w:t>
      </w:r>
      <w:r>
        <w:rPr>
          <w:noProof/>
          <w:color w:val="000000"/>
        </w:rPr>
        <w:t>A gyártó neve és címe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0.6. Az összeszerelő üzem/üzemek neve(i) és címe(i): </w:t>
      </w:r>
    </w:p>
    <w:p w:rsidR="00A444DD" w:rsidRDefault="00024185">
      <w:pPr>
        <w:spacing w:before="0" w:after="200" w:line="276" w:lineRule="auto"/>
        <w:jc w:val="left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0.7. A gyártó képviselőjének (ha van) neve és címe: </w:t>
      </w:r>
    </w:p>
    <w:p w:rsidR="00A444DD" w:rsidRDefault="00A444DD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II. SZAKASZ 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Alulírott ezúton megerősíti, hogy a gyártó által a fent leírt légiközlekedés-védelmi átvizsgáló berendezés (amelynek egy [több] példányát az európai uniós jóváhagyó hatóság kiválasztotta, majd a gyártó mint a berendezés mintadarabját [mintadarabjait] benyú</w:t>
      </w:r>
      <w:r>
        <w:rPr>
          <w:noProof/>
          <w:color w:val="000000"/>
        </w:rPr>
        <w:t xml:space="preserve">jtotta) mellékelt adatközlő lapjában megadott adatok helyesek, és a mellékelt teszteredmények az adott berendezés típusára és konfigurációjára vonatkoznak. 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[a következő szakasz nem alkalmazandó az EU-típusjóváhagyási engedély kiterjesztése vagy felülvizsg</w:t>
      </w:r>
      <w:r>
        <w:rPr>
          <w:noProof/>
          <w:color w:val="000000"/>
        </w:rPr>
        <w:t>álata esetében: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1. A berendezés típusa megfelel/nem felel meg (1) a [rendelet I. mellékletében előírt, a vonatkozó szabályozási aktusokban foglalt valamennyi] teljesítőképességi követelménynek. 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2. A jóváhagyás megadva/elutasítva/visszavonva (1)]. </w:t>
      </w:r>
    </w:p>
    <w:p w:rsidR="00A444DD" w:rsidRDefault="00A444DD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(Hely)</w:t>
      </w:r>
      <w:r>
        <w:rPr>
          <w:noProof/>
          <w:color w:val="000000"/>
        </w:rPr>
        <w:t xml:space="preserve">                                          (Aláírás)                                           (Dátum)</w:t>
      </w:r>
    </w:p>
    <w:p w:rsidR="00A444DD" w:rsidRDefault="00A444DD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Mellékletek: </w:t>
      </w:r>
    </w:p>
    <w:p w:rsidR="00A444DD" w:rsidRDefault="00024185">
      <w:pPr>
        <w:spacing w:before="0" w:after="200" w:line="276" w:lineRule="auto"/>
        <w:ind w:firstLine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Információs csomag. </w:t>
      </w:r>
    </w:p>
    <w:p w:rsidR="00A444DD" w:rsidRDefault="00024185">
      <w:pPr>
        <w:spacing w:before="0" w:after="200" w:line="276" w:lineRule="auto"/>
        <w:ind w:firstLine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Teszteredmények</w:t>
      </w:r>
    </w:p>
    <w:p w:rsidR="00A444DD" w:rsidRDefault="00024185">
      <w:pPr>
        <w:spacing w:before="0" w:after="200" w:line="276" w:lineRule="auto"/>
        <w:ind w:left="72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 megfelelőségi nyilatkozatok aláírására jogosult személy(ek) neve, aláírásmintája és a jóváhagyó ható</w:t>
      </w:r>
      <w:r>
        <w:rPr>
          <w:noProof/>
          <w:color w:val="000000"/>
        </w:rPr>
        <w:t xml:space="preserve">ságnál betöltött pozíciója. </w:t>
      </w:r>
    </w:p>
    <w:p w:rsidR="00A444DD" w:rsidRDefault="00024185">
      <w:pPr>
        <w:pStyle w:val="Annexetitre"/>
        <w:rPr>
          <w:rFonts w:eastAsia="Calibri"/>
          <w:noProof/>
          <w:szCs w:val="24"/>
        </w:rPr>
      </w:pPr>
      <w:r>
        <w:rPr>
          <w:noProof/>
        </w:rPr>
        <w:br w:type="column"/>
      </w:r>
      <w:r>
        <w:rPr>
          <w:noProof/>
        </w:rPr>
        <w:lastRenderedPageBreak/>
        <w:t>VI. MELLÉKLET</w:t>
      </w:r>
    </w:p>
    <w:p w:rsidR="00A444DD" w:rsidRDefault="00024185">
      <w:pPr>
        <w:spacing w:before="0" w:after="200" w:line="276" w:lineRule="auto"/>
        <w:jc w:val="center"/>
        <w:rPr>
          <w:rFonts w:eastAsia="Calibri"/>
          <w:noProof/>
          <w:szCs w:val="24"/>
        </w:rPr>
      </w:pPr>
      <w:r>
        <w:rPr>
          <w:b/>
          <w:noProof/>
        </w:rPr>
        <w:t>A GYÁRTÁS MEGFELELŐSÉGÉNEK ELLENŐRZÉSÉRE SZOLGÁLÓ ELJÁRÁSOK</w:t>
      </w:r>
    </w:p>
    <w:p w:rsidR="00A444DD" w:rsidRDefault="00024185">
      <w:pPr>
        <w:spacing w:before="0" w:after="20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A gyártás megfelelőségének ellenőrzésére szolgáló eljárások elválaszthatatlanul magukban foglalják az alább „kezdeti értékelésként” említett, a minőségir</w:t>
      </w:r>
      <w:r>
        <w:rPr>
          <w:noProof/>
          <w:color w:val="000000"/>
        </w:rPr>
        <w:t>ányítási rendszerekre vonatkozó értékelést, valamint a „gyártás megfelelőségét biztosító intézkedésekként” említett, a jóváhagyó hatóság által végzett és a termékellenőrzésekre vonatkozó felülvizsgálatot.</w:t>
      </w:r>
    </w:p>
    <w:p w:rsidR="00A444DD" w:rsidRDefault="00024185">
      <w:pPr>
        <w:spacing w:before="0" w:after="200" w:line="276" w:lineRule="auto"/>
        <w:rPr>
          <w:rFonts w:eastAsia="Calibri"/>
          <w:b/>
          <w:bCs/>
          <w:noProof/>
          <w:szCs w:val="24"/>
        </w:rPr>
      </w:pPr>
      <w:r>
        <w:rPr>
          <w:noProof/>
        </w:rPr>
        <w:t xml:space="preserve">1. </w:t>
      </w:r>
      <w:r>
        <w:rPr>
          <w:b/>
          <w:noProof/>
        </w:rPr>
        <w:t>Kezdeti értékelés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1.1. A tagállamok jóváhagyó ha</w:t>
      </w:r>
      <w:r>
        <w:rPr>
          <w:noProof/>
        </w:rPr>
        <w:t xml:space="preserve">tóságának ellenőriznie kell a kielégítő intézkedések megtételét és a hatékony ellenőrzést biztosító eljárásokat, hogy a gyártott berendezés megfeleljen a jóváhagyott típusnak.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1.2. Az értékelések elvégzésére vonatkozó útmutatás az „Útmutató minőségirányít</w:t>
      </w:r>
      <w:r>
        <w:rPr>
          <w:noProof/>
        </w:rPr>
        <w:t xml:space="preserve">ási és/vagy környezetközpontú irányítási rendszerek auditjához” elnevezésű, vonatkozó harmonizált szabványokban található.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 Az EU-típusjóváhagyási engedélyt kibocsátó jóváhagyó hatóság megvizsgálja az 1.1. pontban említett intézkedéseket és eljárásoka</w:t>
      </w:r>
      <w:r>
        <w:rPr>
          <w:noProof/>
        </w:rPr>
        <w:t xml:space="preserve">t.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1.3.1. A kezdeti értékelést és/vagy a gyártás megfelelőségét biztosító intézkedések ellenőrzését a jóváhagyást megadó jóváhagyó hatóság vagy a jóváhagyó hatóság nevében eljáró kijelölt testület végzi el.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1.3.1.1. Az elvégzendő kezdeti értékelés terjedelmének meghatározásához a jóváhagyó hatóság figyelembe veheti a gyártónak az 1.3.3. pontban említett minősítésével kapcsolatosan rendelkezésre álló információkat, amelyeket nem vettek figyelembe vagy ismertek</w:t>
      </w:r>
      <w:r>
        <w:rPr>
          <w:noProof/>
        </w:rPr>
        <w:t xml:space="preserve"> el azon pont alapján.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1.3.2. A kezdeti értékelést és/vagy a gyártás megfelelőségét biztosító intézkedések ellenőrzését elvégezheti más tagállam jóváhagyó hatósága vagy a jóváhagyó hatóság által erre a célra kijelölt testület.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1.3.2.1. Ebben az esetben a</w:t>
      </w:r>
      <w:r>
        <w:rPr>
          <w:noProof/>
        </w:rPr>
        <w:t xml:space="preserve"> másik tagállam jóváhagyó hatósága megfelelőségi tanúsítványt állít ki, amelyben feltünteti a jóváhagyandó berendezés szempontjából lényeges területeket, gyártólétesítményeket és a berendezés típusjóváhagyása alapjául szolgáló szabályozási aktusokat.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1.3.2</w:t>
      </w:r>
      <w:r>
        <w:rPr>
          <w:noProof/>
        </w:rPr>
        <w:t xml:space="preserve">.2. Egy tagállam EU-típusjóváhagyási engedélyt kibocsátó jóváhagyó hatóságának megfelelőségi tanúsítvány iránti kérelmére a másik tagállam jóváhagyó hatósága haladéktalanul megküldi a megfelelőségi tanúsítványt vagy a tájékoztatást arról, hogy nincs módja </w:t>
      </w:r>
      <w:r>
        <w:rPr>
          <w:noProof/>
        </w:rPr>
        <w:t xml:space="preserve">ilyen tanúsítvány kiadására.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1.3.2.3. A megfelelőségi tanúsítvány legalább a következőket tartalmazza: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a) vállalatcsoport vagy vállalkozás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lastRenderedPageBreak/>
        <w:t xml:space="preserve">b) szervezeti egység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c) üzemek/telephelyek (pl.: berendezés 1. üzem (Egyesült Királyság))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d) berendezés (pl.: </w:t>
      </w:r>
      <w:r>
        <w:rPr>
          <w:noProof/>
        </w:rPr>
        <w:t>robbanóanyagnyom-felderítő eszköz, ETD)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e) megvizsgált dokumentumok (pl. a vállalat és a telephely minőségbiztosítási kézikönyve és minőségbiztosítási eljárása)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f) az értékelés végzésének ideje (pl. az ellenőrzésre 2009.5.18. és 30. között került sor)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g) </w:t>
      </w:r>
      <w:r>
        <w:rPr>
          <w:noProof/>
        </w:rPr>
        <w:t xml:space="preserve">tervezett ellenőrző látogatás (pl. 2010. október)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1.3.3. A jóváhagyó hatóságnak az 1. pontban a kezdeti értékelésre vonatkozóan meghatározott követelményeknek való megfelelésként továbbá el kell fogadnia a gyártónak az EN ISO 9001:2008 harmonizált szabván</w:t>
      </w:r>
      <w:r>
        <w:rPr>
          <w:noProof/>
        </w:rPr>
        <w:t>y vagy azzal egyenértékű harmonizált szabvány szerinti minősítését. A gyártó részletes adatokat nyújt a minősítésről, és vállalja, hogy értesíti a jóváhagyó hatóságot a minősítés érvényességével és hatályával kapcsolatos minden változásról.</w:t>
      </w:r>
    </w:p>
    <w:p w:rsidR="00A444DD" w:rsidRDefault="00024185">
      <w:pPr>
        <w:spacing w:before="0" w:after="200" w:line="276" w:lineRule="auto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 2. A gyártás m</w:t>
      </w:r>
      <w:r>
        <w:rPr>
          <w:b/>
          <w:noProof/>
        </w:rPr>
        <w:t xml:space="preserve">egfelelőségét biztosító intézkedések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2.1. A tagállam jóváhagyó hatósága ellenőrzi a megfelelő intézkedések és dokumentált ellenőrzési tervek meglétét, amelyeket minden egyes jóváhagyás esetében a gyártóval kell egyeztetni, hogy ezek alapján meghatározott </w:t>
      </w:r>
      <w:r>
        <w:rPr>
          <w:noProof/>
        </w:rPr>
        <w:t xml:space="preserve">időközönként elvégezzék a jóváhagyott típusnak való folyamatos megfelelőség ellenőrzéséhez szükséges teszteléseket vagy kapcsolódó ellenőrzéseket, ideértve különösen a szabályozási aktusokban meghatározott fizikai teszteléseket.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 Az EU-típusjóváhagyás</w:t>
      </w:r>
      <w:r>
        <w:rPr>
          <w:noProof/>
        </w:rPr>
        <w:t xml:space="preserve">i engedély jogosultja elsősorban az alábbi feladatokat látja el: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2.2.1. biztosítja a termékek jóváhagyott típusnak és konfigurációnak való megfelelősége hatékony ellenőrzését biztosító eljárások meglétét és alkalmazását;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2.2.2. hozzáféréssel rendelkezik </w:t>
      </w:r>
      <w:r>
        <w:rPr>
          <w:noProof/>
        </w:rPr>
        <w:t xml:space="preserve">minden egyes jóváhagyott típusnak és konfigurációnak való megfelelés ellenőrzéséhez szükséges tesztelő vagy egyéb megfelelő berendezéshez;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2.2.3. gondoskodik a tesztelések vagy ellenőrzések eredményeinek rögzítéséről és arról, hogy a teszteredményekkel ka</w:t>
      </w:r>
      <w:r>
        <w:rPr>
          <w:noProof/>
        </w:rPr>
        <w:t>pcsolatos mellékelt dokumentumokat a jóváhagyó hatósággal együtt meghatározott ideig megőrizzék. Ez az időtartam nem haladhatja meg a 10 évet;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2.2.4. elemzi az egyes teszttípusok, illetve ellenőrzések eredményeit, hogy ellenőrizze és biztosítsa a termék je</w:t>
      </w:r>
      <w:r>
        <w:rPr>
          <w:noProof/>
        </w:rPr>
        <w:t xml:space="preserve">llemzőinek állandóságát, figyelemmel az ipari termelésben szokásos eltérésekre;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2.2.5. gondoskodik a légiközlekedés-védelmi átvizsgáló berendezés minden típusa és konfigurációja esetében, hogy legalább a jóváhagyással kapcsolatban a berendezés megfelelő k</w:t>
      </w:r>
      <w:r>
        <w:rPr>
          <w:noProof/>
        </w:rPr>
        <w:t>ialakítását és a II. mellékletben meghatározott megfelelőségi nyilatkozathoz szükséges információkat megvizsgálják;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lastRenderedPageBreak/>
        <w:t>2.2.6. gondoskodik arról, hogy ha egy adott teszt- vagy ellenőrzéstípusnál a mintasorozat vagy a vizsgálati darabok azt mutatják, hogy a gyá</w:t>
      </w:r>
      <w:r>
        <w:rPr>
          <w:noProof/>
        </w:rPr>
        <w:t xml:space="preserve">rtás nem megfelelő, akkor újabb mintavételt és tesztelést vagy ellenőrzést végezzenek. Ebben az esetben minden szükséges lépést meg kell tenni a gyártás megfelelőségének helyreállítása érdekében. </w:t>
      </w:r>
    </w:p>
    <w:p w:rsidR="00A444DD" w:rsidRDefault="00024185">
      <w:pPr>
        <w:spacing w:before="0" w:after="200" w:line="276" w:lineRule="auto"/>
        <w:rPr>
          <w:rFonts w:eastAsia="Calibri"/>
          <w:b/>
          <w:noProof/>
          <w:szCs w:val="24"/>
        </w:rPr>
      </w:pPr>
      <w:r>
        <w:rPr>
          <w:b/>
          <w:noProof/>
        </w:rPr>
        <w:t xml:space="preserve">3. Folyamatos ellenőrzési intézkedések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 Az EU-típusj</w:t>
      </w:r>
      <w:r>
        <w:rPr>
          <w:noProof/>
        </w:rPr>
        <w:t xml:space="preserve">óváhagyási engedélyt megadó hatóság bármikor ellenőrizheti az egyes gyártóüzemekben alkalmazott megfelelőség-ellenőrzési módszereket.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3.1.1. Szokásos esetben az 1. és 2. szakaszban meghatározott eljárások (kezdeti értékelés és a gyártás megfelelőségét biz</w:t>
      </w:r>
      <w:r>
        <w:rPr>
          <w:noProof/>
        </w:rPr>
        <w:t xml:space="preserve">tosító intézkedések) folyamatos hatékonyságát nyomon kell követni.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3.1.1.1. A bejelentett műszaki szolgálatok által folytatott felügyeleti tevékenységet kielégítőnek kell tekinteni a kezdeti értékelés során kidolgozott eljárásokra vonatkozóan a 3.1.1. pontban megállapított követelmények szempontjából.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3.1.1.2. A típusjóv</w:t>
      </w:r>
      <w:r>
        <w:rPr>
          <w:noProof/>
        </w:rPr>
        <w:t>áhagyó hatóság által folytatott (a 3.1.1.1. ponttól eltérő) felülvizsgálatok rendes gyakorisága biztosítja, hogy az 1. és 2. szakasznak megfelelően végrehajtott felülvizsgálatokat olyan időközönként ismételjék meg, amelyet a jóváhagyó hatóság az addigi tap</w:t>
      </w:r>
      <w:r>
        <w:rPr>
          <w:noProof/>
        </w:rPr>
        <w:t>asztalatok alapján állapít meg.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 xml:space="preserve">3.2. Minden felülvizsgálatkor a tesztelések vagy ellenőrzések adatait és a gyártási dokumentumokat hozzáférhetővé kell tenni az ellenőr számára; különösen a tesztelések és ellenőrzések 2.2. pontban előírt dokumentációját.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</w:t>
      </w:r>
      <w:r>
        <w:rPr>
          <w:noProof/>
        </w:rPr>
        <w:t>.3. Az ellenőr véletlenszerűen mintát vehet, amelyet a gyártó laboratóriumában vagy a műszaki szolgálat létesítményeiben tesztelnek. Ilyen esetben kizárólag fizikai teszteléseket kell végezni. A minták legkisebb száma a gyártó saját ellenőrzéseinek eredmén</w:t>
      </w:r>
      <w:r>
        <w:rPr>
          <w:noProof/>
        </w:rPr>
        <w:t xml:space="preserve">yei alapján határozható meg.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3.4. Ha a vizsgálat szintje nem tűnik megfelelőnek, vagy ha szükségesnek tűnik a 3.2. pont szerinti tesztelések érvényességének ellenőrzése, úgy az ellenőrnek ki kell választania a műszaki szolgálathoz fizikai tesztelések elvé</w:t>
      </w:r>
      <w:r>
        <w:rPr>
          <w:noProof/>
        </w:rPr>
        <w:t xml:space="preserve">gzésére megküldendő mintákat. </w:t>
      </w:r>
    </w:p>
    <w:p w:rsidR="00A444DD" w:rsidRDefault="00024185">
      <w:pPr>
        <w:spacing w:before="0" w:after="200" w:line="276" w:lineRule="auto"/>
        <w:rPr>
          <w:rFonts w:eastAsia="Calibri"/>
          <w:noProof/>
          <w:szCs w:val="24"/>
        </w:rPr>
      </w:pPr>
      <w:r>
        <w:rPr>
          <w:noProof/>
        </w:rPr>
        <w:t>3.5. Amennyiben a helyszíni ellenőrzés vagy a nyomon követési felülvizsgálat eredményei nem megfelelőek, a jóváhagyó hatóság biztosítja, hogy a lehető legrövidebb időn belül minden szükséges lépésre sor kerüljön a gyártás meg</w:t>
      </w:r>
      <w:r>
        <w:rPr>
          <w:noProof/>
        </w:rPr>
        <w:t>felelőségének helyreállítása érdekében.</w:t>
      </w:r>
    </w:p>
    <w:p w:rsidR="00A444DD" w:rsidRDefault="00A444DD">
      <w:pPr>
        <w:spacing w:before="0" w:after="200" w:line="276" w:lineRule="auto"/>
        <w:rPr>
          <w:rFonts w:eastAsia="Calibri"/>
          <w:noProof/>
          <w:szCs w:val="24"/>
        </w:rPr>
      </w:pPr>
    </w:p>
    <w:p w:rsidR="00A444DD" w:rsidRDefault="00024185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>VII. melléklet</w:t>
      </w:r>
    </w:p>
    <w:p w:rsidR="00A444DD" w:rsidRDefault="00024185">
      <w:pPr>
        <w:autoSpaceDE w:val="0"/>
        <w:autoSpaceDN w:val="0"/>
        <w:adjustRightInd w:val="0"/>
        <w:spacing w:before="60" w:after="60"/>
        <w:jc w:val="center"/>
        <w:rPr>
          <w:rFonts w:eastAsia="Calibri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SZABVÁNYOK, AMELYEKNEK A MŰSZAKI SZOLGÁLATOKNAK MEG KELL FELELNIÜK</w:t>
      </w:r>
    </w:p>
    <w:p w:rsidR="00A444DD" w:rsidRDefault="00A444DD">
      <w:pPr>
        <w:autoSpaceDE w:val="0"/>
        <w:autoSpaceDN w:val="0"/>
        <w:adjustRightInd w:val="0"/>
        <w:spacing w:before="60" w:after="60"/>
        <w:rPr>
          <w:rFonts w:eastAsia="Calibri"/>
          <w:b/>
          <w:bCs/>
          <w:noProof/>
          <w:color w:val="000000"/>
          <w:szCs w:val="24"/>
        </w:rPr>
      </w:pPr>
    </w:p>
    <w:p w:rsidR="00A444DD" w:rsidRDefault="00024185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 A szabványok, amelyeknek a műszaki szolgálatoknak meg kell felelniük az EU-típusjóváhagyási tesztelésekkel kapcsolatos tevékenysé</w:t>
      </w:r>
      <w:r>
        <w:rPr>
          <w:noProof/>
          <w:color w:val="000000"/>
        </w:rPr>
        <w:t>gek tekintetében, a következők:</w:t>
      </w:r>
    </w:p>
    <w:p w:rsidR="00A444DD" w:rsidRDefault="00024185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1.1. A. kategória (saját létesítményben végzett tesztelések): a vonatkozó harmonizált szabványok a tesztelő- és kalibrálólaboratóriumok felkészültségének általános követelményeiről. A teszteléseket az A. kategóriára kijelölt</w:t>
      </w:r>
      <w:r>
        <w:rPr>
          <w:noProof/>
          <w:color w:val="000000"/>
        </w:rPr>
        <w:t xml:space="preserve"> műszaki szolgálat végezheti, illetve felügyelheti a gyártó vagy harmadik fél létesítményében.</w:t>
      </w:r>
    </w:p>
    <w:p w:rsidR="00A444DD" w:rsidRDefault="00024185">
      <w:pPr>
        <w:autoSpaceDE w:val="0"/>
        <w:autoSpaceDN w:val="0"/>
        <w:adjustRightInd w:val="0"/>
        <w:spacing w:before="0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1.2. B. kategória (gyártó vagy harmadik fél létesítményében végzett tesztelések felügyelete): </w:t>
      </w:r>
      <w:r>
        <w:rPr>
          <w:noProof/>
        </w:rPr>
        <w:t xml:space="preserve">a vonatkozó harmonizált szabványok </w:t>
      </w:r>
      <w:r>
        <w:rPr>
          <w:noProof/>
          <w:color w:val="000000"/>
        </w:rPr>
        <w:t>az ellenőrzést végző különféle t</w:t>
      </w:r>
      <w:r>
        <w:rPr>
          <w:noProof/>
          <w:color w:val="000000"/>
        </w:rPr>
        <w:t>ípusú testületek működésének általános feltételeiről. A gyártó vagy harmadik fél létesítményében végzett tesztelés lebonyolítása, illetve felügyelete előtt a műszaki szolgálat köteles ellenőrizni, hogy a vizsgálati körülmények és mérőműszerek megfelelnek-e</w:t>
      </w:r>
      <w:r>
        <w:rPr>
          <w:noProof/>
          <w:color w:val="000000"/>
        </w:rPr>
        <w:t xml:space="preserve"> az 1.1. pontban említett szabványokban található vonatkozó követelményeknek. </w:t>
      </w:r>
    </w:p>
    <w:p w:rsidR="00A444DD" w:rsidRDefault="00024185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 A szabványok, amelyeknek a műszaki szolgálatoknak meg kell felelniük a gyártás megfelelőségének ellenőrzésével kapcsolatos tevékenységek tekintetében, a következők:</w:t>
      </w:r>
    </w:p>
    <w:p w:rsidR="00A444DD" w:rsidRDefault="00024185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 xml:space="preserve">2.1. C. kategória (a kezdeti értékelésre vonatkozó eljárás, valamint a gyártó minőség-ellenőrzési rendszerének felügyeleti ellenőrzése): </w:t>
      </w:r>
      <w:r>
        <w:rPr>
          <w:noProof/>
        </w:rPr>
        <w:t xml:space="preserve">a vonatkozó harmonizált szabványok </w:t>
      </w:r>
      <w:r>
        <w:rPr>
          <w:noProof/>
          <w:color w:val="000000"/>
        </w:rPr>
        <w:t>az irányítási rendszerek ellenőrzését és minősítését végző testületekre vonatkozó kö</w:t>
      </w:r>
      <w:r>
        <w:rPr>
          <w:noProof/>
          <w:color w:val="000000"/>
        </w:rPr>
        <w:t>vetelményekről.</w:t>
      </w:r>
    </w:p>
    <w:p w:rsidR="00A444DD" w:rsidRDefault="00024185">
      <w:pPr>
        <w:spacing w:before="0" w:line="276" w:lineRule="auto"/>
        <w:rPr>
          <w:rFonts w:eastAsia="Calibri"/>
          <w:noProof/>
          <w:color w:val="000000"/>
          <w:szCs w:val="24"/>
        </w:rPr>
      </w:pPr>
      <w:r>
        <w:rPr>
          <w:noProof/>
          <w:color w:val="000000"/>
        </w:rPr>
        <w:t>2.2. D. kategória (a gyártásból vett minták helyszíni ellenőrzése, tesztelése vagy e tevékenységek felügyelete</w:t>
      </w:r>
      <w:r>
        <w:rPr>
          <w:noProof/>
        </w:rPr>
        <w:t xml:space="preserve">): a vonatkozó harmonizált szabványok </w:t>
      </w:r>
      <w:r>
        <w:rPr>
          <w:noProof/>
          <w:color w:val="000000"/>
        </w:rPr>
        <w:t>az ellenőrzést végző különféle típusú testületek működésének általános feltételeiről.</w:t>
      </w:r>
    </w:p>
    <w:p w:rsidR="00A444DD" w:rsidRDefault="00A444DD">
      <w:pPr>
        <w:spacing w:before="0"/>
        <w:rPr>
          <w:noProof/>
          <w:szCs w:val="24"/>
        </w:rPr>
      </w:pPr>
    </w:p>
    <w:sectPr w:rsidR="00A444DD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DD" w:rsidRDefault="00024185">
      <w:pPr>
        <w:spacing w:before="0" w:after="0"/>
      </w:pPr>
      <w:r>
        <w:separator/>
      </w:r>
    </w:p>
  </w:endnote>
  <w:endnote w:type="continuationSeparator" w:id="0">
    <w:p w:rsidR="00A444DD" w:rsidRDefault="00024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A44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024185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A444D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024185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</w:instrText>
    </w:r>
    <w:r>
      <w:instrText xml:space="preserve">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A44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DD" w:rsidRDefault="00024185">
      <w:pPr>
        <w:spacing w:before="0" w:after="0"/>
      </w:pPr>
      <w:r>
        <w:separator/>
      </w:r>
    </w:p>
  </w:footnote>
  <w:footnote w:type="continuationSeparator" w:id="0">
    <w:p w:rsidR="00A444DD" w:rsidRDefault="00024185">
      <w:pPr>
        <w:spacing w:before="0" w:after="0"/>
      </w:pPr>
      <w:r>
        <w:continuationSeparator/>
      </w:r>
    </w:p>
  </w:footnote>
  <w:footnote w:id="1">
    <w:p w:rsidR="00A444DD" w:rsidRDefault="00024185"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 xml:space="preserve">Az Európai Parlament és a Tanács 2008. március 11-i 300/2008/EK rendelete a polgári légi közlekedés védelmének közös szabályairól és a 2320/2002/EK rendelet hatályon kívül </w:t>
      </w:r>
      <w:r>
        <w:t>helyezéséről (</w:t>
      </w:r>
      <w:r>
        <w:rPr>
          <w:rStyle w:val="Emphasis"/>
          <w:i w:val="0"/>
          <w:sz w:val="17"/>
        </w:rPr>
        <w:t>HL L 97., 2008.4.9</w:t>
      </w:r>
      <w:proofErr w:type="gramStart"/>
      <w:r>
        <w:rPr>
          <w:rStyle w:val="Emphasis"/>
          <w:i w:val="0"/>
          <w:sz w:val="17"/>
        </w:rPr>
        <w:t>.,</w:t>
      </w:r>
      <w:proofErr w:type="gramEnd"/>
      <w:r>
        <w:rPr>
          <w:rStyle w:val="Emphasis"/>
          <w:i w:val="0"/>
          <w:sz w:val="17"/>
        </w:rPr>
        <w:t xml:space="preserve"> 72. o.</w:t>
      </w:r>
      <w:r>
        <w:rPr>
          <w:rStyle w:val="Emphasis"/>
          <w:sz w:val="17"/>
        </w:rPr>
        <w:t>)</w:t>
      </w:r>
      <w:r>
        <w:t>.</w:t>
      </w:r>
      <w:r>
        <w:rPr>
          <w:rStyle w:val="Emphasis"/>
          <w:sz w:val="17"/>
        </w:rPr>
        <w:t xml:space="preserve"> </w:t>
      </w:r>
    </w:p>
  </w:footnote>
  <w:footnote w:id="2">
    <w:p w:rsidR="00A444DD" w:rsidRDefault="00024185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Amennyiben a típusjóváhagyás megadásakor nem áll rendelkezésre, legkésőbb a berendezés kereskedelmi forgalomba hozatalakor ki kell tölteni ezt a pontot.</w:t>
      </w:r>
    </w:p>
  </w:footnote>
  <w:footnote w:id="3">
    <w:p w:rsidR="00A444DD" w:rsidRDefault="00024185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 xml:space="preserve">A közös légiközlekedés-védelmi alapkövetelmények </w:t>
      </w:r>
      <w:r>
        <w:t>végrehajtásához szükséges részletes intézkedések meghatározásáról szóló, 2010. március 4-i 185/2010/EU bizottsági rendeletben foglaltak szerint.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A44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A44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DD" w:rsidRDefault="00A44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C24A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5DC8E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166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F8D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0DA7D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758F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D66FB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BEC7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4 15:00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a következ\u337?höz:"/>
    <w:docVar w:name="LW_ANNEX_NBR_FIRST" w:val="1"/>
    <w:docVar w:name="LW_ANNEX_NBR_LAST" w:val="7"/>
    <w:docVar w:name="LW_CONFIDENCE" w:val=" "/>
    <w:docVar w:name="LW_CONST_RESTREINT_UE" w:val="RESTREINT UE"/>
    <w:docVar w:name="LW_CORRIGENDUM" w:val="&lt;UNUSED&gt;"/>
    <w:docVar w:name="LW_COVERPAGE_GUID" w:val="AFB9CB74BADA441F898B79C16E25BA55"/>
    <w:docVar w:name="LW_CROSSREFERENCE" w:val="{SWD(2016) 259 final}_x000b_{SWD(2016) 261 final}"/>
    <w:docVar w:name="LW_DocType" w:val="ANNEX"/>
    <w:docVar w:name="LW_EMISSION" w:val="2016.9.7."/>
    <w:docVar w:name="LW_EMISSION_ISODATE" w:val="2016-09-07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 légiközlekedés-védelmi átvizsgáló berendezések uniós min\u337?sítési rendszerének létrehozásáró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491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z Európai Parlament és a Tanács rendelete"/>
  </w:docVars>
  <w:rsids>
    <w:rsidRoot w:val="00A444DD"/>
    <w:rsid w:val="00024185"/>
    <w:rsid w:val="00A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12</Pages>
  <Words>2467</Words>
  <Characters>13103</Characters>
  <Application>Microsoft Office Word</Application>
  <DocSecurity>0</DocSecurity>
  <Lines>256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pawulan</dc:creator>
  <cp:lastModifiedBy>Stefanie Heilemann</cp:lastModifiedBy>
  <cp:revision>9</cp:revision>
  <cp:lastPrinted>2015-11-17T15:02:00Z</cp:lastPrinted>
  <dcterms:created xsi:type="dcterms:W3CDTF">2015-12-14T14:00:00Z</dcterms:created>
  <dcterms:modified xsi:type="dcterms:W3CDTF">2016-09-02T11:41:00Z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7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