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6AAC1CAF897417B8E2AD92DCD0252AC" style="width:450.8pt;height:436.4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OBRAZLOŽENJE</w:t>
      </w:r>
    </w:p>
    <w:p>
      <w:pPr>
        <w:rPr>
          <w:noProof/>
        </w:rPr>
      </w:pPr>
    </w:p>
    <w:p>
      <w:pPr>
        <w:pStyle w:val="ManualHeading1"/>
        <w:spacing w:before="0" w:after="240"/>
        <w:rPr>
          <w:noProof/>
        </w:rPr>
      </w:pPr>
      <w:r>
        <w:rPr>
          <w:noProof/>
        </w:rPr>
        <w:t>1.</w:t>
      </w:r>
      <w:r>
        <w:rPr>
          <w:noProof/>
        </w:rPr>
        <w:tab/>
        <w:t>KONTEKST PRIJEDLOGA</w:t>
      </w:r>
    </w:p>
    <w:p>
      <w:pPr>
        <w:pStyle w:val="ManualHeading2"/>
        <w:spacing w:before="0" w:after="240"/>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Europska unija suočava se s izazovima u mnogim područjima politika i potražnja za europskom statistikom</w:t>
      </w:r>
      <w:r>
        <w:rPr>
          <w:rStyle w:val="FootnoteReference"/>
          <w:noProof/>
        </w:rPr>
        <w:footnoteReference w:id="1"/>
      </w:r>
      <w:r>
        <w:rPr>
          <w:noProof/>
        </w:rPr>
        <w:t xml:space="preserve"> stalno je velika. Za provedbu i praćenje politika Unije potrebni su usporedivi i visokokvalitetni statistički podaci o gospodarskoj, socijalnoj i okolišnoj situaciji u EU-u i njihovim sastavnicama na nacionalnoj i regionalnoj razini. Europska statistika također je neophodna kako bi opća javnost mogla razumjeti „Europu” te kako bi građani mogli sudjelovati u demokratskom procesu i razgovarati o sadašnjosti i budućnosti Unije.</w:t>
      </w:r>
    </w:p>
    <w:p>
      <w:pPr>
        <w:pBdr>
          <w:top w:val="nil"/>
          <w:left w:val="nil"/>
          <w:bottom w:val="nil"/>
          <w:right w:val="nil"/>
          <w:between w:val="nil"/>
          <w:bar w:val="nil"/>
        </w:pBdr>
        <w:spacing w:before="0" w:after="240"/>
        <w:rPr>
          <w:noProof/>
        </w:rPr>
      </w:pPr>
      <w:r>
        <w:rPr>
          <w:noProof/>
        </w:rPr>
        <w:t>Kako bi se zadovoljile potrebe za informacijama koje proizlaze iz 10 Komisijinih političkih prioriteta</w:t>
      </w:r>
      <w:r>
        <w:rPr>
          <w:rStyle w:val="FootnoteReference"/>
          <w:noProof/>
        </w:rPr>
        <w:footnoteReference w:id="2"/>
      </w:r>
      <w:r>
        <w:rPr>
          <w:noProof/>
        </w:rPr>
        <w:t xml:space="preserve"> potrebno je ukloniti niz važnih statističkih nedostataka. Nadalje, potrebno je žurno poboljšati pravodobnost nekih europskih statistika kako bi se njima mogle osigurati ažurne informacije potrebne u kontekstu Europskog semestra.</w:t>
      </w:r>
    </w:p>
    <w:p>
      <w:pPr>
        <w:pBdr>
          <w:top w:val="nil"/>
          <w:left w:val="nil"/>
          <w:bottom w:val="nil"/>
          <w:right w:val="nil"/>
          <w:between w:val="nil"/>
          <w:bar w:val="nil"/>
        </w:pBdr>
        <w:spacing w:before="0" w:after="240"/>
        <w:rPr>
          <w:noProof/>
        </w:rPr>
      </w:pPr>
      <w:r>
        <w:rPr>
          <w:noProof/>
        </w:rPr>
        <w:t xml:space="preserve">Iako su nacionalni statistički sustavi uložili veliki napor u modernizaciju svojih načina izrade uz potporu europskog statističkog programa (ESP) za razdoblje od 2013. do 2017., postojeća infrastruktura za izradu statističkih podataka još nije dovoljno fleksibilna za isporuku novih statistika kada je to potrebno i istovremeno ograničavanje povezanih troškova i administrativnog opterećenja. Ako se nastavi </w:t>
      </w:r>
      <w:r>
        <w:rPr>
          <w:i/>
          <w:noProof/>
        </w:rPr>
        <w:t>status quo</w:t>
      </w:r>
      <w:r>
        <w:rPr>
          <w:noProof/>
        </w:rPr>
        <w:t>, Europski statistički sustav (ESS) neće moći zadovoljiti rastuću potražnju za statistikom ili potrebu za njezinim bržim dostavljanjem, čime će se ugroziti relevantnost europske statistike.</w:t>
      </w:r>
    </w:p>
    <w:p>
      <w:pPr>
        <w:pBdr>
          <w:top w:val="nil"/>
          <w:left w:val="nil"/>
          <w:bottom w:val="nil"/>
          <w:right w:val="nil"/>
          <w:between w:val="nil"/>
          <w:bar w:val="nil"/>
        </w:pBdr>
        <w:spacing w:before="0"/>
        <w:rPr>
          <w:noProof/>
        </w:rPr>
      </w:pPr>
      <w:r>
        <w:rPr>
          <w:noProof/>
        </w:rPr>
        <w:t>U tom kontekstu cilj je prijedloga produljiti ESP na razdoblje 2018. – 2020. i pružiti financijsku potporu koja je potrebna ESS-u u cilju sljedećeg:</w:t>
      </w:r>
    </w:p>
    <w:p>
      <w:pPr>
        <w:pStyle w:val="Tiret0"/>
        <w:numPr>
          <w:ilvl w:val="0"/>
          <w:numId w:val="14"/>
        </w:numPr>
        <w:tabs>
          <w:tab w:val="clear" w:pos="850"/>
        </w:tabs>
        <w:spacing w:before="0"/>
        <w:ind w:left="709" w:hanging="425"/>
        <w:rPr>
          <w:noProof/>
        </w:rPr>
      </w:pPr>
      <w:r>
        <w:rPr>
          <w:noProof/>
        </w:rPr>
        <w:t>pružanja visokokvalitetnih statističkih podataka i što hitnijeg uklanjanja statističkih nedostataka usmjeravanjem na niz prioritetnih područja koja odražavaju 10 političkih prioriteta Komisije,</w:t>
      </w:r>
    </w:p>
    <w:p>
      <w:pPr>
        <w:pStyle w:val="Tiret0"/>
        <w:tabs>
          <w:tab w:val="clear" w:pos="850"/>
        </w:tabs>
        <w:spacing w:before="0"/>
        <w:ind w:left="709" w:hanging="425"/>
        <w:rPr>
          <w:noProof/>
        </w:rPr>
      </w:pPr>
      <w:r>
        <w:rPr>
          <w:noProof/>
        </w:rPr>
        <w:t>izgradnje trajnog kapaciteta potrebnog za brži odgovor na nove potrebe i prilagodbu statističke infrastrukture kako bi se mogao iskoristiti potencijal novih izvora podataka i</w:t>
      </w:r>
    </w:p>
    <w:p>
      <w:pPr>
        <w:pStyle w:val="Tiret0"/>
        <w:tabs>
          <w:tab w:val="clear" w:pos="850"/>
        </w:tabs>
        <w:spacing w:before="0" w:after="240"/>
        <w:ind w:left="709" w:hanging="425"/>
        <w:rPr>
          <w:noProof/>
        </w:rPr>
      </w:pPr>
      <w:r>
        <w:rPr>
          <w:noProof/>
        </w:rPr>
        <w:t>jačanja partnerstva u okviru ESS–a i izvan njega radi daljnjeg povećanja njegove produktivnosti i osiguravanja njegove vodeće uloge u službenoj statistici diljem svijeta.</w:t>
      </w:r>
    </w:p>
    <w:p>
      <w:pPr>
        <w:pBdr>
          <w:top w:val="nil"/>
          <w:left w:val="nil"/>
          <w:bottom w:val="nil"/>
          <w:right w:val="nil"/>
          <w:between w:val="nil"/>
          <w:bar w:val="nil"/>
        </w:pBdr>
        <w:spacing w:before="0" w:after="240"/>
        <w:rPr>
          <w:noProof/>
        </w:rPr>
      </w:pPr>
      <w:r>
        <w:rPr>
          <w:noProof/>
        </w:rPr>
        <w:t>Prijedlog bi najviše utjecao na korisnike statistika (npr. donositelje politika, medije i istraživače), izrađivače statistike (nacionalne zavode za statistiku (NZS) i ostala nacionalna tijela (ONT)) i ispitanike (kućanstva i poduzeća).</w:t>
      </w:r>
    </w:p>
    <w:p>
      <w:pPr>
        <w:pBdr>
          <w:top w:val="nil"/>
          <w:left w:val="nil"/>
          <w:bottom w:val="nil"/>
          <w:right w:val="nil"/>
          <w:between w:val="nil"/>
          <w:bar w:val="nil"/>
        </w:pBdr>
        <w:spacing w:before="0" w:after="240"/>
        <w:rPr>
          <w:noProof/>
        </w:rPr>
      </w:pPr>
      <w:r>
        <w:rPr>
          <w:noProof/>
        </w:rPr>
        <w:t>Budući da je ESP horizontalna inicijativa, on nije dio Programa Komisije za primjerenost i učinkovitost propisa (REFIT).</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Usklađenost s postojećim odredbama politike u tom području</w:t>
      </w:r>
    </w:p>
    <w:p>
      <w:pPr>
        <w:pBdr>
          <w:top w:val="nil"/>
          <w:left w:val="nil"/>
          <w:bottom w:val="nil"/>
          <w:right w:val="nil"/>
          <w:between w:val="nil"/>
          <w:bar w:val="nil"/>
        </w:pBdr>
        <w:spacing w:before="0" w:after="240"/>
        <w:rPr>
          <w:noProof/>
        </w:rPr>
      </w:pPr>
      <w:r>
        <w:rPr>
          <w:noProof/>
        </w:rPr>
        <w:t xml:space="preserve">U članku 13. Uredbe (EZ) br. 223/2009 o europskoj statistici propisano je da „Europski statistički program utvrđuje okvir za razvoj, proizvodnju i diseminaciju europskih statistika, kojim se utvrđuju glavna područja i ciljevi mjera predviđenih za razdoblje koje odgovara razdoblju višegodišnjeg financijskog okvira”. U ESP-u se utvrđuju okvir i prioriteti za europsku statistiku za vrijeme trajanja programa te se utvrđuju financijska sredstva za to razdoblje. Eurostatovi godišnji programi rada temelje se na višegodišnjem ESP-u. Trenutačni ESP, kako je predviđen u Uredbi (EU) br. 99/2013 i kojim je obuhvaćeno razdoblje od 2013. do 2017., osmi je program takve vrste. </w:t>
      </w:r>
    </w:p>
    <w:p>
      <w:pPr>
        <w:pBdr>
          <w:top w:val="nil"/>
          <w:left w:val="nil"/>
          <w:bottom w:val="nil"/>
          <w:right w:val="nil"/>
          <w:between w:val="nil"/>
          <w:bar w:val="nil"/>
        </w:pBdr>
        <w:spacing w:before="0" w:after="240"/>
        <w:rPr>
          <w:noProof/>
        </w:rPr>
      </w:pPr>
      <w:r>
        <w:rPr>
          <w:noProof/>
        </w:rPr>
        <w:t>Ovom inicijativom nastoji se uspostaviti zakonodavni okvir za ESP za razdoblje trajanja višegodišnjeg financijskog okvira (VFO).</w:t>
      </w:r>
    </w:p>
    <w:p>
      <w:pPr>
        <w:pBdr>
          <w:top w:val="nil"/>
          <w:left w:val="nil"/>
          <w:bottom w:val="nil"/>
          <w:right w:val="nil"/>
          <w:between w:val="nil"/>
          <w:bar w:val="nil"/>
        </w:pBdr>
        <w:spacing w:before="0"/>
        <w:rPr>
          <w:noProof/>
        </w:rPr>
      </w:pPr>
      <w:r>
        <w:rPr>
          <w:noProof/>
        </w:rPr>
        <w:t xml:space="preserve">U članku 14. Uredbe (EZ) br. 223/2009 predviđeno je da će se ESP provoditi „u obliku pojedinačnih statističkih mjera” o kojima odlučuju: </w:t>
      </w:r>
    </w:p>
    <w:p>
      <w:pPr>
        <w:pStyle w:val="Tiret0"/>
        <w:rPr>
          <w:noProof/>
        </w:rPr>
      </w:pPr>
      <w:r>
        <w:rPr>
          <w:noProof/>
        </w:rPr>
        <w:t xml:space="preserve">Europski parlament i Vijeće, </w:t>
      </w:r>
    </w:p>
    <w:p>
      <w:pPr>
        <w:pStyle w:val="Tiret0"/>
        <w:rPr>
          <w:noProof/>
        </w:rPr>
      </w:pPr>
      <w:r>
        <w:rPr>
          <w:noProof/>
        </w:rPr>
        <w:t xml:space="preserve">Komisija u posebnim uvjetima ili </w:t>
      </w:r>
    </w:p>
    <w:p>
      <w:pPr>
        <w:pStyle w:val="Tiret0"/>
        <w:rPr>
          <w:noProof/>
        </w:rPr>
      </w:pPr>
      <w:r>
        <w:rPr>
          <w:noProof/>
        </w:rPr>
        <w:t xml:space="preserve">nacionalni zavodi za statistiku ili druga statistička tijela putem sporazuma o ESS-u s Komisijom (Eurostatom). </w:t>
      </w:r>
    </w:p>
    <w:p>
      <w:pPr>
        <w:pBdr>
          <w:top w:val="nil"/>
          <w:left w:val="nil"/>
          <w:bottom w:val="nil"/>
          <w:right w:val="nil"/>
          <w:between w:val="nil"/>
          <w:bar w:val="nil"/>
        </w:pBdr>
        <w:spacing w:before="0" w:after="240"/>
        <w:rPr>
          <w:noProof/>
        </w:rPr>
      </w:pPr>
      <w:r>
        <w:rPr>
          <w:noProof/>
        </w:rPr>
        <w:t>Ovaj prijedlog ne odnosi se na „drugu statistiku” kako je definirana u Odluci Komisije 2012/504/EU</w:t>
      </w:r>
      <w:r>
        <w:rPr>
          <w:rStyle w:val="FootnoteReference"/>
          <w:noProof/>
        </w:rPr>
        <w:footnoteReference w:id="3"/>
      </w:r>
      <w:r>
        <w:rPr>
          <w:noProof/>
        </w:rPr>
        <w:t xml:space="preserve"> koja nije europska statistika i koja je utvrđena u postupku planiranja i koordinacije kojim upravlja Eurostat.</w:t>
      </w:r>
    </w:p>
    <w:p>
      <w:pPr>
        <w:pStyle w:val="ManualHeading2"/>
        <w:spacing w:before="0" w:after="240"/>
        <w:rPr>
          <w:rFonts w:eastAsia="Arial Unicode MS"/>
          <w:noProof/>
        </w:rPr>
      </w:pPr>
      <w:r>
        <w:rPr>
          <w:noProof/>
          <w:color w:val="000000"/>
          <w:u w:color="000000"/>
          <w:bdr w:val="nil"/>
        </w:rPr>
        <w:t>•</w:t>
      </w:r>
      <w:r>
        <w:rPr>
          <w:noProof/>
        </w:rPr>
        <w:tab/>
        <w:t>Usklađenost s drugim politikama Unije</w:t>
      </w:r>
    </w:p>
    <w:p>
      <w:pPr>
        <w:pBdr>
          <w:top w:val="nil"/>
          <w:left w:val="nil"/>
          <w:bottom w:val="nil"/>
          <w:right w:val="nil"/>
          <w:between w:val="nil"/>
          <w:bar w:val="nil"/>
        </w:pBdr>
        <w:spacing w:before="0" w:after="240"/>
        <w:rPr>
          <w:noProof/>
        </w:rPr>
      </w:pPr>
      <w:r>
        <w:rPr>
          <w:noProof/>
        </w:rPr>
        <w:t>Glavna svrha europske statistike jest podržati razvoj, praćenje i evaluaciju europskih politika pouzdanim, objektivnim, usporedivim i usklađenim statističkim podacima.</w:t>
      </w:r>
    </w:p>
    <w:p>
      <w:pPr>
        <w:pBdr>
          <w:top w:val="nil"/>
          <w:left w:val="nil"/>
          <w:bottom w:val="nil"/>
          <w:right w:val="nil"/>
          <w:between w:val="nil"/>
          <w:bar w:val="nil"/>
        </w:pBdr>
        <w:spacing w:before="0" w:after="240"/>
        <w:rPr>
          <w:noProof/>
        </w:rPr>
      </w:pPr>
      <w:r>
        <w:rPr>
          <w:noProof/>
        </w:rPr>
        <w:t xml:space="preserve">Ovim prijedlogom poduprijet će se 10 političkih prioriteta u Programu Komisije za zapošljavanje, rast, pravednost i demokratske promjene i ostale politike Unije, na primjer Europski semestar, strategija Europa 2020. za pametan, održiv i uključiv rast te europska energetska unija. Potreba za političkim odgovorom na duboku gospodarsku krizu i njezin društveni učinak potaknula je potražnju za boljim gospodarskim i socijalnim politikama utemeljenima na čvrstim i usporedivim dokazima. Odluke utemeljene na dokazima posebno su važne za upravljanje učinkovitošću politika EU-a. Vijeće je u više navrata, a posljednji put u zaključcima Vijeća za ekonomska i financijska pitanja (ECOFIN) od 8. prosinca 2015., istaknulo ključnu važnost službenih statistika za donošenje politika. </w:t>
      </w:r>
    </w:p>
    <w:p>
      <w:pPr>
        <w:pBdr>
          <w:top w:val="nil"/>
          <w:left w:val="nil"/>
          <w:bottom w:val="nil"/>
          <w:right w:val="nil"/>
          <w:between w:val="nil"/>
          <w:bar w:val="nil"/>
        </w:pBdr>
        <w:spacing w:before="0"/>
        <w:rPr>
          <w:noProof/>
        </w:rPr>
      </w:pPr>
      <w:r>
        <w:rPr>
          <w:noProof/>
        </w:rPr>
        <w:t>Inicijativom će se posebno podržati politike Unije u sljedećim područjima:</w:t>
      </w:r>
    </w:p>
    <w:p>
      <w:pPr>
        <w:pStyle w:val="Tiret0"/>
        <w:rPr>
          <w:noProof/>
        </w:rPr>
      </w:pPr>
      <w:r>
        <w:rPr>
          <w:noProof/>
        </w:rPr>
        <w:t>u skladu s ključnim prioritetima o rastu i stvaranju radnih mjesta, vještinama, mobilnosti i smanjenju siromaštva i socijalne isključenosti, socijalnim pokazateljima trebalo bi se pridonijeti jačanju socijalne dimenzije EU-a, europske monetarne unije i analize društvenog učinka makroekonomskih politika,</w:t>
      </w:r>
    </w:p>
    <w:p>
      <w:pPr>
        <w:pStyle w:val="Tiret0"/>
        <w:rPr>
          <w:noProof/>
        </w:rPr>
      </w:pPr>
      <w:r>
        <w:rPr>
          <w:noProof/>
        </w:rPr>
        <w:t>u cilju podupiranja prioriteta „poticanje zapošljavanja, rasta i ulaganja”, potrebne su daljnje statističke aktivnosti za analizu učinka tehnoloških promjena i inovacija na rast i zapošljavanje te za uspostavu sustava praćenja kružnog gospodarstva,</w:t>
      </w:r>
    </w:p>
    <w:p>
      <w:pPr>
        <w:pStyle w:val="Tiret0"/>
        <w:rPr>
          <w:noProof/>
        </w:rPr>
      </w:pPr>
      <w:r>
        <w:rPr>
          <w:noProof/>
        </w:rPr>
        <w:t>kako bi se osigurali bolji statistički dokazi za „europsku energetsku uniju”, potrebni su podrobniji podaci o potrošnji energije i bolje rane procjene energetskih bilanci,</w:t>
      </w:r>
    </w:p>
    <w:p>
      <w:pPr>
        <w:pStyle w:val="Tiret0"/>
        <w:rPr>
          <w:noProof/>
        </w:rPr>
      </w:pPr>
      <w:r>
        <w:rPr>
          <w:noProof/>
        </w:rPr>
        <w:t>za prioritet jedinstvenog digitalnog tržišta potrebna je statistika o prekograničnoj prodaji na internetu. Posebno su potrebne podrobnije informacije o pristupanju uslugama koje pružaju posrednici u distribuciji sadržaja, o povjerenju u internetske platforme i posrednike i o preprekama s kojima se suočavaju kućanstva pri prekograničnoj kupnji,</w:t>
      </w:r>
    </w:p>
    <w:p>
      <w:pPr>
        <w:pStyle w:val="Tiret0"/>
        <w:rPr>
          <w:noProof/>
        </w:rPr>
      </w:pPr>
      <w:r>
        <w:rPr>
          <w:noProof/>
        </w:rPr>
        <w:t>za podupiranje prioriteta „bolje povezana i pravednija ekonomska i monetarna unija” u kontekstu ocjenjivanja strukturnih reformi država članica sve važniji postaju usklađeni indeks cijena stambenih jedinica i povezane statistike. Korisnici zbog toga traže ulaganje dodatnih napora u proširenje njihova opsega i kvalitete i</w:t>
      </w:r>
    </w:p>
    <w:p>
      <w:pPr>
        <w:pStyle w:val="Tiret0"/>
        <w:rPr>
          <w:noProof/>
        </w:rPr>
      </w:pPr>
      <w:r>
        <w:rPr>
          <w:noProof/>
        </w:rPr>
        <w:t>u cilju „jačanja uloge EU-a kao globalnog dionika” i u skladu s Programom za održivi razvoj do 2030., statistikom bi se trebalo pomoći EU-u u upravljanju učinkom njegovih vanjskih politika i programa pomoći i u praćenju tog učinka te pridonijeti dobrom upravljanju i demokratskoj raspravi s partnerskim zemljama.</w:t>
      </w:r>
    </w:p>
    <w:p>
      <w:pPr>
        <w:pStyle w:val="ManualHeading1"/>
        <w:spacing w:before="0" w:after="240"/>
        <w:rPr>
          <w:noProof/>
        </w:rPr>
      </w:pPr>
      <w:r>
        <w:rPr>
          <w:noProof/>
        </w:rPr>
        <w:t>2.</w:t>
      </w:r>
      <w:r>
        <w:rPr>
          <w:noProof/>
        </w:rPr>
        <w:tab/>
        <w:t>PRAVNA OSNOVA, SUPSIDIJARNOST I PROPORCIONALNOST</w:t>
      </w:r>
    </w:p>
    <w:p>
      <w:pPr>
        <w:pStyle w:val="ManualHeading2"/>
        <w:spacing w:before="0" w:after="240"/>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noProof/>
        </w:rPr>
      </w:pPr>
      <w:r>
        <w:rPr>
          <w:noProof/>
        </w:rPr>
        <w:t>Pravna osnova prijedloga iz Ugovora jest članak 338. Ugovora o funkcioniranju Europske unije u skladu s kojim Europski parlament i Vijeće mogu donijeti mjere za izradu statistika kada je to potrebno za obavljanje djelatnosti Unije. Tim se člankom određuju zahtjevi povezani s izradom europskih statistika i propisuje obveza poštovanja standarda nepristranosti, pouzdanosti, objektivnosti, znanstvene nezavisnosti, učinkovitosti u odnosu na troškove i statističke povjerljivosti.</w:t>
      </w:r>
    </w:p>
    <w:p>
      <w:pPr>
        <w:pStyle w:val="ManualHeading2"/>
        <w:spacing w:before="0" w:after="240"/>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Načelo supsidijarnosti primjenjuje se u mjeri u kojoj prijedlog ne potpada pod isključivu nadležnost EU-a. Podjela nadležnosti između EU-a i država članica opravdana je potrebom za osiguravanjem visokokvalitetnih i usporedivih statistika kojima se podupiru politike EU-a i transnacionalnim karakterom mnogih aspekata statistike općenito i posebno europske statistike. Stoga se samo koordiniranim pristupom razvoju, izradi i diseminaciji europskih statistika, kako je predviđeno u ESP-u, jamči potrebna usklađenost i usporedivost statistika koje su relevantne za obavljanje djelatnosti EU-a.</w:t>
      </w:r>
    </w:p>
    <w:p>
      <w:pPr>
        <w:pBdr>
          <w:top w:val="nil"/>
          <w:left w:val="nil"/>
          <w:bottom w:val="nil"/>
          <w:right w:val="nil"/>
          <w:between w:val="nil"/>
          <w:bar w:val="nil"/>
        </w:pBdr>
        <w:spacing w:before="0" w:after="240"/>
        <w:rPr>
          <w:noProof/>
        </w:rPr>
      </w:pPr>
      <w:r>
        <w:rPr>
          <w:noProof/>
        </w:rPr>
        <w:t xml:space="preserve">Cilj predložene mjere, odnosno razvoj, izrada i diseminacija europskih statistika u okviru produljenog ESP-a za razdoblje od 2018. do 2020., države članice ne mogu dostatno postići te se on stoga može bolje postići na razini EU-a na temelju pravnog akta EU-a kojim će se osigurati nužna usporedivost statističkih podataka na europskoj razini u svim statističkim područjima obuhvaćenima ovim aktom. Prikupljanje podataka samo po sebi mogu obavljati države članice. </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rPr>
          <w:noProof/>
        </w:rPr>
      </w:pPr>
      <w:r>
        <w:rPr>
          <w:noProof/>
        </w:rPr>
        <w:t>Prijedlog je u skladu s načelom proporcionalnosti iz sljedećih razloga:</w:t>
      </w:r>
    </w:p>
    <w:p>
      <w:pPr>
        <w:pBdr>
          <w:top w:val="nil"/>
          <w:left w:val="nil"/>
          <w:bottom w:val="nil"/>
          <w:right w:val="nil"/>
          <w:between w:val="nil"/>
          <w:bar w:val="nil"/>
        </w:pBdr>
        <w:spacing w:before="0" w:after="240"/>
        <w:rPr>
          <w:rFonts w:eastAsia="Arial Unicode MS"/>
          <w:noProof/>
        </w:rPr>
      </w:pPr>
      <w:r>
        <w:rPr>
          <w:noProof/>
        </w:rPr>
        <w:t>U skladu s načelom proporcionalnosti prijedlog uredbe ograničen je na minimum koji je potreban za postizanje njegova cilja i njime se ne prelazi ono što je nužno za tu svrhu. Posebni ciljevi za predloženo produljenje programa jednaki su kao i za trenutačni program (2013. – 2017.). Oni su opisani i detaljno isplanirani u godišnjim statističkim programima rada Komisije koji se izrađuju u bliskoj suradnji s državama članicama i donose uzimajući u obzir mišljenje Odbora za ESS. Novi statistički zahtjevi koji imaju učinak na države članice izradit će se uz rano i izravno sudjelovanje država članica.</w:t>
      </w:r>
    </w:p>
    <w:p>
      <w:pPr>
        <w:pStyle w:val="ManualHeading2"/>
        <w:spacing w:before="0" w:after="240"/>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rPr>
      </w:pPr>
      <w:r>
        <w:rPr>
          <w:noProof/>
        </w:rPr>
        <w:t>Predloženi instrument: uredba.</w:t>
      </w:r>
    </w:p>
    <w:p>
      <w:pPr>
        <w:pBdr>
          <w:top w:val="nil"/>
          <w:left w:val="nil"/>
          <w:bottom w:val="nil"/>
          <w:right w:val="nil"/>
          <w:between w:val="nil"/>
          <w:bar w:val="nil"/>
        </w:pBdr>
        <w:spacing w:before="0" w:after="240"/>
        <w:rPr>
          <w:rFonts w:eastAsia="Arial Unicode MS"/>
          <w:noProof/>
        </w:rPr>
      </w:pPr>
      <w:r>
        <w:rPr>
          <w:noProof/>
        </w:rPr>
        <w:t>Predlaže se izmjena Uredbe (EU) br. 99/2013 Europskog parlamenta i Vijeća o europskome statističkom programu od 2013. do 2017.</w:t>
      </w:r>
      <w:r>
        <w:rPr>
          <w:rStyle w:val="FootnoteReference"/>
          <w:noProof/>
        </w:rPr>
        <w:footnoteReference w:id="4"/>
      </w:r>
      <w:r>
        <w:rPr>
          <w:noProof/>
        </w:rPr>
        <w:t xml:space="preserve"> njegovim produljenjem na razdoblje od 2018. do 2020.</w:t>
      </w:r>
    </w:p>
    <w:p>
      <w:pPr>
        <w:pStyle w:val="ManualHeading1"/>
        <w:spacing w:before="0" w:after="240"/>
        <w:rPr>
          <w:noProof/>
        </w:rPr>
      </w:pPr>
      <w:r>
        <w:rPr>
          <w:noProof/>
        </w:rPr>
        <w:t>3.</w:t>
      </w:r>
      <w:r>
        <w:rPr>
          <w:noProof/>
        </w:rPr>
        <w:tab/>
        <w:t xml:space="preserve">REZULTATI </w:t>
      </w:r>
      <w:r>
        <w:rPr>
          <w:i/>
          <w:noProof/>
        </w:rPr>
        <w:t>EX POST</w:t>
      </w:r>
      <w:r>
        <w:rPr>
          <w:noProof/>
        </w:rPr>
        <w:t xml:space="preserve"> EVALUACIJA, SAVJETOVANJA S DIONICIMA I PROCJENA UČINAKA</w:t>
      </w:r>
    </w:p>
    <w:p>
      <w:pPr>
        <w:pStyle w:val="ManualHeading2"/>
        <w:spacing w:before="0" w:after="240"/>
        <w:rPr>
          <w:rFonts w:eastAsia="Arial Unicode MS"/>
          <w:noProof/>
          <w:u w:color="000000"/>
          <w:bdr w:val="nil"/>
        </w:rPr>
      </w:pPr>
      <w:r>
        <w:rPr>
          <w:noProof/>
        </w:rPr>
        <w:t>•</w:t>
      </w:r>
      <w:r>
        <w:rPr>
          <w:noProof/>
        </w:rPr>
        <w:tab/>
      </w:r>
      <w:r>
        <w:rPr>
          <w:i/>
          <w:noProof/>
          <w:u w:color="000000"/>
          <w:bdr w:val="nil"/>
        </w:rPr>
        <w:t>Ex post</w:t>
      </w:r>
      <w:r>
        <w:rPr>
          <w:noProof/>
        </w:rPr>
        <w:t xml:space="preserve"> evaluacije / provjere primjerenosti postojećeg zakonodavstva</w:t>
      </w:r>
    </w:p>
    <w:p>
      <w:pPr>
        <w:pBdr>
          <w:top w:val="nil"/>
          <w:left w:val="nil"/>
          <w:bottom w:val="nil"/>
          <w:right w:val="nil"/>
          <w:between w:val="nil"/>
          <w:bar w:val="nil"/>
        </w:pBdr>
        <w:spacing w:before="0" w:after="240"/>
        <w:rPr>
          <w:noProof/>
        </w:rPr>
      </w:pPr>
      <w:r>
        <w:rPr>
          <w:noProof/>
        </w:rPr>
        <w:t>Detaljno su se analizirale evaluacija statističkog programa Zajednice za razdoblje od 2008. do 2012.</w:t>
      </w:r>
      <w:r>
        <w:rPr>
          <w:rStyle w:val="FootnoteReference"/>
          <w:noProof/>
        </w:rPr>
        <w:footnoteReference w:id="5"/>
      </w:r>
      <w:r>
        <w:rPr>
          <w:noProof/>
        </w:rPr>
        <w:t>, srednjoročna evaluacija ESP-a za razdoblje od 2013. do 2017. i završne evaluacije Programa za modernizaciju europskih statistika o poduzećima i trgovini (MEETS).</w:t>
      </w:r>
    </w:p>
    <w:p>
      <w:pPr>
        <w:pBdr>
          <w:top w:val="nil"/>
          <w:left w:val="nil"/>
          <w:bottom w:val="nil"/>
          <w:right w:val="nil"/>
          <w:between w:val="nil"/>
          <w:bar w:val="nil"/>
        </w:pBdr>
        <w:spacing w:before="0"/>
        <w:rPr>
          <w:noProof/>
        </w:rPr>
      </w:pPr>
      <w:r>
        <w:rPr>
          <w:noProof/>
        </w:rPr>
        <w:t>Zaključak je srednjoročne evaluacije ESP-a za razdoblje 2013. – 2017. da se program u načelu dobro provodi te da je ostvaren dobar napredak u pogledu ostvarenja 17 od 23 detaljna cilja. ESP nudi dobru dodanu vrijednost EU-a, njime se učinkovito upravlja, u skladu je s potrebama korisnika i drugim statističkim programima. Na primjer, prelaskom na nove metode izrade statistika pridonosi se pristupima koji se upotrebljavaju u cijelom ESS-u. U evaluaciji su navedene tri preporuke za usmjeravanje i daljnje poboljšanje provedbe ESP-a:</w:t>
      </w:r>
    </w:p>
    <w:p>
      <w:pPr>
        <w:pStyle w:val="Tiret0"/>
        <w:rPr>
          <w:noProof/>
        </w:rPr>
      </w:pPr>
      <w:r>
        <w:rPr>
          <w:noProof/>
        </w:rPr>
        <w:t>posebnu pozornost posvetiti ciljevima u pogledu kojih je bilo problema,</w:t>
      </w:r>
    </w:p>
    <w:p>
      <w:pPr>
        <w:pStyle w:val="Tiret0"/>
        <w:rPr>
          <w:noProof/>
        </w:rPr>
      </w:pPr>
      <w:r>
        <w:rPr>
          <w:noProof/>
        </w:rPr>
        <w:t>osigurati dovoljne resurse za održavanje potrebne razine ulaganja za modernizaciju izrade europskih statistika i</w:t>
      </w:r>
    </w:p>
    <w:p>
      <w:pPr>
        <w:pStyle w:val="Tiret0"/>
        <w:rPr>
          <w:noProof/>
        </w:rPr>
      </w:pPr>
      <w:r>
        <w:rPr>
          <w:noProof/>
        </w:rPr>
        <w:t>utvrditi i provoditi projekte na razini EU-a kojima se može ostvariti najveća moguća dodana vrijednost EU-a.</w:t>
      </w:r>
    </w:p>
    <w:p>
      <w:pPr>
        <w:pBdr>
          <w:top w:val="nil"/>
          <w:left w:val="nil"/>
          <w:bottom w:val="nil"/>
          <w:right w:val="nil"/>
          <w:between w:val="nil"/>
          <w:bar w:val="nil"/>
        </w:pBdr>
        <w:spacing w:before="0" w:after="240"/>
        <w:rPr>
          <w:noProof/>
        </w:rPr>
      </w:pPr>
      <w:r>
        <w:rPr>
          <w:noProof/>
        </w:rPr>
        <w:t>Prethodno navedene preporuke pažljivo su se analizirale i uzele u obzir u ovom prijedlogu.</w:t>
      </w:r>
    </w:p>
    <w:p>
      <w:pPr>
        <w:pStyle w:val="ManualHeading2"/>
        <w:spacing w:before="0" w:after="240"/>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noProof/>
        </w:rPr>
      </w:pPr>
      <w:r>
        <w:rPr>
          <w:noProof/>
        </w:rPr>
        <w:t>Strategija za savjetovanje o prijedlogu za produljenje ESP-a za razdoblje 2013. – 2017. izrađena je u ranoj fazi u cilju prikupljanja doprinosa i stajališta što većeg broja dionika. U tom kontekstu, i na temelju intenzivnih savjetovanja s različitim skupinama dionika od 2014. nadalje, Eurostat je predložio sveobuhvatan pristup savjetovanju dionicima u okviru procjene učinka.</w:t>
      </w:r>
    </w:p>
    <w:p>
      <w:pPr>
        <w:pBdr>
          <w:top w:val="nil"/>
          <w:left w:val="nil"/>
          <w:bottom w:val="nil"/>
          <w:right w:val="nil"/>
          <w:between w:val="nil"/>
          <w:bar w:val="nil"/>
        </w:pBdr>
        <w:spacing w:before="0" w:after="240"/>
        <w:rPr>
          <w:noProof/>
        </w:rPr>
      </w:pPr>
      <w:r>
        <w:rPr>
          <w:noProof/>
        </w:rPr>
        <w:t>Savjetovanja s dionicima obavljena su u skladu sa strategijom i općim načelima te u skladu s minimalnim standardima koje je Komisija utvrdila u svojim smjernicama o savjetovanju s dionicima. Glavni elementi strategije bili su niz ciljanih savjetovanja s ključnim dionicima i javno savjetovanje</w:t>
      </w:r>
      <w:r>
        <w:rPr>
          <w:rStyle w:val="FootnoteReference"/>
          <w:noProof/>
        </w:rPr>
        <w:footnoteReference w:id="6"/>
      </w:r>
      <w:r>
        <w:rPr>
          <w:noProof/>
        </w:rPr>
        <w:t xml:space="preserve"> kako bi se osiguralo da su sve zainteresirane stranke imale priliku izraziti svoja stajališta.</w:t>
      </w:r>
    </w:p>
    <w:p>
      <w:pPr>
        <w:pBdr>
          <w:top w:val="nil"/>
          <w:left w:val="nil"/>
          <w:bottom w:val="nil"/>
          <w:right w:val="nil"/>
          <w:between w:val="nil"/>
          <w:bar w:val="nil"/>
        </w:pBdr>
        <w:spacing w:before="0" w:after="240"/>
        <w:rPr>
          <w:noProof/>
        </w:rPr>
      </w:pPr>
      <w:r>
        <w:rPr>
          <w:noProof/>
        </w:rPr>
        <w:t xml:space="preserve">Budući da je postojeći ESP za razdoblje 2013. – 2017. izrađen 2010. – 2011., smatralo se važnim prikupiti doprinose dionika kako bi se mogle utvrditi promjene koje su u međuvremenu nastale i koje bi trebalo uzeti u obzir za produljenje programa. One su uključivale političke, gospodarske i društvene promjene te promjene u području tehnologije, statistike i metodologije. Potom je provedeno ocjenjivanje prioriteta za europsku statistiku do 2020., posebno sa stajališta korisnika. Naposljetku, tražile su se povratne informacije o učinku predloženih mjera na korisnike i izrađivače statistika te na ispitanike (posebno poduzeća) i utvrđene su poteškoće koje će trebati prevladati za potrebe njihove provedbe. Savjetovanja su bila usmjerena i na učinak različitih mogućnosti politika na produljenje ESP-a. </w:t>
      </w:r>
    </w:p>
    <w:p>
      <w:pPr>
        <w:pBdr>
          <w:top w:val="nil"/>
          <w:left w:val="nil"/>
          <w:bottom w:val="nil"/>
          <w:right w:val="nil"/>
          <w:between w:val="nil"/>
          <w:bar w:val="nil"/>
        </w:pBdr>
        <w:spacing w:before="0"/>
        <w:rPr>
          <w:noProof/>
        </w:rPr>
      </w:pPr>
      <w:r>
        <w:rPr>
          <w:noProof/>
        </w:rPr>
        <w:t>U strategiji savjetovanja utvrđene su i prikazane kategorije i skupine dionika kako bi sve bile dostatno pokrivene. One su obuhvaćale institucionalne i neinstitucionalne korisnike europskih statistika, izrađivače (nacionalni zavodi za statistiku i ostala nacionalna tijela), ispitanike (poduzeća i kućanstva) i opću javnost. Opsežno savjetovanje s različitim kategorijama dionika koje je počelo 2014. i nastavilo se tijekom 2015. obuhvaćalo je sljedeće:</w:t>
      </w:r>
    </w:p>
    <w:p>
      <w:pPr>
        <w:pStyle w:val="Tiret0"/>
        <w:rPr>
          <w:noProof/>
        </w:rPr>
      </w:pPr>
      <w:r>
        <w:rPr>
          <w:noProof/>
        </w:rPr>
        <w:t xml:space="preserve">konferenciju korisnika i dionika europske statistike, </w:t>
      </w:r>
    </w:p>
    <w:p>
      <w:pPr>
        <w:pStyle w:val="Tiret0"/>
        <w:rPr>
          <w:noProof/>
        </w:rPr>
      </w:pPr>
      <w:r>
        <w:rPr>
          <w:noProof/>
        </w:rPr>
        <w:t>savjetovanje s glavnim upravama Komisije,</w:t>
      </w:r>
    </w:p>
    <w:p>
      <w:pPr>
        <w:pStyle w:val="Tiret0"/>
        <w:rPr>
          <w:noProof/>
        </w:rPr>
      </w:pPr>
      <w:r>
        <w:rPr>
          <w:noProof/>
        </w:rPr>
        <w:t>savjetovanje s izrađivačima / nacionalnim zavodima za statistiku i</w:t>
      </w:r>
    </w:p>
    <w:p>
      <w:pPr>
        <w:pStyle w:val="Tiret0"/>
        <w:rPr>
          <w:noProof/>
        </w:rPr>
      </w:pPr>
      <w:r>
        <w:rPr>
          <w:noProof/>
        </w:rPr>
        <w:t xml:space="preserve">javno savjetovanje usmjereno na promjene u općem okruženju koje bi mogle utjecati na prioritete ESP-a za razdoblje 2018. – 2020. i učinak različitih mogućnosti. </w:t>
      </w:r>
    </w:p>
    <w:p>
      <w:pPr>
        <w:pBdr>
          <w:top w:val="nil"/>
          <w:left w:val="nil"/>
          <w:bottom w:val="nil"/>
          <w:right w:val="nil"/>
          <w:between w:val="nil"/>
          <w:bar w:val="nil"/>
        </w:pBdr>
        <w:spacing w:before="0" w:after="240"/>
        <w:rPr>
          <w:noProof/>
        </w:rPr>
      </w:pPr>
      <w:r>
        <w:rPr>
          <w:noProof/>
        </w:rPr>
        <w:t>Komisija se u ranoj fazi priprema ESP-a</w:t>
      </w:r>
      <w:r>
        <w:rPr>
          <w:rStyle w:val="FootnoteReference"/>
          <w:noProof/>
        </w:rPr>
        <w:footnoteReference w:id="7"/>
      </w:r>
      <w:r>
        <w:rPr>
          <w:noProof/>
        </w:rPr>
        <w:t>, ali i redovito, savjetovala sa Savjetodavnim odborom za europsku statistiku koji zastupa korisnike i ispitanike na europskoj razini i čiji su članovi priznati stručnjaci u području statistike. Odbor je istaknuo da postoji jasna potreba za smanjenjem opterećenja ispitanika, poboljšanjem pravodobnosti i uključivanjem novih izvora podataka izvan ESS-a te za osiguravanjem dovoljnih resursa za mjerenje novih politika.</w:t>
      </w:r>
    </w:p>
    <w:p>
      <w:pPr>
        <w:pBdr>
          <w:top w:val="nil"/>
          <w:left w:val="nil"/>
          <w:bottom w:val="nil"/>
          <w:right w:val="nil"/>
          <w:between w:val="nil"/>
          <w:bar w:val="nil"/>
        </w:pBdr>
        <w:spacing w:before="0" w:after="240"/>
        <w:rPr>
          <w:noProof/>
        </w:rPr>
      </w:pPr>
      <w:r>
        <w:rPr>
          <w:noProof/>
        </w:rPr>
        <w:t>Povrh vanjskih savjetovanja Komisija je izvršila i unutarnju procjenu svojih statističkih potreba ističući da se te potrebe neće smanjiti tijekom razdoblja produljenja od 2018. do 2020. Trebat će zadržati trenutačnu razinu statističkih informacija koje su važne za oblikovanje, analizu i praćenje politike. Trebalo bi popuniti praznine u podacima, obuhvatiti nove potrebe u nekim posebnim područjima politika i osigurati pravodobno dostavljanje podataka i dodatne zemljopisne podjele. Nove potrebe odnose se u većini slučajeva na 10 političkih prioriteta utvrđenih u političkim smjernicama Komisije za razdoblje od 2014. do 2019. Nadalje, potrebno je djelotvornije iskoristiti nove izvore podataka (npr. „velike podatke”), čime bi se dugoročno mogla povećati učinkovitost. Posebna područja koja treba razvijati jesu socijalna (među ostalim migracije, zdravlje i spol) i poslovna statistika. Zbog promjena u strukturi europskih energetskih tržišta nužno je pojednostavniti energetsku statistiku u cilju pružanja pravodobnih, usporedivih i dovoljno detaljnih podataka u kontekstu energetske unije i klimatske politike.</w:t>
      </w:r>
    </w:p>
    <w:p>
      <w:pPr>
        <w:pBdr>
          <w:top w:val="nil"/>
          <w:left w:val="nil"/>
          <w:bottom w:val="nil"/>
          <w:right w:val="nil"/>
          <w:between w:val="nil"/>
          <w:bar w:val="nil"/>
        </w:pBdr>
        <w:spacing w:before="0"/>
        <w:rPr>
          <w:noProof/>
        </w:rPr>
      </w:pPr>
      <w:r>
        <w:rPr>
          <w:noProof/>
        </w:rPr>
        <w:t>Analizom povratnih informacija različitih skupina dionika utvrđene su osnovne razlike:</w:t>
      </w:r>
    </w:p>
    <w:p>
      <w:pPr>
        <w:pStyle w:val="Tiret0"/>
        <w:rPr>
          <w:noProof/>
        </w:rPr>
      </w:pPr>
      <w:r>
        <w:rPr>
          <w:noProof/>
        </w:rPr>
        <w:t>korisnici traže statističke proizvode najveće moguće kvalitete, među ostalim u pogledu relevantnosti, pravodobnosti, pokrivenosti i usporedivosti, dok se,</w:t>
      </w:r>
    </w:p>
    <w:p>
      <w:pPr>
        <w:pStyle w:val="Tiret0"/>
        <w:rPr>
          <w:noProof/>
        </w:rPr>
      </w:pPr>
      <w:r>
        <w:rPr>
          <w:noProof/>
        </w:rPr>
        <w:t xml:space="preserve">s obzirom na ograničene resurse, izrađivači suočavaju s nizom izazova u pogledu zadovoljavanja potražnje. </w:t>
      </w:r>
    </w:p>
    <w:p>
      <w:pPr>
        <w:pBdr>
          <w:top w:val="nil"/>
          <w:left w:val="nil"/>
          <w:bottom w:val="nil"/>
          <w:right w:val="nil"/>
          <w:between w:val="nil"/>
          <w:bar w:val="nil"/>
        </w:pBdr>
        <w:spacing w:before="0" w:after="240"/>
        <w:rPr>
          <w:noProof/>
        </w:rPr>
      </w:pPr>
      <w:r>
        <w:rPr>
          <w:noProof/>
        </w:rPr>
        <w:t>Sve skupine istaknule su da je potrebno dodatno modernizirati postupke izrade statistika.</w:t>
      </w:r>
    </w:p>
    <w:p>
      <w:pPr>
        <w:pBdr>
          <w:top w:val="nil"/>
          <w:left w:val="nil"/>
          <w:bottom w:val="nil"/>
          <w:right w:val="nil"/>
          <w:between w:val="nil"/>
          <w:bar w:val="nil"/>
        </w:pBdr>
        <w:spacing w:before="0" w:after="240"/>
        <w:rPr>
          <w:rFonts w:eastAsia="Arial Unicode MS"/>
          <w:noProof/>
        </w:rPr>
      </w:pPr>
      <w:r>
        <w:rPr>
          <w:noProof/>
        </w:rPr>
        <w:t>Podrobno su se proučavali rezultati savjetovanja s dionicima i upotrijebili za analizu mogućnosti politika u kontekstu procjene učinka. Mogućnost politike kojoj se daje prednost, kako je istaknuto u prijedlogu, imala bi najveći učinak u pogledu sposobnosti za brže prikupljanje podataka, što je od ključne važnosti za zadovoljavanje osnovnih potreba korisnika. Prijedlog uključuje i nove mjere za poboljšanje relevantnosti i pravodobnosti socijalne i energetske statistike te za iskorištavanje novih izvora podataka, među ostalim „velikih podataka”. Ističu se projekti modernizacije za poboljšanje fleksibilnosti sustava izrade statistika i smanjenje dugoročnih troškova izrađivača i administrativnog opterećenja ispitanika.</w:t>
      </w:r>
    </w:p>
    <w:p>
      <w:pPr>
        <w:pStyle w:val="ManualHeading2"/>
        <w:spacing w:before="0" w:after="240"/>
        <w:rPr>
          <w:rFonts w:eastAsia="Arial Unicode MS"/>
          <w:noProof/>
          <w:u w:color="000000"/>
          <w:bdr w:val="nil"/>
        </w:rPr>
      </w:pPr>
      <w:r>
        <w:rPr>
          <w:noProof/>
        </w:rPr>
        <w:t>•</w:t>
      </w:r>
      <w:r>
        <w:rPr>
          <w:noProof/>
        </w:rPr>
        <w:tab/>
        <w:t>Prikupljanje i primjena stručnog znanja</w:t>
      </w:r>
    </w:p>
    <w:p>
      <w:pPr>
        <w:pBdr>
          <w:top w:val="nil"/>
          <w:left w:val="nil"/>
          <w:bottom w:val="nil"/>
          <w:right w:val="nil"/>
          <w:between w:val="nil"/>
          <w:bar w:val="nil"/>
        </w:pBdr>
        <w:spacing w:before="0" w:after="240"/>
        <w:rPr>
          <w:noProof/>
        </w:rPr>
      </w:pPr>
      <w:r>
        <w:rPr>
          <w:noProof/>
        </w:rPr>
        <w:t>Nije primjenjivo</w:t>
      </w:r>
    </w:p>
    <w:p>
      <w:pPr>
        <w:pStyle w:val="ManualHeading2"/>
        <w:spacing w:before="0" w:after="240"/>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noProof/>
        </w:rPr>
      </w:pPr>
      <w:r>
        <w:rPr>
          <w:noProof/>
        </w:rPr>
        <w:t>Provedena je procjena učinka</w:t>
      </w:r>
      <w:r>
        <w:rPr>
          <w:rStyle w:val="FootnoteReference"/>
          <w:noProof/>
        </w:rPr>
        <w:footnoteReference w:id="8"/>
      </w:r>
      <w:r>
        <w:rPr>
          <w:noProof/>
        </w:rPr>
        <w:t xml:space="preserve"> ovog prijedloga. Odbor za nadzor regulative dao je 18. ožujka 2016. pozitivno mišljenje o izvješću o procjeni učinka. </w:t>
      </w:r>
    </w:p>
    <w:p>
      <w:pPr>
        <w:pBdr>
          <w:top w:val="nil"/>
          <w:left w:val="nil"/>
          <w:bottom w:val="nil"/>
          <w:right w:val="nil"/>
          <w:between w:val="nil"/>
          <w:bar w:val="nil"/>
        </w:pBdr>
        <w:spacing w:before="0"/>
        <w:rPr>
          <w:noProof/>
        </w:rPr>
      </w:pPr>
      <w:r>
        <w:rPr>
          <w:noProof/>
        </w:rPr>
        <w:t>Budući da je uspostava višegodišnjeg ESP-a uvjet u skladu s člankom 13. stavkom 1. Uredbe (EZ) br. 223/2009, procjenom učinka nije se ispitivalo treba li ESP produljiti već kako se to može najbolje učiniti. Budući da se prijedlogom produljuje postojeći ESP (2013. – 2017)., za sve mogućnosti politike za razdoblje od 2018. do 2020. preuzeti su postojeći posebni ciljevi:</w:t>
      </w:r>
    </w:p>
    <w:p>
      <w:pPr>
        <w:pStyle w:val="Tiret0"/>
        <w:rPr>
          <w:noProof/>
        </w:rPr>
      </w:pPr>
      <w:r>
        <w:rPr>
          <w:noProof/>
        </w:rPr>
        <w:t>Cilj 1.: osiguranje visokokvalitetnih statističkih podataka koji su nužni za podupiranje razvoja, praćenja i evaluacije politika EU-a i kojima se zadovoljavaju potrebe širokog raspona korisnika.</w:t>
      </w:r>
    </w:p>
    <w:p>
      <w:pPr>
        <w:pStyle w:val="Tiret0"/>
        <w:rPr>
          <w:noProof/>
        </w:rPr>
      </w:pPr>
      <w:r>
        <w:rPr>
          <w:noProof/>
        </w:rPr>
        <w:t>Cilj 2.: provođenje novih načina izrade europskih statistika čiji je cilj povećanje učinkovitosti i unapređenje kvalitete.</w:t>
      </w:r>
    </w:p>
    <w:p>
      <w:pPr>
        <w:pStyle w:val="Tiret0"/>
        <w:rPr>
          <w:noProof/>
        </w:rPr>
      </w:pPr>
      <w:r>
        <w:rPr>
          <w:noProof/>
        </w:rPr>
        <w:t>Cilj 3.: jačanje partnerstva u okviru europskog statističkog sustava i izvan njega radi daljnjeg povećanja njegove produktivnosti i njegove vodeće uloge u službenoj statistici diljem svijeta.</w:t>
      </w:r>
    </w:p>
    <w:p>
      <w:pPr>
        <w:rPr>
          <w:noProof/>
        </w:rPr>
      </w:pPr>
      <w:r>
        <w:rPr>
          <w:noProof/>
        </w:rPr>
        <w:t>Razmatrale su se sljedeće mogućnosti politike:</w:t>
      </w:r>
    </w:p>
    <w:p>
      <w:pPr>
        <w:pStyle w:val="ManualHeading3"/>
        <w:tabs>
          <w:tab w:val="clear" w:pos="850"/>
        </w:tabs>
        <w:spacing w:before="0" w:after="240"/>
        <w:ind w:left="1134" w:hanging="1134"/>
        <w:rPr>
          <w:noProof/>
        </w:rPr>
      </w:pPr>
      <w:r>
        <w:rPr>
          <w:noProof/>
        </w:rPr>
        <w:t xml:space="preserve">Mogućnost 1.: </w:t>
      </w:r>
      <w:r>
        <w:rPr>
          <w:noProof/>
        </w:rPr>
        <w:tab/>
        <w:t>Isti ESP (2013. – 2017.) produljen na razdoblje 2018. – 2020. (osnovni scenarij)</w:t>
      </w:r>
    </w:p>
    <w:p>
      <w:pPr>
        <w:pBdr>
          <w:top w:val="nil"/>
          <w:left w:val="nil"/>
          <w:bottom w:val="nil"/>
          <w:right w:val="nil"/>
          <w:between w:val="nil"/>
          <w:bar w:val="nil"/>
        </w:pBdr>
        <w:spacing w:before="0" w:after="240"/>
        <w:rPr>
          <w:noProof/>
        </w:rPr>
      </w:pPr>
      <w:r>
        <w:rPr>
          <w:noProof/>
        </w:rPr>
        <w:t xml:space="preserve">Ova mogućnost smatrala se osnovnim scenarijem s kojim su uspoređene ostale mogućnosti. Ona ne uključuje promjene u pogledu planiranih statistika (cilj 1.), okvira za prilagodbu statističke infrastrukture (cilj 2.) ili partnerstava (cilj 3.) </w:t>
      </w:r>
    </w:p>
    <w:p>
      <w:pPr>
        <w:pStyle w:val="ManualHeading3"/>
        <w:tabs>
          <w:tab w:val="clear" w:pos="850"/>
        </w:tabs>
        <w:spacing w:before="0" w:after="240"/>
        <w:ind w:left="1134" w:hanging="1134"/>
        <w:rPr>
          <w:noProof/>
        </w:rPr>
      </w:pPr>
      <w:r>
        <w:rPr>
          <w:noProof/>
        </w:rPr>
        <w:t xml:space="preserve">Mogućnost 2.: </w:t>
      </w:r>
      <w:r>
        <w:rPr>
          <w:noProof/>
        </w:rPr>
        <w:tab/>
        <w:t>Produljenje postojećeg ESP-a uz prilagodbe</w:t>
      </w:r>
    </w:p>
    <w:p>
      <w:pPr>
        <w:pBdr>
          <w:top w:val="nil"/>
          <w:left w:val="nil"/>
          <w:bottom w:val="nil"/>
          <w:right w:val="nil"/>
          <w:between w:val="nil"/>
          <w:bar w:val="nil"/>
        </w:pBdr>
        <w:spacing w:before="0" w:after="240"/>
        <w:rPr>
          <w:noProof/>
        </w:rPr>
      </w:pPr>
      <w:r>
        <w:rPr>
          <w:noProof/>
        </w:rPr>
        <w:t xml:space="preserve">Ova mogućnost uključuje program za razdoblje 2018. – 2020. koji će zadržati strukturu postojećeg programa uzimajući u obzir moguće načine za iskorištavanje potencijala „velikih podataka” za izradu statistika, program Vizija ESS-a 2020. i nove potrebe korisnika. </w:t>
      </w:r>
    </w:p>
    <w:p>
      <w:pPr>
        <w:pBdr>
          <w:top w:val="nil"/>
          <w:left w:val="nil"/>
          <w:bottom w:val="nil"/>
          <w:right w:val="nil"/>
          <w:between w:val="nil"/>
          <w:bar w:val="nil"/>
        </w:pBdr>
        <w:spacing w:before="0" w:after="240"/>
        <w:rPr>
          <w:noProof/>
        </w:rPr>
      </w:pPr>
      <w:r>
        <w:rPr>
          <w:noProof/>
        </w:rPr>
        <w:t>To bi podrazumijevalo promjene u pogledu sadržaja i proračuna programa. To se u određenoj mjeri može smatrati i promjenom opsega, posebno uz moguću promjenu prioriteta postojećih statističkih rezultata.</w:t>
      </w:r>
    </w:p>
    <w:p>
      <w:pPr>
        <w:pStyle w:val="ManualHeading3"/>
        <w:tabs>
          <w:tab w:val="clear" w:pos="850"/>
        </w:tabs>
        <w:spacing w:before="0" w:after="240"/>
        <w:ind w:left="1134" w:hanging="1134"/>
        <w:rPr>
          <w:noProof/>
        </w:rPr>
      </w:pPr>
      <w:r>
        <w:rPr>
          <w:noProof/>
        </w:rPr>
        <w:t xml:space="preserve">Mogućnost 2.a: </w:t>
      </w:r>
      <w:r>
        <w:rPr>
          <w:noProof/>
        </w:rPr>
        <w:tab/>
        <w:t xml:space="preserve">Izmjena postojećeg ESP i smanjenje godišnjeg proračuna </w:t>
      </w:r>
    </w:p>
    <w:p>
      <w:pPr>
        <w:pBdr>
          <w:top w:val="nil"/>
          <w:left w:val="nil"/>
          <w:bottom w:val="nil"/>
          <w:right w:val="nil"/>
          <w:between w:val="nil"/>
          <w:bar w:val="nil"/>
        </w:pBdr>
        <w:spacing w:before="0" w:after="240"/>
        <w:rPr>
          <w:noProof/>
        </w:rPr>
      </w:pPr>
      <w:r>
        <w:rPr>
          <w:noProof/>
        </w:rPr>
        <w:t>Ova mogućnost razmatrala se na početku, ali je u ranoj fazi odbačena jer se njome ne uklanjaju utvrđeni problemi u dovoljnoj mjeri. Ona bi podrazumijevala drastično smanjenje stupnja ambicioznosti detaljnog cilja „višenamjenske statistike i povećanja učinkovitosti”, posebno za „nove izvore podataka” (nema ulaganja u „velike podatke”) i štetila bi pravodobnosti i relevantnosti podataka.</w:t>
      </w:r>
    </w:p>
    <w:p>
      <w:pPr>
        <w:pBdr>
          <w:top w:val="nil"/>
          <w:left w:val="nil"/>
          <w:bottom w:val="nil"/>
          <w:right w:val="nil"/>
          <w:between w:val="nil"/>
          <w:bar w:val="nil"/>
        </w:pBdr>
        <w:spacing w:before="0" w:after="240"/>
        <w:rPr>
          <w:noProof/>
        </w:rPr>
      </w:pPr>
      <w:r>
        <w:rPr>
          <w:noProof/>
        </w:rPr>
        <w:t>Zaključak je savjetovanja s nacionalnim zavodima za statistiku da bi se ovom mogućnošću zahtjevi cilja 2. zadovoljili u mnogo manjoj mjeri nego što se očekuje od svih država članica. Postoji mogućnost da u nekim zemljama ne bi započela provedba projekta modernizacije. Budući da aktivnosti povezane s provedbom programa Vizija ESS-a 2020. ovise o financiranju ESS-a, njihova bi provedba bez dovoljne proračunske potpore bila ugrožena. Istaknuti su trošak „velikih podataka” (infrastruktura IT-a, naprednije vještine IT-a te statističke i ostale vještine) i razvoj otvorenih podataka.</w:t>
      </w:r>
    </w:p>
    <w:p>
      <w:pPr>
        <w:pStyle w:val="ManualHeading3"/>
        <w:tabs>
          <w:tab w:val="clear" w:pos="850"/>
        </w:tabs>
        <w:spacing w:before="0" w:after="240"/>
        <w:ind w:left="1134" w:hanging="1134"/>
        <w:rPr>
          <w:noProof/>
        </w:rPr>
      </w:pPr>
      <w:r>
        <w:rPr>
          <w:noProof/>
        </w:rPr>
        <w:t xml:space="preserve">Mogućnost 2.b: </w:t>
      </w:r>
      <w:r>
        <w:rPr>
          <w:noProof/>
        </w:rPr>
        <w:tab/>
        <w:t>Izmijenjeni program, uključujući poboljšane statističke rezultate radi usklađivanja statističke izrade s 10 političkih prioriteta Komisije, uravnotežen snažnim ponovnim određivanjem prioriteta (jednaki godišnji proračun kao i postojeći ESP)</w:t>
      </w:r>
    </w:p>
    <w:p>
      <w:pPr>
        <w:pBdr>
          <w:top w:val="nil"/>
          <w:left w:val="nil"/>
          <w:bottom w:val="nil"/>
          <w:right w:val="nil"/>
          <w:between w:val="nil"/>
          <w:bar w:val="nil"/>
        </w:pBdr>
        <w:spacing w:before="0" w:after="240"/>
        <w:rPr>
          <w:noProof/>
        </w:rPr>
      </w:pPr>
      <w:r>
        <w:rPr>
          <w:noProof/>
        </w:rPr>
        <w:t>Ova mogućnost uključivala bi znatno ponovno određivanje prioriteta među postojećim statističkim rezultatima kako bi se olakšalo unaprjeđenje (posebno u pogledu pravodobnosti) statistika u skladu s najhitnijim potrebama korisnika, posebno u pogledu statistike o neravnopravnosti, siromaštvu i materijalnoj deprivaciji, energiji i okolišu. Kako bi se napravilo prostora za nove mjere, trebalo bi znatno smanjiti određena postojeća prikupljanja podataka u pogledu opsega i pokrivenosti (smanjenje količine informacija, zemljopisnih podjela ili učestalosti). Moguća smanjenja postojećih rezultata temeljila bi se na analizi troškova i relativnih koristi tih statistika.</w:t>
      </w:r>
    </w:p>
    <w:p>
      <w:pPr>
        <w:pStyle w:val="ManualHeading3"/>
        <w:tabs>
          <w:tab w:val="clear" w:pos="850"/>
        </w:tabs>
        <w:spacing w:before="0" w:after="240"/>
        <w:ind w:left="1134" w:hanging="1134"/>
        <w:rPr>
          <w:noProof/>
        </w:rPr>
      </w:pPr>
      <w:r>
        <w:rPr>
          <w:noProof/>
        </w:rPr>
        <w:t xml:space="preserve">Mogućnost 2.c: </w:t>
      </w:r>
      <w:r>
        <w:rPr>
          <w:noProof/>
        </w:rPr>
        <w:tab/>
        <w:t>Izmijenjeni program, uključujući nove statističke rezultate radi usklađivanja statističke izrade s 10 političkih prioriteta Komisije, nadopunjen glavnim inicijativama usmjerenima na smanjenje opterećenja ispitanika i troškova za nacionalne zavode za statistiku i povećanim godišnjim proračunom</w:t>
      </w:r>
    </w:p>
    <w:p>
      <w:pPr>
        <w:pBdr>
          <w:top w:val="nil"/>
          <w:left w:val="nil"/>
          <w:bottom w:val="nil"/>
          <w:right w:val="nil"/>
          <w:between w:val="nil"/>
          <w:bar w:val="nil"/>
        </w:pBdr>
        <w:spacing w:before="0"/>
        <w:rPr>
          <w:noProof/>
        </w:rPr>
      </w:pPr>
      <w:r>
        <w:rPr>
          <w:noProof/>
        </w:rPr>
        <w:t>Ova mogućnost uključivala bi praćenje novih ili poboljšanih statističkih rezultata (cilj 1.) uz postojeće rezultate aktualnog programa, uzimajući u obzir nove korisničke potrebe:</w:t>
      </w:r>
    </w:p>
    <w:p>
      <w:pPr>
        <w:pStyle w:val="Tiret0"/>
        <w:rPr>
          <w:noProof/>
        </w:rPr>
      </w:pPr>
      <w:r>
        <w:rPr>
          <w:noProof/>
        </w:rPr>
        <w:t>poboljšati pravodobnost podataka o neravnopravnosti, siromaštvu i materijalnoj deprivaciji ljudi u Europi (uključujući brze procjene),</w:t>
      </w:r>
    </w:p>
    <w:p>
      <w:pPr>
        <w:pStyle w:val="Tiret0"/>
        <w:rPr>
          <w:noProof/>
        </w:rPr>
      </w:pPr>
      <w:r>
        <w:rPr>
          <w:noProof/>
        </w:rPr>
        <w:t>pravodobnije proizvoditi više statistika o energiji (učinkovitost, sigurnost, obnovljivi izvori, potrošnja, cijene i slično),</w:t>
      </w:r>
    </w:p>
    <w:p>
      <w:pPr>
        <w:pStyle w:val="Tiret0"/>
        <w:rPr>
          <w:noProof/>
        </w:rPr>
      </w:pPr>
      <w:r>
        <w:rPr>
          <w:noProof/>
        </w:rPr>
        <w:t>poboljšati kvalitetu i pravodobnost podataka o okolišu u cilju podupiranja klimatske politike i kružnog gospodarstva,</w:t>
      </w:r>
    </w:p>
    <w:p>
      <w:pPr>
        <w:pStyle w:val="Tiret0"/>
        <w:rPr>
          <w:noProof/>
        </w:rPr>
      </w:pPr>
      <w:r>
        <w:rPr>
          <w:noProof/>
        </w:rPr>
        <w:t>mjeriti napredak u ostvarivanju ciljeva održivog razvoja UN-a,</w:t>
      </w:r>
    </w:p>
    <w:p>
      <w:pPr>
        <w:pStyle w:val="Tiret0"/>
        <w:rPr>
          <w:noProof/>
        </w:rPr>
      </w:pPr>
      <w:r>
        <w:rPr>
          <w:noProof/>
        </w:rPr>
        <w:t>podupirati pokretače tehnoloških promjena i e-trgovine,</w:t>
      </w:r>
    </w:p>
    <w:p>
      <w:pPr>
        <w:pStyle w:val="Tiret0"/>
        <w:rPr>
          <w:noProof/>
        </w:rPr>
      </w:pPr>
      <w:r>
        <w:rPr>
          <w:noProof/>
        </w:rPr>
        <w:t>poboljšati godišnje projekcije stanovništva,</w:t>
      </w:r>
    </w:p>
    <w:p>
      <w:pPr>
        <w:pStyle w:val="Tiret0"/>
        <w:rPr>
          <w:noProof/>
        </w:rPr>
      </w:pPr>
      <w:r>
        <w:rPr>
          <w:noProof/>
        </w:rPr>
        <w:t>proširiti statistiku o cijenama stambenih jedinica,</w:t>
      </w:r>
    </w:p>
    <w:p>
      <w:pPr>
        <w:pStyle w:val="Tiret0"/>
        <w:rPr>
          <w:noProof/>
        </w:rPr>
      </w:pPr>
      <w:r>
        <w:rPr>
          <w:noProof/>
        </w:rPr>
        <w:t>proširiti pokrivenost statistika o uslužnom sektoru i</w:t>
      </w:r>
    </w:p>
    <w:p>
      <w:pPr>
        <w:pStyle w:val="Tiret0"/>
        <w:rPr>
          <w:noProof/>
        </w:rPr>
      </w:pPr>
      <w:r>
        <w:rPr>
          <w:noProof/>
        </w:rPr>
        <w:t>mjeriti globalizaciju.</w:t>
      </w:r>
    </w:p>
    <w:p>
      <w:pPr>
        <w:pBdr>
          <w:top w:val="nil"/>
          <w:left w:val="nil"/>
          <w:bottom w:val="nil"/>
          <w:right w:val="nil"/>
          <w:between w:val="nil"/>
          <w:bar w:val="nil"/>
        </w:pBdr>
        <w:spacing w:before="0"/>
        <w:rPr>
          <w:noProof/>
        </w:rPr>
      </w:pPr>
      <w:r>
        <w:rPr>
          <w:noProof/>
        </w:rPr>
        <w:t xml:space="preserve">Ona bi uključivala i nova ulaganja u statističku infrastrukturu u okviru cilja 2. koja bi bila usmjerena na sljedeće: </w:t>
      </w:r>
    </w:p>
    <w:p>
      <w:pPr>
        <w:pStyle w:val="Tiret0"/>
        <w:rPr>
          <w:noProof/>
        </w:rPr>
      </w:pPr>
      <w:r>
        <w:rPr>
          <w:noProof/>
        </w:rPr>
        <w:t>aktivnosti istraživanja za potrebe budućih socijalnih anketa EU-a u cilju znatnog povećanja fleksibilnosti socijalnih pokazatelja kako bi se mogli osigurati pravodobniji odgovori na nove potrebe korisnika,</w:t>
      </w:r>
    </w:p>
    <w:p>
      <w:pPr>
        <w:pStyle w:val="Tiret0"/>
        <w:rPr>
          <w:noProof/>
        </w:rPr>
      </w:pPr>
      <w:r>
        <w:rPr>
          <w:noProof/>
        </w:rPr>
        <w:t>statistike na zahtjev i diseminaciju kao uslugu: razvoj sposobnosti za pružanje više boljih usluga analitike podataka i proizvoda za podupiranje, oblikovanje i praćenje politika EU-a, posebno u područjima konkurentnosti, kružnog gospodarstva, poljoprivrede i prehrambene politike te regionalnog razvoja,</w:t>
      </w:r>
    </w:p>
    <w:p>
      <w:pPr>
        <w:pStyle w:val="Tiret0"/>
        <w:rPr>
          <w:noProof/>
        </w:rPr>
      </w:pPr>
      <w:r>
        <w:rPr>
          <w:noProof/>
        </w:rPr>
        <w:t>modernizaciju, među ostalim uporabu novih izvora: iskorištavanje potencijala digitalnog razvoja, posebno u području prihvaćanja novih izvora podataka („veliki podaci”, „internet stvari”) i</w:t>
      </w:r>
    </w:p>
    <w:p>
      <w:pPr>
        <w:pStyle w:val="Tiret0"/>
        <w:rPr>
          <w:noProof/>
        </w:rPr>
      </w:pPr>
      <w:r>
        <w:rPr>
          <w:noProof/>
        </w:rPr>
        <w:t>osnovnu infrastrukturu i pilot projekte za modernizaciju: jačanje europske statističke infrastrukture projektima koji se temelje na iskustvu europskog sustava interoperabilnih statističkih poslovnih registara (registar EuroGroup) i čvorištu popisa. Razviti nove metodološke alate i alate IT-a i podijeliti ih s tijelima za statistiku te osigurati širu uporabu administrativnih podataka i tehnika za povezivanje podataka.</w:t>
      </w:r>
    </w:p>
    <w:p>
      <w:pPr>
        <w:pStyle w:val="ManualHeading3"/>
        <w:tabs>
          <w:tab w:val="clear" w:pos="850"/>
        </w:tabs>
        <w:spacing w:before="0" w:after="240"/>
        <w:ind w:left="1134" w:hanging="1134"/>
        <w:rPr>
          <w:noProof/>
        </w:rPr>
      </w:pPr>
      <w:r>
        <w:rPr>
          <w:noProof/>
        </w:rPr>
        <w:t xml:space="preserve">Mogućnost 3.: </w:t>
      </w:r>
      <w:r>
        <w:rPr>
          <w:noProof/>
        </w:rPr>
        <w:tab/>
        <w:t>Dva odvojena programa</w:t>
      </w:r>
    </w:p>
    <w:p>
      <w:pPr>
        <w:pBdr>
          <w:top w:val="nil"/>
          <w:left w:val="nil"/>
          <w:bottom w:val="nil"/>
          <w:right w:val="nil"/>
          <w:between w:val="nil"/>
          <w:bar w:val="nil"/>
        </w:pBdr>
        <w:spacing w:before="0"/>
        <w:rPr>
          <w:noProof/>
        </w:rPr>
      </w:pPr>
      <w:r>
        <w:rPr>
          <w:noProof/>
        </w:rPr>
        <w:t>Ova mogućnost slična je mogućnosti 2.b u pogledu ciljeva i planiranih aktivnosti, ali je usmjerena na različiti način upravljanja radom: s pomoću dvaju različitih programa, od kojih bi jedan bio usmjeren samo na modernizaciju:</w:t>
      </w:r>
    </w:p>
    <w:p>
      <w:pPr>
        <w:pStyle w:val="Tiret0"/>
        <w:rPr>
          <w:noProof/>
        </w:rPr>
      </w:pPr>
      <w:r>
        <w:rPr>
          <w:noProof/>
        </w:rPr>
        <w:t>proširenje postojećeg ESP-a na razdoblje 2018. – 2020. i usklađivanje s vremenskim okvirom VFO-a, bez aspekata modernizacije (cilj 2. postojećeg programa),</w:t>
      </w:r>
    </w:p>
    <w:p>
      <w:pPr>
        <w:pStyle w:val="Tiret0"/>
        <w:rPr>
          <w:noProof/>
        </w:rPr>
      </w:pPr>
      <w:r>
        <w:rPr>
          <w:noProof/>
        </w:rPr>
        <w:t>posebni program usmjeren na modernizaciju i razvoj europske statističke infrastrukture, čiji bi se sadržaj temeljio na cilju 2. u okviru mogućnosti 2.b. Nije moguće odrediti drugi vremenski okvir za taj drugi program (npr. nakon 2020.) jer je vremenski okvir određen postojećim VFO-om (koji završava 2020.).</w:t>
      </w:r>
    </w:p>
    <w:p>
      <w:pPr>
        <w:pStyle w:val="ManualHeading3"/>
        <w:spacing w:before="0" w:after="240"/>
        <w:rPr>
          <w:noProof/>
        </w:rPr>
      </w:pPr>
      <w:r>
        <w:rPr>
          <w:noProof/>
        </w:rPr>
        <w:t>Mogućnost politike kojoj se daje prednost</w:t>
      </w:r>
    </w:p>
    <w:p>
      <w:pPr>
        <w:pBdr>
          <w:top w:val="nil"/>
          <w:left w:val="nil"/>
          <w:bottom w:val="nil"/>
          <w:right w:val="nil"/>
          <w:between w:val="nil"/>
          <w:bar w:val="nil"/>
        </w:pBdr>
        <w:spacing w:before="0" w:after="240"/>
        <w:rPr>
          <w:noProof/>
        </w:rPr>
      </w:pPr>
      <w:r>
        <w:rPr>
          <w:noProof/>
        </w:rPr>
        <w:t>U okviru procjene učinka promatrao se učinak mogućnosti na glavne skupine dionika na temelju različitih kriterija. Utjecaj na korisnike ocjenjivao se na temelju pravodobnosti, relevantnosti i usklađenosti, dok se učinak na izrađivače statistike analizirao na temelju smanjenja troškova i razine zajedničke infrastrukture. Smanjeno opterećenje bilo je glavni kriterij za ocjenjivanje utjecaja na ispitanike. Za svaku mogućnost analizirao se i učinak na proračun EU-a.</w:t>
      </w:r>
    </w:p>
    <w:p>
      <w:pPr>
        <w:pBdr>
          <w:top w:val="nil"/>
          <w:left w:val="nil"/>
          <w:bottom w:val="nil"/>
          <w:right w:val="nil"/>
          <w:between w:val="nil"/>
          <w:bar w:val="nil"/>
        </w:pBdr>
        <w:spacing w:before="0" w:after="240"/>
        <w:rPr>
          <w:noProof/>
        </w:rPr>
      </w:pPr>
      <w:r>
        <w:rPr>
          <w:noProof/>
        </w:rPr>
        <w:t>Nakon analize više kriterija prednost se dala mogućnosti 2.c. Ta mogućnost imala bi najpozitivniji učinak na pravodobnost i uključivala bi nove mjere usmjerene na pojačanu pravodobnost statistika o neravnopravnosti, siromaštvu i materijalnoj deprivaciji te podataka o energiji i okolišu.  Očekuje se da će se u okviru ove mogućnosti znatno poboljšati relevantnost statistike za donositelje politika ulaganjima u nova područja, ponovnom uspostavom prioriteta, mjerama za povećanje kapaciteta za pružanje više usluga i proizvoda i boljih usluga i proizvoda (npr. statistika na zahtjev) te pojačanom diseminacijom.</w:t>
      </w:r>
    </w:p>
    <w:p>
      <w:pPr>
        <w:pBdr>
          <w:top w:val="nil"/>
          <w:left w:val="nil"/>
          <w:bottom w:val="nil"/>
          <w:right w:val="nil"/>
          <w:between w:val="nil"/>
          <w:bar w:val="nil"/>
        </w:pBdr>
        <w:spacing w:before="0" w:after="240"/>
        <w:rPr>
          <w:noProof/>
        </w:rPr>
      </w:pPr>
      <w:r>
        <w:rPr>
          <w:noProof/>
        </w:rPr>
        <w:t xml:space="preserve">Kada je riječ o izrađivačima, mogućnošću 2.c pomoći će im se da ispune nove zahtjeve u okviru ciljeva 1. i 2. povećanjem proračuna za ESP, što su zatražili glavni dionici. Znatan dio dodatnih financijskih sredstava isplatit će se državama članicama u obliku bespovratnih sredstava, čime će im se omogućiti da dodatno moderniziraju svoje sustave izrade i da se priključe na nove izvore podataka. </w:t>
      </w:r>
    </w:p>
    <w:p>
      <w:pPr>
        <w:pBdr>
          <w:top w:val="nil"/>
          <w:left w:val="nil"/>
          <w:bottom w:val="nil"/>
          <w:right w:val="nil"/>
          <w:between w:val="nil"/>
          <w:bar w:val="nil"/>
        </w:pBdr>
        <w:spacing w:before="0" w:after="240"/>
        <w:rPr>
          <w:noProof/>
        </w:rPr>
      </w:pPr>
      <w:r>
        <w:rPr>
          <w:noProof/>
        </w:rPr>
        <w:t xml:space="preserve">Očekuje se da će se mogućnošću 2.c dodatno smanjiti opća dužnost izvještavanja za poduzeća i građane iako će se većina učinaka ostvariti tek srednjoročno jer će se uporaba novih izvora podataka uvoditi potpuno i ovisno o lokalnim uvjetima u državama članicama. </w:t>
      </w:r>
    </w:p>
    <w:p>
      <w:pPr>
        <w:pBdr>
          <w:top w:val="nil"/>
          <w:left w:val="nil"/>
          <w:bottom w:val="nil"/>
          <w:right w:val="nil"/>
          <w:between w:val="nil"/>
          <w:bar w:val="nil"/>
        </w:pBdr>
        <w:spacing w:before="0" w:after="240"/>
        <w:rPr>
          <w:noProof/>
        </w:rPr>
      </w:pPr>
      <w:r>
        <w:rPr>
          <w:noProof/>
        </w:rPr>
        <w:t>Za ostvarenje mogućnosti politike kojoj se daje prednost bit će potrebno povećati operativni proračun odobren za ESP za razdoblje 2018. – 2020. Zaključak je procjene učinka da će se razvoj novih statističkih rezultata i pravodobna dostava podataka osigurati samo dodatnim ulaganjima, u skladu sa zahtjevima korisnika, bez ukidanja ostalih vrlo važnih statistika. Nadalje, bit će potrebna dodatna ulaganja u statističku infrastrukturu (u državama članicama i Eurostatu) kako bi se olakšala uporaba novih izvora podataka za izradu statističkih podataka prilagođenih potrebama korisnika, čime će se smanjiti administrativni troškovi i dužnost izvještavanja.</w:t>
      </w:r>
    </w:p>
    <w:p>
      <w:pPr>
        <w:pStyle w:val="ManualHeading3"/>
        <w:spacing w:before="0" w:after="240"/>
        <w:rPr>
          <w:noProof/>
        </w:rPr>
      </w:pPr>
      <w:r>
        <w:rPr>
          <w:noProof/>
        </w:rPr>
        <w:t>Ostali učinci</w:t>
      </w:r>
    </w:p>
    <w:p>
      <w:pPr>
        <w:pBdr>
          <w:top w:val="nil"/>
          <w:left w:val="nil"/>
          <w:bottom w:val="nil"/>
          <w:right w:val="nil"/>
          <w:between w:val="nil"/>
          <w:bar w:val="nil"/>
        </w:pBdr>
        <w:spacing w:before="0" w:after="240"/>
        <w:rPr>
          <w:noProof/>
        </w:rPr>
      </w:pPr>
      <w:r>
        <w:rPr>
          <w:noProof/>
        </w:rPr>
        <w:t>Prijedlog će imati neizravne gospodarske, društvene i okolišne učinke. Kada je riječ o gospodarstvu, inicijativom će se postići učinkovitija baza statističkih dokaza (npr. o globalizaciji, uslužnom sektoru, inovacijama) za politike kojima se pridonosi poticanju i učvršćivanju gospodarskog rasta. Prijedlogom će se također poboljšati sposobnost za ocjenjivanje društvenog učinka odluka o gospodarskoj politici. Posebno će zanimljivi biti učinci na stopu (ne)zaposlenosti, kretanja u pogledu siromaštva i na tržište rada općenito. Poboljšanom pravodobnošću socijalnih pokazatelja u kombinaciji s postojećim makroekonomskim pokazateljima omogućit će se integriranija i učinkovitija analiza odluka. U pogledu okoliša, prijedlogom će se olakšati politike kojima se pridonosi održivom rastu pružanjem poboljšane energetske i okolišne statistike.</w:t>
      </w:r>
    </w:p>
    <w:p>
      <w:pPr>
        <w:pStyle w:val="ManualHeading2"/>
        <w:spacing w:before="0" w:after="240"/>
        <w:rPr>
          <w:rFonts w:eastAsia="Arial Unicode MS"/>
          <w:noProof/>
          <w:u w:color="000000"/>
          <w:bdr w:val="nil"/>
        </w:rPr>
      </w:pPr>
      <w:r>
        <w:rPr>
          <w:noProof/>
        </w:rPr>
        <w:t>•</w:t>
      </w:r>
      <w:r>
        <w:rPr>
          <w:noProof/>
        </w:rPr>
        <w:tab/>
        <w:t>Primjerenost propisa i pojednostavnjivanje</w:t>
      </w:r>
    </w:p>
    <w:p>
      <w:pPr>
        <w:pBdr>
          <w:top w:val="nil"/>
          <w:left w:val="nil"/>
          <w:bottom w:val="nil"/>
          <w:right w:val="nil"/>
          <w:between w:val="nil"/>
          <w:bar w:val="nil"/>
        </w:pBdr>
        <w:spacing w:before="0" w:after="240"/>
        <w:rPr>
          <w:noProof/>
        </w:rPr>
      </w:pPr>
      <w:r>
        <w:rPr>
          <w:noProof/>
        </w:rPr>
        <w:t>Budući da je ESP horizontalna inicijativa, ona nije dio Programa Komisije za primjerenost i učinkovitost propisa (REFIT). Međutim Komisija je pokrenula tri inicijative REFIT-a u posebnim područjima poljoprivredne, socijalne i poslovne statistike. Njima se nastoje nadopuniti napori modernizacije predviđeni u okviru postojeće inicijative pojednostavnjenjem i usklađivanjem fragmentiranih propisa o poljoprivrednoj statistici, socijalnim anketama o osobama i kućanstvima i poslovnoj statistici te povećati učinkovitost i fleksibilnost prikupljanja podataka uz smanjenje opterećenja ispitanika. Međutim, inicijative se mogu provoditi samo srednjoročno do dugoročno i njima će se prekoračiti vremenski okvir produljenog programa.</w:t>
      </w:r>
    </w:p>
    <w:p>
      <w:pPr>
        <w:pStyle w:val="ManualHeading2"/>
        <w:spacing w:before="0" w:after="240"/>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spacing w:before="0" w:after="240"/>
        <w:rPr>
          <w:noProof/>
        </w:rPr>
      </w:pPr>
      <w:r>
        <w:rPr>
          <w:noProof/>
        </w:rPr>
        <w:t>4.</w:t>
      </w:r>
      <w:r>
        <w:rPr>
          <w:noProof/>
        </w:rPr>
        <w:tab/>
        <w:t>UTJECAJ NA PRORAČUN</w:t>
      </w:r>
    </w:p>
    <w:p>
      <w:pPr>
        <w:pBdr>
          <w:top w:val="nil"/>
          <w:left w:val="nil"/>
          <w:bottom w:val="nil"/>
          <w:right w:val="nil"/>
          <w:between w:val="nil"/>
          <w:bar w:val="nil"/>
        </w:pBdr>
        <w:spacing w:before="0" w:after="240"/>
        <w:rPr>
          <w:noProof/>
        </w:rPr>
      </w:pPr>
      <w:r>
        <w:rPr>
          <w:noProof/>
        </w:rPr>
        <w:t>Proračun EU-a teretit će se za produljenje programa (2018. – 2020.) u iznosu od 218,1 milijun EUR (sadašnje cijene).</w:t>
      </w:r>
    </w:p>
    <w:p>
      <w:pPr>
        <w:pBdr>
          <w:top w:val="nil"/>
          <w:left w:val="nil"/>
          <w:bottom w:val="nil"/>
          <w:right w:val="nil"/>
          <w:between w:val="nil"/>
          <w:bar w:val="nil"/>
        </w:pBdr>
        <w:spacing w:before="0" w:after="240"/>
        <w:rPr>
          <w:rFonts w:eastAsia="Arial Unicode MS"/>
          <w:noProof/>
        </w:rPr>
      </w:pPr>
      <w:r>
        <w:rPr>
          <w:noProof/>
        </w:rPr>
        <w:t>Podrobni utjecaj na proračun opisan je u zakonodavnom financijskom izvještaju.</w:t>
      </w:r>
    </w:p>
    <w:p>
      <w:pPr>
        <w:pStyle w:val="ManualHeading1"/>
        <w:spacing w:before="0" w:after="240"/>
        <w:rPr>
          <w:noProof/>
        </w:rPr>
      </w:pPr>
      <w:r>
        <w:rPr>
          <w:noProof/>
        </w:rPr>
        <w:t>5.</w:t>
      </w:r>
      <w:r>
        <w:rPr>
          <w:noProof/>
        </w:rPr>
        <w:tab/>
        <w:t>OSTALI ELEMENTI</w:t>
      </w:r>
    </w:p>
    <w:p>
      <w:pPr>
        <w:pStyle w:val="ManualHeading2"/>
        <w:spacing w:before="0" w:after="240"/>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noProof/>
        </w:rPr>
      </w:pPr>
      <w:r>
        <w:rPr>
          <w:noProof/>
        </w:rPr>
        <w:t xml:space="preserve">U skladu s revidiranim člankom 15. stavkom 3. Komisija će Europskom parlamentu i Vijeću do 31. prosinca 2021. podnijeti završno izvješće o evaluaciji provedbe programa nakon savjetovanja s Odborom za ESS i Europskim savjetodavnim odborom za statistiku. To će se izvesti u skladu sa smjernicama Komisije. </w:t>
      </w:r>
    </w:p>
    <w:p>
      <w:pPr>
        <w:pBdr>
          <w:top w:val="nil"/>
          <w:left w:val="nil"/>
          <w:bottom w:val="nil"/>
          <w:right w:val="nil"/>
          <w:between w:val="nil"/>
          <w:bar w:val="nil"/>
        </w:pBdr>
        <w:spacing w:before="0" w:after="240"/>
        <w:rPr>
          <w:noProof/>
        </w:rPr>
      </w:pPr>
      <w:r>
        <w:rPr>
          <w:noProof/>
        </w:rPr>
        <w:t>Na temelju iskustva sa srednjoročnom evaluacijom ESP-a za razdoblje 2013. – 2017., Eurostat je počeo povezivati aktivnosti u okviru godišnjeg programa rada sa 114 pokazatelja u ESP-u. To će imati dvostruku prednost jer će se olakšati buduće evaluacije i omogućiti da se svake godine automatski prati ostvarenje svih pokazatelja ESP-a.</w:t>
      </w:r>
    </w:p>
    <w:p>
      <w:pPr>
        <w:pStyle w:val="ManualHeading2"/>
        <w:spacing w:before="0" w:after="240"/>
        <w:rPr>
          <w:rFonts w:eastAsia="Arial Unicode MS"/>
          <w:noProof/>
          <w:u w:color="000000"/>
          <w:bdr w:val="nil"/>
        </w:rPr>
      </w:pPr>
      <w:r>
        <w:rPr>
          <w:noProof/>
        </w:rPr>
        <w:t>•</w:t>
      </w:r>
      <w:r>
        <w:rPr>
          <w:noProof/>
        </w:rPr>
        <w:tab/>
        <w:t>Dokumenti s obrazloženjima (za direktive)</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spacing w:before="0" w:after="240"/>
        <w:rPr>
          <w:rFonts w:eastAsia="Arial Unicode MS"/>
          <w:noProof/>
          <w:u w:color="000000"/>
          <w:bdr w:val="nil"/>
        </w:rPr>
      </w:pPr>
      <w:r>
        <w:rPr>
          <w:noProof/>
        </w:rPr>
        <w:t>•</w:t>
      </w:r>
      <w:r>
        <w:rPr>
          <w:noProof/>
        </w:rPr>
        <w:tab/>
        <w:t>Detaljno objašnjenje predloženih odredaba</w:t>
      </w:r>
    </w:p>
    <w:p>
      <w:pPr>
        <w:pBdr>
          <w:top w:val="nil"/>
          <w:left w:val="nil"/>
          <w:bottom w:val="nil"/>
          <w:right w:val="nil"/>
          <w:between w:val="nil"/>
          <w:bar w:val="nil"/>
        </w:pBdr>
        <w:spacing w:before="0" w:after="240"/>
        <w:rPr>
          <w:rFonts w:eastAsia="Arial Unicode MS"/>
          <w:noProof/>
        </w:rPr>
      </w:pPr>
      <w:r>
        <w:rPr>
          <w:noProof/>
        </w:rPr>
        <w:t>Prijedlogom se izmjenjuje ESP za razdoblje 2013. – 2017. uključivanjem novih statističkih rezultata u cilju usklađivanja statističke izrade s 10 političkih prioriteta Komisije, koji su nadopunjeni inicijativama za modernizaciju načina izrade statistika i za smanjenje opterećenja ispitanika i troškova za nacionalne zavode za statistiku.</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2016/0265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99/2013 Europskog parlamenta i Vijeća o europskome statističkom programu od 2013. do 2017. njegovim produljenjem na razdoblje od 2018. do 2020.</w:t>
      </w:r>
    </w:p>
    <w:p>
      <w:pPr>
        <w:pStyle w:val="IntrtEEE"/>
        <w:rPr>
          <w:noProof/>
        </w:rPr>
      </w:pPr>
      <w:r>
        <w:rPr>
          <w:noProof/>
        </w:rPr>
        <w:t>(Tekst značajan za EGP i Švicarsku)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338. stavak 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9"/>
      </w:r>
      <w:r>
        <w:rPr>
          <w:noProof/>
        </w:rPr>
        <w:t>,</w:t>
      </w:r>
    </w:p>
    <w:p>
      <w:pPr>
        <w:rPr>
          <w:noProof/>
        </w:rPr>
      </w:pPr>
      <w:r>
        <w:rPr>
          <w:noProof/>
        </w:rPr>
        <w:t>uzimajući u obzir mišljenje Odbora regija</w:t>
      </w:r>
      <w:r>
        <w:rPr>
          <w:rStyle w:val="FootnoteReference"/>
          <w:noProof/>
        </w:rPr>
        <w:footnoteReference w:id="10"/>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Pouzdani i relevantni dokazi utemeljeni na europskoj statistici prijeko su potrebni za mjerenje napretka i ocjenjivanje učinkovitosti politika i programa Unije, a posebno u kontekstu strategije Europa 2020. i Programa za rast, zapošljavanje, pravednost i demokratske promjene.</w:t>
      </w:r>
    </w:p>
    <w:p>
      <w:pPr>
        <w:pStyle w:val="ManualConsidrant"/>
        <w:rPr>
          <w:noProof/>
        </w:rPr>
      </w:pPr>
      <w:r>
        <w:t>(2)</w:t>
      </w:r>
      <w:r>
        <w:tab/>
      </w:r>
      <w:r>
        <w:rPr>
          <w:noProof/>
        </w:rPr>
        <w:t>U skladu s Uredbom (EZ) br. 223/2009 Europskog parlamenta i Vijeća</w:t>
      </w:r>
      <w:r>
        <w:rPr>
          <w:rStyle w:val="FootnoteReference"/>
          <w:noProof/>
        </w:rPr>
        <w:footnoteReference w:id="11"/>
      </w:r>
      <w:r>
        <w:rPr>
          <w:noProof/>
        </w:rPr>
        <w:t xml:space="preserve"> europskim statističkim programom predviđa se okvir za razvoj, izradu i diseminaciju europske statistike utvrđuju glavna područja i ciljevi aktivnosti planiranih za razdoblje koje odgovara razdoblju višegodišnjeg financijskog okvira.</w:t>
      </w:r>
    </w:p>
    <w:p>
      <w:pPr>
        <w:pStyle w:val="ManualConsidrant"/>
        <w:rPr>
          <w:noProof/>
        </w:rPr>
      </w:pPr>
      <w:r>
        <w:t>(3)</w:t>
      </w:r>
      <w:r>
        <w:tab/>
      </w:r>
      <w:r>
        <w:rPr>
          <w:noProof/>
        </w:rPr>
        <w:t>Uredbom (EU) br. 99/2013 Europskog parlamenta i Vijeća</w:t>
      </w:r>
      <w:r>
        <w:rPr>
          <w:rStyle w:val="FootnoteReference"/>
          <w:noProof/>
        </w:rPr>
        <w:footnoteReference w:id="12"/>
      </w:r>
      <w:r>
        <w:rPr>
          <w:noProof/>
        </w:rPr>
        <w:t xml:space="preserve"> obuhvaćeno je samo razdoblje od 2013. do 2017., dok se postojeći višegodišnji financijski okvir proteže do 2020. Stoga bi je trebalo izmijeniti u cilju produljenja europskog statističkog programa do 2020.</w:t>
      </w:r>
    </w:p>
    <w:p>
      <w:pPr>
        <w:pStyle w:val="ManualConsidrant"/>
        <w:rPr>
          <w:noProof/>
        </w:rPr>
      </w:pPr>
      <w:r>
        <w:t>(4)</w:t>
      </w:r>
      <w:r>
        <w:tab/>
      </w:r>
      <w:r>
        <w:rPr>
          <w:noProof/>
        </w:rPr>
        <w:t>U kontekstu bolje regulative, politike Unije trebalo bi što više oblikovati i pratiti na temelju čvrstih dokaza. Europska statistika ima istaknutu ulogu u tom pogledu i može pružiti važan doprinos, posebno u područjima politike u kojima je odaziv od ključne važnosti za uspješnost politika.</w:t>
      </w:r>
    </w:p>
    <w:p>
      <w:pPr>
        <w:pStyle w:val="ManualConsidrant"/>
        <w:rPr>
          <w:noProof/>
        </w:rPr>
      </w:pPr>
      <w:r>
        <w:t>(5)</w:t>
      </w:r>
      <w:r>
        <w:tab/>
      </w:r>
      <w:r>
        <w:rPr>
          <w:noProof/>
        </w:rPr>
        <w:t>Bolja statistika stoga je od ključne važnosti za postizanje boljih rezultata i njome se pridonosi boljoj Europi te bi trebalo uložiti više napora u poticanje ulaganja u službenu statistiku na europskoj i nacionalnoj razini. Time bi se, povrh postojećih smjernica i ponovne uspostave prioriteta koja je u tijeku, trebale osigurati smjernice u prioritetnim područjima politika i za jačanje kapaciteta. Posebno bi trebalo poduzeti mjere za uklanjanje najhitnijih statističkih nedostataka, povećanje pravodobnosti i podupiranje političkih prioriteta te za koordinaciju gospodarske politike s pomoću Europskog semestra. Komisija (Eurostat) bi također trebala osigurati nove projekcije stanovništva u bliskoj suradnji s nacionalnim zavodima za statistiku u cilju ažuriranja analize gospodarskih i proračunskih posljedica starenja stanovništva.</w:t>
      </w:r>
    </w:p>
    <w:p>
      <w:pPr>
        <w:pStyle w:val="ManualConsidrant"/>
        <w:rPr>
          <w:noProof/>
        </w:rPr>
      </w:pPr>
      <w:r>
        <w:t>(6)</w:t>
      </w:r>
      <w:r>
        <w:tab/>
      </w:r>
      <w:r>
        <w:rPr>
          <w:noProof/>
        </w:rPr>
        <w:t>Trebalo bi dalje razvijati eksperimentalne račune usluga ekosustava i statistiku klimatskih promjena, među ostalim one koje su relevantne za prilagodbu klimatskim promjenama i „otiske”, posebno radi podupiranja provedbe Pariškog sporazuma iz 2015. i Programa za održivi razvoj do 2030. Za europsku energetsku uniju i okvir za klimatsku i energetsku politiku do 2030., kojim se nastoji povećati konkurentnost, sigurnost i održivost gospodarstva i energetskog sustava Unije, bit će potrebne nove statistike o potrošnji energije, energetskoj učinkovitosti, obnovljivim izvorima energije, energetskoj ovisnosti i sigurnosti opskrbe.</w:t>
      </w:r>
    </w:p>
    <w:p>
      <w:pPr>
        <w:pStyle w:val="ManualConsidrant"/>
        <w:rPr>
          <w:noProof/>
        </w:rPr>
      </w:pPr>
      <w:r>
        <w:t>(7)</w:t>
      </w:r>
      <w:r>
        <w:tab/>
      </w:r>
      <w:r>
        <w:rPr>
          <w:noProof/>
        </w:rPr>
        <w:t>Produljenje programa prilika je za prilagodbe i uključivanje novih usmjerenja, za nadopunjivanje postojećih ciljeva i daljnje određivanje prioriteta.</w:t>
      </w:r>
    </w:p>
    <w:p>
      <w:pPr>
        <w:pStyle w:val="ManualConsidrant"/>
        <w:rPr>
          <w:noProof/>
        </w:rPr>
      </w:pPr>
      <w:r>
        <w:t>(8)</w:t>
      </w:r>
      <w:r>
        <w:tab/>
      </w:r>
      <w:r>
        <w:rPr>
          <w:noProof/>
        </w:rPr>
        <w:t>Te izmjene programa trebalo bi poduprijeti odgovarajućim povećanjem proračuna za statistiku na razini EU-a, čime će se ostvariti znatna dodana vrijednost i rezultati s pomoću velikih projekata, učinaka strukturne poluge i ekonomija razmjera koji će koristiti statističkim sustavima u svim državama članicama.</w:t>
      </w:r>
    </w:p>
    <w:p>
      <w:pPr>
        <w:pStyle w:val="ManualConsidrant"/>
        <w:rPr>
          <w:noProof/>
        </w:rPr>
      </w:pPr>
      <w:r>
        <w:t>(9)</w:t>
      </w:r>
      <w:r>
        <w:tab/>
      </w:r>
      <w:r>
        <w:rPr>
          <w:noProof/>
        </w:rPr>
        <w:t>Ovom Uredbom uspostavlja se financijska omotnica za produljenje europskog statističkog programa na razdoblje od 2018. do 2020. Ona će u okviru godišnjeg proračunskog postupka biti osnovna referentna vrijednost u smislu točke 17. Međuinstitucionalnog sporazuma između Europskog parlamenta, Vijeća i Komisije</w:t>
      </w:r>
      <w:r>
        <w:rPr>
          <w:rStyle w:val="FootnoteReference"/>
          <w:noProof/>
        </w:rPr>
        <w:footnoteReference w:id="13"/>
      </w:r>
      <w:r>
        <w:rPr>
          <w:noProof/>
        </w:rPr>
        <w:t>.</w:t>
      </w:r>
    </w:p>
    <w:p>
      <w:pPr>
        <w:pStyle w:val="ManualConsidrant"/>
        <w:rPr>
          <w:noProof/>
        </w:rPr>
      </w:pPr>
      <w:r>
        <w:t>(10)</w:t>
      </w:r>
      <w:r>
        <w:tab/>
      </w:r>
      <w:r>
        <w:rPr>
          <w:noProof/>
        </w:rPr>
        <w:t>Budući da države članice ne mogu u dovoljnoj mjeri postići cilj ove Uredbe, odnosno produljenje europskoga statističkog programa na razdoblje od 2018. do 2020., te se on stoga može bolje postići na razini Unije, Unija može donijeti mjere u skladu s načelom supsidijarnosti kako je propisano u članku 5. Ugovora o Europskoj uniji. U skladu s načelom proporcionalnosti, kako je utvrđeno u navedenom članku, ovom Uredbom ne prelaze se okviri onoga što je potrebno za ostvarivanje tog cilja.</w:t>
      </w:r>
    </w:p>
    <w:p>
      <w:pPr>
        <w:pStyle w:val="ManualConsidrant"/>
        <w:rPr>
          <w:noProof/>
        </w:rPr>
      </w:pPr>
      <w:r>
        <w:t>(11)</w:t>
      </w:r>
      <w:r>
        <w:tab/>
      </w:r>
      <w:r>
        <w:rPr>
          <w:noProof/>
        </w:rPr>
        <w:t>U skladu s Uredbom (EZ) br. 223/2009 nacrt prijedloga za produljenje europskoga statističkog programa na razdoblje od 2018. do 2020. podnesen je radi prethodnog ispitivanja Odboru Europskog statističkog sustava, Europskom savjetodavnom odboru za statistiku osnovanom Odlukom br. 234/2008/EZ Europskog parlamenta i Vijeća</w:t>
      </w:r>
      <w:r>
        <w:rPr>
          <w:rStyle w:val="FootnoteReference"/>
          <w:noProof/>
        </w:rPr>
        <w:footnoteReference w:id="14"/>
      </w:r>
      <w:r>
        <w:rPr>
          <w:rStyle w:val="FootnoteReference"/>
          <w:noProof/>
        </w:rPr>
        <w:t xml:space="preserve"> </w:t>
      </w:r>
      <w:r>
        <w:rPr>
          <w:noProof/>
        </w:rPr>
        <w:t>i Odboru za monetarnu, financijsku i platnobilančnu statistiku osnovanom Odlukom Vijeća 2006/856/EZ</w:t>
      </w:r>
      <w:r>
        <w:rPr>
          <w:rStyle w:val="FootnoteReference"/>
          <w:noProof/>
        </w:rPr>
        <w:footnoteReference w:id="15"/>
      </w:r>
      <w:r>
        <w:rPr>
          <w:noProof/>
        </w:rPr>
        <w:t>,</w:t>
      </w:r>
    </w:p>
    <w:p>
      <w:pPr>
        <w:pStyle w:val="ManualConsidrant"/>
        <w:rPr>
          <w:noProof/>
        </w:rPr>
      </w:pPr>
      <w:r>
        <w:t>(12)</w:t>
      </w:r>
      <w:r>
        <w:tab/>
      </w:r>
      <w:r>
        <w:rPr>
          <w:noProof/>
        </w:rPr>
        <w:t>Uredbu (EU) br. 99/2013 trebalo bi stoga na odgovarajući način izmijeniti,</w:t>
      </w:r>
    </w:p>
    <w:p>
      <w:pPr>
        <w:pStyle w:val="Formuledadoption"/>
        <w:rPr>
          <w:noProof/>
        </w:rPr>
      </w:pPr>
      <w:r>
        <w:rPr>
          <w:noProof/>
        </w:rPr>
        <w:t>DONIJELI SU OVU UREDBU:</w:t>
      </w:r>
    </w:p>
    <w:p>
      <w:pPr>
        <w:pStyle w:val="Titrearticle"/>
        <w:rPr>
          <w:noProof/>
        </w:rPr>
      </w:pPr>
      <w:r>
        <w:rPr>
          <w:noProof/>
        </w:rPr>
        <w:t>Članak 1.</w:t>
      </w:r>
    </w:p>
    <w:p>
      <w:pPr>
        <w:rPr>
          <w:noProof/>
        </w:rPr>
      </w:pPr>
      <w:r>
        <w:rPr>
          <w:noProof/>
        </w:rPr>
        <w:t>Uredba (EU) br. 99/2013 mijenja se kako slijedi:</w:t>
      </w:r>
    </w:p>
    <w:p>
      <w:pPr>
        <w:pStyle w:val="Point0number"/>
        <w:numPr>
          <w:ilvl w:val="0"/>
          <w:numId w:val="9"/>
        </w:numPr>
        <w:rPr>
          <w:noProof/>
        </w:rPr>
      </w:pPr>
      <w:r>
        <w:rPr>
          <w:noProof/>
        </w:rPr>
        <w:t>U članku 1. dodaje se sljedeći stavak:</w:t>
      </w:r>
    </w:p>
    <w:p>
      <w:pPr>
        <w:ind w:left="1134"/>
        <w:rPr>
          <w:noProof/>
        </w:rPr>
      </w:pPr>
      <w:r>
        <w:rPr>
          <w:noProof/>
        </w:rPr>
        <w:t>„Program se produljuje na razdoblje od 2018. do 2020.”</w:t>
      </w:r>
    </w:p>
    <w:p>
      <w:pPr>
        <w:pStyle w:val="Point0number"/>
        <w:rPr>
          <w:noProof/>
        </w:rPr>
      </w:pPr>
      <w:r>
        <w:rPr>
          <w:noProof/>
        </w:rPr>
        <w:t xml:space="preserve">U članku 7. stavku 1. umeće se sljedeći stavak: </w:t>
      </w:r>
    </w:p>
    <w:p>
      <w:pPr>
        <w:ind w:left="1134"/>
        <w:rPr>
          <w:noProof/>
        </w:rPr>
      </w:pPr>
      <w:r>
        <w:rPr>
          <w:noProof/>
        </w:rPr>
        <w:t>„Financijska omotnica Unije za provedbu programa za razdoblje od 2018. do 2020. iznosi 218,1 milijun EUR i obuhvaćena je programskim razdobljem od 2014. do 2020. godine.”</w:t>
      </w:r>
    </w:p>
    <w:p>
      <w:pPr>
        <w:pStyle w:val="Point0number"/>
        <w:rPr>
          <w:noProof/>
        </w:rPr>
      </w:pPr>
      <w:r>
        <w:rPr>
          <w:noProof/>
        </w:rPr>
        <w:t>Članak 13. zamjenjuje se sljedećim:</w:t>
      </w:r>
    </w:p>
    <w:p>
      <w:pPr>
        <w:ind w:left="1134"/>
        <w:rPr>
          <w:noProof/>
        </w:rPr>
      </w:pPr>
      <w:r>
        <w:rPr>
          <w:noProof/>
        </w:rPr>
        <w:t>„Zaštita financijskih interesa Unije</w:t>
      </w:r>
    </w:p>
    <w:p>
      <w:pPr>
        <w:ind w:left="1134"/>
        <w:rPr>
          <w:noProof/>
        </w:rPr>
      </w:pPr>
      <w:r>
        <w:rPr>
          <w:noProof/>
        </w:rPr>
        <w:t>1. Komisija poduzima odgovarajuće mjere kako bi osigurala da se tijekom provedbe aktivnosti financiranih na temelju ove Uredbe štite financijski interesi Unije primjenom preventivnih mjera protiv prijevare, korupcije i ostalih nezakonitih djelovanja usklađenim i učinkovitim provjerama i, ako se uoče nepravilnosti, povratom pogrešno plaćenih iznosa te, ako je potrebno, djelotvornim, razmjernim i odvraćajućim administrativnim i financijskim sankcijama.</w:t>
      </w:r>
    </w:p>
    <w:p>
      <w:pPr>
        <w:ind w:left="1134"/>
        <w:rPr>
          <w:noProof/>
        </w:rPr>
      </w:pPr>
      <w:r>
        <w:rPr>
          <w:noProof/>
        </w:rPr>
        <w:t>2. Komisija i Revizorski sud ili njihovi predstavnici ovlašteni su za provedbu revizije na temelju dokumenata te provedbu provjera i inspekcija na terenu svih korisnika bespovratnih sredstava, izvođača, podizvođača i trećih osoba koji su, izravno ili neizravno, primili sredstva Unije u okviru programa.</w:t>
      </w:r>
    </w:p>
    <w:p>
      <w:pPr>
        <w:ind w:left="1134"/>
        <w:rPr>
          <w:noProof/>
        </w:rPr>
      </w:pPr>
      <w:r>
        <w:rPr>
          <w:noProof/>
        </w:rPr>
        <w:t>3. Europski ured za borbu protiv prijevara (OLAF) može provoditi provjere i inspekcije na terenu gospodarskih subjekata koji su izravno ili neizravno povezani s takvim financiranjem u skladu s postupcima utvrđenima u Uredbi (EZ, Euratom) br. 883/2013 Europskog parlamenta i Vijeća</w:t>
      </w:r>
      <w:r>
        <w:rPr>
          <w:rStyle w:val="FootnoteReference"/>
          <w:noProof/>
        </w:rPr>
        <w:footnoteReference w:id="16"/>
      </w:r>
      <w:r>
        <w:rPr>
          <w:noProof/>
        </w:rPr>
        <w:t xml:space="preserve"> i Uredbi Vijeća (Euratom, EZ) br. 2185/96</w:t>
      </w:r>
      <w:r>
        <w:rPr>
          <w:rStyle w:val="FootnoteReference"/>
          <w:noProof/>
        </w:rPr>
        <w:footnoteReference w:id="17"/>
      </w:r>
      <w:r>
        <w:rPr>
          <w:noProof/>
        </w:rPr>
        <w:t>, kako bi se utvrdilo je li došlo do prijevare, korupcije ili bilo koje druge nezakonite aktivnosti koja utječe na financijske interese Unije u vezi sa sporazumom o dodjeli bespovratnih sredstava ili odlukom o dodjeli bespovratnih sredstava ili ugovorom koji se, izravno ili neizravno, financira u okviru ove Uredbe.</w:t>
      </w:r>
    </w:p>
    <w:p>
      <w:pPr>
        <w:ind w:left="1134"/>
        <w:rPr>
          <w:noProof/>
        </w:rPr>
      </w:pPr>
      <w:r>
        <w:rPr>
          <w:noProof/>
        </w:rPr>
        <w:t>4. Sporazumima o suradnji s trećim zemljama i međunarodnim organizacijama te sporazumima i odlukama o dodjeli bespovratnih sredstava i ugovorima proizašlim iz provedbe ove Uredbe Komisija, Revizorski sud i OLAF izričito se ovlašćuju za provođenje tih revizija, provjera i inspekcija na terenu.</w:t>
      </w:r>
    </w:p>
    <w:p>
      <w:pPr>
        <w:ind w:left="1134"/>
        <w:rPr>
          <w:noProof/>
        </w:rPr>
      </w:pPr>
      <w:r>
        <w:rPr>
          <w:noProof/>
        </w:rPr>
        <w:t>5. Ako se provedba djelovanja eksternalizira ili dalje delegira, u cijelosti ili djelomično, ili ako to zahtijeva sklapanje ugovora o javnoj nabavi ili dodjelu financijske potpore trećoj strani, u ugovoru, sporazumu ili odluci o dodjeli bespovratnih sredstava navodi se obveza izvođača ili korisnika da bilo kojoj uključenoj trećoj osobi nametne izričito prihvaćanje tih ovlasti Komisije, Revizorskog suda i OLAF-a.</w:t>
      </w:r>
    </w:p>
    <w:p>
      <w:pPr>
        <w:ind w:left="1134"/>
        <w:rPr>
          <w:noProof/>
        </w:rPr>
      </w:pPr>
      <w:r>
        <w:rPr>
          <w:noProof/>
        </w:rPr>
        <w:t>6. Stavci 4. i 5. primjenjuju se ne dovodeći u pitanje stavke 1., 2. i 3.”</w:t>
      </w:r>
    </w:p>
    <w:p>
      <w:pPr>
        <w:pStyle w:val="Point0number"/>
        <w:rPr>
          <w:noProof/>
        </w:rPr>
      </w:pPr>
      <w:r>
        <w:rPr>
          <w:noProof/>
        </w:rPr>
        <w:t>Članak 15. stavak 3. zamjenjuje se sljedećim:</w:t>
      </w:r>
    </w:p>
    <w:p>
      <w:pPr>
        <w:ind w:left="1134"/>
        <w:rPr>
          <w:noProof/>
        </w:rPr>
      </w:pPr>
      <w:r>
        <w:rPr>
          <w:noProof/>
        </w:rPr>
        <w:t>„Komisija do 31. prosinca 2021., nakon savjetovanja s ESSC-om i Europskim savjetodavnim odborom za statistiku, podnosi Europskom parlamentu i Vijeću konačno izvješće o ocjeni provedbe programa.”</w:t>
      </w:r>
    </w:p>
    <w:p>
      <w:pPr>
        <w:pStyle w:val="Point0number"/>
        <w:rPr>
          <w:noProof/>
        </w:rPr>
      </w:pPr>
      <w:r>
        <w:rPr>
          <w:noProof/>
        </w:rPr>
        <w:t>Prilog se mijenja kako je utvrđeno u Prilogu ovoj Uredbi.</w:t>
      </w:r>
    </w:p>
    <w:p>
      <w:pPr>
        <w:pStyle w:val="Titrearticle"/>
        <w:rPr>
          <w:noProof/>
        </w:rPr>
      </w:pPr>
      <w:r>
        <w:rPr>
          <w:noProof/>
        </w:rPr>
        <w:t>Članak 2.</w:t>
      </w:r>
    </w:p>
    <w:p>
      <w:pPr>
        <w:rPr>
          <w:noProof/>
        </w:rPr>
      </w:pPr>
      <w:r>
        <w:rPr>
          <w:noProof/>
        </w:rPr>
        <w:t xml:space="preserve">Ova Uredba stupa na snagu na dan objave u </w:t>
      </w:r>
      <w:r>
        <w:rPr>
          <w:i/>
          <w:noProof/>
        </w:rPr>
        <w:t>Službenom listu Europske unije.</w:t>
      </w:r>
    </w:p>
    <w:p>
      <w:pPr>
        <w:rPr>
          <w:noProof/>
        </w:rPr>
      </w:pPr>
      <w:r>
        <w:rPr>
          <w:noProof/>
        </w:rPr>
        <w:t>Primjenjuje se od 1. siječnja 2018.</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postojećim višegodišnjim financijskim okvirom</w:t>
      </w:r>
    </w:p>
    <w:p>
      <w:pPr>
        <w:pStyle w:val="ManualHeading3"/>
        <w:rPr>
          <w:noProof/>
        </w:rPr>
      </w:pPr>
      <w:r>
        <w:rPr>
          <w:noProof/>
        </w:rPr>
        <w:tab/>
        <w:t>3.2.5.</w:t>
      </w:r>
      <w:r>
        <w:rPr>
          <w:noProof/>
        </w:rPr>
        <w:tab/>
        <w:t xml:space="preserve">Doprinosi trećih strana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noProof/>
        </w:rPr>
      </w:pPr>
      <w:r>
        <w:rPr>
          <w:b/>
          <w:noProof/>
          <w:u w:val="single"/>
        </w:rPr>
        <w:t>ZAKONODAVNI FINANCIJSKI IZVJEŠTAJ</w:t>
      </w:r>
    </w:p>
    <w:p>
      <w:pPr>
        <w:pStyle w:val="ManualHeading1"/>
        <w:rPr>
          <w:noProof/>
        </w:rPr>
      </w:pPr>
      <w:r>
        <w:t>1.</w:t>
      </w:r>
      <w:r>
        <w:tab/>
      </w:r>
      <w:r>
        <w:rPr>
          <w:noProof/>
        </w:rPr>
        <w:t xml:space="preserve">OKVIR PRIJEDLOGA/INICIJATIVE </w:t>
      </w:r>
    </w:p>
    <w:p>
      <w:pPr>
        <w:pStyle w:val="ManualHeading2"/>
        <w:rPr>
          <w:noProof/>
        </w:rPr>
      </w:pPr>
      <w:r>
        <w:t>1.1.</w:t>
      </w:r>
      <w:r>
        <w:tab/>
      </w:r>
      <w:r>
        <w:rPr>
          <w:noProof/>
        </w:rPr>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izmjeni Uredbe (EU) br. 99/2013 o europskome statističkom programu od 2013. do 2017. njegovim produljenjem na razdoblje od 2018. do 2020.</w:t>
      </w:r>
    </w:p>
    <w:p>
      <w:pPr>
        <w:pStyle w:val="ManualHeading2"/>
        <w:rPr>
          <w:noProof/>
          <w:szCs w:val="24"/>
        </w:rPr>
      </w:pPr>
      <w:r>
        <w:t>1.2.</w:t>
      </w:r>
      <w:r>
        <w:tab/>
      </w:r>
      <w:r>
        <w:rPr>
          <w:noProof/>
        </w:rPr>
        <w:t>Odgovarajuća područja politike u strukturi ABM/ABB</w:t>
      </w:r>
      <w:r>
        <w:rPr>
          <w:rStyle w:val="FootnoteReference"/>
          <w:noProof/>
        </w:rPr>
        <w:footnoteReference w:id="1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 Statistika (29 01 – Administrativna potpora za područje politike statistike; 29 02 – Europski statistički program)</w:t>
      </w:r>
    </w:p>
    <w:p>
      <w:pPr>
        <w:pStyle w:val="ManualHeading2"/>
        <w:rPr>
          <w:bCs/>
          <w:noProof/>
          <w:szCs w:val="24"/>
        </w:rPr>
      </w:pPr>
      <w:r>
        <w:t>1.3.</w:t>
      </w:r>
      <w:r>
        <w:tab/>
      </w:r>
      <w:r>
        <w:rPr>
          <w:noProof/>
        </w:rPr>
        <w:t xml:space="preserve">Vrsta prijedloga/inicijative </w:t>
      </w:r>
    </w:p>
    <w:p>
      <w:pPr>
        <w:pStyle w:val="Text1"/>
        <w:rPr>
          <w:b/>
          <w:noProof/>
          <w:sz w:val="22"/>
        </w:rPr>
      </w:pPr>
      <w:r>
        <w:rPr>
          <w:noProof/>
          <w:sz w:val="22"/>
        </w:rPr>
        <w:sym w:font="Wingdings" w:char="F0A8"/>
      </w:r>
      <w:r>
        <w:rPr>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pilot-projekta/pripremnog djelovanja</w:t>
      </w:r>
      <w:r>
        <w:rPr>
          <w:rStyle w:val="FootnoteReference"/>
          <w:b/>
          <w:noProof/>
        </w:rPr>
        <w:footnoteReference w:id="19"/>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t>1.4.</w:t>
      </w:r>
      <w:r>
        <w:tab/>
      </w:r>
      <w:r>
        <w:rPr>
          <w:noProof/>
        </w:rPr>
        <w:t>Ciljevi</w:t>
      </w:r>
    </w:p>
    <w:p>
      <w:pPr>
        <w:pStyle w:val="ManualHeading3"/>
        <w:rPr>
          <w:noProof/>
        </w:rPr>
      </w:pPr>
      <w:r>
        <w:t>1.4.1.</w:t>
      </w:r>
      <w:r>
        <w:tab/>
      </w:r>
      <w:r>
        <w:rPr>
          <w:noProof/>
        </w:rPr>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Prijedlog je u skladu s prioritetima Europske unije jer će se razvojem, izradom i diseminacijom statistika u okviru europskoga statističkog programa (ESP) pridonijeti provedbi politika EU-a, među ostalim strategije Europa 2020. za „pametan, održiv i uključiv rast” i ostalih politika navedenih u 10 prioritetnih područja Komisije za razdoblje od 2014. do 2019. (Program za zapošljavanje, rast, pravednost i demokratske promjene).</w:t>
      </w:r>
    </w:p>
    <w:p>
      <w:pPr>
        <w:pStyle w:val="ManualHeading3"/>
        <w:rPr>
          <w:bCs/>
          <w:noProof/>
          <w:szCs w:val="24"/>
        </w:rPr>
      </w:pPr>
      <w:r>
        <w:t>1.4.2.</w:t>
      </w:r>
      <w:r>
        <w:tab/>
      </w:r>
      <w:r>
        <w:rPr>
          <w:noProof/>
        </w:rPr>
        <w:t xml:space="preserve">Posebni ciljevi i odgovarajuće aktivnosti u okviru strukture ABM/ABB </w:t>
      </w:r>
    </w:p>
    <w:p>
      <w:pPr>
        <w:pStyle w:val="Text1"/>
        <w:pBdr>
          <w:top w:val="single" w:sz="4" w:space="1" w:color="auto"/>
          <w:left w:val="single" w:sz="4" w:space="4" w:color="auto"/>
          <w:bottom w:val="single" w:sz="4" w:space="1" w:color="auto"/>
          <w:right w:val="single" w:sz="4" w:space="4" w:color="auto"/>
        </w:pBdr>
        <w:rPr>
          <w:noProof/>
        </w:rPr>
      </w:pPr>
      <w:r>
        <w:rPr>
          <w:noProof/>
        </w:rPr>
        <w:t>Posebni ciljevi 1. i 4.:</w:t>
      </w:r>
    </w:p>
    <w:p>
      <w:pPr>
        <w:pStyle w:val="Text1"/>
        <w:pBdr>
          <w:top w:val="single" w:sz="4" w:space="1" w:color="auto"/>
          <w:left w:val="single" w:sz="4" w:space="4" w:color="auto"/>
          <w:bottom w:val="single" w:sz="4" w:space="1" w:color="auto"/>
          <w:right w:val="single" w:sz="4" w:space="4" w:color="auto"/>
        </w:pBdr>
        <w:rPr>
          <w:noProof/>
        </w:rPr>
      </w:pPr>
      <w:r>
        <w:rPr>
          <w:noProof/>
        </w:rPr>
        <w:t>pravodobno pružanje statističkih podataka radi podupiranja razvoja, praćenja i ocjenjivanja politika Unije jasno odražavajući prioritete, istodobno zadržavajući ravnotežu između gospodarskog i socijalnog područja te područja zaštite okoliša i zadovoljavajući potrebe širokog kruga korisnika europske statistike, uključujući ostale donositelje odluka, istraživače, poduzetnike i europske građane općenito, na troškovno učinkovit način bez nepotrebnog udvostručavanja napora.</w:t>
      </w:r>
    </w:p>
    <w:p>
      <w:pPr>
        <w:pStyle w:val="Text1"/>
        <w:pBdr>
          <w:top w:val="single" w:sz="4" w:space="1" w:color="auto"/>
          <w:left w:val="single" w:sz="4" w:space="4" w:color="auto"/>
          <w:bottom w:val="single" w:sz="4" w:space="1" w:color="auto"/>
          <w:right w:val="single" w:sz="4" w:space="4" w:color="auto"/>
        </w:pBdr>
        <w:rPr>
          <w:noProof/>
        </w:rPr>
      </w:pPr>
      <w:r>
        <w:rPr>
          <w:noProof/>
        </w:rPr>
        <w:t>Osigurati usklađeno pružanje statistika za cijelo vrijeme trajanja programa ako to ne utječe na mehanizme određivanja prioriteta europskog statističkog sustava (ESS).</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3403 — Izrada statističkih informacija</w:t>
      </w:r>
    </w:p>
    <w:p>
      <w:pPr>
        <w:pStyle w:val="Text1"/>
        <w:pBdr>
          <w:top w:val="single" w:sz="4" w:space="1" w:color="auto"/>
          <w:left w:val="single" w:sz="4" w:space="4" w:color="auto"/>
          <w:bottom w:val="single" w:sz="4" w:space="1" w:color="auto"/>
          <w:right w:val="single" w:sz="4" w:space="4" w:color="auto"/>
        </w:pBdr>
        <w:rPr>
          <w:noProof/>
        </w:rPr>
      </w:pPr>
      <w:r>
        <w:rPr>
          <w:noProof/>
        </w:rPr>
        <w:t>Posebni cilj br. 2:</w:t>
      </w:r>
    </w:p>
    <w:p>
      <w:pPr>
        <w:pStyle w:val="Text1"/>
        <w:pBdr>
          <w:top w:val="single" w:sz="4" w:space="1" w:color="auto"/>
          <w:left w:val="single" w:sz="4" w:space="4" w:color="auto"/>
          <w:bottom w:val="single" w:sz="4" w:space="1" w:color="auto"/>
          <w:right w:val="single" w:sz="4" w:space="4" w:color="auto"/>
        </w:pBdr>
        <w:rPr>
          <w:noProof/>
        </w:rPr>
      </w:pPr>
      <w:r>
        <w:rPr>
          <w:noProof/>
        </w:rPr>
        <w:t>Provođenje novih načina izrade europske statistike čiji je cilj povećanje učinkovitosti i unapređenje kvalitete.</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3403 – Izrada statističkih informacija;</w:t>
      </w:r>
      <w:r>
        <w:rPr>
          <w:noProof/>
        </w:rPr>
        <w:tab/>
      </w:r>
      <w:r>
        <w:rPr>
          <w:noProof/>
        </w:rPr>
        <w:br/>
        <w:t>3480 – Administrativna potpora Eurostatu;</w:t>
      </w:r>
      <w:r>
        <w:rPr>
          <w:noProof/>
        </w:rPr>
        <w:tab/>
      </w:r>
      <w:r>
        <w:rPr>
          <w:noProof/>
        </w:rPr>
        <w:br/>
        <w:t>3481 – Politička strategija i koordinacija za Eurostat</w:t>
      </w:r>
    </w:p>
    <w:p>
      <w:pPr>
        <w:pStyle w:val="Text1"/>
        <w:pBdr>
          <w:top w:val="single" w:sz="4" w:space="1" w:color="auto"/>
          <w:left w:val="single" w:sz="4" w:space="4" w:color="auto"/>
          <w:bottom w:val="single" w:sz="4" w:space="1" w:color="auto"/>
          <w:right w:val="single" w:sz="4" w:space="4" w:color="auto"/>
        </w:pBdr>
        <w:rPr>
          <w:noProof/>
        </w:rPr>
      </w:pPr>
      <w:r>
        <w:rPr>
          <w:noProof/>
        </w:rPr>
        <w:t>Posebni cilj br. 3:</w:t>
      </w:r>
    </w:p>
    <w:p>
      <w:pPr>
        <w:pStyle w:val="Text1"/>
        <w:pBdr>
          <w:top w:val="single" w:sz="4" w:space="1" w:color="auto"/>
          <w:left w:val="single" w:sz="4" w:space="4" w:color="auto"/>
          <w:bottom w:val="single" w:sz="4" w:space="1" w:color="auto"/>
          <w:right w:val="single" w:sz="4" w:space="4" w:color="auto"/>
        </w:pBdr>
        <w:rPr>
          <w:noProof/>
        </w:rPr>
      </w:pPr>
      <w:r>
        <w:rPr>
          <w:noProof/>
        </w:rPr>
        <w:t>jačanje partnerstva u okviru europskog statističkog sustava i izvan njega radi daljnjeg jačanja njegove produktivnosti i vodeće uloge u službenoj statistici diljem svijeta.</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3481 – Politička strategija i koordinacija za Eurostat</w:t>
      </w:r>
    </w:p>
    <w:p>
      <w:pPr>
        <w:pStyle w:val="Text1"/>
        <w:pBdr>
          <w:top w:val="single" w:sz="4" w:space="1" w:color="auto"/>
          <w:left w:val="single" w:sz="4" w:space="4" w:color="auto"/>
          <w:bottom w:val="single" w:sz="4" w:space="1" w:color="auto"/>
          <w:right w:val="single" w:sz="4" w:space="4" w:color="auto"/>
        </w:pBdr>
        <w:rPr>
          <w:noProof/>
        </w:rPr>
      </w:pPr>
      <w:r>
        <w:rPr>
          <w:noProof/>
        </w:rPr>
        <w:t>Detaljniji ciljevi navedeni su u godišnjim programima rada Komisije u području statistike.</w:t>
      </w:r>
    </w:p>
    <w:p>
      <w:pPr>
        <w:pStyle w:val="ManualHeading3"/>
        <w:rPr>
          <w:bCs/>
          <w:noProof/>
          <w:szCs w:val="24"/>
        </w:rPr>
      </w:pPr>
      <w:r>
        <w:rPr>
          <w:noProof/>
        </w:rPr>
        <w:br w:type="page"/>
      </w:r>
      <w:r>
        <w:t>1.4.3.</w:t>
      </w:r>
      <w:r>
        <w:tab/>
      </w:r>
      <w:r>
        <w:rPr>
          <w:noProof/>
        </w:rPr>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Inicijativom se nastoji uspostaviti zakonodavni okvir za ESP za vrijeme trajanja višegodišnjeg financijskog okvira (VFO) i ESS-u osigurati financijska potpora koja mu je potrebna da bi sljedeće bilo moguće: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pružati korisnicima visokokvalitetne statističke podatke i što hitnije ukloniti statističke nedostatke usmjeravanjem na niz prioritetnih područja koja odražavaju 10 političkih prioriteta Komisije,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omogućiti izrađivačima službene statistike izgradnju trajnog kapaciteta potrebnog za brži odgovor na nove potrebe i prilagodbu statističke infrastrukture kako bi se mogao iskoristiti potencijal novih izvora podataka,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dodatno smanjiti opterećenje ispitanika (poduzeća i pojedinaca) poboljšanjem učinkovitosti i produktivnosti ESS-a 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ojačati partnerstvo u okviru ESS–a i izvan njega radi osiguranja njegove vodeće uloge u službenoj statistici diljem svijeta.</w:t>
      </w:r>
    </w:p>
    <w:p>
      <w:pPr>
        <w:pStyle w:val="ManualHeading3"/>
        <w:rPr>
          <w:bCs/>
          <w:noProof/>
          <w:szCs w:val="24"/>
        </w:rPr>
      </w:pPr>
      <w:r>
        <w:t>1.4.4.</w:t>
      </w:r>
      <w:r>
        <w:tab/>
      </w:r>
      <w:r>
        <w:rPr>
          <w:noProof/>
        </w:rPr>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Sljedeći ključni pokazatelji uspješnosti utvrđeni su u izjavi o programu i planovima upravljanja i o njima se izvješćuje u godišnjim izvješćima o radu za postojeći ESP (2013. – 2017.); većina njih će se upotrijebiti za praćenje provedbe produljenja programa na razdoblje od 2018. do 2020.:</w:t>
      </w:r>
    </w:p>
    <w:p>
      <w:pPr>
        <w:pStyle w:val="Text1"/>
        <w:pBdr>
          <w:top w:val="single" w:sz="4" w:space="1" w:color="auto"/>
          <w:left w:val="single" w:sz="4" w:space="4" w:color="auto"/>
          <w:bottom w:val="single" w:sz="4" w:space="1" w:color="auto"/>
          <w:right w:val="single" w:sz="4" w:space="4" w:color="auto"/>
        </w:pBdr>
        <w:rPr>
          <w:noProof/>
        </w:rPr>
      </w:pPr>
      <w:r>
        <w:rPr>
          <w:noProof/>
        </w:rPr>
        <w:t>Pokazatelji percepcija korisnika (izvor: godišnje istraživanje o zadovoljstvu korisnika koje provodi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1.</w:t>
      </w:r>
      <w:r>
        <w:rPr>
          <w:noProof/>
        </w:rPr>
        <w:tab/>
        <w:t>postotak korisnika koji ukupnu kvalitetu podataka i usluga koje pruža Eurostat ocjenjuju „vrlo dobrim” ili „dobrim”;</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2.</w:t>
      </w:r>
      <w:r>
        <w:rPr>
          <w:noProof/>
        </w:rPr>
        <w:tab/>
        <w:t>postotak korisnika koji ukupnu kvalitetu europske statistike ocjenjuju „vrlo dobrom” ili „dobrom”;</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3.</w:t>
      </w:r>
      <w:r>
        <w:rPr>
          <w:noProof/>
        </w:rPr>
        <w:tab/>
        <w:t>postotak korisnika koji pravodobnost europske statistike za njihove potrebe ocjenjuju „vrlo dobrom” ili „dobrom”;</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4.</w:t>
      </w:r>
      <w:r>
        <w:rPr>
          <w:noProof/>
        </w:rPr>
        <w:tab/>
        <w:t>postotak korisnika koji usporedivost europske statistike među regijama i državama ocjenjuju „vrlo dobrom” ili „dobrom”.</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Činjenični pokazatelji: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5.</w:t>
      </w:r>
      <w:r>
        <w:rPr>
          <w:noProof/>
        </w:rPr>
        <w:tab/>
        <w:t>broj ekstrakcija podataka (u milijunima) od strane vanjskih korisnika iz Eurostatovih javnih baza podataka preko Eurostatove internetske stranice (izvor: izvješća o praćenju Eurostatove elektroničke diseminacije)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6.</w:t>
      </w:r>
      <w:r>
        <w:rPr>
          <w:noProof/>
        </w:rPr>
        <w:tab/>
        <w:t>točnost uzorka statističkih podataka: prosječan broj dana unaprijed (pozitivan) ili kašnjenja (negativan) u odnosu na zakonski cilj. Uzorak se uzima među glavnim europskim gospodarskim pokazateljima (GEEP) (izvor: Eurostatovo godišnje izvješće o stanju u pogledu zahtjeva za informiranje u EMU-u podneseno Gospodarskom i financijskom odboru) plus vanjska trgovina EU-a (izvor: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7.</w:t>
      </w:r>
      <w:r>
        <w:rPr>
          <w:noProof/>
        </w:rPr>
        <w:tab/>
        <w:t>duljina vremenske serije uzorka statističkih podataka (euro-pokazatelji – aktivna serija – izvor: baza podataka Eurostata).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Pokazatelji utemeljeni na samoocjenjivanju (jedan za svaki cilj):</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8.</w:t>
      </w:r>
      <w:r>
        <w:rPr>
          <w:noProof/>
        </w:rPr>
        <w:tab/>
        <w:t>stupanj ostvarenosti svakog posebnog cilja mjeren kao postotak ostvarenosti povezanih aktivnosti / rezultata (izvor: praćenje dva puta godišnje).</w:t>
      </w:r>
    </w:p>
    <w:p>
      <w:pPr>
        <w:pStyle w:val="Text1"/>
        <w:pBdr>
          <w:top w:val="single" w:sz="4" w:space="1" w:color="auto"/>
          <w:left w:val="single" w:sz="4" w:space="4" w:color="auto"/>
          <w:bottom w:val="single" w:sz="4" w:space="1" w:color="auto"/>
          <w:right w:val="single" w:sz="4" w:space="4" w:color="auto"/>
        </w:pBdr>
        <w:rPr>
          <w:noProof/>
        </w:rPr>
      </w:pPr>
      <w:r>
        <w:rPr>
          <w:noProof/>
        </w:rPr>
        <w:t>Za potrebe praćenja provedbe produljenja programa na razdoblje od 2018. do 2020. izvršit će se sljedeća poboljšanja:</w:t>
      </w:r>
    </w:p>
    <w:p>
      <w:pPr>
        <w:pStyle w:val="Text1"/>
        <w:pBdr>
          <w:top w:val="single" w:sz="4" w:space="1" w:color="auto"/>
          <w:left w:val="single" w:sz="4" w:space="4" w:color="auto"/>
          <w:bottom w:val="single" w:sz="4" w:space="1" w:color="auto"/>
          <w:right w:val="single" w:sz="4" w:space="4" w:color="auto"/>
        </w:pBdr>
        <w:rPr>
          <w:noProof/>
        </w:rPr>
      </w:pPr>
      <w:r>
        <w:rPr>
          <w:noProof/>
        </w:rPr>
        <w:t>obrisat će se jedan od pokazatelja „percepcije korisnika” (br. 1 do 4) – koji su utemeljeni na jedinstvenom izvoru i nisu jednoznačno povezani Eurostatovim programom ili proračunom (br. 2).</w:t>
      </w:r>
    </w:p>
    <w:p>
      <w:pPr>
        <w:pStyle w:val="Text1"/>
        <w:pBdr>
          <w:top w:val="single" w:sz="4" w:space="1" w:color="auto"/>
          <w:left w:val="single" w:sz="4" w:space="4" w:color="auto"/>
          <w:bottom w:val="single" w:sz="4" w:space="1" w:color="auto"/>
          <w:right w:val="single" w:sz="4" w:space="4" w:color="auto"/>
        </w:pBdr>
        <w:rPr>
          <w:noProof/>
        </w:rPr>
      </w:pPr>
      <w:r>
        <w:rPr>
          <w:noProof/>
        </w:rPr>
        <w:t>Trenutačni pokazatelj br. 7 o duljini vremenske serije uzorka statističkih podataka zamijenit će se čvršćim pokazateljem kojim će biti obuhvaćena sva statistička područja i uzet će se u obzir pružanje „zamjenske” serije za vremensku seriju koja je prekinuta (na primjer zbog promjene metodologije). Ova nova verzija pokazatelja bit će usko povezana s ciljevima programa i na nju će izravno ili u velikoj mjeri utjecati proračun EU-a.</w:t>
      </w:r>
    </w:p>
    <w:p>
      <w:pPr>
        <w:pStyle w:val="Text1"/>
        <w:pBdr>
          <w:top w:val="single" w:sz="4" w:space="1" w:color="auto"/>
          <w:left w:val="single" w:sz="4" w:space="4" w:color="auto"/>
          <w:bottom w:val="single" w:sz="4" w:space="1" w:color="auto"/>
          <w:right w:val="single" w:sz="4" w:space="4" w:color="auto"/>
        </w:pBdr>
        <w:rPr>
          <w:noProof/>
        </w:rPr>
      </w:pPr>
      <w:r>
        <w:rPr>
          <w:noProof/>
        </w:rPr>
        <w:t>Dodatnim pokazateljem mjerit će se niz različitih „statistika” (tj. pokazatelji, potpokazatelji, podjele, jedinice itd.) koje se stavljaju na raspolaganje korisnicima (u cjelini i za glavna statistička područja na koja uglavnom utječe produljenje ESP-a, npr. socijalna i okolišna statistika). Ovaj pokazatelj mogao bi se nadopuniti nizom podatkovnih točaka/vrijednosti/brojki. Glavna razlika između dvaju pokazatelja jest da se drugi povećava i svaki puta kada postanu dostupni noviji podaci, dok se prvi povećava samo kod izrade novih statistika. Ti novi pokazatelji bit će usko povezani s ciljevima programa i na njih će izravno ili u velikoj mjeri utjecati proračun EU-a.</w:t>
      </w:r>
    </w:p>
    <w:p>
      <w:pPr>
        <w:pStyle w:val="Text1"/>
        <w:pBdr>
          <w:top w:val="single" w:sz="4" w:space="1" w:color="auto"/>
          <w:left w:val="single" w:sz="4" w:space="4" w:color="auto"/>
          <w:bottom w:val="single" w:sz="4" w:space="1" w:color="auto"/>
          <w:right w:val="single" w:sz="4" w:space="4" w:color="auto"/>
        </w:pBdr>
        <w:rPr>
          <w:noProof/>
        </w:rPr>
      </w:pPr>
      <w:r>
        <w:rPr>
          <w:noProof/>
        </w:rPr>
        <w:t>Analizirat će se i mogućnost definiranja poboljšanog pokazatelja pravodobnosti i razvoja informatičke rutine za njegov izračun na temelju dostupnih podataka u Eurostatovim javnim bazama podataka. Ako se takav pokazatelj pravodobnosti može provesti, njime će se zamijeniti postojeći pokazatelj br. 3.</w:t>
      </w:r>
    </w:p>
    <w:p>
      <w:pPr>
        <w:pStyle w:val="ManualHeading2"/>
        <w:rPr>
          <w:bCs/>
          <w:noProof/>
          <w:szCs w:val="24"/>
        </w:rPr>
      </w:pPr>
      <w:r>
        <w:t>1.5.</w:t>
      </w:r>
      <w:r>
        <w:tab/>
      </w:r>
      <w:r>
        <w:rPr>
          <w:noProof/>
        </w:rPr>
        <w:t xml:space="preserve">Osnova prijedloga/inicijative </w:t>
      </w:r>
    </w:p>
    <w:p>
      <w:pPr>
        <w:pStyle w:val="ManualHeading3"/>
        <w:rPr>
          <w:noProof/>
        </w:rPr>
      </w:pPr>
      <w:r>
        <w:t>1.5.1.</w:t>
      </w:r>
      <w:r>
        <w:tab/>
      </w:r>
      <w:r>
        <w:rPr>
          <w:noProof/>
        </w:rPr>
        <w:t xml:space="preserve">Zahtjev/zahtjevi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U skladu s člankom 13. stavkom 1. Uredbe (EZ) br. 223/2009 ESP-om se osigurava okvir za razvoj, izradu i diseminaciju europskih statistika, kojim se utvrđuju glavna područja i ciljevi mjera predviđenih za razdoblje koje odgovara razdoblju višegodišnjeg financijskog okvira. U ESP-ovima se utvrđuju prioriteti u pogledu potreba za podacima za provođenje aktivnosti EU-a i sredstva za njihovu provedbu. Budući da trenutačni ESP završava 2017., trebalo bi ga produljiti na razdoblje od 2018. do 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Postoji velika potražnja za službenim statistikama, u usporedbi s drugim izvorima podataka, jer se one izrađuju i diseminiraju u skladu s posebnim načelima i kriterijima kvalitete i stoga imaju dodanu vrijednost za korisnike. Potrebno je ukloniti niz statističkih nedostataka kako bi se statistikom mogla pružati bolja potpora politikama EU-a. Potrebno je hitno poboljšati pravodobnost nekih europskih statistika kako bi se njima mogli osigurati podaci potrebni u kontekstu Europskog semestra. Relevantnost postojećih europskih statistika dovodi se u pitanje zbog potrebe za statistikom koja proizlazi iz 10 političkih prioriteta Komisije i zbog sve veće složenosti društava. </w:t>
      </w:r>
    </w:p>
    <w:p>
      <w:pPr>
        <w:pStyle w:val="Text1"/>
        <w:pBdr>
          <w:top w:val="single" w:sz="4" w:space="1" w:color="auto"/>
          <w:left w:val="single" w:sz="4" w:space="4" w:color="auto"/>
          <w:bottom w:val="single" w:sz="4" w:space="1" w:color="auto"/>
          <w:right w:val="single" w:sz="4" w:space="4" w:color="auto"/>
        </w:pBdr>
        <w:rPr>
          <w:noProof/>
        </w:rPr>
      </w:pPr>
      <w:r>
        <w:rPr>
          <w:noProof/>
        </w:rPr>
        <w:t>Iako su nacionalni statistički sustavi uložili veliki napor u modernizaciju svojih načina izrade uz potporu europskog statističkoga programa za razdoblje od 2013. do 2017., postojeća infrastruktura za izradu statističkih podataka još nije dovoljno fleksibilna za isporuku novih statistika kada je to potrebno i istovremeno ograničavanje povezanih troškova i administrativnog opterećenja. Bez povećanja postojeće razine ulaganja, ESS neće moći zadovoljiti rastuću potražnju za statistikama ni potrebu za bržim stavljanjem statistika na raspolaganje.</w:t>
      </w:r>
    </w:p>
    <w:p>
      <w:pPr>
        <w:pStyle w:val="Text1"/>
        <w:pBdr>
          <w:top w:val="single" w:sz="4" w:space="1" w:color="auto"/>
          <w:left w:val="single" w:sz="4" w:space="4" w:color="auto"/>
          <w:bottom w:val="single" w:sz="4" w:space="1" w:color="auto"/>
          <w:right w:val="single" w:sz="4" w:space="4" w:color="auto"/>
        </w:pBdr>
        <w:rPr>
          <w:noProof/>
        </w:rPr>
      </w:pPr>
      <w:r>
        <w:rPr>
          <w:noProof/>
        </w:rPr>
        <w:t>Prijedlog bi najviše utjecao na korisnike statistika (npr. donositelje politika, poduzeća, medije, istraživače i javnost na razini EU-a i nacionalnoj razini), izrađivače statistika (nacionalne zavode za statistiku i ostala nacionalna tijela) i ispitanike (kućanstva i poduzeća).</w:t>
      </w:r>
    </w:p>
    <w:p>
      <w:pPr>
        <w:pStyle w:val="ManualHeading3"/>
        <w:rPr>
          <w:bCs/>
          <w:noProof/>
          <w:szCs w:val="24"/>
        </w:rPr>
      </w:pPr>
      <w:r>
        <w:t>1.5.2.</w:t>
      </w:r>
      <w:r>
        <w:tab/>
      </w:r>
      <w:r>
        <w:rPr>
          <w:noProof/>
        </w:rPr>
        <w:t>Dodana vrijednost sudjelovanja EU-a</w:t>
      </w:r>
    </w:p>
    <w:p>
      <w:pPr>
        <w:pStyle w:val="Text1"/>
        <w:pBdr>
          <w:top w:val="single" w:sz="4" w:space="1" w:color="auto"/>
          <w:left w:val="single" w:sz="4" w:space="4" w:color="auto"/>
          <w:bottom w:val="single" w:sz="4" w:space="1" w:color="auto"/>
          <w:right w:val="single" w:sz="4" w:space="4" w:color="auto"/>
        </w:pBdr>
        <w:rPr>
          <w:noProof/>
        </w:rPr>
      </w:pPr>
      <w:r>
        <w:rPr>
          <w:noProof/>
        </w:rPr>
        <w:t>Države članice prikupljaju statističke podatke na nacionalnoj razini, ali, kako bi podaci na razini EU-a bili usporedivi, one bi to trebale činiti u skladu s jednakim usklađenim načelima. Samo koordiniranim pristupom razvoju, izradi i diseminaciji europskih statistika, kako je predviđeno u ESP-u, može se zajamčiti nužna usklađenost i usporedivost statistika relevantnih za područja djelovanja EU-a. Predloženim djelovanjem na razini EU-a pridonijelo bi se i učinkovitoj uporabi resursa (zbog ekonomija razmjera) i pružila bi se potpora nacionalnim tijelima u razvoju njihovih kapaciteta u pogledu usklađivanja i metodologija.</w:t>
      </w:r>
    </w:p>
    <w:p>
      <w:pPr>
        <w:pStyle w:val="ManualHeading3"/>
        <w:rPr>
          <w:bCs/>
          <w:noProof/>
          <w:szCs w:val="24"/>
        </w:rPr>
      </w:pPr>
      <w:r>
        <w:t>1.5.3.</w:t>
      </w:r>
      <w:r>
        <w:tab/>
      </w:r>
      <w:r>
        <w:rPr>
          <w:noProof/>
        </w:rPr>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Detaljno su se analizirale evaluacija statističkog programa Zajednice za razdoblje od 2008. do 2012., srednjoročna evaluacija ESP-a za razdoblje od 2013. do 2017. i završne evaluacije programa za modernizaciju europskih statistika o poduzećima i trgovini (MEETS).</w:t>
      </w:r>
    </w:p>
    <w:p>
      <w:pPr>
        <w:pStyle w:val="Text1"/>
        <w:pBdr>
          <w:top w:val="single" w:sz="4" w:space="1" w:color="auto"/>
          <w:left w:val="single" w:sz="4" w:space="4" w:color="auto"/>
          <w:bottom w:val="single" w:sz="4" w:space="1" w:color="auto"/>
          <w:right w:val="single" w:sz="4" w:space="4" w:color="auto"/>
        </w:pBdr>
        <w:rPr>
          <w:noProof/>
        </w:rPr>
      </w:pPr>
      <w:r>
        <w:rPr>
          <w:noProof/>
        </w:rPr>
        <w:t>Zaključak je srednjoročne evaluacije ESP-a za razdoblje 2013. – 2017. da se program u načelu dobro provodi te da je ostvaren dobar napredak u pogledu ostvarenja 17 od 23 detaljna cilja. ESP nudi dobru dodanu vrijednost EU-a, njime se učinkovito upravlja, on odgovara na potrebe korisnika i usklađen je drugim statističkim programima. Na primjer, prelaskom na nove metode izrade statistika podupiru se pristupi koji se upotrebljavaju u okviru ESS-a. U evaluaciji su navedene tri preporuke za usmjeravanje i daljnje poboljšanje provedbe ESP-a: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posebnu pozornost posvetiti ciljevima u pogledu kojih je bilo problema,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osigurati dovoljne resurse za održavanje potrebne razine ulaganja za modernizaciju izrade europskih statistika 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utvrditi i provoditi projekte na razini EU-a kojima se može ostvariti najveća moguća dodana vrijednost EU-a.</w:t>
      </w:r>
    </w:p>
    <w:p>
      <w:pPr>
        <w:pStyle w:val="ManualHeading3"/>
        <w:rPr>
          <w:bCs/>
          <w:noProof/>
          <w:szCs w:val="24"/>
        </w:rPr>
      </w:pPr>
      <w:r>
        <w:t>1.5.4.</w:t>
      </w:r>
      <w:r>
        <w:tab/>
      </w:r>
      <w:r>
        <w:rPr>
          <w:noProof/>
        </w:rPr>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U Odluci Komisije 2012/504/EU</w:t>
      </w:r>
      <w:r>
        <w:rPr>
          <w:rStyle w:val="FootnoteReference"/>
          <w:noProof/>
        </w:rPr>
        <w:footnoteReference w:id="20"/>
      </w:r>
      <w:r>
        <w:rPr>
          <w:noProof/>
        </w:rPr>
        <w:t xml:space="preserve"> definira se uloga Eurostata i odgovornosti u okviru unutarnjeg ustrojstva Komisije u pogledu razvoja, izrade i diseminacije statistika. Kada je riječ o planiranju i programiranju djelovanja u području statistike, u članku 5. Odluke propisano je da se aktivnosti povezane s europskom statistikom utvrđuju u ESP-u i godišnjem programu rada kako je navedeno u člancima 13. i 17. Uredbe (EZ) br. 223/2009. </w:t>
      </w:r>
    </w:p>
    <w:p>
      <w:pPr>
        <w:pStyle w:val="ManualHeading2"/>
        <w:rPr>
          <w:bCs/>
          <w:noProof/>
          <w:szCs w:val="24"/>
        </w:rPr>
      </w:pPr>
      <w:r>
        <w:rPr>
          <w:noProof/>
        </w:rPr>
        <w:br w:type="page"/>
      </w:r>
      <w:r>
        <w:t>1.6.</w:t>
      </w:r>
      <w:r>
        <w:tab/>
      </w:r>
      <w:r>
        <w:rPr>
          <w:noProof/>
        </w:rPr>
        <w:t xml:space="preserve">Trajanje i financijski utjecaj </w:t>
      </w:r>
    </w:p>
    <w:p>
      <w:pPr>
        <w:pStyle w:val="Text1"/>
        <w:rPr>
          <w:noProof/>
        </w:rPr>
      </w:pPr>
      <w:r>
        <w:rPr>
          <w:noProof/>
          <w:sz w:val="22"/>
        </w:rPr>
        <w:sym w:font="Wingdings" w:char="F0FD"/>
      </w:r>
      <w:r>
        <w:rPr>
          <w:b/>
          <w:i/>
          <w:noProof/>
        </w:rPr>
        <w:t xml:space="preserve"> </w:t>
      </w:r>
      <w:r>
        <w:rPr>
          <w:noProof/>
        </w:rPr>
        <w:t xml:space="preserve">Prijedlog/inicijativa </w:t>
      </w:r>
      <w:r>
        <w:rPr>
          <w:b/>
          <w:noProof/>
        </w:rPr>
        <w:t xml:space="preserve">ograničenog trajanja </w:t>
      </w:r>
    </w:p>
    <w:p>
      <w:pPr>
        <w:pStyle w:val="ListDash2"/>
        <w:rPr>
          <w:noProof/>
        </w:rPr>
      </w:pPr>
      <w:r>
        <w:rPr>
          <w:noProof/>
          <w:sz w:val="22"/>
        </w:rPr>
        <w:sym w:font="Wingdings" w:char="F0FD"/>
      </w:r>
      <w:r>
        <w:rPr>
          <w:noProof/>
        </w:rPr>
        <w:tab/>
        <w:t>Prijedlog/inicijativa na snazi od 1. siječnja 2018. do 31. prosinca 2020.</w:t>
      </w:r>
    </w:p>
    <w:p>
      <w:pPr>
        <w:pStyle w:val="ListDash2"/>
        <w:rPr>
          <w:noProof/>
        </w:rPr>
      </w:pPr>
      <w:r>
        <w:rPr>
          <w:noProof/>
          <w:sz w:val="22"/>
        </w:rPr>
        <w:sym w:font="Wingdings" w:char="F0FD"/>
      </w:r>
      <w:r>
        <w:rPr>
          <w:noProof/>
        </w:rPr>
        <w:tab/>
        <w:t xml:space="preserve">Financijski utjecaj od 2018. do 2020. za odobrena sredstva za preuzimanje obveza i od 2018. do 2024. za odobrena sredstva za plaćanje. </w:t>
      </w:r>
    </w:p>
    <w:p>
      <w:pPr>
        <w:pStyle w:val="Text1"/>
        <w:rPr>
          <w:noProof/>
        </w:rPr>
      </w:pPr>
      <w:r>
        <w:rPr>
          <w:noProof/>
        </w:rPr>
        <w:sym w:font="Wingdings" w:char="F0A8"/>
      </w:r>
      <w:r>
        <w:rPr>
          <w:b/>
          <w:i/>
          <w:noProof/>
        </w:rPr>
        <w:t xml:space="preserve"> </w:t>
      </w:r>
      <w:r>
        <w:rPr>
          <w:noProof/>
        </w:rPr>
        <w:t xml:space="preserve">Prijedlog/inicijativa </w:t>
      </w:r>
      <w:r>
        <w:rPr>
          <w:b/>
          <w:noProof/>
        </w:rPr>
        <w:t>neograničenog trajanja</w:t>
      </w:r>
    </w:p>
    <w:p>
      <w:pPr>
        <w:pStyle w:val="ListDash1"/>
        <w:rPr>
          <w:noProof/>
        </w:rPr>
      </w:pPr>
      <w:r>
        <w:rPr>
          <w:noProof/>
        </w:rPr>
        <w:t>Provedba s razdobljem uspostave od GGGG. do GGGG.,</w:t>
      </w:r>
    </w:p>
    <w:p>
      <w:pPr>
        <w:pStyle w:val="ListDash1"/>
        <w:rPr>
          <w:noProof/>
        </w:rPr>
      </w:pPr>
      <w:r>
        <w:rPr>
          <w:noProof/>
        </w:rPr>
        <w:t>nakon čega slijedi redovna provedba.</w:t>
      </w:r>
    </w:p>
    <w:p>
      <w:pPr>
        <w:pStyle w:val="ManualHeading2"/>
        <w:rPr>
          <w:bCs/>
          <w:noProof/>
          <w:szCs w:val="24"/>
        </w:rPr>
      </w:pPr>
      <w:r>
        <w:t>1.7.</w:t>
      </w:r>
      <w:r>
        <w:tab/>
      </w:r>
      <w:r>
        <w:rPr>
          <w:noProof/>
        </w:rPr>
        <w:t>Predviđeni načini upravljanja</w:t>
      </w:r>
      <w:r>
        <w:rPr>
          <w:rStyle w:val="FootnoteReference"/>
          <w:noProof/>
        </w:rPr>
        <w:t xml:space="preserve"> </w:t>
      </w:r>
    </w:p>
    <w:p>
      <w:pPr>
        <w:pStyle w:val="Text1"/>
        <w:rPr>
          <w:noProof/>
        </w:rPr>
      </w:pPr>
      <w:r>
        <w:rPr>
          <w:noProof/>
          <w:sz w:val="22"/>
        </w:rPr>
        <w:sym w:font="Wingdings" w:char="F0FD"/>
      </w:r>
      <w:r>
        <w:rPr>
          <w:i/>
          <w:noProof/>
        </w:rPr>
        <w:t xml:space="preserve"> </w:t>
      </w:r>
      <w:r>
        <w:rPr>
          <w:b/>
          <w:noProof/>
        </w:rPr>
        <w:t>Izravno upravljanje</w:t>
      </w:r>
      <w:r>
        <w:rPr>
          <w:noProof/>
        </w:rPr>
        <w:t xml:space="preserve"> Komisije</w:t>
      </w:r>
    </w:p>
    <w:p>
      <w:pPr>
        <w:pStyle w:val="ListDash2"/>
        <w:rPr>
          <w:rFonts w:cs="EUAlbertina"/>
          <w:noProof/>
        </w:rPr>
      </w:pPr>
      <w:r>
        <w:rPr>
          <w:noProof/>
          <w:sz w:val="22"/>
        </w:rPr>
        <w:sym w:font="Wingdings" w:char="F0FD"/>
      </w:r>
      <w:r>
        <w:rPr>
          <w:noProof/>
        </w:rPr>
        <w:t xml:space="preserve"> koje obavljaju njezini odjeli, uključujući njezino osoblje u delegacijama Unije; </w:t>
      </w:r>
    </w:p>
    <w:p>
      <w:pPr>
        <w:pStyle w:val="ListDash2"/>
        <w:rPr>
          <w:noProof/>
        </w:rPr>
      </w:pPr>
      <w:r>
        <w:rPr>
          <w:noProof/>
        </w:rPr>
        <w:sym w:font="Wingdings" w:char="F0A8"/>
      </w:r>
      <w:r>
        <w:rPr>
          <w:noProof/>
        </w:rPr>
        <w:tab/>
        <w:t xml:space="preserve">preko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 xml:space="preserve">Neizravno upravljanje </w:t>
      </w:r>
      <w:r>
        <w:rPr>
          <w:noProof/>
        </w:rPr>
        <w:t>delegiranjem zadaća proračunske provedbe:</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A8"/>
      </w:r>
      <w:r>
        <w:rPr>
          <w:noProof/>
        </w:rPr>
        <w:t xml:space="preserve"> tijelima na koja se upućuje u člancima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MJERE UPRAVLJANJA </w:t>
      </w:r>
    </w:p>
    <w:p>
      <w:pPr>
        <w:pStyle w:val="ManualHeading2"/>
        <w:rPr>
          <w:noProof/>
        </w:rPr>
      </w:pPr>
      <w:r>
        <w:t>2.1.</w:t>
      </w:r>
      <w:r>
        <w:tab/>
      </w:r>
      <w:r>
        <w:rPr>
          <w:noProof/>
        </w:rPr>
        <w:t xml:space="preserve">Pravila nadzora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članku 1. stavku 3. predložene Uredbe propisano je da će Komisija Europskom parlamentu i Vijeću do 31. prosinca 2021. podnijeti završno izvješće o evaluaciji provedbe programa, nakon savjetovanja s Odborom za ESS i Europskim savjetodavnim odborom za statistiku. Evaluacija se obavlja u skladu sa smjernicama Komisije. </w:t>
      </w:r>
    </w:p>
    <w:p>
      <w:pPr>
        <w:pStyle w:val="Text1"/>
        <w:pBdr>
          <w:top w:val="single" w:sz="4" w:space="1" w:color="auto"/>
          <w:left w:val="single" w:sz="4" w:space="4" w:color="auto"/>
          <w:bottom w:val="single" w:sz="4" w:space="1" w:color="auto"/>
          <w:right w:val="single" w:sz="4" w:space="4" w:color="auto"/>
        </w:pBdr>
        <w:rPr>
          <w:noProof/>
        </w:rPr>
      </w:pPr>
      <w:r>
        <w:rPr>
          <w:noProof/>
        </w:rPr>
        <w:t>Na temelju iskustva sa srednjoročnom evaluacijom ESP-a za razdoblje 2013. – 2017., Komisija (Eurostat) je počela povezivati aktivnosti u okviru godišnjeg programa rada sa 114 pokazatelja utvrđenih u ESP-u. To će imati dvostruku prednost jer će se olakšati buduće evaluacije i omogućiti da se svake godine automatski prati ostvarenje svih pokazatelja ESP-a. Pouke iz prethodnog iskustva koje su uzete u obzir prilikom izrade prijedloga prikazane su u prethodnom odjeljku 1.5.3. Rezultati savjetovanja s dionicima i procjene učinka prikazani su u odjeljku 3. Obrazloženja.</w:t>
      </w:r>
    </w:p>
    <w:p>
      <w:pPr>
        <w:pStyle w:val="ManualHeading2"/>
        <w:rPr>
          <w:bCs/>
          <w:noProof/>
          <w:szCs w:val="24"/>
        </w:rPr>
      </w:pPr>
      <w:r>
        <w:t>2.2.</w:t>
      </w:r>
      <w:r>
        <w:tab/>
      </w:r>
      <w:r>
        <w:rPr>
          <w:noProof/>
        </w:rPr>
        <w:t xml:space="preserve">Sustav upravljanja i kontrole </w:t>
      </w:r>
    </w:p>
    <w:p>
      <w:pPr>
        <w:pStyle w:val="ManualHeading3"/>
        <w:rPr>
          <w:noProof/>
        </w:rPr>
      </w:pPr>
      <w:r>
        <w:t>2.2.1.</w:t>
      </w:r>
      <w:r>
        <w:tab/>
      </w:r>
      <w:r>
        <w:rPr>
          <w:noProof/>
        </w:rPr>
        <w:t xml:space="preserve">Utvrđeni rizik/rizici </w:t>
      </w:r>
    </w:p>
    <w:p>
      <w:pPr>
        <w:pStyle w:val="Text1"/>
        <w:pBdr>
          <w:top w:val="single" w:sz="4" w:space="1" w:color="auto"/>
          <w:left w:val="single" w:sz="4" w:space="4" w:color="auto"/>
          <w:bottom w:val="single" w:sz="4" w:space="1" w:color="auto"/>
          <w:right w:val="single" w:sz="4" w:space="4" w:color="auto"/>
        </w:pBdr>
        <w:rPr>
          <w:noProof/>
        </w:rPr>
      </w:pPr>
      <w:r>
        <w:rPr>
          <w:noProof/>
        </w:rPr>
        <w:t>Način upravljanja predloženim programom jest središnje izravno upravljanje Komisije. Program će se s financijskog stajališta provoditi dodjelom ugovora većinom u područjima statistika i usluga IT-a te bespovratnim sredstvima (većinom nacionalnim zavodima za statistiku).</w:t>
      </w:r>
    </w:p>
    <w:p>
      <w:pPr>
        <w:pStyle w:val="Text1"/>
        <w:pBdr>
          <w:top w:val="single" w:sz="4" w:space="1" w:color="auto"/>
          <w:left w:val="single" w:sz="4" w:space="4" w:color="auto"/>
          <w:bottom w:val="single" w:sz="4" w:space="1" w:color="auto"/>
          <w:right w:val="single" w:sz="4" w:space="4" w:color="auto"/>
        </w:pBdr>
        <w:rPr>
          <w:noProof/>
        </w:rPr>
      </w:pPr>
      <w:r>
        <w:rPr>
          <w:noProof/>
        </w:rPr>
        <w:t>Uredbom (EZ) br. 223/2009 omogućava se izravna dodjela bespovratnih sredstava tim tijelima. Kada je riječ o bespovratnim sredstvima, jedan od glavnih utvrđenih rizika povezan je s izračunom troškova osoblja; stupanj rizika povezan s povratkom troškova osoblja smanjen je uvođenjem sustava jediničnih troškova (Odluka Komisije C(2014) 6332).</w:t>
      </w:r>
    </w:p>
    <w:p>
      <w:pPr>
        <w:pStyle w:val="Text1"/>
        <w:pBdr>
          <w:top w:val="single" w:sz="4" w:space="1" w:color="auto"/>
          <w:left w:val="single" w:sz="4" w:space="4" w:color="auto"/>
          <w:bottom w:val="single" w:sz="4" w:space="1" w:color="auto"/>
          <w:right w:val="single" w:sz="4" w:space="4" w:color="auto"/>
        </w:pBdr>
        <w:rPr>
          <w:noProof/>
        </w:rPr>
      </w:pPr>
      <w:r>
        <w:rPr>
          <w:noProof/>
        </w:rPr>
        <w:t xml:space="preserve">Godišnjim </w:t>
      </w:r>
      <w:r>
        <w:rPr>
          <w:i/>
          <w:noProof/>
        </w:rPr>
        <w:t>ex-post</w:t>
      </w:r>
      <w:r>
        <w:rPr>
          <w:noProof/>
        </w:rPr>
        <w:t xml:space="preserve"> preispitivanjima kvalitete nisu utvrđena relevantna pitanja u pogledu javne nabave. Uzele su se u obzir primjedbe službe Komisije za unutarnju reviziju i Europskog revizorskog suda iz 2011./2012. Od tada nisu provedene revizije javne nabave. Uprava Eurostata nije utvrdila bitne rizike u tom području.</w:t>
      </w:r>
    </w:p>
    <w:p>
      <w:pPr>
        <w:pStyle w:val="ManualHeading3"/>
        <w:rPr>
          <w:bCs/>
          <w:noProof/>
          <w:szCs w:val="24"/>
        </w:rPr>
      </w:pPr>
      <w:r>
        <w:t>2.2.2.</w:t>
      </w:r>
      <w:r>
        <w:tab/>
      </w:r>
      <w:r>
        <w:rPr>
          <w:noProof/>
        </w:rPr>
        <w:t>Informacije o uspostavi sustava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Eurostatova strategija kontrole za razdoblje 2012. – 2017. revidirat će se i produljiti kako bi njome bilo obuhvaćeno produljenje ESP-a na razdoblje 2018. – 2020. Strategija će se temeljiti na analizi i procjeni rizika koja će biti provedena prije produljenja programa.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Glavni elementi sustava unutarnje kontrole jesu, a i dalje će biti, </w:t>
      </w:r>
      <w:r>
        <w:rPr>
          <w:i/>
          <w:noProof/>
        </w:rPr>
        <w:t>ex-ante</w:t>
      </w:r>
      <w:r>
        <w:rPr>
          <w:noProof/>
        </w:rPr>
        <w:t xml:space="preserve"> provjera operativnih i financijskih aspekata svake financijske transakcije (zakonitost, pravilnost i dobro financijsko upravljanje) u skladu s člankom 66. stavkom 5. Financijske uredbe. </w:t>
      </w:r>
      <w:r>
        <w:rPr>
          <w:i/>
          <w:noProof/>
        </w:rPr>
        <w:t>Ex-ante</w:t>
      </w:r>
      <w:r>
        <w:rPr>
          <w:noProof/>
        </w:rPr>
        <w:t xml:space="preserve"> kontrolama obuhvaćen je cijeli životni ciklus rashoda, od planiranja i programiranja bespovratnih sredstava i javne nabave do plaćanja. U tu svrhu provodit će se kontrole svake transakcije uporabom posebnih kontrolnih popisa kojima će se koristiti svaki dionik u financijskim krugovima. Po potrebi se mogu predvidjeti dodatne analize i procjene rizika na temelju rezultata godišnjih kontrola. Po potrebi se mogu provoditi i pojačane</w:t>
      </w:r>
      <w:r>
        <w:rPr>
          <w:i/>
          <w:noProof/>
        </w:rPr>
        <w:t xml:space="preserve"> ex-ante</w:t>
      </w:r>
      <w:r>
        <w:rPr>
          <w:noProof/>
        </w:rPr>
        <w:t xml:space="preserve"> provjere i</w:t>
      </w:r>
      <w:r>
        <w:rPr>
          <w:i/>
          <w:noProof/>
        </w:rPr>
        <w:t xml:space="preserve"> ex-post</w:t>
      </w:r>
      <w:r>
        <w:rPr>
          <w:noProof/>
        </w:rPr>
        <w:t xml:space="preserv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Provedbi proračuna za program pridonijet će se i odgovarajućim nadzorom, financijskim izvješćivanjem i izvješćivanjem utemeljenim na uspješnosti, revizijama i evaluacijama u skladu s načelima dobrog financijskog upravljanja i sa zahtjevima zakonitosti i pravilnosti. </w:t>
      </w:r>
    </w:p>
    <w:p>
      <w:pPr>
        <w:pStyle w:val="ManualHeading3"/>
        <w:rPr>
          <w:noProof/>
        </w:rPr>
      </w:pPr>
      <w:r>
        <w:t>2.2.3.</w:t>
      </w:r>
      <w:r>
        <w:tab/>
      </w:r>
      <w:r>
        <w:rPr>
          <w:noProof/>
        </w:rPr>
        <w:t xml:space="preserve">Procjene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Očekuje se da će se strategijom kontrole programa rizik od neusklađenosti zadržati ispod kriterija značajnosti od 2 %, što je u skladu s ciljevima unutarnje kontrole i upravljanja rizikom u Eurostatovom strateškom planu za razdoblje 2016. – 2020. Sustav unutarnje kontrole (i njegovi troškovi) smatra se primjerenim za postizanje tog cilja. Osigurat će se komplementarnost između tih izvora jamstva u cilju izbjegavanja udvostručavanja napora i omogućivanja troškovno učinkovitih kontrola. Eurostat smatra da će troškovi svih kontrola predstavljati otprilike 4,5 % proračuna za program. Koristi kontrole (osim usklađenosti s regulatornim odredbama) uključuju bolju vrijednost za novac, odvraćajuće učinke, povećanje učinkovitosti i poboljšanja sustava.</w:t>
      </w:r>
    </w:p>
    <w:p>
      <w:pPr>
        <w:pStyle w:val="ManualHeading2"/>
        <w:rPr>
          <w:bCs/>
          <w:noProof/>
          <w:szCs w:val="24"/>
        </w:rPr>
      </w:pPr>
      <w:r>
        <w:t>2.3.</w:t>
      </w:r>
      <w:r>
        <w:tab/>
      </w:r>
      <w:r>
        <w:rPr>
          <w:noProof/>
        </w:rPr>
        <w:t xml:space="preserve">Mjere za sprečavanje prijevara i nepravilnosti </w:t>
      </w:r>
    </w:p>
    <w:p>
      <w:pPr>
        <w:pStyle w:val="Text1"/>
        <w:rPr>
          <w:i/>
          <w:noProof/>
          <w:sz w:val="20"/>
        </w:rPr>
      </w:pPr>
      <w:r>
        <w:rPr>
          <w:i/>
          <w:noProof/>
          <w:sz w:val="20"/>
        </w:rPr>
        <w:t>Navesti postojeće ili predviđene mjere za sprečavanje i zaštitu od prijevara.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je 30. listopada 2013. donio svoju strategiju za borbu protiv prijevara za razdoblje 2014. – 2017. u skladu s Komisijinom strategijom za borbu protiv prijevara od 24. lipnja 2011. U Eurostatovoj strategiji utvrđena su tri operativna cilja: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w:t>
      </w:r>
      <w:r>
        <w:rPr>
          <w:noProof/>
        </w:rPr>
        <w:tab/>
        <w:t xml:space="preserve">pojačati postojeće sastavnice povezane s borbom protiv prijevara;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w:t>
      </w:r>
      <w:r>
        <w:rPr>
          <w:noProof/>
        </w:rPr>
        <w:tab/>
        <w:t xml:space="preserve">bolje ugraditi sastavnice povezane s borbom protiv prijevara u Eurostatov sustav ocjenjivanja rizika / upravljanja rizikom te u revizije, planiranje, izvješćivanje i praćenje; i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iii.</w:t>
      </w:r>
      <w:r>
        <w:rPr>
          <w:noProof/>
        </w:rPr>
        <w:tab/>
        <w:t>ojačati Eurostatove kapacitete za borbu protiv prijevara i povećati osviještenost u okviru Komisijine kulture borbe protiv prijevara.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Strategija je popraćena akcijskim planom za borbu protiv prijevara. Tijekom razdoblja primjene provedba Strategije nadzire se dva puta godišnje uz izvješćivanje uprave.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će ocjenjivati učinak Strategije u 2017. i u skladu s time je ažurirati. Tijekom 2016., koja je ključna točka u evaluaciji Strategije, Eurostat će preispitati svoj akcijski plan za borbu protiv prijevara. </w:t>
      </w:r>
    </w:p>
    <w:p>
      <w:pPr>
        <w:pStyle w:val="Text1"/>
        <w:pBdr>
          <w:top w:val="single" w:sz="4" w:space="1" w:color="auto"/>
          <w:left w:val="single" w:sz="4" w:space="4" w:color="auto"/>
          <w:bottom w:val="single" w:sz="4" w:space="1" w:color="auto"/>
          <w:right w:val="single" w:sz="4" w:space="4" w:color="auto"/>
        </w:pBdr>
        <w:rPr>
          <w:noProof/>
        </w:rPr>
      </w:pPr>
      <w:r>
        <w:rPr>
          <w:noProof/>
        </w:rPr>
        <w:t>Preispitivanje strategije i akcijskog plana provodit će se na temelju ažurirane OLAF-ove metodologije i smjernica izdanih u veljači 2016.</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PROCIJENJENI FINANCIJSKI UTJECAJ PRIJEDLOGA/INICIJATIVE </w:t>
      </w:r>
    </w:p>
    <w:p>
      <w:pPr>
        <w:pStyle w:val="ManualHeading2"/>
        <w:rPr>
          <w:noProof/>
        </w:rPr>
      </w:pPr>
      <w:r>
        <w:t>3.1.</w:t>
      </w:r>
      <w:r>
        <w:tab/>
      </w:r>
      <w:r>
        <w:rPr>
          <w:noProof/>
        </w:rPr>
        <w:t xml:space="preserve">Naslovi VFO-a i proračunske linije rashoda na koje prijedlog utječe </w:t>
      </w:r>
    </w:p>
    <w:p>
      <w:pPr>
        <w:pStyle w:val="ListBullet1"/>
        <w:rPr>
          <w:noProof/>
        </w:rPr>
      </w:pPr>
      <w:r>
        <w:rPr>
          <w:noProof/>
        </w:rPr>
        <w:t xml:space="preserve">Postojeće proračunske linije </w:t>
      </w:r>
    </w:p>
    <w:p>
      <w:pPr>
        <w:pStyle w:val="Text1"/>
        <w:rPr>
          <w:noProof/>
        </w:rPr>
      </w:pPr>
      <w:r>
        <w:rPr>
          <w:noProof/>
        </w:rPr>
        <w:t>Prema redoslijedu naslova VFO-a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Naslov VFO-a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Naslov 1.a </w:t>
            </w:r>
            <w:r>
              <w:rPr>
                <w:noProof/>
              </w:rPr>
              <w:tab/>
            </w:r>
            <w:r>
              <w:rPr>
                <w:noProof/>
                <w:sz w:val="20"/>
              </w:rPr>
              <w:br/>
            </w:r>
            <w:r>
              <w:rPr>
                <w:noProof/>
              </w:rPr>
              <w:tab/>
            </w:r>
            <w:r>
              <w:rPr>
                <w:noProof/>
                <w:sz w:val="20"/>
              </w:rPr>
              <w:t>Konkurentnost za rast i zapošljavanje</w:t>
            </w:r>
          </w:p>
        </w:tc>
        <w:tc>
          <w:tcPr>
            <w:tcW w:w="1080" w:type="dxa"/>
            <w:vAlign w:val="center"/>
          </w:tcPr>
          <w:p>
            <w:pPr>
              <w:jc w:val="center"/>
              <w:rPr>
                <w:noProof/>
                <w:sz w:val="22"/>
              </w:rPr>
            </w:pPr>
            <w:r>
              <w:rPr>
                <w:noProof/>
                <w:sz w:val="18"/>
              </w:rPr>
              <w:t>Dif./nedif</w:t>
            </w:r>
            <w:r>
              <w:rPr>
                <w:rStyle w:val="FootnoteReference"/>
                <w:noProof/>
                <w:sz w:val="18"/>
              </w:rPr>
              <w:footnoteReference w:id="21"/>
            </w:r>
            <w:r>
              <w:rPr>
                <w:noProof/>
              </w:rPr>
              <w:t>.</w:t>
            </w:r>
          </w:p>
        </w:tc>
        <w:tc>
          <w:tcPr>
            <w:tcW w:w="956" w:type="dxa"/>
            <w:vAlign w:val="center"/>
          </w:tcPr>
          <w:p>
            <w:pPr>
              <w:jc w:val="center"/>
              <w:rPr>
                <w:b/>
                <w:noProof/>
                <w:sz w:val="18"/>
              </w:rPr>
            </w:pPr>
            <w:r>
              <w:rPr>
                <w:noProof/>
                <w:sz w:val="18"/>
              </w:rPr>
              <w:t>zemalja EFTA-e</w:t>
            </w:r>
            <w:r>
              <w:rPr>
                <w:rStyle w:val="FootnoteReference"/>
                <w:noProof/>
                <w:sz w:val="18"/>
              </w:rPr>
              <w:footnoteReference w:id="22"/>
            </w:r>
          </w:p>
        </w:tc>
        <w:tc>
          <w:tcPr>
            <w:tcW w:w="1080" w:type="dxa"/>
            <w:vAlign w:val="center"/>
          </w:tcPr>
          <w:p>
            <w:pPr>
              <w:jc w:val="center"/>
              <w:rPr>
                <w:noProof/>
                <w:sz w:val="18"/>
              </w:rPr>
            </w:pPr>
            <w:r>
              <w:rPr>
                <w:noProof/>
                <w:sz w:val="18"/>
              </w:rPr>
              <w:t>zemalja kandidatkinja</w:t>
            </w:r>
            <w:r>
              <w:rPr>
                <w:rStyle w:val="FootnoteReference"/>
                <w:noProof/>
                <w:sz w:val="18"/>
              </w:rPr>
              <w:footnoteReference w:id="23"/>
            </w:r>
          </w:p>
        </w:tc>
        <w:tc>
          <w:tcPr>
            <w:tcW w:w="956" w:type="dxa"/>
            <w:vAlign w:val="center"/>
          </w:tcPr>
          <w:p>
            <w:pPr>
              <w:jc w:val="center"/>
              <w:rPr>
                <w:noProof/>
                <w:sz w:val="18"/>
              </w:rPr>
            </w:pPr>
            <w:r>
              <w:rPr>
                <w:noProof/>
                <w:sz w:val="18"/>
              </w:rPr>
              <w:t>država izvan EU-a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29.02.01.</w:t>
            </w:r>
            <w:r>
              <w:rPr>
                <w:noProof/>
              </w:rPr>
              <w:tab/>
            </w:r>
            <w:r>
              <w:br/>
            </w:r>
            <w:r>
              <w:rPr>
                <w:noProof/>
              </w:rPr>
              <w:tab/>
            </w:r>
            <w:r>
              <w:t>Produljenje ESP-a na razdoblje 2018. – 2020. – pružanje kvalitetnih statističkih podataka, provođenje novih metoda izrade europskih statistika i jačanje partnerstva u okviru ESS-a</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color w:val="0000F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pPr>
            <w:r>
              <w:t>29.01.04.01.</w:t>
            </w:r>
            <w:r>
              <w:rPr>
                <w:noProof/>
              </w:rPr>
              <w:tab/>
            </w:r>
            <w:r>
              <w:br/>
            </w:r>
            <w:r>
              <w:rPr>
                <w:noProof/>
                <w:color w:val="0000FF"/>
                <w:sz w:val="22"/>
              </w:rPr>
              <w:t>Rashodi za potporu ESP-u</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DA</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NE</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Procijenjeni utjecaj na rashode </w:t>
      </w:r>
    </w:p>
    <w:p>
      <w:pPr>
        <w:pStyle w:val="ManualHeading3"/>
        <w:rPr>
          <w:noProof/>
          <w:u w:val="single"/>
        </w:rPr>
      </w:pPr>
      <w:r>
        <w:t>3.2.1.</w:t>
      </w:r>
      <w:r>
        <w:tab/>
      </w:r>
      <w:r>
        <w:rPr>
          <w:noProof/>
        </w:rPr>
        <w:t xml:space="preserve">Sažetak procijenjenog utjecaja na rashode </w:t>
      </w:r>
    </w:p>
    <w:p>
      <w:pPr>
        <w:jc w:val="right"/>
        <w:rPr>
          <w:noProof/>
          <w:sz w:val="20"/>
        </w:rPr>
      </w:pPr>
      <w:r>
        <w:rPr>
          <w:noProof/>
          <w:sz w:val="20"/>
        </w:rPr>
        <w:t>u milijunima EUR (do tri decimalna mjesta)</w:t>
      </w:r>
    </w:p>
    <w:tbl>
      <w:tblPr>
        <w:tblW w:w="0" w:type="auto"/>
        <w:jc w:val="center"/>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80"/>
        <w:gridCol w:w="7229"/>
      </w:tblGrid>
      <w:tr>
        <w:trPr>
          <w:jc w:val="center"/>
        </w:trPr>
        <w:tc>
          <w:tcPr>
            <w:tcW w:w="5209" w:type="dxa"/>
            <w:shd w:val="thinDiagStripe" w:color="C0C0C0" w:fill="auto"/>
            <w:vAlign w:val="center"/>
          </w:tcPr>
          <w:p>
            <w:pPr>
              <w:spacing w:before="60" w:after="60"/>
              <w:jc w:val="center"/>
              <w:rPr>
                <w:b/>
                <w:noProof/>
                <w:sz w:val="22"/>
              </w:rPr>
            </w:pPr>
            <w:r>
              <w:rPr>
                <w:b/>
                <w:noProof/>
                <w:sz w:val="22"/>
              </w:rPr>
              <w:t>Naslov VFO-a</w:t>
            </w:r>
          </w:p>
        </w:tc>
        <w:tc>
          <w:tcPr>
            <w:tcW w:w="1080" w:type="dxa"/>
            <w:vAlign w:val="center"/>
          </w:tcPr>
          <w:p>
            <w:pPr>
              <w:spacing w:before="60" w:after="60"/>
              <w:jc w:val="center"/>
              <w:rPr>
                <w:noProof/>
                <w:sz w:val="22"/>
              </w:rPr>
            </w:pPr>
            <w:r>
              <w:rPr>
                <w:noProof/>
                <w:sz w:val="22"/>
              </w:rPr>
              <w:t>Broj</w:t>
            </w:r>
          </w:p>
        </w:tc>
        <w:tc>
          <w:tcPr>
            <w:tcW w:w="7229" w:type="dxa"/>
            <w:vAlign w:val="center"/>
          </w:tcPr>
          <w:p>
            <w:pPr>
              <w:spacing w:before="60" w:after="60"/>
              <w:rPr>
                <w:noProof/>
                <w:sz w:val="22"/>
              </w:rPr>
            </w:pPr>
            <w:r>
              <w:rPr>
                <w:noProof/>
                <w:sz w:val="22"/>
              </w:rPr>
              <w:t xml:space="preserve">Naslov 1.a </w:t>
            </w:r>
            <w:r>
              <w:rPr>
                <w:noProof/>
              </w:rPr>
              <w:tab/>
            </w:r>
            <w:r>
              <w:rPr>
                <w:noProof/>
                <w:sz w:val="22"/>
              </w:rPr>
              <w:br/>
            </w:r>
            <w:r>
              <w:rPr>
                <w:noProof/>
              </w:rPr>
              <w:tab/>
            </w:r>
            <w:r>
              <w:rPr>
                <w:noProof/>
                <w:sz w:val="22"/>
              </w:rPr>
              <w:t xml:space="preserve">Konkurentnost za rast i zapošljavanje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34"/>
        <w:gridCol w:w="992"/>
        <w:gridCol w:w="678"/>
        <w:gridCol w:w="868"/>
        <w:gridCol w:w="868"/>
        <w:gridCol w:w="1777"/>
      </w:tblGrid>
      <w:tr>
        <w:tc>
          <w:tcPr>
            <w:tcW w:w="3960" w:type="dxa"/>
            <w:vAlign w:val="center"/>
          </w:tcPr>
          <w:p>
            <w:pPr>
              <w:jc w:val="center"/>
              <w:rPr>
                <w:noProof/>
                <w:sz w:val="22"/>
              </w:rPr>
            </w:pPr>
            <w:r>
              <w:rPr>
                <w:noProof/>
                <w:sz w:val="22"/>
              </w:rPr>
              <w:t>GU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2018.</w:t>
            </w:r>
            <w:r>
              <w:rPr>
                <w:rStyle w:val="FootnoteReference"/>
                <w:b/>
                <w:noProof/>
                <w:sz w:val="20"/>
              </w:rPr>
              <w:footnoteReference w:id="24"/>
            </w: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934" w:type="dxa"/>
            <w:vAlign w:val="center"/>
          </w:tcPr>
          <w:p>
            <w:pPr>
              <w:jc w:val="center"/>
              <w:rPr>
                <w:noProof/>
                <w:sz w:val="20"/>
              </w:rPr>
            </w:pPr>
            <w:r>
              <w:rPr>
                <w:noProof/>
                <w:sz w:val="20"/>
              </w:rPr>
              <w:t>Godina</w:t>
            </w:r>
            <w:r>
              <w:rPr>
                <w:noProof/>
                <w:sz w:val="22"/>
              </w:rPr>
              <w:br/>
            </w:r>
            <w:r>
              <w:rPr>
                <w:b/>
                <w:noProof/>
                <w:sz w:val="20"/>
              </w:rPr>
              <w:t>2020</w:t>
            </w:r>
          </w:p>
        </w:tc>
        <w:tc>
          <w:tcPr>
            <w:tcW w:w="992" w:type="dxa"/>
            <w:vAlign w:val="center"/>
          </w:tcPr>
          <w:p>
            <w:pPr>
              <w:jc w:val="center"/>
              <w:rPr>
                <w:noProof/>
                <w:sz w:val="20"/>
              </w:rPr>
            </w:pPr>
            <w:r>
              <w:rPr>
                <w:noProof/>
                <w:sz w:val="20"/>
              </w:rPr>
              <w:t>Godina</w:t>
            </w:r>
            <w:r>
              <w:rPr>
                <w:noProof/>
                <w:sz w:val="22"/>
              </w:rPr>
              <w:br/>
            </w:r>
            <w:r>
              <w:rPr>
                <w:b/>
                <w:noProof/>
                <w:sz w:val="20"/>
              </w:rPr>
              <w:t>2021. i dalje</w:t>
            </w:r>
          </w:p>
        </w:tc>
        <w:tc>
          <w:tcPr>
            <w:tcW w:w="2414"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ind w:left="252" w:hanging="252"/>
              <w:rPr>
                <w:noProof/>
                <w:sz w:val="21"/>
              </w:rPr>
            </w:pPr>
            <w:r>
              <w:rPr>
                <w:noProof/>
                <w:sz w:val="21"/>
              </w:rPr>
              <w:sym w:font="Wingdings" w:char="F09F"/>
            </w:r>
            <w:r>
              <w:rPr>
                <w:noProof/>
                <w:sz w:val="21"/>
              </w:rPr>
              <w:t xml:space="preserve"> </w:t>
            </w:r>
            <w:r>
              <w:rPr>
                <w:noProof/>
              </w:rPr>
              <w:tab/>
            </w:r>
            <w:r>
              <w:rPr>
                <w:noProof/>
                <w:sz w:val="21"/>
              </w:rPr>
              <w:t xml:space="preserve">Odobrena sredstva za poslovanje </w:t>
            </w:r>
          </w:p>
        </w:tc>
        <w:tc>
          <w:tcPr>
            <w:tcW w:w="868" w:type="dxa"/>
            <w:vAlign w:val="center"/>
          </w:tcPr>
          <w:p>
            <w:pPr>
              <w:rPr>
                <w:noProof/>
                <w:sz w:val="20"/>
              </w:rPr>
            </w:pPr>
          </w:p>
        </w:tc>
        <w:tc>
          <w:tcPr>
            <w:tcW w:w="868" w:type="dxa"/>
            <w:vAlign w:val="center"/>
          </w:tcPr>
          <w:p>
            <w:pPr>
              <w:rPr>
                <w:noProof/>
                <w:sz w:val="20"/>
              </w:rPr>
            </w:pPr>
          </w:p>
        </w:tc>
        <w:tc>
          <w:tcPr>
            <w:tcW w:w="934" w:type="dxa"/>
            <w:vAlign w:val="center"/>
          </w:tcPr>
          <w:p>
            <w:pPr>
              <w:rPr>
                <w:noProof/>
                <w:sz w:val="20"/>
              </w:rPr>
            </w:pPr>
          </w:p>
        </w:tc>
        <w:tc>
          <w:tcPr>
            <w:tcW w:w="992" w:type="dxa"/>
            <w:vAlign w:val="center"/>
          </w:tcPr>
          <w:p>
            <w:pPr>
              <w:rPr>
                <w:noProof/>
                <w:sz w:val="20"/>
              </w:rPr>
            </w:pPr>
          </w:p>
        </w:tc>
        <w:tc>
          <w:tcPr>
            <w:tcW w:w="67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b/>
                <w:noProof/>
                <w:sz w:val="22"/>
              </w:rPr>
            </w:pPr>
            <w:r>
              <w:rPr>
                <w:b/>
                <w:noProof/>
                <w:sz w:val="20"/>
              </w:rPr>
              <w:t>29.0201</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59,475</w:t>
            </w:r>
          </w:p>
        </w:tc>
        <w:tc>
          <w:tcPr>
            <w:tcW w:w="868" w:type="dxa"/>
            <w:vAlign w:val="center"/>
          </w:tcPr>
          <w:p>
            <w:pPr>
              <w:spacing w:before="20" w:after="20"/>
              <w:jc w:val="right"/>
              <w:rPr>
                <w:noProof/>
                <w:sz w:val="20"/>
              </w:rPr>
            </w:pPr>
            <w:r>
              <w:rPr>
                <w:noProof/>
                <w:sz w:val="20"/>
              </w:rPr>
              <w:t>73,245</w:t>
            </w:r>
          </w:p>
        </w:tc>
        <w:tc>
          <w:tcPr>
            <w:tcW w:w="934" w:type="dxa"/>
            <w:vAlign w:val="center"/>
          </w:tcPr>
          <w:p>
            <w:pPr>
              <w:spacing w:before="20" w:after="20"/>
              <w:jc w:val="right"/>
              <w:rPr>
                <w:noProof/>
                <w:sz w:val="20"/>
              </w:rPr>
            </w:pPr>
            <w:r>
              <w:rPr>
                <w:noProof/>
                <w:sz w:val="20"/>
              </w:rPr>
              <w:t>75,486</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5,829</w:t>
            </w:r>
          </w:p>
        </w:tc>
        <w:tc>
          <w:tcPr>
            <w:tcW w:w="868" w:type="dxa"/>
            <w:vAlign w:val="center"/>
          </w:tcPr>
          <w:p>
            <w:pPr>
              <w:spacing w:before="20" w:after="20"/>
              <w:jc w:val="right"/>
              <w:rPr>
                <w:noProof/>
                <w:sz w:val="20"/>
              </w:rPr>
            </w:pPr>
            <w:r>
              <w:rPr>
                <w:noProof/>
                <w:sz w:val="20"/>
              </w:rPr>
              <w:t>28,141</w:t>
            </w:r>
          </w:p>
        </w:tc>
        <w:tc>
          <w:tcPr>
            <w:tcW w:w="934" w:type="dxa"/>
            <w:vAlign w:val="center"/>
          </w:tcPr>
          <w:p>
            <w:pPr>
              <w:spacing w:before="20" w:after="20"/>
              <w:jc w:val="right"/>
              <w:rPr>
                <w:noProof/>
                <w:sz w:val="20"/>
              </w:rPr>
            </w:pPr>
            <w:r>
              <w:rPr>
                <w:noProof/>
                <w:sz w:val="20"/>
              </w:rPr>
              <w:t>51,027</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val="restart"/>
            <w:vAlign w:val="center"/>
          </w:tcPr>
          <w:p>
            <w:pPr>
              <w:rPr>
                <w:noProof/>
                <w:sz w:val="22"/>
              </w:rPr>
            </w:pP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Odobrena administrativna sredstva koja se financiraju iz omotnice za posebne programe</w:t>
            </w:r>
            <w:r>
              <w:rPr>
                <w:rStyle w:val="FootnoteReference"/>
                <w:noProof/>
                <w:sz w:val="21"/>
              </w:rPr>
              <w:footnoteReference w:id="25"/>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934" w:type="dxa"/>
            <w:vAlign w:val="center"/>
          </w:tcPr>
          <w:p>
            <w:pPr>
              <w:rPr>
                <w:b/>
                <w:noProof/>
                <w:sz w:val="20"/>
              </w:rPr>
            </w:pPr>
          </w:p>
        </w:tc>
        <w:tc>
          <w:tcPr>
            <w:tcW w:w="992" w:type="dxa"/>
            <w:vAlign w:val="center"/>
          </w:tcPr>
          <w:p>
            <w:pPr>
              <w:rPr>
                <w:b/>
                <w:noProof/>
                <w:sz w:val="20"/>
              </w:rPr>
            </w:pPr>
          </w:p>
        </w:tc>
        <w:tc>
          <w:tcPr>
            <w:tcW w:w="67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b/>
                <w:noProof/>
                <w:sz w:val="20"/>
              </w:rPr>
              <w:t>29.010401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3,230</w:t>
            </w:r>
          </w:p>
        </w:tc>
        <w:tc>
          <w:tcPr>
            <w:tcW w:w="868" w:type="dxa"/>
            <w:vAlign w:val="center"/>
          </w:tcPr>
          <w:p>
            <w:pPr>
              <w:spacing w:before="40" w:after="40"/>
              <w:jc w:val="right"/>
              <w:rPr>
                <w:noProof/>
                <w:sz w:val="20"/>
              </w:rPr>
            </w:pPr>
            <w:r>
              <w:rPr>
                <w:noProof/>
                <w:sz w:val="20"/>
              </w:rPr>
              <w:t>3,313</w:t>
            </w:r>
          </w:p>
        </w:tc>
        <w:tc>
          <w:tcPr>
            <w:tcW w:w="934" w:type="dxa"/>
            <w:vAlign w:val="center"/>
          </w:tcPr>
          <w:p>
            <w:pPr>
              <w:spacing w:before="40" w:after="40"/>
              <w:jc w:val="right"/>
              <w:rPr>
                <w:noProof/>
                <w:sz w:val="20"/>
              </w:rPr>
            </w:pPr>
            <w:r>
              <w:rPr>
                <w:noProof/>
                <w:sz w:val="20"/>
              </w:rPr>
              <w:t>3,397</w:t>
            </w:r>
          </w:p>
        </w:tc>
        <w:tc>
          <w:tcPr>
            <w:tcW w:w="992" w:type="dxa"/>
            <w:vAlign w:val="center"/>
          </w:tcPr>
          <w:p>
            <w:pPr>
              <w:spacing w:before="40" w:after="40"/>
              <w:jc w:val="right"/>
              <w:rPr>
                <w:b/>
                <w:noProof/>
                <w:sz w:val="20"/>
              </w:rPr>
            </w:pPr>
          </w:p>
        </w:tc>
        <w:tc>
          <w:tcPr>
            <w:tcW w:w="67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r>
              <w:rPr>
                <w:b/>
                <w:noProof/>
                <w:sz w:val="20"/>
              </w:rPr>
              <w:t>9,940</w:t>
            </w:r>
          </w:p>
        </w:tc>
      </w:tr>
      <w:tr>
        <w:tc>
          <w:tcPr>
            <w:tcW w:w="3960" w:type="dxa"/>
            <w:vMerge w:val="restart"/>
            <w:vAlign w:val="center"/>
          </w:tcPr>
          <w:p>
            <w:pPr>
              <w:jc w:val="center"/>
              <w:rPr>
                <w:b/>
                <w:noProof/>
                <w:sz w:val="22"/>
              </w:rPr>
            </w:pPr>
            <w:r>
              <w:rPr>
                <w:b/>
                <w:noProof/>
                <w:sz w:val="22"/>
              </w:rPr>
              <w:t>UKUPNA odobrena sredstva</w:t>
            </w:r>
            <w:r>
              <w:rPr>
                <w:noProof/>
                <w:sz w:val="22"/>
              </w:rPr>
              <w:br/>
            </w:r>
            <w:r>
              <w:rPr>
                <w:b/>
                <w:noProof/>
                <w:sz w:val="22"/>
              </w:rPr>
              <w:t>za GU ESTAT</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62,705</w:t>
            </w:r>
          </w:p>
        </w:tc>
        <w:tc>
          <w:tcPr>
            <w:tcW w:w="868" w:type="dxa"/>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9,059</w:t>
            </w:r>
          </w:p>
        </w:tc>
        <w:tc>
          <w:tcPr>
            <w:tcW w:w="868" w:type="dxa"/>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21"/>
        <w:gridCol w:w="868"/>
        <w:gridCol w:w="842"/>
        <w:gridCol w:w="26"/>
        <w:gridCol w:w="934"/>
        <w:gridCol w:w="23"/>
        <w:gridCol w:w="969"/>
        <w:gridCol w:w="23"/>
        <w:gridCol w:w="655"/>
        <w:gridCol w:w="23"/>
        <w:gridCol w:w="845"/>
        <w:gridCol w:w="23"/>
        <w:gridCol w:w="845"/>
        <w:gridCol w:w="23"/>
        <w:gridCol w:w="1754"/>
        <w:gridCol w:w="23"/>
      </w:tblGrid>
      <w:tr>
        <w:trPr>
          <w:gridAfter w:val="1"/>
          <w:wAfter w:w="23" w:type="dxa"/>
          <w:trHeight w:val="277"/>
        </w:trPr>
        <w:tc>
          <w:tcPr>
            <w:tcW w:w="3960" w:type="dxa"/>
            <w:vMerge w:val="restart"/>
            <w:vAlign w:val="center"/>
          </w:tcPr>
          <w:p>
            <w:pPr>
              <w:spacing w:before="20" w:after="20"/>
              <w:ind w:left="252" w:hanging="252"/>
              <w:rPr>
                <w:noProof/>
                <w:sz w:val="22"/>
              </w:rPr>
            </w:pPr>
            <w:r>
              <w:rPr>
                <w:noProof/>
              </w:rPr>
              <w:br w:type="page"/>
            </w:r>
            <w:r>
              <w:rPr>
                <w:noProof/>
                <w:sz w:val="21"/>
              </w:rPr>
              <w:sym w:font="Wingdings" w:char="F09F"/>
            </w:r>
            <w:r>
              <w:rPr>
                <w:noProof/>
                <w:sz w:val="21"/>
              </w:rPr>
              <w:t xml:space="preserve"> </w:t>
            </w:r>
            <w:r>
              <w:rPr>
                <w:noProof/>
              </w:rPr>
              <w:tab/>
            </w:r>
            <w:r>
              <w:rPr>
                <w:noProof/>
                <w:sz w:val="21"/>
              </w:rPr>
              <w:t xml:space="preserve">UKUPNA odobrena sredstva za poslovanje </w:t>
            </w:r>
          </w:p>
        </w:tc>
        <w:tc>
          <w:tcPr>
            <w:tcW w:w="1440" w:type="dxa"/>
            <w:vAlign w:val="center"/>
          </w:tcPr>
          <w:p>
            <w:pPr>
              <w:spacing w:beforeLines="20" w:before="48" w:afterLines="20" w:after="48"/>
              <w:rPr>
                <w:noProof/>
                <w:sz w:val="18"/>
              </w:rPr>
            </w:pPr>
            <w:r>
              <w:rPr>
                <w:noProof/>
                <w:sz w:val="18"/>
              </w:rPr>
              <w:t>Obveze</w:t>
            </w:r>
          </w:p>
        </w:tc>
        <w:tc>
          <w:tcPr>
            <w:tcW w:w="621"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59,475</w:t>
            </w:r>
          </w:p>
        </w:tc>
        <w:tc>
          <w:tcPr>
            <w:tcW w:w="868" w:type="dxa"/>
            <w:gridSpan w:val="2"/>
            <w:vAlign w:val="center"/>
          </w:tcPr>
          <w:p>
            <w:pPr>
              <w:spacing w:before="20" w:after="20"/>
              <w:jc w:val="right"/>
              <w:rPr>
                <w:noProof/>
                <w:sz w:val="20"/>
              </w:rPr>
            </w:pPr>
            <w:r>
              <w:rPr>
                <w:noProof/>
                <w:sz w:val="20"/>
              </w:rPr>
              <w:t xml:space="preserve"> 73,245</w:t>
            </w:r>
          </w:p>
        </w:tc>
        <w:tc>
          <w:tcPr>
            <w:tcW w:w="934" w:type="dxa"/>
            <w:vAlign w:val="center"/>
          </w:tcPr>
          <w:p>
            <w:pPr>
              <w:spacing w:before="20" w:after="20"/>
              <w:jc w:val="right"/>
              <w:rPr>
                <w:noProof/>
                <w:sz w:val="20"/>
              </w:rPr>
            </w:pPr>
            <w:r>
              <w:rPr>
                <w:noProof/>
                <w:sz w:val="20"/>
              </w:rPr>
              <w:t>75,486</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21"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5,829</w:t>
            </w:r>
          </w:p>
        </w:tc>
        <w:tc>
          <w:tcPr>
            <w:tcW w:w="842" w:type="dxa"/>
            <w:vAlign w:val="center"/>
          </w:tcPr>
          <w:p>
            <w:pPr>
              <w:spacing w:before="20" w:after="20"/>
              <w:jc w:val="right"/>
              <w:rPr>
                <w:noProof/>
                <w:sz w:val="20"/>
              </w:rPr>
            </w:pPr>
            <w:r>
              <w:rPr>
                <w:noProof/>
                <w:sz w:val="20"/>
              </w:rPr>
              <w:t>28,141</w:t>
            </w:r>
          </w:p>
        </w:tc>
        <w:tc>
          <w:tcPr>
            <w:tcW w:w="983" w:type="dxa"/>
            <w:gridSpan w:val="3"/>
            <w:vAlign w:val="center"/>
          </w:tcPr>
          <w:p>
            <w:pPr>
              <w:spacing w:before="20" w:after="20"/>
              <w:jc w:val="right"/>
              <w:rPr>
                <w:noProof/>
                <w:sz w:val="20"/>
              </w:rPr>
            </w:pPr>
            <w:r>
              <w:rPr>
                <w:noProof/>
                <w:sz w:val="20"/>
              </w:rPr>
              <w:t>51,027</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rPr>
          <w:gridAfter w:val="1"/>
          <w:wAfter w:w="23" w:type="dxa"/>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UKUPNA odobrena administrativna sredstva koja se financiraju iz omotnice za posebne programe </w:t>
            </w:r>
          </w:p>
        </w:tc>
        <w:tc>
          <w:tcPr>
            <w:tcW w:w="621"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rPr>
            </w:pPr>
            <w:r>
              <w:rPr>
                <w:noProof/>
                <w:sz w:val="20"/>
              </w:rPr>
              <w:t>3,230</w:t>
            </w:r>
          </w:p>
        </w:tc>
        <w:tc>
          <w:tcPr>
            <w:tcW w:w="868" w:type="dxa"/>
            <w:gridSpan w:val="2"/>
            <w:vAlign w:val="center"/>
          </w:tcPr>
          <w:p>
            <w:pPr>
              <w:spacing w:before="20" w:after="20"/>
              <w:jc w:val="right"/>
              <w:rPr>
                <w:noProof/>
                <w:sz w:val="20"/>
              </w:rPr>
            </w:pPr>
            <w:r>
              <w:rPr>
                <w:noProof/>
                <w:sz w:val="20"/>
              </w:rPr>
              <w:t>3,313</w:t>
            </w:r>
          </w:p>
        </w:tc>
        <w:tc>
          <w:tcPr>
            <w:tcW w:w="934" w:type="dxa"/>
            <w:vAlign w:val="center"/>
          </w:tcPr>
          <w:p>
            <w:pPr>
              <w:spacing w:before="20" w:after="20"/>
              <w:jc w:val="right"/>
              <w:rPr>
                <w:noProof/>
                <w:sz w:val="20"/>
              </w:rPr>
            </w:pPr>
            <w:r>
              <w:rPr>
                <w:noProof/>
                <w:sz w:val="20"/>
              </w:rPr>
              <w:t>3,397</w:t>
            </w:r>
          </w:p>
        </w:tc>
        <w:tc>
          <w:tcPr>
            <w:tcW w:w="992" w:type="dxa"/>
            <w:gridSpan w:val="2"/>
            <w:vAlign w:val="center"/>
          </w:tcPr>
          <w:p>
            <w:pPr>
              <w:spacing w:before="20" w:after="20"/>
              <w:jc w:val="right"/>
              <w:rPr>
                <w:b/>
                <w:noProof/>
                <w:sz w:val="20"/>
              </w:rPr>
            </w:pPr>
          </w:p>
        </w:tc>
        <w:tc>
          <w:tcPr>
            <w:tcW w:w="67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9,940</w:t>
            </w:r>
          </w:p>
        </w:tc>
      </w:tr>
      <w:tr>
        <w:trPr>
          <w:gridAfter w:val="1"/>
          <w:wAfter w:w="23" w:type="dxa"/>
        </w:trPr>
        <w:tc>
          <w:tcPr>
            <w:tcW w:w="3960" w:type="dxa"/>
            <w:vMerge w:val="restart"/>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u okviru NASLOVA 1. VFO-a</w:t>
            </w:r>
          </w:p>
        </w:tc>
        <w:tc>
          <w:tcPr>
            <w:tcW w:w="1440" w:type="dxa"/>
            <w:vAlign w:val="center"/>
          </w:tcPr>
          <w:p>
            <w:pPr>
              <w:rPr>
                <w:noProof/>
                <w:sz w:val="18"/>
              </w:rPr>
            </w:pPr>
            <w:r>
              <w:rPr>
                <w:noProof/>
                <w:sz w:val="18"/>
              </w:rPr>
              <w:t>Obveze</w:t>
            </w:r>
          </w:p>
        </w:tc>
        <w:tc>
          <w:tcPr>
            <w:tcW w:w="621"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62,705</w:t>
            </w:r>
          </w:p>
        </w:tc>
        <w:tc>
          <w:tcPr>
            <w:tcW w:w="868" w:type="dxa"/>
            <w:gridSpan w:val="2"/>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r>
        <w:trPr>
          <w:gridAfter w:val="1"/>
          <w:wAfter w:w="23"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21"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9,059</w:t>
            </w:r>
          </w:p>
        </w:tc>
        <w:tc>
          <w:tcPr>
            <w:tcW w:w="868" w:type="dxa"/>
            <w:gridSpan w:val="2"/>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bl>
    <w:p>
      <w:pPr>
        <w:spacing w:after="40"/>
        <w:rPr>
          <w:b/>
          <w:noProof/>
          <w:sz w:val="22"/>
          <w:u w:val="single"/>
        </w:rPr>
      </w:pPr>
      <w:r>
        <w:rPr>
          <w:b/>
          <w:noProof/>
          <w:sz w:val="22"/>
          <w:u w:val="single"/>
        </w:rPr>
        <w:t>Ako prijedlog/inicijativa utječe na više naslova: NIJE PRIMJENJIVO</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 xml:space="preserve">UKUPNA odobrena sredstva za poslovanje </w:t>
            </w:r>
          </w:p>
        </w:tc>
        <w:tc>
          <w:tcPr>
            <w:tcW w:w="1440" w:type="dxa"/>
            <w:tcBorders>
              <w:top w:val="single" w:sz="4" w:space="0" w:color="FF0000"/>
            </w:tcBorders>
            <w:vAlign w:val="center"/>
          </w:tcPr>
          <w:p>
            <w:pPr>
              <w:spacing w:beforeLines="20" w:before="48" w:afterLines="20" w:after="48"/>
              <w:rPr>
                <w:noProof/>
                <w:sz w:val="18"/>
              </w:rPr>
            </w:pPr>
            <w:r>
              <w:rPr>
                <w:noProof/>
                <w:sz w:val="18"/>
              </w:rPr>
              <w:t>Obveze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UKUPNA odobrena administrativna sredstva koja se financiraju iz omotnice za posebne programe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1. do 4. VFO-a</w:t>
            </w:r>
            <w:r>
              <w:rPr>
                <w:noProof/>
                <w:sz w:val="22"/>
              </w:rPr>
              <w:t xml:space="preserve"> </w:t>
            </w:r>
            <w:r>
              <w:rPr>
                <w:noProof/>
                <w:sz w:val="22"/>
              </w:rPr>
              <w:br/>
            </w:r>
            <w:r>
              <w:rPr>
                <w:noProof/>
                <w:sz w:val="20"/>
              </w:rPr>
              <w:t>(referentni iznos)</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Plaćanja</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Naslov VFO-a</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„Administrativni rashodi”</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2018.</w:t>
            </w: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Unijeti onoliko godina koliko je potrebno za prikaz trajanja utjecaja (vidi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sz w:val="22"/>
              </w:rPr>
            </w:pPr>
            <w:r>
              <w:rPr>
                <w:noProof/>
                <w:sz w:val="22"/>
              </w:rPr>
              <w:t>GU ESTAT</w:t>
            </w:r>
          </w:p>
        </w:tc>
      </w:tr>
      <w:tr>
        <w:trPr>
          <w:trHeight w:val="313"/>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r>
            <w:r>
              <w:rPr>
                <w:noProof/>
                <w:sz w:val="22"/>
              </w:rPr>
              <w:t xml:space="preserve">Ljudski resursi </w:t>
            </w:r>
          </w:p>
        </w:tc>
        <w:tc>
          <w:tcPr>
            <w:tcW w:w="868" w:type="dxa"/>
            <w:vAlign w:val="center"/>
          </w:tcPr>
          <w:p>
            <w:pPr>
              <w:spacing w:before="20" w:after="20"/>
              <w:jc w:val="right"/>
              <w:rPr>
                <w:noProof/>
                <w:sz w:val="20"/>
              </w:rPr>
            </w:pPr>
            <w:r>
              <w:rPr>
                <w:noProof/>
                <w:sz w:val="20"/>
              </w:rPr>
              <w:t>88,904</w:t>
            </w:r>
          </w:p>
        </w:tc>
        <w:tc>
          <w:tcPr>
            <w:tcW w:w="868" w:type="dxa"/>
            <w:vAlign w:val="center"/>
          </w:tcPr>
          <w:p>
            <w:pPr>
              <w:spacing w:before="20" w:after="20"/>
              <w:jc w:val="right"/>
              <w:rPr>
                <w:noProof/>
                <w:sz w:val="20"/>
              </w:rPr>
            </w:pPr>
            <w:r>
              <w:rPr>
                <w:noProof/>
                <w:sz w:val="20"/>
              </w:rPr>
              <w:t>87,148</w:t>
            </w:r>
          </w:p>
        </w:tc>
        <w:tc>
          <w:tcPr>
            <w:tcW w:w="868" w:type="dxa"/>
            <w:vAlign w:val="center"/>
          </w:tcPr>
          <w:p>
            <w:pPr>
              <w:spacing w:before="20" w:after="20"/>
              <w:jc w:val="right"/>
              <w:rPr>
                <w:noProof/>
                <w:sz w:val="20"/>
              </w:rPr>
            </w:pPr>
            <w:r>
              <w:rPr>
                <w:noProof/>
                <w:sz w:val="20"/>
              </w:rPr>
              <w:t>85,392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261,444</w:t>
            </w:r>
          </w:p>
        </w:tc>
      </w:tr>
      <w:tr>
        <w:trPr>
          <w:trHeight w:val="351"/>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r>
            <w:r>
              <w:rPr>
                <w:noProof/>
                <w:sz w:val="22"/>
              </w:rPr>
              <w:t xml:space="preserve">Ostali administrativnih rashodi </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9,870</w:t>
            </w:r>
          </w:p>
        </w:tc>
      </w:tr>
      <w:tr>
        <w:tc>
          <w:tcPr>
            <w:tcW w:w="3960" w:type="dxa"/>
            <w:vAlign w:val="center"/>
          </w:tcPr>
          <w:p>
            <w:pPr>
              <w:jc w:val="center"/>
              <w:rPr>
                <w:b/>
                <w:noProof/>
                <w:sz w:val="22"/>
              </w:rPr>
            </w:pPr>
            <w:r>
              <w:rPr>
                <w:b/>
                <w:noProof/>
                <w:sz w:val="22"/>
              </w:rPr>
              <w:t>UKUPNO GLAVNA UPRAVA ESTAT</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5. VFO-a</w:t>
            </w:r>
          </w:p>
        </w:tc>
        <w:tc>
          <w:tcPr>
            <w:tcW w:w="2094" w:type="dxa"/>
            <w:vAlign w:val="center"/>
          </w:tcPr>
          <w:p>
            <w:pPr>
              <w:spacing w:before="40" w:after="40"/>
              <w:rPr>
                <w:noProof/>
                <w:sz w:val="22"/>
              </w:rPr>
            </w:pPr>
            <w:r>
              <w:rPr>
                <w:noProof/>
                <w:sz w:val="18"/>
              </w:rPr>
              <w:t>(Ukupne preuzete obveze = ukupna plaćanja)</w:t>
            </w:r>
          </w:p>
        </w:tc>
        <w:tc>
          <w:tcPr>
            <w:tcW w:w="868" w:type="dxa"/>
            <w:vAlign w:val="center"/>
          </w:tcPr>
          <w:p>
            <w:pPr>
              <w:spacing w:before="20" w:after="2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709"/>
        <w:gridCol w:w="709"/>
        <w:gridCol w:w="713"/>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Godina</w:t>
            </w:r>
            <w:r>
              <w:rPr>
                <w:noProof/>
                <w:sz w:val="22"/>
              </w:rPr>
              <w:br/>
            </w:r>
            <w:r>
              <w:rPr>
                <w:b/>
                <w:noProof/>
                <w:sz w:val="20"/>
              </w:rPr>
              <w:t>2018.</w:t>
            </w:r>
            <w:r>
              <w:rPr>
                <w:rStyle w:val="FootnoteReference"/>
                <w:b/>
                <w:noProof/>
                <w:sz w:val="20"/>
              </w:rPr>
              <w:footnoteReference w:id="26"/>
            </w:r>
          </w:p>
        </w:tc>
        <w:tc>
          <w:tcPr>
            <w:tcW w:w="992" w:type="dxa"/>
            <w:vAlign w:val="center"/>
          </w:tcPr>
          <w:p>
            <w:pPr>
              <w:jc w:val="center"/>
              <w:rPr>
                <w:noProof/>
                <w:sz w:val="20"/>
              </w:rPr>
            </w:pPr>
            <w:r>
              <w:rPr>
                <w:noProof/>
                <w:sz w:val="20"/>
              </w:rPr>
              <w:t>Godina</w:t>
            </w:r>
            <w:r>
              <w:rPr>
                <w:noProof/>
                <w:sz w:val="22"/>
              </w:rPr>
              <w:br/>
            </w:r>
            <w:r>
              <w:rPr>
                <w:b/>
                <w:noProof/>
                <w:sz w:val="20"/>
              </w:rPr>
              <w:t>2019.</w:t>
            </w:r>
          </w:p>
        </w:tc>
        <w:tc>
          <w:tcPr>
            <w:tcW w:w="992" w:type="dxa"/>
            <w:vAlign w:val="center"/>
          </w:tcPr>
          <w:p>
            <w:pPr>
              <w:jc w:val="center"/>
              <w:rPr>
                <w:noProof/>
                <w:sz w:val="20"/>
              </w:rPr>
            </w:pPr>
            <w:r>
              <w:rPr>
                <w:noProof/>
                <w:sz w:val="20"/>
              </w:rPr>
              <w:t>Godina</w:t>
            </w:r>
            <w:r>
              <w:rPr>
                <w:noProof/>
                <w:sz w:val="22"/>
              </w:rPr>
              <w:br/>
            </w:r>
            <w:r>
              <w:rPr>
                <w:b/>
                <w:noProof/>
                <w:sz w:val="20"/>
              </w:rPr>
              <w:t>2020.</w:t>
            </w:r>
          </w:p>
        </w:tc>
        <w:tc>
          <w:tcPr>
            <w:tcW w:w="992" w:type="dxa"/>
            <w:vAlign w:val="center"/>
          </w:tcPr>
          <w:p>
            <w:pPr>
              <w:jc w:val="center"/>
              <w:rPr>
                <w:noProof/>
                <w:sz w:val="20"/>
              </w:rPr>
            </w:pPr>
            <w:r>
              <w:rPr>
                <w:noProof/>
                <w:sz w:val="20"/>
              </w:rPr>
              <w:t xml:space="preserve">Godina </w:t>
            </w:r>
            <w:r>
              <w:rPr>
                <w:b/>
                <w:noProof/>
                <w:sz w:val="18"/>
              </w:rPr>
              <w:t>2021. i kasnije</w:t>
            </w:r>
          </w:p>
        </w:tc>
        <w:tc>
          <w:tcPr>
            <w:tcW w:w="2131"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sz w:val="22"/>
              </w:rPr>
            </w:pPr>
            <w:r>
              <w:rPr>
                <w:b/>
                <w:noProof/>
                <w:sz w:val="22"/>
              </w:rPr>
              <w:t>UKUPNA odobrena sredstva</w:t>
            </w:r>
            <w:r>
              <w:rPr>
                <w:noProof/>
                <w:sz w:val="22"/>
              </w:rPr>
              <w:br/>
            </w:r>
            <w:r>
              <w:rPr>
                <w:b/>
                <w:noProof/>
                <w:sz w:val="22"/>
              </w:rPr>
              <w:t>iz NASLOVA 1. do 5. VFO-a</w:t>
            </w:r>
          </w:p>
        </w:tc>
        <w:tc>
          <w:tcPr>
            <w:tcW w:w="2094" w:type="dxa"/>
            <w:gridSpan w:val="2"/>
            <w:vAlign w:val="center"/>
          </w:tcPr>
          <w:p>
            <w:pPr>
              <w:rPr>
                <w:noProof/>
                <w:sz w:val="14"/>
              </w:rPr>
            </w:pPr>
            <w:r>
              <w:rPr>
                <w:noProof/>
                <w:sz w:val="18"/>
              </w:rPr>
              <w:t>Obveze</w:t>
            </w:r>
          </w:p>
        </w:tc>
        <w:tc>
          <w:tcPr>
            <w:tcW w:w="969" w:type="dxa"/>
            <w:vAlign w:val="center"/>
          </w:tcPr>
          <w:p>
            <w:pPr>
              <w:spacing w:before="60" w:after="60"/>
              <w:jc w:val="right"/>
              <w:rPr>
                <w:noProof/>
                <w:sz w:val="20"/>
              </w:rPr>
            </w:pPr>
            <w:r>
              <w:rPr>
                <w:noProof/>
                <w:sz w:val="20"/>
              </w:rPr>
              <w:t>154,899</w:t>
            </w:r>
          </w:p>
        </w:tc>
        <w:tc>
          <w:tcPr>
            <w:tcW w:w="992" w:type="dxa"/>
            <w:vAlign w:val="center"/>
          </w:tcPr>
          <w:p>
            <w:pPr>
              <w:spacing w:before="60" w:after="60"/>
              <w:jc w:val="right"/>
              <w:rPr>
                <w:noProof/>
                <w:sz w:val="20"/>
              </w:rPr>
            </w:pPr>
            <w:r>
              <w:rPr>
                <w:noProof/>
                <w:sz w:val="20"/>
              </w:rPr>
              <w:t>166,996</w:t>
            </w:r>
          </w:p>
        </w:tc>
        <w:tc>
          <w:tcPr>
            <w:tcW w:w="992" w:type="dxa"/>
            <w:vAlign w:val="center"/>
          </w:tcPr>
          <w:p>
            <w:pPr>
              <w:spacing w:before="60" w:after="60"/>
              <w:jc w:val="right"/>
              <w:rPr>
                <w:noProof/>
                <w:sz w:val="20"/>
              </w:rPr>
            </w:pPr>
            <w:r>
              <w:rPr>
                <w:noProof/>
                <w:sz w:val="20"/>
              </w:rPr>
              <w:t>167,565</w:t>
            </w:r>
          </w:p>
        </w:tc>
        <w:tc>
          <w:tcPr>
            <w:tcW w:w="992"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969" w:type="dxa"/>
            <w:vAlign w:val="center"/>
          </w:tcPr>
          <w:p>
            <w:pPr>
              <w:spacing w:before="60" w:after="60"/>
              <w:jc w:val="right"/>
              <w:rPr>
                <w:noProof/>
                <w:sz w:val="20"/>
              </w:rPr>
            </w:pPr>
            <w:r>
              <w:rPr>
                <w:noProof/>
                <w:sz w:val="20"/>
              </w:rPr>
              <w:t>101,253</w:t>
            </w:r>
          </w:p>
        </w:tc>
        <w:tc>
          <w:tcPr>
            <w:tcW w:w="992" w:type="dxa"/>
            <w:vAlign w:val="center"/>
          </w:tcPr>
          <w:p>
            <w:pPr>
              <w:spacing w:before="60" w:after="60"/>
              <w:jc w:val="right"/>
              <w:rPr>
                <w:noProof/>
                <w:sz w:val="20"/>
              </w:rPr>
            </w:pPr>
            <w:r>
              <w:rPr>
                <w:noProof/>
                <w:sz w:val="20"/>
              </w:rPr>
              <w:t>121,892</w:t>
            </w:r>
          </w:p>
        </w:tc>
        <w:tc>
          <w:tcPr>
            <w:tcW w:w="992" w:type="dxa"/>
            <w:vAlign w:val="center"/>
          </w:tcPr>
          <w:p>
            <w:pPr>
              <w:spacing w:before="60" w:after="60"/>
              <w:jc w:val="right"/>
              <w:rPr>
                <w:noProof/>
                <w:sz w:val="20"/>
              </w:rPr>
            </w:pPr>
            <w:r>
              <w:rPr>
                <w:noProof/>
                <w:sz w:val="20"/>
              </w:rPr>
              <w:t>143,106</w:t>
            </w:r>
          </w:p>
        </w:tc>
        <w:tc>
          <w:tcPr>
            <w:tcW w:w="992" w:type="dxa"/>
            <w:vAlign w:val="center"/>
          </w:tcPr>
          <w:p>
            <w:pPr>
              <w:spacing w:before="60" w:after="60"/>
              <w:jc w:val="right"/>
              <w:rPr>
                <w:noProof/>
                <w:sz w:val="20"/>
              </w:rPr>
            </w:pPr>
            <w:r>
              <w:rPr>
                <w:noProof/>
                <w:sz w:val="20"/>
              </w:rPr>
              <w:t>123,209</w:t>
            </w: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Procijenjeni utjecaj na odobrena sredstva za poslovanje </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sz w:val="22"/>
        </w:rPr>
        <w:sym w:font="Wingdings" w:char="F0FD"/>
      </w:r>
      <w:r>
        <w:rPr>
          <w:noProof/>
        </w:rPr>
        <w:tab/>
        <w:t>Za prijedlog/inicijativu potrebna su odobrena sredstva za poslovanje kako je navedeno u nastavku:</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02"/>
        <w:gridCol w:w="880"/>
        <w:gridCol w:w="8"/>
        <w:gridCol w:w="567"/>
        <w:gridCol w:w="86"/>
        <w:gridCol w:w="663"/>
        <w:gridCol w:w="811"/>
        <w:gridCol w:w="636"/>
        <w:gridCol w:w="679"/>
        <w:gridCol w:w="41"/>
        <w:gridCol w:w="720"/>
        <w:gridCol w:w="656"/>
        <w:gridCol w:w="64"/>
        <w:gridCol w:w="884"/>
        <w:gridCol w:w="16"/>
        <w:gridCol w:w="720"/>
        <w:gridCol w:w="540"/>
        <w:gridCol w:w="709"/>
        <w:gridCol w:w="371"/>
        <w:gridCol w:w="720"/>
        <w:gridCol w:w="540"/>
        <w:gridCol w:w="75"/>
        <w:gridCol w:w="645"/>
        <w:gridCol w:w="720"/>
        <w:gridCol w:w="903"/>
        <w:gridCol w:w="7"/>
      </w:tblGrid>
      <w:tr>
        <w:trPr>
          <w:gridAfter w:val="1"/>
          <w:wAfter w:w="7" w:type="dxa"/>
          <w:jc w:val="center"/>
        </w:trPr>
        <w:tc>
          <w:tcPr>
            <w:tcW w:w="1417" w:type="dxa"/>
            <w:gridSpan w:val="2"/>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880" w:type="dxa"/>
            <w:vAlign w:val="center"/>
          </w:tcPr>
          <w:p>
            <w:pPr>
              <w:ind w:right="-29"/>
              <w:jc w:val="center"/>
              <w:rPr>
                <w:noProof/>
                <w:sz w:val="18"/>
                <w:szCs w:val="18"/>
              </w:rPr>
            </w:pPr>
          </w:p>
        </w:tc>
        <w:tc>
          <w:tcPr>
            <w:tcW w:w="575" w:type="dxa"/>
            <w:gridSpan w:val="2"/>
            <w:vAlign w:val="center"/>
          </w:tcPr>
          <w:p>
            <w:pPr>
              <w:ind w:right="-29"/>
              <w:jc w:val="center"/>
              <w:rPr>
                <w:noProof/>
                <w:sz w:val="18"/>
                <w:szCs w:val="18"/>
              </w:rPr>
            </w:pPr>
          </w:p>
        </w:tc>
        <w:tc>
          <w:tcPr>
            <w:tcW w:w="1560" w:type="dxa"/>
            <w:gridSpan w:val="3"/>
            <w:tcBorders>
              <w:left w:val="nil"/>
            </w:tcBorders>
            <w:vAlign w:val="center"/>
          </w:tcPr>
          <w:p>
            <w:pPr>
              <w:ind w:right="-29"/>
              <w:jc w:val="center"/>
              <w:rPr>
                <w:noProof/>
                <w:sz w:val="18"/>
                <w:szCs w:val="18"/>
              </w:rPr>
            </w:pPr>
            <w:r>
              <w:rPr>
                <w:noProof/>
                <w:sz w:val="18"/>
              </w:rPr>
              <w:t>Godina</w:t>
            </w:r>
            <w:r>
              <w:rPr>
                <w:noProof/>
                <w:sz w:val="22"/>
              </w:rPr>
              <w:br/>
            </w:r>
            <w:r>
              <w:rPr>
                <w:b/>
                <w:noProof/>
                <w:sz w:val="18"/>
              </w:rPr>
              <w:t>2018.</w:t>
            </w:r>
          </w:p>
        </w:tc>
        <w:tc>
          <w:tcPr>
            <w:tcW w:w="1315" w:type="dxa"/>
            <w:gridSpan w:val="2"/>
            <w:vAlign w:val="center"/>
          </w:tcPr>
          <w:p>
            <w:pPr>
              <w:ind w:right="-29"/>
              <w:jc w:val="center"/>
              <w:rPr>
                <w:noProof/>
                <w:sz w:val="18"/>
                <w:szCs w:val="18"/>
              </w:rPr>
            </w:pPr>
            <w:r>
              <w:rPr>
                <w:noProof/>
                <w:sz w:val="18"/>
              </w:rPr>
              <w:t>Godina</w:t>
            </w:r>
            <w:r>
              <w:rPr>
                <w:noProof/>
                <w:sz w:val="22"/>
              </w:rPr>
              <w:br/>
            </w:r>
            <w:r>
              <w:rPr>
                <w:b/>
                <w:noProof/>
                <w:sz w:val="18"/>
              </w:rPr>
              <w:t>2019.</w:t>
            </w:r>
          </w:p>
        </w:tc>
        <w:tc>
          <w:tcPr>
            <w:tcW w:w="1417" w:type="dxa"/>
            <w:gridSpan w:val="3"/>
            <w:vAlign w:val="center"/>
          </w:tcPr>
          <w:p>
            <w:pPr>
              <w:ind w:right="-29"/>
              <w:jc w:val="center"/>
              <w:rPr>
                <w:noProof/>
                <w:sz w:val="18"/>
                <w:szCs w:val="18"/>
              </w:rPr>
            </w:pPr>
            <w:r>
              <w:rPr>
                <w:noProof/>
                <w:sz w:val="18"/>
              </w:rPr>
              <w:t>Godina</w:t>
            </w:r>
            <w:r>
              <w:rPr>
                <w:noProof/>
                <w:sz w:val="22"/>
              </w:rPr>
              <w:br/>
            </w:r>
            <w:r>
              <w:rPr>
                <w:b/>
                <w:noProof/>
                <w:sz w:val="18"/>
              </w:rPr>
              <w:t>2020.</w:t>
            </w:r>
          </w:p>
        </w:tc>
        <w:tc>
          <w:tcPr>
            <w:tcW w:w="948" w:type="dxa"/>
            <w:gridSpan w:val="2"/>
            <w:vAlign w:val="center"/>
          </w:tcPr>
          <w:p>
            <w:pPr>
              <w:ind w:right="-29"/>
              <w:jc w:val="center"/>
              <w:rPr>
                <w:noProof/>
                <w:sz w:val="18"/>
                <w:szCs w:val="18"/>
              </w:rPr>
            </w:pPr>
          </w:p>
        </w:tc>
        <w:tc>
          <w:tcPr>
            <w:tcW w:w="3691" w:type="dxa"/>
            <w:gridSpan w:val="8"/>
            <w:vAlign w:val="center"/>
          </w:tcPr>
          <w:p>
            <w:pPr>
              <w:jc w:val="center"/>
              <w:rPr>
                <w:noProof/>
                <w:sz w:val="18"/>
                <w:szCs w:val="18"/>
              </w:rPr>
            </w:pPr>
            <w:r>
              <w:rPr>
                <w:noProof/>
                <w:sz w:val="18"/>
              </w:rPr>
              <w:t>Unijeti onoliko godina koliko je potrebno za prikaz trajanja utjecaja (vidi točku 1.6.)</w:t>
            </w:r>
          </w:p>
        </w:tc>
        <w:tc>
          <w:tcPr>
            <w:tcW w:w="2268" w:type="dxa"/>
            <w:gridSpan w:val="3"/>
            <w:tcBorders>
              <w:left w:val="nil"/>
              <w:bottom w:val="nil"/>
            </w:tcBorders>
            <w:vAlign w:val="center"/>
          </w:tcPr>
          <w:p>
            <w:pPr>
              <w:ind w:right="-29"/>
              <w:jc w:val="center"/>
              <w:rPr>
                <w:noProof/>
                <w:sz w:val="18"/>
                <w:szCs w:val="18"/>
              </w:rPr>
            </w:pPr>
            <w:r>
              <w:rPr>
                <w:b/>
                <w:noProof/>
                <w:sz w:val="18"/>
              </w:rPr>
              <w:t>UKUPNO</w:t>
            </w:r>
          </w:p>
        </w:tc>
      </w:tr>
      <w:tr>
        <w:trPr>
          <w:gridAfter w:val="1"/>
          <w:wAfter w:w="7" w:type="dxa"/>
          <w:jc w:val="center"/>
        </w:trPr>
        <w:tc>
          <w:tcPr>
            <w:tcW w:w="1417" w:type="dxa"/>
            <w:gridSpan w:val="2"/>
            <w:vMerge/>
            <w:vAlign w:val="center"/>
          </w:tcPr>
          <w:p>
            <w:pPr>
              <w:ind w:right="-29"/>
              <w:jc w:val="center"/>
              <w:rPr>
                <w:noProof/>
                <w:sz w:val="18"/>
                <w:szCs w:val="18"/>
              </w:rPr>
            </w:pPr>
          </w:p>
        </w:tc>
        <w:tc>
          <w:tcPr>
            <w:tcW w:w="12654" w:type="dxa"/>
            <w:gridSpan w:val="24"/>
            <w:vAlign w:val="center"/>
          </w:tcPr>
          <w:p>
            <w:pPr>
              <w:spacing w:before="60" w:after="60"/>
              <w:ind w:right="-29"/>
              <w:jc w:val="center"/>
              <w:rPr>
                <w:noProof/>
                <w:sz w:val="18"/>
                <w:szCs w:val="18"/>
              </w:rPr>
            </w:pPr>
            <w:r>
              <w:rPr>
                <w:b/>
                <w:noProof/>
                <w:sz w:val="18"/>
              </w:rPr>
              <w:t>REZULTATI</w:t>
            </w:r>
          </w:p>
        </w:tc>
      </w:tr>
      <w:tr>
        <w:trPr>
          <w:cantSplit/>
          <w:trHeight w:val="792"/>
          <w:jc w:val="center"/>
        </w:trPr>
        <w:tc>
          <w:tcPr>
            <w:tcW w:w="1417" w:type="dxa"/>
            <w:gridSpan w:val="2"/>
            <w:vMerge/>
            <w:vAlign w:val="center"/>
          </w:tcPr>
          <w:p>
            <w:pPr>
              <w:rPr>
                <w:noProof/>
                <w:sz w:val="18"/>
                <w:szCs w:val="18"/>
              </w:rPr>
            </w:pPr>
          </w:p>
        </w:tc>
        <w:tc>
          <w:tcPr>
            <w:tcW w:w="888" w:type="dxa"/>
            <w:gridSpan w:val="2"/>
            <w:vAlign w:val="center"/>
          </w:tcPr>
          <w:p>
            <w:pPr>
              <w:jc w:val="center"/>
              <w:rPr>
                <w:noProof/>
                <w:sz w:val="18"/>
                <w:szCs w:val="18"/>
              </w:rPr>
            </w:pPr>
            <w:r>
              <w:rPr>
                <w:noProof/>
                <w:sz w:val="18"/>
              </w:rPr>
              <w:t>Vrsta</w:t>
            </w:r>
            <w:r>
              <w:rPr>
                <w:rStyle w:val="FootnoteReference"/>
                <w:noProof/>
              </w:rPr>
              <w:footnoteReference w:id="27"/>
            </w:r>
          </w:p>
        </w:tc>
        <w:tc>
          <w:tcPr>
            <w:tcW w:w="567" w:type="dxa"/>
            <w:vAlign w:val="center"/>
          </w:tcPr>
          <w:p>
            <w:pPr>
              <w:jc w:val="center"/>
              <w:rPr>
                <w:noProof/>
                <w:sz w:val="18"/>
                <w:szCs w:val="18"/>
              </w:rPr>
            </w:pPr>
            <w:r>
              <w:rPr>
                <w:noProof/>
                <w:sz w:val="18"/>
              </w:rPr>
              <w:t>Prosječni trošak</w:t>
            </w:r>
          </w:p>
        </w:tc>
        <w:tc>
          <w:tcPr>
            <w:tcW w:w="749"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11"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09"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7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10" w:type="dxa"/>
            <w:gridSpan w:val="2"/>
            <w:tcBorders>
              <w:left w:val="dashSmallGap" w:sz="4" w:space="0" w:color="auto"/>
            </w:tcBorders>
            <w:shd w:val="pct10" w:color="auto" w:fill="auto"/>
            <w:vAlign w:val="center"/>
          </w:tcPr>
          <w:p>
            <w:pPr>
              <w:jc w:val="center"/>
              <w:rPr>
                <w:noProof/>
                <w:sz w:val="18"/>
                <w:szCs w:val="18"/>
              </w:rPr>
            </w:pPr>
            <w:r>
              <w:rPr>
                <w:noProof/>
                <w:sz w:val="18"/>
              </w:rPr>
              <w:t>Ukupni trošak</w:t>
            </w:r>
          </w:p>
        </w:tc>
      </w:tr>
      <w:tr>
        <w:trPr>
          <w:gridAfter w:val="1"/>
          <w:wAfter w:w="7" w:type="dxa"/>
          <w:jc w:val="center"/>
        </w:trPr>
        <w:tc>
          <w:tcPr>
            <w:tcW w:w="14071" w:type="dxa"/>
            <w:gridSpan w:val="26"/>
            <w:vAlign w:val="center"/>
          </w:tcPr>
          <w:p>
            <w:pPr>
              <w:spacing w:before="60" w:after="60"/>
              <w:ind w:right="-29"/>
              <w:jc w:val="center"/>
              <w:rPr>
                <w:noProof/>
                <w:sz w:val="16"/>
                <w:szCs w:val="16"/>
              </w:rPr>
            </w:pPr>
            <w:r>
              <w:rPr>
                <w:noProof/>
                <w:sz w:val="16"/>
              </w:rPr>
              <w:t>POSEBNI CILJEVI 1. i 4.</w:t>
            </w:r>
            <w:r>
              <w:rPr>
                <w:rStyle w:val="FootnoteReference"/>
                <w:noProof/>
              </w:rPr>
              <w:footnoteReference w:id="28"/>
            </w:r>
          </w:p>
          <w:p>
            <w:pPr>
              <w:spacing w:before="60" w:after="60"/>
              <w:ind w:right="-29"/>
              <w:jc w:val="center"/>
              <w:rPr>
                <w:noProof/>
                <w:sz w:val="18"/>
                <w:szCs w:val="18"/>
              </w:rPr>
            </w:pPr>
            <w:r>
              <w:rPr>
                <w:noProof/>
                <w:sz w:val="18"/>
              </w:rPr>
              <w:t>Pravodobno pružanje statističkih podataka radi podupiranja razvoja, praćenja i ocjenjivanja politika Unije jasno odražavajući prioritete, istodobno zadržavajući ravnotežu između gospodarskog i socijalnog područja te područja zaštite okoliša i zadovoljavajući potrebe širokog kruga korisnika europske statistike, uključujući ostale donositelje odluka, istraživače, poduzetnike i europske građane općenito, na troškovno učinkovit način bez nepotrebnog udvostručavanja napora.</w:t>
            </w:r>
          </w:p>
          <w:p>
            <w:pPr>
              <w:spacing w:before="60" w:after="60"/>
              <w:ind w:right="-29"/>
              <w:jc w:val="center"/>
              <w:rPr>
                <w:noProof/>
                <w:sz w:val="18"/>
                <w:szCs w:val="18"/>
              </w:rPr>
            </w:pPr>
            <w:r>
              <w:rPr>
                <w:noProof/>
                <w:sz w:val="18"/>
              </w:rPr>
              <w:t>Osiguravanje dosljedne isporuke takve statistike tijekom cijelog trajanja programa, pod uvjetom da to ne utječe na mehanizme ESS–a za određivanje prioriteta.</w:t>
            </w:r>
          </w:p>
        </w:tc>
      </w:tr>
      <w:tr>
        <w:trPr>
          <w:trHeight w:hRule="exact" w:val="567"/>
          <w:jc w:val="center"/>
        </w:trPr>
        <w:tc>
          <w:tcPr>
            <w:tcW w:w="1417" w:type="dxa"/>
            <w:gridSpan w:val="2"/>
          </w:tcPr>
          <w:p>
            <w:pPr>
              <w:ind w:right="-29"/>
              <w:jc w:val="center"/>
              <w:rPr>
                <w:noProof/>
                <w:sz w:val="18"/>
                <w:szCs w:val="18"/>
              </w:rPr>
            </w:pPr>
            <w:r>
              <w:rPr>
                <w:noProof/>
                <w:sz w:val="18"/>
              </w:rPr>
              <w:t>- Rezultat</w:t>
            </w:r>
          </w:p>
        </w:tc>
        <w:tc>
          <w:tcPr>
            <w:tcW w:w="880" w:type="dxa"/>
          </w:tcPr>
          <w:p>
            <w:pPr>
              <w:ind w:right="-29"/>
              <w:jc w:val="center"/>
              <w:rPr>
                <w:noProof/>
                <w:sz w:val="18"/>
                <w:szCs w:val="18"/>
              </w:rPr>
            </w:pPr>
            <w:r>
              <w:rPr>
                <w:noProof/>
                <w:sz w:val="16"/>
              </w:rPr>
              <w:t>Statističke aktivnosti</w:t>
            </w:r>
          </w:p>
        </w:tc>
        <w:tc>
          <w:tcPr>
            <w:tcW w:w="661" w:type="dxa"/>
            <w:gridSpan w:val="3"/>
            <w:tcBorders>
              <w:right w:val="dashSmallGap" w:sz="4" w:space="0" w:color="auto"/>
            </w:tcBorders>
          </w:tcPr>
          <w:p>
            <w:pPr>
              <w:ind w:right="-29"/>
              <w:jc w:val="center"/>
              <w:rPr>
                <w:noProof/>
                <w:sz w:val="18"/>
                <w:szCs w:val="18"/>
              </w:rPr>
            </w:pPr>
            <w:r>
              <w:rPr>
                <w:noProof/>
                <w:sz w:val="18"/>
              </w:rPr>
              <w:t>0,170</w:t>
            </w:r>
          </w:p>
        </w:tc>
        <w:tc>
          <w:tcPr>
            <w:tcW w:w="663" w:type="dxa"/>
            <w:tcBorders>
              <w:right w:val="dashSmallGap" w:sz="4" w:space="0" w:color="auto"/>
            </w:tcBorders>
          </w:tcPr>
          <w:p>
            <w:pPr>
              <w:ind w:right="-29"/>
              <w:jc w:val="center"/>
              <w:rPr>
                <w:noProof/>
                <w:sz w:val="18"/>
                <w:szCs w:val="18"/>
                <w:highlight w:val="yellow"/>
              </w:rPr>
            </w:pPr>
            <w:r>
              <w:rPr>
                <w:noProof/>
                <w:sz w:val="18"/>
              </w:rPr>
              <w:t>215</w:t>
            </w:r>
          </w:p>
        </w:tc>
        <w:tc>
          <w:tcPr>
            <w:tcW w:w="811" w:type="dxa"/>
            <w:tcBorders>
              <w:left w:val="dashSmallGap" w:sz="4" w:space="0" w:color="auto"/>
            </w:tcBorders>
          </w:tcPr>
          <w:p>
            <w:pPr>
              <w:ind w:right="-29"/>
              <w:jc w:val="center"/>
              <w:rPr>
                <w:noProof/>
                <w:sz w:val="18"/>
                <w:szCs w:val="18"/>
              </w:rPr>
            </w:pPr>
            <w:r>
              <w:rPr>
                <w:noProof/>
                <w:sz w:val="18"/>
              </w:rPr>
              <w:t>35,441</w:t>
            </w:r>
          </w:p>
        </w:tc>
        <w:tc>
          <w:tcPr>
            <w:tcW w:w="636" w:type="dxa"/>
            <w:tcBorders>
              <w:right w:val="dashSmallGap" w:sz="4" w:space="0" w:color="auto"/>
            </w:tcBorders>
          </w:tcPr>
          <w:p>
            <w:pPr>
              <w:ind w:right="-29"/>
              <w:jc w:val="center"/>
              <w:rPr>
                <w:noProof/>
                <w:sz w:val="18"/>
                <w:szCs w:val="18"/>
                <w:highlight w:val="yellow"/>
              </w:rPr>
            </w:pPr>
            <w:r>
              <w:rPr>
                <w:noProof/>
                <w:sz w:val="18"/>
              </w:rPr>
              <w:t>264</w:t>
            </w:r>
          </w:p>
        </w:tc>
        <w:tc>
          <w:tcPr>
            <w:tcW w:w="720" w:type="dxa"/>
            <w:gridSpan w:val="2"/>
            <w:tcBorders>
              <w:left w:val="dashSmallGap" w:sz="4" w:space="0" w:color="auto"/>
            </w:tcBorders>
          </w:tcPr>
          <w:p>
            <w:pPr>
              <w:ind w:right="-29"/>
              <w:jc w:val="center"/>
              <w:rPr>
                <w:noProof/>
                <w:sz w:val="18"/>
                <w:szCs w:val="18"/>
                <w:highlight w:val="yellow"/>
              </w:rPr>
            </w:pPr>
            <w:r>
              <w:rPr>
                <w:noProof/>
                <w:sz w:val="18"/>
              </w:rPr>
              <w:t>45,194</w:t>
            </w:r>
          </w:p>
        </w:tc>
        <w:tc>
          <w:tcPr>
            <w:tcW w:w="720" w:type="dxa"/>
            <w:tcBorders>
              <w:right w:val="dashSmallGap" w:sz="4" w:space="0" w:color="auto"/>
            </w:tcBorders>
          </w:tcPr>
          <w:p>
            <w:pPr>
              <w:ind w:right="-29"/>
              <w:jc w:val="center"/>
              <w:rPr>
                <w:noProof/>
                <w:sz w:val="18"/>
                <w:szCs w:val="18"/>
                <w:highlight w:val="yellow"/>
              </w:rPr>
            </w:pPr>
            <w:r>
              <w:rPr>
                <w:noProof/>
                <w:sz w:val="18"/>
              </w:rPr>
              <w:t>267</w:t>
            </w:r>
          </w:p>
        </w:tc>
        <w:tc>
          <w:tcPr>
            <w:tcW w:w="720" w:type="dxa"/>
            <w:gridSpan w:val="2"/>
            <w:tcBorders>
              <w:left w:val="dashSmallGap" w:sz="4" w:space="0" w:color="auto"/>
            </w:tcBorders>
          </w:tcPr>
          <w:p>
            <w:pPr>
              <w:ind w:right="-29"/>
              <w:jc w:val="center"/>
              <w:rPr>
                <w:noProof/>
                <w:sz w:val="18"/>
                <w:szCs w:val="18"/>
              </w:rPr>
            </w:pPr>
            <w:r>
              <w:rPr>
                <w:noProof/>
                <w:sz w:val="18"/>
              </w:rPr>
              <w:t>46,617</w:t>
            </w:r>
          </w:p>
        </w:tc>
        <w:tc>
          <w:tcPr>
            <w:tcW w:w="900" w:type="dxa"/>
            <w:gridSpan w:val="2"/>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09" w:type="dxa"/>
            <w:tcBorders>
              <w:left w:val="dashSmallGap" w:sz="4" w:space="0" w:color="auto"/>
            </w:tcBorders>
          </w:tcPr>
          <w:p>
            <w:pPr>
              <w:ind w:right="-29"/>
              <w:jc w:val="center"/>
              <w:rPr>
                <w:noProof/>
                <w:sz w:val="18"/>
                <w:szCs w:val="18"/>
                <w:highlight w:val="yellow"/>
              </w:rPr>
            </w:pPr>
          </w:p>
        </w:tc>
        <w:tc>
          <w:tcPr>
            <w:tcW w:w="371" w:type="dxa"/>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20" w:type="dxa"/>
            <w:gridSpan w:val="2"/>
            <w:tcBorders>
              <w:left w:val="dashSmallGap" w:sz="4" w:space="0" w:color="auto"/>
            </w:tcBorders>
          </w:tcPr>
          <w:p>
            <w:pPr>
              <w:ind w:right="-29"/>
              <w:jc w:val="center"/>
              <w:rPr>
                <w:noProof/>
                <w:sz w:val="18"/>
                <w:szCs w:val="18"/>
                <w:highlight w:val="yellow"/>
              </w:rPr>
            </w:pPr>
          </w:p>
        </w:tc>
        <w:tc>
          <w:tcPr>
            <w:tcW w:w="720" w:type="dxa"/>
          </w:tcPr>
          <w:p>
            <w:pPr>
              <w:ind w:right="-29"/>
              <w:jc w:val="center"/>
              <w:rPr>
                <w:noProof/>
                <w:sz w:val="18"/>
                <w:szCs w:val="18"/>
              </w:rPr>
            </w:pPr>
            <w:r>
              <w:rPr>
                <w:noProof/>
                <w:sz w:val="18"/>
              </w:rPr>
              <w:t>746</w:t>
            </w:r>
          </w:p>
        </w:tc>
        <w:tc>
          <w:tcPr>
            <w:tcW w:w="910" w:type="dxa"/>
            <w:gridSpan w:val="2"/>
          </w:tcPr>
          <w:p>
            <w:pPr>
              <w:ind w:right="-29"/>
              <w:jc w:val="center"/>
              <w:rPr>
                <w:noProof/>
                <w:sz w:val="18"/>
                <w:szCs w:val="18"/>
              </w:rPr>
            </w:pPr>
            <w:r>
              <w:rPr>
                <w:noProof/>
                <w:sz w:val="18"/>
              </w:rPr>
              <w:t>127,252</w:t>
            </w:r>
          </w:p>
        </w:tc>
      </w:tr>
      <w:tr>
        <w:trPr>
          <w:jc w:val="center"/>
        </w:trPr>
        <w:tc>
          <w:tcPr>
            <w:tcW w:w="2297"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661" w:type="dxa"/>
            <w:gridSpan w:val="3"/>
            <w:tcBorders>
              <w:bottom w:val="single" w:sz="12" w:space="0" w:color="auto"/>
            </w:tcBorders>
          </w:tcPr>
          <w:p>
            <w:pPr>
              <w:ind w:right="-29"/>
              <w:jc w:val="center"/>
              <w:rPr>
                <w:noProof/>
                <w:sz w:val="18"/>
                <w:szCs w:val="18"/>
              </w:rPr>
            </w:pPr>
            <w:r>
              <w:rPr>
                <w:noProof/>
                <w:sz w:val="18"/>
              </w:rPr>
              <w:t>0,170</w:t>
            </w:r>
          </w:p>
        </w:tc>
        <w:tc>
          <w:tcPr>
            <w:tcW w:w="663" w:type="dxa"/>
            <w:tcBorders>
              <w:bottom w:val="single" w:sz="12" w:space="0" w:color="auto"/>
            </w:tcBorders>
          </w:tcPr>
          <w:p>
            <w:pPr>
              <w:ind w:right="-29"/>
              <w:jc w:val="center"/>
              <w:rPr>
                <w:noProof/>
                <w:sz w:val="18"/>
                <w:szCs w:val="18"/>
                <w:highlight w:val="yellow"/>
              </w:rPr>
            </w:pPr>
            <w:r>
              <w:rPr>
                <w:noProof/>
                <w:sz w:val="18"/>
              </w:rPr>
              <w:t>215</w:t>
            </w:r>
          </w:p>
        </w:tc>
        <w:tc>
          <w:tcPr>
            <w:tcW w:w="811" w:type="dxa"/>
            <w:tcBorders>
              <w:bottom w:val="single" w:sz="12" w:space="0" w:color="auto"/>
            </w:tcBorders>
          </w:tcPr>
          <w:p>
            <w:pPr>
              <w:ind w:right="-29"/>
              <w:jc w:val="center"/>
              <w:rPr>
                <w:noProof/>
                <w:sz w:val="18"/>
                <w:szCs w:val="18"/>
              </w:rPr>
            </w:pPr>
            <w:r>
              <w:rPr>
                <w:noProof/>
                <w:sz w:val="18"/>
              </w:rPr>
              <w:t>35,441</w:t>
            </w:r>
          </w:p>
        </w:tc>
        <w:tc>
          <w:tcPr>
            <w:tcW w:w="636" w:type="dxa"/>
            <w:tcBorders>
              <w:bottom w:val="single" w:sz="12" w:space="0" w:color="auto"/>
            </w:tcBorders>
          </w:tcPr>
          <w:p>
            <w:pPr>
              <w:ind w:right="-29"/>
              <w:jc w:val="center"/>
              <w:rPr>
                <w:noProof/>
                <w:sz w:val="18"/>
                <w:szCs w:val="18"/>
                <w:highlight w:val="yellow"/>
              </w:rPr>
            </w:pPr>
            <w:r>
              <w:rPr>
                <w:noProof/>
                <w:sz w:val="18"/>
              </w:rPr>
              <w:t>264</w:t>
            </w:r>
          </w:p>
        </w:tc>
        <w:tc>
          <w:tcPr>
            <w:tcW w:w="720" w:type="dxa"/>
            <w:gridSpan w:val="2"/>
            <w:tcBorders>
              <w:bottom w:val="single" w:sz="12" w:space="0" w:color="auto"/>
            </w:tcBorders>
          </w:tcPr>
          <w:p>
            <w:pPr>
              <w:ind w:right="-29"/>
              <w:jc w:val="center"/>
              <w:rPr>
                <w:noProof/>
                <w:sz w:val="18"/>
                <w:szCs w:val="18"/>
                <w:highlight w:val="yellow"/>
              </w:rPr>
            </w:pPr>
            <w:r>
              <w:rPr>
                <w:noProof/>
                <w:sz w:val="18"/>
              </w:rPr>
              <w:t>45,194</w:t>
            </w:r>
          </w:p>
        </w:tc>
        <w:tc>
          <w:tcPr>
            <w:tcW w:w="720" w:type="dxa"/>
            <w:tcBorders>
              <w:bottom w:val="single" w:sz="12" w:space="0" w:color="auto"/>
            </w:tcBorders>
          </w:tcPr>
          <w:p>
            <w:pPr>
              <w:ind w:right="-29"/>
              <w:jc w:val="center"/>
              <w:rPr>
                <w:noProof/>
                <w:sz w:val="18"/>
                <w:szCs w:val="18"/>
                <w:highlight w:val="yellow"/>
              </w:rPr>
            </w:pPr>
            <w:r>
              <w:rPr>
                <w:noProof/>
                <w:sz w:val="18"/>
              </w:rPr>
              <w:t>267</w:t>
            </w:r>
          </w:p>
        </w:tc>
        <w:tc>
          <w:tcPr>
            <w:tcW w:w="720" w:type="dxa"/>
            <w:gridSpan w:val="2"/>
            <w:tcBorders>
              <w:bottom w:val="single" w:sz="12" w:space="0" w:color="auto"/>
            </w:tcBorders>
          </w:tcPr>
          <w:p>
            <w:pPr>
              <w:ind w:right="-29"/>
              <w:jc w:val="center"/>
              <w:rPr>
                <w:noProof/>
                <w:sz w:val="18"/>
                <w:szCs w:val="18"/>
              </w:rPr>
            </w:pPr>
            <w:r>
              <w:rPr>
                <w:noProof/>
                <w:sz w:val="18"/>
              </w:rPr>
              <w:t>46,617</w:t>
            </w:r>
          </w:p>
        </w:tc>
        <w:tc>
          <w:tcPr>
            <w:tcW w:w="90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rPr>
            </w:pPr>
            <w:r>
              <w:rPr>
                <w:noProof/>
                <w:sz w:val="18"/>
              </w:rPr>
              <w:t>746</w:t>
            </w:r>
          </w:p>
        </w:tc>
        <w:tc>
          <w:tcPr>
            <w:tcW w:w="910" w:type="dxa"/>
            <w:gridSpan w:val="2"/>
            <w:tcBorders>
              <w:bottom w:val="single" w:sz="12" w:space="0" w:color="auto"/>
            </w:tcBorders>
          </w:tcPr>
          <w:p>
            <w:pPr>
              <w:ind w:right="-29"/>
              <w:jc w:val="center"/>
              <w:rPr>
                <w:noProof/>
                <w:sz w:val="18"/>
                <w:szCs w:val="18"/>
              </w:rPr>
            </w:pPr>
            <w:r>
              <w:rPr>
                <w:noProof/>
                <w:sz w:val="18"/>
              </w:rPr>
              <w:t>127,252</w:t>
            </w:r>
          </w:p>
        </w:tc>
      </w:tr>
      <w:tr>
        <w:trPr>
          <w:gridAfter w:val="1"/>
          <w:wAfter w:w="7" w:type="dxa"/>
          <w:jc w:val="center"/>
        </w:trPr>
        <w:tc>
          <w:tcPr>
            <w:tcW w:w="14071" w:type="dxa"/>
            <w:gridSpan w:val="26"/>
            <w:vAlign w:val="center"/>
          </w:tcPr>
          <w:p>
            <w:pPr>
              <w:spacing w:before="60" w:after="60"/>
              <w:ind w:right="-29"/>
              <w:jc w:val="center"/>
              <w:rPr>
                <w:noProof/>
                <w:sz w:val="18"/>
                <w:szCs w:val="18"/>
              </w:rPr>
            </w:pPr>
            <w:r>
              <w:rPr>
                <w:noProof/>
                <w:sz w:val="18"/>
              </w:rPr>
              <w:t xml:space="preserve">POSEBNI CILJ br. 2 </w:t>
            </w:r>
          </w:p>
          <w:p>
            <w:pPr>
              <w:spacing w:before="60" w:after="60"/>
              <w:ind w:right="-29"/>
              <w:jc w:val="center"/>
              <w:rPr>
                <w:noProof/>
                <w:sz w:val="18"/>
                <w:szCs w:val="18"/>
              </w:rPr>
            </w:pPr>
            <w:r>
              <w:rPr>
                <w:noProof/>
                <w:sz w:val="18"/>
              </w:rPr>
              <w:t>Provođenje novih načina izrade europske statistike čiji je cilj povećanje učinkovitosti i unapređenje kvalitete.</w:t>
            </w:r>
          </w:p>
        </w:tc>
      </w:tr>
      <w:tr>
        <w:trPr>
          <w:trHeight w:hRule="exact" w:val="497"/>
          <w:jc w:val="center"/>
        </w:trPr>
        <w:tc>
          <w:tcPr>
            <w:tcW w:w="1417" w:type="dxa"/>
            <w:gridSpan w:val="2"/>
          </w:tcPr>
          <w:p>
            <w:pPr>
              <w:ind w:right="-29"/>
              <w:jc w:val="center"/>
              <w:rPr>
                <w:noProof/>
                <w:sz w:val="18"/>
                <w:szCs w:val="18"/>
              </w:rPr>
            </w:pPr>
            <w:r>
              <w:rPr>
                <w:noProof/>
                <w:sz w:val="18"/>
              </w:rPr>
              <w:t>- Rezultat</w:t>
            </w:r>
          </w:p>
        </w:tc>
        <w:tc>
          <w:tcPr>
            <w:tcW w:w="880" w:type="dxa"/>
          </w:tcPr>
          <w:p>
            <w:pPr>
              <w:ind w:right="-29"/>
              <w:jc w:val="center"/>
              <w:rPr>
                <w:noProof/>
                <w:sz w:val="18"/>
                <w:szCs w:val="18"/>
              </w:rPr>
            </w:pPr>
            <w:r>
              <w:rPr>
                <w:noProof/>
                <w:sz w:val="16"/>
              </w:rPr>
              <w:t>Statističke aktivnosti</w:t>
            </w:r>
          </w:p>
        </w:tc>
        <w:tc>
          <w:tcPr>
            <w:tcW w:w="661" w:type="dxa"/>
            <w:gridSpan w:val="3"/>
          </w:tcPr>
          <w:p>
            <w:pPr>
              <w:ind w:right="-29"/>
              <w:jc w:val="center"/>
              <w:rPr>
                <w:noProof/>
                <w:sz w:val="18"/>
                <w:szCs w:val="18"/>
              </w:rPr>
            </w:pPr>
            <w:r>
              <w:rPr>
                <w:noProof/>
                <w:sz w:val="18"/>
              </w:rPr>
              <w:t>0,387</w:t>
            </w:r>
          </w:p>
        </w:tc>
        <w:tc>
          <w:tcPr>
            <w:tcW w:w="663" w:type="dxa"/>
          </w:tcPr>
          <w:p>
            <w:pPr>
              <w:ind w:right="-29"/>
              <w:jc w:val="center"/>
              <w:rPr>
                <w:noProof/>
                <w:sz w:val="18"/>
                <w:szCs w:val="18"/>
                <w:highlight w:val="yellow"/>
              </w:rPr>
            </w:pPr>
            <w:r>
              <w:rPr>
                <w:noProof/>
                <w:sz w:val="18"/>
              </w:rPr>
              <w:t>60</w:t>
            </w:r>
          </w:p>
        </w:tc>
        <w:tc>
          <w:tcPr>
            <w:tcW w:w="811" w:type="dxa"/>
          </w:tcPr>
          <w:p>
            <w:pPr>
              <w:ind w:right="-29"/>
              <w:jc w:val="center"/>
              <w:rPr>
                <w:noProof/>
                <w:sz w:val="18"/>
                <w:szCs w:val="18"/>
              </w:rPr>
            </w:pPr>
            <w:r>
              <w:rPr>
                <w:noProof/>
                <w:sz w:val="18"/>
              </w:rPr>
              <w:t>22,504</w:t>
            </w:r>
          </w:p>
        </w:tc>
        <w:tc>
          <w:tcPr>
            <w:tcW w:w="636" w:type="dxa"/>
          </w:tcPr>
          <w:p>
            <w:pPr>
              <w:ind w:right="-29"/>
              <w:jc w:val="center"/>
              <w:rPr>
                <w:noProof/>
                <w:sz w:val="18"/>
                <w:szCs w:val="18"/>
                <w:highlight w:val="yellow"/>
              </w:rPr>
            </w:pPr>
            <w:r>
              <w:rPr>
                <w:noProof/>
                <w:sz w:val="18"/>
              </w:rPr>
              <w:t>68</w:t>
            </w:r>
          </w:p>
        </w:tc>
        <w:tc>
          <w:tcPr>
            <w:tcW w:w="720" w:type="dxa"/>
            <w:gridSpan w:val="2"/>
          </w:tcPr>
          <w:p>
            <w:pPr>
              <w:ind w:right="-29"/>
              <w:jc w:val="center"/>
              <w:rPr>
                <w:noProof/>
                <w:sz w:val="18"/>
                <w:szCs w:val="18"/>
              </w:rPr>
            </w:pPr>
            <w:r>
              <w:rPr>
                <w:noProof/>
                <w:sz w:val="18"/>
              </w:rPr>
              <w:t>26,482</w:t>
            </w:r>
          </w:p>
        </w:tc>
        <w:tc>
          <w:tcPr>
            <w:tcW w:w="720" w:type="dxa"/>
          </w:tcPr>
          <w:p>
            <w:pPr>
              <w:ind w:right="-29"/>
              <w:jc w:val="center"/>
              <w:rPr>
                <w:noProof/>
                <w:sz w:val="18"/>
                <w:szCs w:val="18"/>
                <w:highlight w:val="yellow"/>
              </w:rPr>
            </w:pPr>
            <w:r>
              <w:rPr>
                <w:noProof/>
                <w:sz w:val="18"/>
              </w:rPr>
              <w:t>69</w:t>
            </w:r>
          </w:p>
        </w:tc>
        <w:tc>
          <w:tcPr>
            <w:tcW w:w="720" w:type="dxa"/>
            <w:gridSpan w:val="2"/>
          </w:tcPr>
          <w:p>
            <w:pPr>
              <w:ind w:right="-29"/>
              <w:jc w:val="center"/>
              <w:rPr>
                <w:noProof/>
                <w:sz w:val="18"/>
                <w:szCs w:val="18"/>
              </w:rPr>
            </w:pPr>
            <w:r>
              <w:rPr>
                <w:noProof/>
                <w:sz w:val="18"/>
              </w:rPr>
              <w:t>27,260</w:t>
            </w:r>
          </w:p>
        </w:tc>
        <w:tc>
          <w:tcPr>
            <w:tcW w:w="900" w:type="dxa"/>
            <w:gridSpan w:val="2"/>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09" w:type="dxa"/>
          </w:tcPr>
          <w:p>
            <w:pPr>
              <w:ind w:right="-29"/>
              <w:jc w:val="center"/>
              <w:rPr>
                <w:noProof/>
                <w:sz w:val="18"/>
                <w:szCs w:val="18"/>
                <w:highlight w:val="yellow"/>
              </w:rPr>
            </w:pPr>
          </w:p>
        </w:tc>
        <w:tc>
          <w:tcPr>
            <w:tcW w:w="371" w:type="dxa"/>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rPr>
              <w:t>197</w:t>
            </w:r>
          </w:p>
        </w:tc>
        <w:tc>
          <w:tcPr>
            <w:tcW w:w="910" w:type="dxa"/>
            <w:gridSpan w:val="2"/>
          </w:tcPr>
          <w:p>
            <w:pPr>
              <w:ind w:right="-29"/>
              <w:jc w:val="center"/>
              <w:rPr>
                <w:noProof/>
                <w:sz w:val="18"/>
                <w:szCs w:val="18"/>
              </w:rPr>
            </w:pPr>
            <w:r>
              <w:rPr>
                <w:noProof/>
                <w:sz w:val="18"/>
              </w:rPr>
              <w:t>76,246</w:t>
            </w:r>
          </w:p>
        </w:tc>
      </w:tr>
      <w:tr>
        <w:trPr>
          <w:jc w:val="center"/>
        </w:trPr>
        <w:tc>
          <w:tcPr>
            <w:tcW w:w="2297" w:type="dxa"/>
            <w:gridSpan w:val="3"/>
            <w:tcBorders>
              <w:bottom w:val="single" w:sz="12" w:space="0" w:color="auto"/>
            </w:tcBorders>
            <w:vAlign w:val="center"/>
          </w:tcPr>
          <w:p>
            <w:pPr>
              <w:jc w:val="center"/>
              <w:rPr>
                <w:noProof/>
                <w:sz w:val="18"/>
                <w:szCs w:val="18"/>
              </w:rPr>
            </w:pPr>
            <w:r>
              <w:rPr>
                <w:noProof/>
                <w:sz w:val="18"/>
              </w:rPr>
              <w:t>Međuzbroj za posebni cilj br. 2</w:t>
            </w:r>
          </w:p>
        </w:tc>
        <w:tc>
          <w:tcPr>
            <w:tcW w:w="661" w:type="dxa"/>
            <w:gridSpan w:val="3"/>
            <w:tcBorders>
              <w:bottom w:val="single" w:sz="12" w:space="0" w:color="auto"/>
            </w:tcBorders>
          </w:tcPr>
          <w:p>
            <w:pPr>
              <w:ind w:right="-29"/>
              <w:jc w:val="center"/>
              <w:rPr>
                <w:noProof/>
                <w:sz w:val="18"/>
                <w:szCs w:val="18"/>
              </w:rPr>
            </w:pPr>
            <w:r>
              <w:rPr>
                <w:noProof/>
                <w:sz w:val="18"/>
              </w:rPr>
              <w:t>0,387</w:t>
            </w:r>
          </w:p>
        </w:tc>
        <w:tc>
          <w:tcPr>
            <w:tcW w:w="663" w:type="dxa"/>
            <w:tcBorders>
              <w:bottom w:val="single" w:sz="12" w:space="0" w:color="auto"/>
            </w:tcBorders>
          </w:tcPr>
          <w:p>
            <w:pPr>
              <w:ind w:right="-29"/>
              <w:jc w:val="center"/>
              <w:rPr>
                <w:noProof/>
                <w:sz w:val="18"/>
                <w:szCs w:val="18"/>
                <w:highlight w:val="yellow"/>
              </w:rPr>
            </w:pPr>
            <w:r>
              <w:rPr>
                <w:noProof/>
                <w:sz w:val="18"/>
              </w:rPr>
              <w:t>60</w:t>
            </w:r>
          </w:p>
        </w:tc>
        <w:tc>
          <w:tcPr>
            <w:tcW w:w="811" w:type="dxa"/>
            <w:tcBorders>
              <w:bottom w:val="single" w:sz="12" w:space="0" w:color="auto"/>
            </w:tcBorders>
          </w:tcPr>
          <w:p>
            <w:pPr>
              <w:ind w:right="-29"/>
              <w:jc w:val="center"/>
              <w:rPr>
                <w:noProof/>
                <w:sz w:val="18"/>
                <w:szCs w:val="18"/>
              </w:rPr>
            </w:pPr>
            <w:r>
              <w:rPr>
                <w:noProof/>
                <w:sz w:val="18"/>
              </w:rPr>
              <w:t>22,504</w:t>
            </w:r>
          </w:p>
        </w:tc>
        <w:tc>
          <w:tcPr>
            <w:tcW w:w="636" w:type="dxa"/>
            <w:tcBorders>
              <w:bottom w:val="single" w:sz="12" w:space="0" w:color="auto"/>
            </w:tcBorders>
          </w:tcPr>
          <w:p>
            <w:pPr>
              <w:ind w:right="-29"/>
              <w:jc w:val="center"/>
              <w:rPr>
                <w:noProof/>
                <w:sz w:val="18"/>
                <w:szCs w:val="18"/>
                <w:highlight w:val="yellow"/>
              </w:rPr>
            </w:pPr>
            <w:r>
              <w:rPr>
                <w:noProof/>
                <w:sz w:val="18"/>
              </w:rPr>
              <w:t>68</w:t>
            </w:r>
          </w:p>
        </w:tc>
        <w:tc>
          <w:tcPr>
            <w:tcW w:w="720" w:type="dxa"/>
            <w:gridSpan w:val="2"/>
            <w:tcBorders>
              <w:bottom w:val="single" w:sz="12" w:space="0" w:color="auto"/>
            </w:tcBorders>
          </w:tcPr>
          <w:p>
            <w:pPr>
              <w:ind w:right="-29"/>
              <w:jc w:val="center"/>
              <w:rPr>
                <w:noProof/>
                <w:sz w:val="18"/>
                <w:szCs w:val="18"/>
              </w:rPr>
            </w:pPr>
            <w:r>
              <w:rPr>
                <w:noProof/>
                <w:sz w:val="18"/>
              </w:rPr>
              <w:t>26,482</w:t>
            </w:r>
          </w:p>
        </w:tc>
        <w:tc>
          <w:tcPr>
            <w:tcW w:w="720" w:type="dxa"/>
            <w:tcBorders>
              <w:bottom w:val="single" w:sz="12" w:space="0" w:color="auto"/>
            </w:tcBorders>
          </w:tcPr>
          <w:p>
            <w:pPr>
              <w:ind w:right="-29"/>
              <w:jc w:val="center"/>
              <w:rPr>
                <w:noProof/>
                <w:sz w:val="18"/>
                <w:szCs w:val="18"/>
                <w:highlight w:val="yellow"/>
              </w:rPr>
            </w:pPr>
            <w:r>
              <w:rPr>
                <w:noProof/>
                <w:sz w:val="18"/>
              </w:rPr>
              <w:t>69</w:t>
            </w:r>
          </w:p>
        </w:tc>
        <w:tc>
          <w:tcPr>
            <w:tcW w:w="720" w:type="dxa"/>
            <w:gridSpan w:val="2"/>
            <w:tcBorders>
              <w:bottom w:val="single" w:sz="12" w:space="0" w:color="auto"/>
            </w:tcBorders>
          </w:tcPr>
          <w:p>
            <w:pPr>
              <w:ind w:right="-29"/>
              <w:jc w:val="center"/>
              <w:rPr>
                <w:noProof/>
                <w:sz w:val="18"/>
                <w:szCs w:val="18"/>
              </w:rPr>
            </w:pPr>
            <w:r>
              <w:rPr>
                <w:noProof/>
                <w:sz w:val="18"/>
              </w:rPr>
              <w:t>27,260</w:t>
            </w:r>
          </w:p>
        </w:tc>
        <w:tc>
          <w:tcPr>
            <w:tcW w:w="884" w:type="dxa"/>
            <w:tcBorders>
              <w:bottom w:val="single" w:sz="12" w:space="0" w:color="auto"/>
            </w:tcBorders>
          </w:tcPr>
          <w:p>
            <w:pPr>
              <w:ind w:right="-29"/>
              <w:jc w:val="center"/>
              <w:rPr>
                <w:noProof/>
                <w:sz w:val="18"/>
                <w:szCs w:val="18"/>
                <w:highlight w:val="yellow"/>
              </w:rPr>
            </w:pPr>
          </w:p>
        </w:tc>
        <w:tc>
          <w:tcPr>
            <w:tcW w:w="736" w:type="dxa"/>
            <w:gridSpan w:val="2"/>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197</w:t>
            </w:r>
          </w:p>
        </w:tc>
        <w:tc>
          <w:tcPr>
            <w:tcW w:w="910" w:type="dxa"/>
            <w:gridSpan w:val="2"/>
            <w:tcBorders>
              <w:bottom w:val="single" w:sz="12" w:space="0" w:color="auto"/>
            </w:tcBorders>
          </w:tcPr>
          <w:p>
            <w:pPr>
              <w:ind w:right="-29"/>
              <w:jc w:val="center"/>
              <w:rPr>
                <w:noProof/>
                <w:sz w:val="18"/>
                <w:szCs w:val="18"/>
              </w:rPr>
            </w:pPr>
            <w:r>
              <w:rPr>
                <w:noProof/>
                <w:sz w:val="18"/>
              </w:rPr>
              <w:t>76,246</w:t>
            </w:r>
          </w:p>
        </w:tc>
      </w:tr>
      <w:tr>
        <w:trPr>
          <w:gridAfter w:val="1"/>
          <w:wAfter w:w="7" w:type="dxa"/>
          <w:jc w:val="center"/>
        </w:trPr>
        <w:tc>
          <w:tcPr>
            <w:tcW w:w="14071" w:type="dxa"/>
            <w:gridSpan w:val="26"/>
            <w:tcBorders>
              <w:bottom w:val="single" w:sz="12" w:space="0" w:color="auto"/>
            </w:tcBorders>
            <w:vAlign w:val="center"/>
          </w:tcPr>
          <w:p>
            <w:pPr>
              <w:spacing w:before="60" w:after="60"/>
              <w:ind w:right="-29"/>
              <w:jc w:val="center"/>
              <w:rPr>
                <w:noProof/>
                <w:sz w:val="18"/>
                <w:szCs w:val="18"/>
              </w:rPr>
            </w:pPr>
            <w:r>
              <w:rPr>
                <w:noProof/>
                <w:sz w:val="18"/>
              </w:rPr>
              <w:t>POSEBNI CILJ br. 3</w:t>
            </w:r>
          </w:p>
          <w:p>
            <w:pPr>
              <w:ind w:right="-29"/>
              <w:jc w:val="center"/>
              <w:rPr>
                <w:noProof/>
                <w:sz w:val="18"/>
                <w:szCs w:val="18"/>
              </w:rPr>
            </w:pPr>
            <w:r>
              <w:rPr>
                <w:noProof/>
                <w:sz w:val="18"/>
              </w:rPr>
              <w:t>Jačanje partnerstva u okviru i izvan ESS-a radi daljnjeg jačanja njegove produktivnosti i njegove vodeće uloge u službenoj statistici diljem svijeta</w:t>
            </w:r>
          </w:p>
        </w:tc>
      </w:tr>
      <w:tr>
        <w:trPr>
          <w:trHeight w:val="481"/>
          <w:jc w:val="center"/>
        </w:trPr>
        <w:tc>
          <w:tcPr>
            <w:tcW w:w="1315"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Rezultat</w:t>
            </w:r>
            <w:r>
              <w:rPr>
                <w:noProof/>
                <w:sz w:val="16"/>
              </w:rPr>
              <w:t xml:space="preserve"> </w:t>
            </w:r>
          </w:p>
        </w:tc>
        <w:tc>
          <w:tcPr>
            <w:tcW w:w="982" w:type="dxa"/>
            <w:gridSpan w:val="2"/>
            <w:tcBorders>
              <w:top w:val="single" w:sz="12" w:space="0" w:color="auto"/>
              <w:left w:val="single" w:sz="4" w:space="0" w:color="auto"/>
              <w:bottom w:val="single" w:sz="12" w:space="0" w:color="auto"/>
            </w:tcBorders>
          </w:tcPr>
          <w:p>
            <w:pPr>
              <w:ind w:right="-29"/>
              <w:jc w:val="center"/>
              <w:rPr>
                <w:noProof/>
                <w:sz w:val="18"/>
                <w:szCs w:val="18"/>
              </w:rPr>
            </w:pPr>
            <w:r>
              <w:rPr>
                <w:noProof/>
                <w:sz w:val="16"/>
              </w:rPr>
              <w:t>Statističke aktivnosti</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Međuzbroj za posebni cilj br. 3</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UKUPNO</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0,204</w:t>
            </w:r>
          </w:p>
        </w:tc>
        <w:tc>
          <w:tcPr>
            <w:tcW w:w="6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303</w:t>
            </w:r>
          </w:p>
        </w:tc>
        <w:tc>
          <w:tcPr>
            <w:tcW w:w="81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59,475</w:t>
            </w:r>
          </w:p>
        </w:tc>
        <w:tc>
          <w:tcPr>
            <w:tcW w:w="636"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73,245</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364</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75,486</w:t>
            </w:r>
          </w:p>
        </w:tc>
        <w:tc>
          <w:tcPr>
            <w:tcW w:w="90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r>
              <w:rPr>
                <w:b/>
                <w:noProof/>
                <w:sz w:val="18"/>
              </w:rPr>
              <w:t>1027</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highlight w:val="yellow"/>
              </w:rPr>
            </w:pPr>
            <w:r>
              <w:rPr>
                <w:b/>
                <w:noProof/>
                <w:sz w:val="18"/>
              </w:rPr>
              <w:t>208,206</w:t>
            </w: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Procijenjeni utjecaj na odobrena administrativna sredstva</w:t>
      </w:r>
    </w:p>
    <w:p>
      <w:pPr>
        <w:pStyle w:val="ManualHeading4"/>
        <w:rPr>
          <w:noProof/>
        </w:rPr>
      </w:pPr>
      <w:r>
        <w:t>3.2.3.1.</w:t>
      </w:r>
      <w:r>
        <w:tab/>
      </w:r>
      <w:r>
        <w:rPr>
          <w:noProof/>
        </w:rPr>
        <w:t xml:space="preserve">Sažetak </w:t>
      </w:r>
    </w:p>
    <w:p>
      <w:pPr>
        <w:pStyle w:val="ListDash1"/>
        <w:rPr>
          <w:noProof/>
        </w:rPr>
      </w:pPr>
      <w:r>
        <w:rPr>
          <w:noProof/>
        </w:rPr>
        <w:sym w:font="Wingdings" w:char="F0A8"/>
      </w:r>
      <w:r>
        <w:rPr>
          <w:noProof/>
        </w:rPr>
        <w:tab/>
        <w:t xml:space="preserve">Za prijedlog/inicijativu nisu potrebna odobrena administrativna sredstva </w:t>
      </w:r>
    </w:p>
    <w:p>
      <w:pPr>
        <w:pStyle w:val="ListDash1"/>
        <w:rPr>
          <w:noProof/>
        </w:rPr>
      </w:pPr>
      <w:r>
        <w:rPr>
          <w:noProof/>
          <w:sz w:val="22"/>
        </w:rPr>
        <w:sym w:font="Wingdings" w:char="F0FD"/>
      </w:r>
      <w:r>
        <w:rPr>
          <w:noProof/>
        </w:rPr>
        <w:tab/>
        <w:t>Za prijedlog/inicijativu potrebna su sljedeća odobrena administrativna sredstva:</w:t>
      </w:r>
    </w:p>
    <w:p>
      <w:pPr>
        <w:rPr>
          <w:noProof/>
          <w:sz w:val="20"/>
        </w:rPr>
      </w:pPr>
      <w:r>
        <w:rPr>
          <w:noProof/>
          <w:sz w:val="20"/>
        </w:rPr>
        <w:t>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 xml:space="preserve">2018. </w:t>
            </w:r>
            <w:r>
              <w:rPr>
                <w:rStyle w:val="FootnoteReference"/>
                <w:b/>
                <w:noProof/>
                <w:sz w:val="16"/>
              </w:rPr>
              <w:footnoteReference w:id="29"/>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 VFO-a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6"/>
              </w:rPr>
              <w:t>88,904</w:t>
            </w:r>
          </w:p>
        </w:tc>
        <w:tc>
          <w:tcPr>
            <w:tcW w:w="1080" w:type="dxa"/>
            <w:vAlign w:val="center"/>
          </w:tcPr>
          <w:p>
            <w:pPr>
              <w:spacing w:before="60" w:after="60" w:line="200" w:lineRule="exact"/>
              <w:jc w:val="right"/>
              <w:rPr>
                <w:noProof/>
                <w:sz w:val="16"/>
                <w:szCs w:val="16"/>
              </w:rPr>
            </w:pPr>
            <w:r>
              <w:rPr>
                <w:noProof/>
                <w:sz w:val="16"/>
              </w:rPr>
              <w:t>87,148</w:t>
            </w:r>
          </w:p>
        </w:tc>
        <w:tc>
          <w:tcPr>
            <w:tcW w:w="1080" w:type="dxa"/>
            <w:vAlign w:val="center"/>
          </w:tcPr>
          <w:p>
            <w:pPr>
              <w:spacing w:before="60" w:after="60" w:line="200" w:lineRule="exact"/>
              <w:jc w:val="right"/>
              <w:rPr>
                <w:noProof/>
                <w:sz w:val="16"/>
                <w:szCs w:val="16"/>
              </w:rPr>
            </w:pPr>
            <w:r>
              <w:rPr>
                <w:noProof/>
                <w:sz w:val="16"/>
              </w:rPr>
              <w:t>85,392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261,444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9,870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Ukupno iz NASLOVA 5. VFO-a </w:t>
            </w:r>
          </w:p>
        </w:tc>
        <w:tc>
          <w:tcPr>
            <w:tcW w:w="1080" w:type="dxa"/>
            <w:vAlign w:val="center"/>
          </w:tcPr>
          <w:p>
            <w:pPr>
              <w:spacing w:before="60" w:after="60" w:line="200" w:lineRule="exact"/>
              <w:jc w:val="right"/>
              <w:rPr>
                <w:noProof/>
                <w:sz w:val="16"/>
                <w:szCs w:val="16"/>
              </w:rPr>
            </w:pPr>
            <w:r>
              <w:rPr>
                <w:noProof/>
                <w:sz w:val="16"/>
              </w:rPr>
              <w:t>92,194</w:t>
            </w:r>
          </w:p>
        </w:tc>
        <w:tc>
          <w:tcPr>
            <w:tcW w:w="1080" w:type="dxa"/>
            <w:vAlign w:val="center"/>
          </w:tcPr>
          <w:p>
            <w:pPr>
              <w:spacing w:before="60" w:after="60" w:line="200" w:lineRule="exact"/>
              <w:jc w:val="right"/>
              <w:rPr>
                <w:noProof/>
                <w:sz w:val="16"/>
                <w:szCs w:val="16"/>
              </w:rPr>
            </w:pPr>
            <w:r>
              <w:rPr>
                <w:noProof/>
                <w:sz w:val="16"/>
              </w:rPr>
              <w:t>90,438</w:t>
            </w:r>
          </w:p>
        </w:tc>
        <w:tc>
          <w:tcPr>
            <w:tcW w:w="1080" w:type="dxa"/>
            <w:vAlign w:val="center"/>
          </w:tcPr>
          <w:p>
            <w:pPr>
              <w:spacing w:before="60" w:after="60" w:line="200" w:lineRule="exact"/>
              <w:jc w:val="right"/>
              <w:rPr>
                <w:noProof/>
                <w:sz w:val="16"/>
                <w:szCs w:val="16"/>
              </w:rPr>
            </w:pPr>
            <w:r>
              <w:rPr>
                <w:noProof/>
                <w:sz w:val="16"/>
              </w:rPr>
              <w:t>88,682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271,314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Izvan NASLOVA 5. VFO-a</w:t>
            </w:r>
            <w:r>
              <w:rPr>
                <w:rStyle w:val="FootnoteReference"/>
                <w:b/>
                <w:noProof/>
                <w:sz w:val="16"/>
              </w:rPr>
              <w:footnoteReference w:id="30"/>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6"/>
              </w:rPr>
              <w:t>2,584</w:t>
            </w:r>
          </w:p>
        </w:tc>
        <w:tc>
          <w:tcPr>
            <w:tcW w:w="1080" w:type="dxa"/>
            <w:vAlign w:val="center"/>
          </w:tcPr>
          <w:p>
            <w:pPr>
              <w:spacing w:before="60" w:after="60" w:line="200" w:lineRule="exact"/>
              <w:jc w:val="right"/>
              <w:rPr>
                <w:noProof/>
                <w:sz w:val="16"/>
                <w:szCs w:val="16"/>
              </w:rPr>
            </w:pPr>
            <w:r>
              <w:rPr>
                <w:noProof/>
                <w:sz w:val="16"/>
              </w:rPr>
              <w:t>2,650</w:t>
            </w:r>
          </w:p>
        </w:tc>
        <w:tc>
          <w:tcPr>
            <w:tcW w:w="1080" w:type="dxa"/>
            <w:vAlign w:val="center"/>
          </w:tcPr>
          <w:p>
            <w:pPr>
              <w:spacing w:before="60" w:after="60" w:line="200" w:lineRule="exact"/>
              <w:jc w:val="right"/>
              <w:rPr>
                <w:noProof/>
                <w:sz w:val="16"/>
                <w:szCs w:val="16"/>
              </w:rPr>
            </w:pPr>
            <w:r>
              <w:rPr>
                <w:noProof/>
                <w:sz w:val="16"/>
              </w:rPr>
              <w:t>2,718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7,952</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Ostali</w:t>
            </w:r>
            <w:r>
              <w:rPr>
                <w:noProof/>
                <w:sz w:val="22"/>
              </w:rPr>
              <w:br/>
            </w:r>
            <w:r>
              <w:rPr>
                <w:noProof/>
                <w:sz w:val="16"/>
              </w:rPr>
              <w:t>administrativni rashodi</w:t>
            </w:r>
          </w:p>
        </w:tc>
        <w:tc>
          <w:tcPr>
            <w:tcW w:w="1080" w:type="dxa"/>
            <w:vAlign w:val="center"/>
          </w:tcPr>
          <w:p>
            <w:pPr>
              <w:spacing w:before="60" w:after="60" w:line="200" w:lineRule="exact"/>
              <w:jc w:val="right"/>
              <w:rPr>
                <w:noProof/>
                <w:sz w:val="16"/>
                <w:szCs w:val="16"/>
              </w:rPr>
            </w:pPr>
            <w:r>
              <w:rPr>
                <w:noProof/>
                <w:sz w:val="16"/>
              </w:rPr>
              <w:t>0,646</w:t>
            </w:r>
          </w:p>
        </w:tc>
        <w:tc>
          <w:tcPr>
            <w:tcW w:w="1080" w:type="dxa"/>
            <w:vAlign w:val="center"/>
          </w:tcPr>
          <w:p>
            <w:pPr>
              <w:spacing w:before="60" w:after="60" w:line="200" w:lineRule="exact"/>
              <w:jc w:val="right"/>
              <w:rPr>
                <w:noProof/>
                <w:sz w:val="16"/>
                <w:szCs w:val="16"/>
              </w:rPr>
            </w:pPr>
            <w:r>
              <w:rPr>
                <w:noProof/>
                <w:sz w:val="16"/>
              </w:rPr>
              <w:t>0,663</w:t>
            </w:r>
          </w:p>
        </w:tc>
        <w:tc>
          <w:tcPr>
            <w:tcW w:w="1080" w:type="dxa"/>
            <w:vAlign w:val="center"/>
          </w:tcPr>
          <w:p>
            <w:pPr>
              <w:spacing w:before="60" w:after="60" w:line="200" w:lineRule="exact"/>
              <w:jc w:val="right"/>
              <w:rPr>
                <w:noProof/>
                <w:sz w:val="16"/>
                <w:szCs w:val="16"/>
              </w:rPr>
            </w:pPr>
            <w:r>
              <w:rPr>
                <w:noProof/>
                <w:sz w:val="16"/>
              </w:rPr>
              <w:t>0,679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1,988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 VFO-a</w:t>
            </w:r>
          </w:p>
        </w:tc>
        <w:tc>
          <w:tcPr>
            <w:tcW w:w="1080" w:type="dxa"/>
            <w:vAlign w:val="center"/>
          </w:tcPr>
          <w:p>
            <w:pPr>
              <w:spacing w:before="60" w:after="60" w:line="200" w:lineRule="exact"/>
              <w:jc w:val="right"/>
              <w:rPr>
                <w:noProof/>
                <w:sz w:val="16"/>
                <w:szCs w:val="16"/>
              </w:rPr>
            </w:pPr>
            <w:r>
              <w:rPr>
                <w:noProof/>
                <w:sz w:val="16"/>
              </w:rPr>
              <w:t>3,230</w:t>
            </w:r>
          </w:p>
        </w:tc>
        <w:tc>
          <w:tcPr>
            <w:tcW w:w="1080" w:type="dxa"/>
            <w:vAlign w:val="center"/>
          </w:tcPr>
          <w:p>
            <w:pPr>
              <w:spacing w:before="60" w:after="60" w:line="200" w:lineRule="exact"/>
              <w:jc w:val="right"/>
              <w:rPr>
                <w:noProof/>
                <w:sz w:val="16"/>
                <w:szCs w:val="16"/>
              </w:rPr>
            </w:pPr>
            <w:r>
              <w:rPr>
                <w:noProof/>
                <w:sz w:val="16"/>
              </w:rPr>
              <w:t>3,313</w:t>
            </w:r>
          </w:p>
        </w:tc>
        <w:tc>
          <w:tcPr>
            <w:tcW w:w="1080" w:type="dxa"/>
            <w:vAlign w:val="center"/>
          </w:tcPr>
          <w:p>
            <w:pPr>
              <w:spacing w:before="60" w:after="60" w:line="200" w:lineRule="exact"/>
              <w:jc w:val="right"/>
              <w:rPr>
                <w:noProof/>
                <w:sz w:val="16"/>
                <w:szCs w:val="16"/>
              </w:rPr>
            </w:pPr>
            <w:r>
              <w:rPr>
                <w:noProof/>
                <w:sz w:val="16"/>
              </w:rPr>
              <w:t>3,397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9,940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95,424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93,751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92,079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281,254</w:t>
            </w:r>
          </w:p>
        </w:tc>
      </w:tr>
    </w:tbl>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r>
        <w:rPr>
          <w:noProof/>
        </w:rPr>
        <w:tab/>
      </w:r>
      <w:r>
        <w:rPr>
          <w:noProof/>
          <w:sz w:val="18"/>
        </w:rPr>
        <w:t xml:space="preserve"> </w:t>
      </w:r>
    </w:p>
    <w:p>
      <w:pPr>
        <w:pStyle w:val="ManualHeading4"/>
        <w:rPr>
          <w:bCs/>
          <w:noProof/>
          <w:szCs w:val="24"/>
        </w:rPr>
      </w:pPr>
      <w:r>
        <w:t>3.2.3.2.</w:t>
      </w:r>
      <w:r>
        <w:tab/>
      </w:r>
      <w:r>
        <w:rPr>
          <w:noProof/>
        </w:rPr>
        <w:t>Procijenjene potrebe u pogledu ljudskih resursa</w:t>
      </w:r>
    </w:p>
    <w:p>
      <w:pPr>
        <w:pStyle w:val="ListDash1"/>
        <w:rPr>
          <w:noProof/>
        </w:rPr>
      </w:pPr>
      <w:r>
        <w:rPr>
          <w:noProof/>
        </w:rPr>
        <w:sym w:font="Wingdings" w:char="F0A8"/>
      </w:r>
      <w:r>
        <w:rPr>
          <w:noProof/>
        </w:rPr>
        <w:tab/>
        <w:t xml:space="preserve">Za prijedlog/inicijativu nije potrebno korištenje ljudskih potencijala. </w:t>
      </w:r>
    </w:p>
    <w:p>
      <w:pPr>
        <w:pStyle w:val="ListDash1"/>
        <w:rPr>
          <w:noProof/>
        </w:rPr>
      </w:pPr>
      <w:r>
        <w:rPr>
          <w:noProof/>
          <w:sz w:val="22"/>
        </w:rPr>
        <w:sym w:font="Wingdings" w:char="F0FD"/>
      </w:r>
      <w:r>
        <w:rPr>
          <w:noProof/>
        </w:rPr>
        <w:tab/>
        <w:t>Za prijedlog/inicijativu potrebni su ljudski resursi kako je navedeno u nastavku:</w:t>
      </w:r>
    </w:p>
    <w:p>
      <w:pPr>
        <w:spacing w:after="60"/>
        <w:jc w:val="right"/>
        <w:rPr>
          <w:i/>
          <w:noProof/>
          <w:sz w:val="20"/>
        </w:rPr>
      </w:pPr>
      <w:r>
        <w:rPr>
          <w:i/>
          <w:noProof/>
          <w:sz w:val="20"/>
        </w:rPr>
        <w:t>Procjenu navesti u ekvivalentima punog radnog vremena</w:t>
      </w:r>
    </w:p>
    <w:tbl>
      <w:tblPr>
        <w:tblW w:w="0" w:type="auto"/>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99"/>
        <w:gridCol w:w="2082"/>
        <w:gridCol w:w="897"/>
        <w:gridCol w:w="788"/>
        <w:gridCol w:w="805"/>
        <w:gridCol w:w="1726"/>
        <w:gridCol w:w="1726"/>
        <w:gridCol w:w="1726"/>
      </w:tblGrid>
      <w:tr>
        <w:trPr>
          <w:trHeight w:val="289"/>
          <w:jc w:val="center"/>
        </w:trPr>
        <w:tc>
          <w:tcPr>
            <w:tcW w:w="0" w:type="auto"/>
            <w:gridSpan w:val="2"/>
            <w:shd w:val="clear" w:color="auto" w:fill="auto"/>
          </w:tcPr>
          <w:p>
            <w:pPr>
              <w:pStyle w:val="Text1"/>
              <w:spacing w:before="40" w:after="40"/>
              <w:ind w:left="0"/>
              <w:jc w:val="center"/>
              <w:rPr>
                <w:i/>
                <w:noProof/>
                <w:sz w:val="16"/>
                <w:szCs w:val="16"/>
              </w:rPr>
            </w:pPr>
          </w:p>
        </w:tc>
        <w:tc>
          <w:tcPr>
            <w:tcW w:w="784" w:type="dxa"/>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2018.</w:t>
            </w:r>
          </w:p>
        </w:tc>
        <w:tc>
          <w:tcPr>
            <w:tcW w:w="674" w:type="dxa"/>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2019.</w:t>
            </w:r>
          </w:p>
        </w:tc>
        <w:tc>
          <w:tcPr>
            <w:tcW w:w="703" w:type="dxa"/>
            <w:shd w:val="clear" w:color="auto" w:fill="auto"/>
            <w:vAlign w:val="center"/>
          </w:tcPr>
          <w:p>
            <w:pPr>
              <w:spacing w:before="20" w:after="20"/>
              <w:jc w:val="center"/>
              <w:rPr>
                <w:noProof/>
                <w:sz w:val="16"/>
                <w:szCs w:val="16"/>
              </w:rPr>
            </w:pPr>
            <w:r>
              <w:rPr>
                <w:noProof/>
                <w:sz w:val="16"/>
              </w:rPr>
              <w:t xml:space="preserve">Godina </w:t>
            </w:r>
            <w:r>
              <w:rPr>
                <w:b/>
                <w:noProof/>
                <w:sz w:val="16"/>
              </w:rPr>
              <w:t>2020.</w:t>
            </w:r>
          </w:p>
        </w:tc>
        <w:tc>
          <w:tcPr>
            <w:tcW w:w="0" w:type="auto"/>
            <w:gridSpan w:val="3"/>
            <w:shd w:val="clear" w:color="auto" w:fill="auto"/>
            <w:vAlign w:val="center"/>
          </w:tcPr>
          <w:p>
            <w:pPr>
              <w:jc w:val="center"/>
              <w:rPr>
                <w:b/>
                <w:noProof/>
                <w:sz w:val="16"/>
                <w:szCs w:val="16"/>
              </w:rPr>
            </w:pPr>
            <w:r>
              <w:rPr>
                <w:noProof/>
                <w:sz w:val="16"/>
              </w:rPr>
              <w:t>Unijeti onoliko godina koliko je potrebno za prikaz trajanja utjecaja (vidi točku 1.6.)</w:t>
            </w:r>
          </w:p>
        </w:tc>
      </w:tr>
      <w:tr>
        <w:trPr>
          <w:trHeight w:val="289"/>
          <w:jc w:val="center"/>
        </w:trPr>
        <w:tc>
          <w:tcPr>
            <w:tcW w:w="0" w:type="auto"/>
            <w:gridSpan w:val="5"/>
            <w:shd w:val="clear" w:color="auto" w:fill="auto"/>
          </w:tcPr>
          <w:p>
            <w:pPr>
              <w:spacing w:before="20" w:after="20"/>
              <w:rPr>
                <w:noProof/>
                <w:sz w:val="16"/>
                <w:szCs w:val="16"/>
              </w:rPr>
            </w:pPr>
            <w:r>
              <w:rPr>
                <w:b/>
                <w:noProof/>
                <w:sz w:val="16"/>
              </w:rPr>
              <w:sym w:font="Wingdings" w:char="F09F"/>
            </w:r>
            <w:r>
              <w:rPr>
                <w:b/>
                <w:noProof/>
                <w:sz w:val="16"/>
              </w:rPr>
              <w:t>Radna mjesta prema planu radnih mjesta (dužnosnici i privremeni djelatnici)</w:t>
            </w:r>
          </w:p>
        </w:tc>
        <w:tc>
          <w:tcPr>
            <w:tcW w:w="0" w:type="auto"/>
            <w:gridSpan w:val="3"/>
            <w:shd w:val="clear" w:color="auto" w:fill="auto"/>
            <w:vAlign w:val="center"/>
          </w:tcPr>
          <w:p>
            <w:pPr>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rPr>
                <w:b/>
                <w:noProof/>
                <w:sz w:val="16"/>
                <w:szCs w:val="16"/>
              </w:rPr>
            </w:pPr>
            <w:r>
              <w:rPr>
                <w:noProof/>
                <w:sz w:val="16"/>
              </w:rPr>
              <w:t>29 01 01 01 (Sjedište i predstavništva Komisije)</w:t>
            </w:r>
          </w:p>
        </w:tc>
        <w:tc>
          <w:tcPr>
            <w:tcW w:w="784" w:type="dxa"/>
            <w:shd w:val="clear" w:color="auto" w:fill="auto"/>
            <w:vAlign w:val="center"/>
          </w:tcPr>
          <w:p>
            <w:pPr>
              <w:spacing w:beforeLines="20" w:before="48" w:afterLines="20" w:after="48"/>
              <w:jc w:val="center"/>
              <w:rPr>
                <w:noProof/>
                <w:sz w:val="16"/>
                <w:szCs w:val="16"/>
              </w:rPr>
            </w:pPr>
            <w:r>
              <w:rPr>
                <w:noProof/>
                <w:sz w:val="16"/>
              </w:rPr>
              <w:t>605</w:t>
            </w:r>
          </w:p>
        </w:tc>
        <w:tc>
          <w:tcPr>
            <w:tcW w:w="674" w:type="dxa"/>
            <w:shd w:val="clear" w:color="auto" w:fill="auto"/>
            <w:vAlign w:val="center"/>
          </w:tcPr>
          <w:p>
            <w:pPr>
              <w:spacing w:beforeLines="20" w:before="48" w:afterLines="20" w:after="48"/>
              <w:jc w:val="center"/>
              <w:rPr>
                <w:noProof/>
                <w:sz w:val="16"/>
                <w:szCs w:val="16"/>
              </w:rPr>
            </w:pPr>
            <w:r>
              <w:rPr>
                <w:noProof/>
                <w:sz w:val="16"/>
              </w:rPr>
              <w:t>593</w:t>
            </w:r>
          </w:p>
        </w:tc>
        <w:tc>
          <w:tcPr>
            <w:tcW w:w="703" w:type="dxa"/>
            <w:shd w:val="clear" w:color="auto" w:fill="auto"/>
            <w:vAlign w:val="center"/>
          </w:tcPr>
          <w:p>
            <w:pPr>
              <w:spacing w:beforeLines="20" w:before="48" w:afterLines="20" w:after="48"/>
              <w:jc w:val="center"/>
              <w:rPr>
                <w:noProof/>
                <w:sz w:val="16"/>
                <w:szCs w:val="16"/>
              </w:rPr>
            </w:pPr>
            <w:r>
              <w:rPr>
                <w:noProof/>
                <w:sz w:val="16"/>
              </w:rPr>
              <w:t>581</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(Izravna istraživanja)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784" w:type="dxa"/>
            <w:shd w:val="clear" w:color="auto" w:fill="auto"/>
            <w:vAlign w:val="center"/>
          </w:tcPr>
          <w:p>
            <w:pPr>
              <w:spacing w:beforeLines="20" w:before="48" w:afterLines="20" w:after="48"/>
              <w:jc w:val="center"/>
              <w:rPr>
                <w:noProof/>
                <w:sz w:val="16"/>
                <w:szCs w:val="16"/>
              </w:rPr>
            </w:pPr>
            <w:r>
              <w:rPr>
                <w:noProof/>
                <w:sz w:val="16"/>
              </w:rPr>
              <w:t>104,6</w:t>
            </w:r>
          </w:p>
        </w:tc>
        <w:tc>
          <w:tcPr>
            <w:tcW w:w="674" w:type="dxa"/>
            <w:shd w:val="clear" w:color="auto" w:fill="auto"/>
            <w:vAlign w:val="center"/>
          </w:tcPr>
          <w:p>
            <w:pPr>
              <w:spacing w:beforeLines="20" w:before="48" w:afterLines="20" w:after="48"/>
              <w:jc w:val="center"/>
              <w:rPr>
                <w:noProof/>
                <w:sz w:val="16"/>
                <w:szCs w:val="16"/>
              </w:rPr>
            </w:pPr>
            <w:r>
              <w:rPr>
                <w:noProof/>
                <w:sz w:val="16"/>
              </w:rPr>
              <w:t>102,6</w:t>
            </w:r>
          </w:p>
        </w:tc>
        <w:tc>
          <w:tcPr>
            <w:tcW w:w="703" w:type="dxa"/>
            <w:shd w:val="clear" w:color="auto" w:fill="auto"/>
            <w:vAlign w:val="center"/>
          </w:tcPr>
          <w:p>
            <w:pPr>
              <w:spacing w:beforeLines="20" w:before="48" w:afterLines="20" w:after="48"/>
              <w:jc w:val="center"/>
              <w:rPr>
                <w:noProof/>
                <w:sz w:val="16"/>
                <w:szCs w:val="16"/>
              </w:rPr>
            </w:pPr>
            <w:r>
              <w:rPr>
                <w:noProof/>
                <w:sz w:val="16"/>
              </w:rPr>
              <w:t>100,6</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b/>
                <w:i/>
                <w:noProof/>
                <w:sz w:val="16"/>
              </w:rPr>
              <w:t xml:space="preserve"> </w:t>
            </w:r>
            <w:r>
              <w:rPr>
                <w:rStyle w:val="FootnoteReference"/>
                <w:b/>
                <w:i/>
                <w:noProof/>
                <w:sz w:val="16"/>
              </w:rPr>
              <w:footnoteReference w:id="31"/>
            </w: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shd w:val="clear" w:color="auto" w:fill="auto"/>
            <w:vAlign w:val="center"/>
          </w:tcPr>
          <w:p>
            <w:pPr>
              <w:pStyle w:val="Text1"/>
              <w:spacing w:beforeLines="20" w:before="48" w:afterLines="20" w:after="48"/>
              <w:ind w:left="136"/>
              <w:jc w:val="left"/>
              <w:rPr>
                <w:b/>
                <w:noProof/>
                <w:sz w:val="16"/>
                <w:szCs w:val="16"/>
              </w:rPr>
            </w:pP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UsO - neizravna istraživanja)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UsO – izravna istraživanja)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 29 01 04 01</w:t>
            </w:r>
          </w:p>
        </w:tc>
        <w:tc>
          <w:tcPr>
            <w:tcW w:w="78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67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703"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78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748,6</w:t>
            </w:r>
          </w:p>
        </w:tc>
        <w:tc>
          <w:tcPr>
            <w:tcW w:w="67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734,6</w:t>
            </w:r>
          </w:p>
        </w:tc>
        <w:tc>
          <w:tcPr>
            <w:tcW w:w="703"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720,6</w:t>
            </w: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se odnosi na odgovarajuće područje politike ili glavu proračuna.</w:t>
      </w:r>
    </w:p>
    <w:p>
      <w:pPr>
        <w:pStyle w:val="Text1"/>
        <w:rPr>
          <w:noProof/>
          <w:sz w:val="18"/>
          <w:szCs w:val="18"/>
        </w:rPr>
      </w:pPr>
      <w:r>
        <w:rPr>
          <w:noProof/>
          <w:sz w:val="18"/>
        </w:rPr>
        <w:t>Potrebna odobrena sredstva za ljudske resurse pokrit će se odobrenim sredstvima koja su već namijenjena upravljanju djelovanjem i/ili koja su preraspodijeljena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 koje treba obaviti:</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Zadaće koje će se obavljati uključuju većinom metodološke poslove s jedne strane i, s druge strane, prikupljanje, provjeru, obradu i diseminaciju statističkih podataka povezanih s područjima utvrđenima u uredbama koje se primjenjuju na europsku statistiku. One se odnose i na Eurostatove aktivnosti u okviru ABB-a „Administrativna potpora Eurostatu” i „Politička strategija i koordinacija Eurostata”.</w:t>
            </w:r>
          </w:p>
        </w:tc>
      </w:tr>
      <w:tr>
        <w:tc>
          <w:tcPr>
            <w:tcW w:w="3240" w:type="dxa"/>
          </w:tcPr>
          <w:p>
            <w:pPr>
              <w:spacing w:before="60" w:after="60"/>
              <w:rPr>
                <w:noProof/>
                <w:sz w:val="20"/>
              </w:rPr>
            </w:pPr>
            <w:r>
              <w:rPr>
                <w:noProof/>
                <w:sz w:val="20"/>
              </w:rPr>
              <w:t>Vanjsko osoblje</w:t>
            </w:r>
          </w:p>
        </w:tc>
        <w:tc>
          <w:tcPr>
            <w:tcW w:w="7200" w:type="dxa"/>
          </w:tcPr>
          <w:p>
            <w:pPr>
              <w:rPr>
                <w:noProof/>
                <w:sz w:val="20"/>
              </w:rPr>
            </w:pPr>
            <w:r>
              <w:rPr>
                <w:noProof/>
                <w:sz w:val="20"/>
              </w:rPr>
              <w:t>Podupiranje službenika i privremenog osoblja u izvršavanju navedenih zadaća.</w:t>
            </w: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Usklađenost s postojećim VFO-om </w:t>
      </w:r>
    </w:p>
    <w:p>
      <w:pPr>
        <w:pStyle w:val="ListDash1"/>
        <w:rPr>
          <w:noProof/>
        </w:rPr>
      </w:pPr>
      <w:r>
        <w:rPr>
          <w:noProof/>
        </w:rPr>
        <w:sym w:font="Wingdings" w:char="F0A8"/>
      </w:r>
      <w:r>
        <w:rPr>
          <w:noProof/>
        </w:rPr>
        <w:tab/>
        <w:t>Prijedlog/inicijativa u skladu je s postojećim VFO-om.</w:t>
      </w:r>
    </w:p>
    <w:p>
      <w:pPr>
        <w:pStyle w:val="ListDash1"/>
        <w:rPr>
          <w:noProof/>
        </w:rPr>
      </w:pPr>
      <w:r>
        <w:rPr>
          <w:noProof/>
          <w:sz w:val="22"/>
        </w:rPr>
        <w:sym w:font="Wingdings" w:char="F0FD"/>
      </w:r>
      <w:r>
        <w:rPr>
          <w:noProof/>
        </w:rPr>
        <w:tab/>
        <w:t>Prijedlog/inicijativa povlači za sobom reprogramiranje odgovarajućeg naslova VFO-a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Predlaže se ukupno povećanje od 25,2 milijuna EUR u odnosu na postojeće financijsko programiranje za proračunsku stavku 29 02 01 za razdoblje od 2018. do 2020. To će povećanje ionako biti u skladu s općim gornjim granicama Naslova 1a predviđenima u višegodišnjem financijskom okviru za razdoblje 2014. – 2020.</w:t>
      </w:r>
    </w:p>
    <w:p>
      <w:pPr>
        <w:pStyle w:val="ListDash1"/>
        <w:rPr>
          <w:noProof/>
        </w:rPr>
      </w:pPr>
      <w:r>
        <w:rPr>
          <w:noProof/>
        </w:rPr>
        <w:sym w:font="Wingdings" w:char="F0A8"/>
      </w:r>
      <w:r>
        <w:rPr>
          <w:noProof/>
        </w:rPr>
        <w:tab/>
        <w:t>Za prijedlog/inicijativu potrebna je primjena instrumenta za financijsku fleksibilnost ili revizija VFO-a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naslove,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Doprinosi trećih osoba </w:t>
      </w:r>
    </w:p>
    <w:p>
      <w:pPr>
        <w:pStyle w:val="ListDash1"/>
        <w:rPr>
          <w:noProof/>
        </w:rPr>
      </w:pPr>
      <w:r>
        <w:rPr>
          <w:noProof/>
        </w:rPr>
        <w:sym w:font="Wingdings" w:char="F0A8"/>
      </w:r>
      <w:r>
        <w:rPr>
          <w:noProof/>
        </w:rPr>
        <w:t xml:space="preserve"> Prijedlogom/inicijativom ne predviđa se sufinanciranje trećih osoba. </w:t>
      </w:r>
    </w:p>
    <w:p>
      <w:pPr>
        <w:pStyle w:val="ListDash1"/>
        <w:rPr>
          <w:noProof/>
        </w:rPr>
      </w:pPr>
      <w:r>
        <w:rPr>
          <w:noProof/>
          <w:sz w:val="22"/>
        </w:rPr>
        <w:sym w:font="Wingdings" w:char="F0FD"/>
      </w:r>
      <w:r>
        <w:rPr>
          <w:noProof/>
        </w:rPr>
        <w:t xml:space="preserve"> Prijedlogom/inicijativom predviđa se sufinanciranje prema sljedećoj procjeni:</w:t>
      </w:r>
    </w:p>
    <w:p>
      <w:pPr>
        <w:jc w:val="right"/>
        <w:rPr>
          <w:noProof/>
          <w:sz w:val="20"/>
        </w:rPr>
      </w:pPr>
      <w:r>
        <w:rPr>
          <w:noProof/>
          <w:sz w:val="20"/>
        </w:rPr>
        <w:t>Odobrena sredstva u milijunima EUR (do tri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2018.</w:t>
            </w:r>
          </w:p>
        </w:tc>
        <w:tc>
          <w:tcPr>
            <w:tcW w:w="964" w:type="dxa"/>
            <w:vAlign w:val="center"/>
          </w:tcPr>
          <w:p>
            <w:pPr>
              <w:jc w:val="center"/>
              <w:rPr>
                <w:noProof/>
                <w:sz w:val="20"/>
              </w:rPr>
            </w:pPr>
            <w:r>
              <w:rPr>
                <w:noProof/>
                <w:sz w:val="20"/>
              </w:rPr>
              <w:t>Godina</w:t>
            </w:r>
            <w:r>
              <w:rPr>
                <w:noProof/>
                <w:sz w:val="22"/>
              </w:rPr>
              <w:br/>
            </w:r>
            <w:r>
              <w:rPr>
                <w:b/>
                <w:noProof/>
                <w:sz w:val="20"/>
              </w:rPr>
              <w:t>2019.</w:t>
            </w:r>
          </w:p>
        </w:tc>
        <w:tc>
          <w:tcPr>
            <w:tcW w:w="964" w:type="dxa"/>
            <w:vAlign w:val="center"/>
          </w:tcPr>
          <w:p>
            <w:pPr>
              <w:jc w:val="center"/>
              <w:rPr>
                <w:noProof/>
                <w:sz w:val="20"/>
              </w:rPr>
            </w:pPr>
            <w:r>
              <w:rPr>
                <w:noProof/>
                <w:sz w:val="20"/>
              </w:rPr>
              <w:t>Godina</w:t>
            </w:r>
            <w:r>
              <w:rPr>
                <w:noProof/>
                <w:sz w:val="22"/>
              </w:rPr>
              <w:br/>
            </w:r>
            <w:r>
              <w:rPr>
                <w:b/>
                <w:noProof/>
                <w:sz w:val="20"/>
              </w:rPr>
              <w:t>2020.</w:t>
            </w:r>
          </w:p>
        </w:tc>
        <w:tc>
          <w:tcPr>
            <w:tcW w:w="964" w:type="dxa"/>
            <w:vAlign w:val="center"/>
          </w:tcPr>
          <w:p>
            <w:pPr>
              <w:jc w:val="center"/>
              <w:rPr>
                <w:noProof/>
                <w:sz w:val="20"/>
              </w:rPr>
            </w:pPr>
          </w:p>
        </w:tc>
        <w:tc>
          <w:tcPr>
            <w:tcW w:w="2892" w:type="dxa"/>
            <w:gridSpan w:val="3"/>
            <w:vAlign w:val="center"/>
          </w:tcPr>
          <w:p>
            <w:pPr>
              <w:jc w:val="center"/>
              <w:rPr>
                <w:b/>
                <w:noProof/>
                <w:sz w:val="20"/>
              </w:rPr>
            </w:pPr>
            <w:r>
              <w:rPr>
                <w:noProof/>
                <w:sz w:val="20"/>
              </w:rPr>
              <w:t>Unijeti onoliko godina koliko je potrebno za prikaz trajanja utjecaja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sz w:val="22"/>
              </w:rPr>
            </w:pPr>
            <w:r>
              <w:rPr>
                <w:noProof/>
                <w:sz w:val="20"/>
              </w:rPr>
              <w:t>Doprinosi zaprimljeni od Švicarske Konfederacije</w:t>
            </w:r>
            <w:r>
              <w:rPr>
                <w:i/>
                <w:noProof/>
                <w:sz w:val="20"/>
              </w:rPr>
              <w:t xml:space="preserve">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r>
        <w:trPr>
          <w:cantSplit/>
        </w:trPr>
        <w:tc>
          <w:tcPr>
            <w:tcW w:w="2340" w:type="dxa"/>
          </w:tcPr>
          <w:p>
            <w:pPr>
              <w:spacing w:before="60" w:after="60"/>
              <w:jc w:val="left"/>
              <w:rPr>
                <w:noProof/>
                <w:sz w:val="20"/>
              </w:rPr>
            </w:pPr>
            <w:r>
              <w:rPr>
                <w:noProof/>
                <w:sz w:val="20"/>
              </w:rPr>
              <w:t xml:space="preserve">UKUPNA odobrena sredstva sufinanciranja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bl>
    <w:p>
      <w:pPr>
        <w:rPr>
          <w:noProof/>
          <w:szCs w:val="24"/>
        </w:rPr>
      </w:pPr>
      <w:r>
        <w:rPr>
          <w:noProof/>
        </w:rPr>
        <w:br w:type="page"/>
        <w:t xml:space="preserve">Procijenjeni utjecaj na prihode </w:t>
      </w:r>
    </w:p>
    <w:p>
      <w:pPr>
        <w:pStyle w:val="ListDash1"/>
        <w:rPr>
          <w:noProof/>
        </w:rPr>
      </w:pPr>
      <w:r>
        <w:rPr>
          <w:noProof/>
          <w:sz w:val="22"/>
        </w:rPr>
        <w:sym w:font="Wingdings" w:char="F0FD"/>
      </w:r>
      <w:r>
        <w:rPr>
          <w:noProof/>
        </w:rPr>
        <w:tab/>
        <w:t>Prijedlog/inicijativa nema financijski utjecaj na prihode.</w:t>
      </w:r>
    </w:p>
    <w:p>
      <w:pPr>
        <w:pStyle w:val="ListDash1"/>
        <w:rPr>
          <w:noProof/>
        </w:rPr>
      </w:pPr>
      <w:r>
        <w:rPr>
          <w:noProof/>
        </w:rPr>
        <w:sym w:font="Wingdings" w:char="F0A8"/>
      </w:r>
      <w:r>
        <w:rPr>
          <w:noProof/>
        </w:rPr>
        <w:tab/>
        <w:t>Prijedlog/inicijativa ima sljedeći financijski utjecaj:</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A8"/>
      </w:r>
      <w:r>
        <w:rPr>
          <w:noProof/>
        </w:rPr>
        <w:tab/>
        <w:t xml:space="preserve">na razne prihode </w:t>
      </w:r>
    </w:p>
    <w:p>
      <w:pPr>
        <w:jc w:val="right"/>
        <w:rPr>
          <w:i/>
          <w:noProof/>
          <w:sz w:val="20"/>
        </w:rPr>
      </w:pPr>
      <w:r>
        <w:rPr>
          <w:noProof/>
        </w:rPr>
        <w:t>u milijunima EUR (do tri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35"/>
        <w:gridCol w:w="1080"/>
        <w:gridCol w:w="900"/>
        <w:gridCol w:w="900"/>
        <w:gridCol w:w="1080"/>
        <w:gridCol w:w="1080"/>
        <w:gridCol w:w="1080"/>
        <w:gridCol w:w="1080"/>
      </w:tblGrid>
      <w:tr>
        <w:trPr>
          <w:trHeight w:val="388"/>
        </w:trPr>
        <w:tc>
          <w:tcPr>
            <w:tcW w:w="1985" w:type="dxa"/>
            <w:vMerge w:val="restart"/>
            <w:vAlign w:val="center"/>
          </w:tcPr>
          <w:p>
            <w:pPr>
              <w:spacing w:before="40" w:after="40"/>
              <w:rPr>
                <w:noProof/>
                <w:sz w:val="18"/>
              </w:rPr>
            </w:pPr>
            <w:r>
              <w:rPr>
                <w:noProof/>
                <w:sz w:val="18"/>
              </w:rPr>
              <w:t>Proračunska linija u okviru prihoda:</w:t>
            </w:r>
          </w:p>
        </w:tc>
        <w:tc>
          <w:tcPr>
            <w:tcW w:w="1435"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32"/>
            </w:r>
          </w:p>
        </w:tc>
      </w:tr>
      <w:tr>
        <w:trPr>
          <w:trHeight w:val="388"/>
        </w:trPr>
        <w:tc>
          <w:tcPr>
            <w:tcW w:w="1985" w:type="dxa"/>
            <w:vMerge/>
          </w:tcPr>
          <w:p>
            <w:pPr>
              <w:spacing w:before="40" w:after="40"/>
              <w:rPr>
                <w:noProof/>
                <w:sz w:val="18"/>
              </w:rPr>
            </w:pPr>
          </w:p>
        </w:tc>
        <w:tc>
          <w:tcPr>
            <w:tcW w:w="1435"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1985" w:type="dxa"/>
            <w:vAlign w:val="center"/>
          </w:tcPr>
          <w:p>
            <w:pPr>
              <w:spacing w:before="40" w:after="40"/>
              <w:rPr>
                <w:noProof/>
                <w:sz w:val="18"/>
              </w:rPr>
            </w:pPr>
            <w:r>
              <w:rPr>
                <w:noProof/>
                <w:sz w:val="18"/>
              </w:rPr>
              <w:t>Članak ….</w:t>
            </w:r>
          </w:p>
        </w:tc>
        <w:tc>
          <w:tcPr>
            <w:tcW w:w="1435"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izračunavanja utjecaja na prihode.</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426" w:hanging="426"/>
        <w:rPr>
          <w:rStyle w:val="FootnoteReference"/>
        </w:rPr>
      </w:pPr>
      <w:r>
        <w:rPr>
          <w:rStyle w:val="FootnoteReference"/>
        </w:rPr>
        <w:footnoteRef/>
      </w:r>
      <w:r>
        <w:tab/>
      </w:r>
      <w:r>
        <w:rPr>
          <w:rStyle w:val="Hyperlink"/>
          <w:color w:val="auto"/>
          <w:u w:val="none"/>
        </w:rPr>
        <w:t>Pravni okvir za razvoj, izradu i diseminaciju europskih statistika propisan je u Uredbi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31.3.2009., str. 164.).</w:t>
      </w:r>
    </w:p>
  </w:footnote>
  <w:footnote w:id="2">
    <w:p>
      <w:pPr>
        <w:pStyle w:val="FootnoteText"/>
        <w:ind w:left="426" w:hanging="426"/>
      </w:pPr>
      <w:r>
        <w:rPr>
          <w:rStyle w:val="FootnoteReference"/>
        </w:rPr>
        <w:footnoteRef/>
      </w:r>
      <w:r>
        <w:tab/>
      </w:r>
      <w:r>
        <w:rPr>
          <w:rStyle w:val="Hyperlink"/>
          <w:color w:val="auto"/>
          <w:u w:val="none"/>
        </w:rPr>
        <w:t>https://ec.europa.eu/priorities/sites/beta-political/files/juncker-political-guidelines_en.pdf.</w:t>
      </w:r>
    </w:p>
  </w:footnote>
  <w:footnote w:id="3">
    <w:p>
      <w:pPr>
        <w:pStyle w:val="FootnoteText"/>
        <w:ind w:left="426" w:hanging="426"/>
        <w:rPr>
          <w:lang w:val="pl-PL"/>
        </w:rPr>
      </w:pPr>
      <w:r>
        <w:rPr>
          <w:rStyle w:val="FootnoteReference"/>
        </w:rPr>
        <w:footnoteRef/>
      </w:r>
      <w:r>
        <w:tab/>
      </w:r>
      <w:r>
        <w:rPr>
          <w:rStyle w:val="Hyperlink"/>
          <w:color w:val="auto"/>
          <w:u w:val="none"/>
        </w:rPr>
        <w:t>Odluka Komisije 2012/504/EU o Eurostatu (SL L 251, 18.9.2012., str. 49.)</w:t>
      </w:r>
    </w:p>
  </w:footnote>
  <w:footnote w:id="4">
    <w:p>
      <w:pPr>
        <w:pStyle w:val="FootnoteText"/>
        <w:ind w:left="426" w:hanging="426"/>
      </w:pPr>
      <w:r>
        <w:rPr>
          <w:rStyle w:val="FootnoteReference"/>
        </w:rPr>
        <w:footnoteRef/>
      </w:r>
      <w:r>
        <w:tab/>
      </w:r>
      <w:r>
        <w:rPr>
          <w:rStyle w:val="Hyperlink"/>
          <w:color w:val="auto"/>
          <w:u w:val="none"/>
        </w:rPr>
        <w:t>Uredba (EU) br. 99/2013 Europskog parlamenta i Vijeća od 15. siječnja 2013. o europskome statističkom programu od 2013. do 2017.(SL L 39, 9.2.2013., str. 12.).</w:t>
      </w:r>
    </w:p>
  </w:footnote>
  <w:footnote w:id="5">
    <w:p>
      <w:pPr>
        <w:pStyle w:val="FootnoteText"/>
        <w:ind w:left="426" w:hanging="426"/>
      </w:pPr>
      <w:r>
        <w:rPr>
          <w:rStyle w:val="FootnoteReference"/>
        </w:rPr>
        <w:footnoteRef/>
      </w:r>
      <w:r>
        <w:tab/>
      </w:r>
      <w:r>
        <w:rPr>
          <w:rStyle w:val="Hyperlink"/>
          <w:color w:val="auto"/>
          <w:u w:val="none"/>
        </w:rPr>
        <w:t>Izvješće Komisije Europskom parlamentu i Vijeću o provedbi Europskog statističkog programa od 2013. do 2017., COM(2015.) 309 final, https://ec.europa.eu/transparency/regdoc/rep/1/2015/EN/1-2015-309-EN-F1-1.PDF.</w:t>
      </w:r>
    </w:p>
  </w:footnote>
  <w:footnote w:id="6">
    <w:p>
      <w:pPr>
        <w:pStyle w:val="FootnoteText"/>
        <w:ind w:left="426" w:hanging="426"/>
      </w:pPr>
      <w:r>
        <w:rPr>
          <w:rStyle w:val="FootnoteReference"/>
        </w:rPr>
        <w:footnoteRef/>
      </w:r>
      <w:r>
        <w:tab/>
      </w:r>
      <w:r>
        <w:rPr>
          <w:rStyle w:val="Hyperlink"/>
          <w:color w:val="auto"/>
          <w:u w:val="none"/>
        </w:rPr>
        <w:t>To je obavljeno s pomoću internetske platforme „Vaš glas u Europi” između 23. srpnja i 15. listopada 2015. i objavljeno putem komunikacijskih kanala Eurostata i nacionalnih zavoda za statistiku.</w:t>
      </w:r>
    </w:p>
  </w:footnote>
  <w:footnote w:id="7">
    <w:p>
      <w:pPr>
        <w:pStyle w:val="FootnoteText"/>
        <w:ind w:left="426" w:hanging="426"/>
      </w:pPr>
      <w:r>
        <w:rPr>
          <w:rStyle w:val="FootnoteReference"/>
        </w:rPr>
        <w:footnoteRef/>
      </w:r>
      <w:r>
        <w:tab/>
        <w:t>U skladu s Odlukom br. 234/2008/EZ Europskog parlamenta i Vijeća od 11. ožujka 2008. o osnivanju Europskog savjetodavnog odbora za statistiku i o stavljanju izvan snage Odluke Vijeća 91/116/EEZ (SL L 73, 15.3.2008., str. 13.).</w:t>
      </w:r>
    </w:p>
  </w:footnote>
  <w:footnote w:id="8">
    <w:p>
      <w:pPr>
        <w:pStyle w:val="FootnoteText"/>
        <w:ind w:left="426" w:hanging="426"/>
      </w:pPr>
      <w:r>
        <w:rPr>
          <w:rStyle w:val="FootnoteReference"/>
        </w:rPr>
        <w:footnoteRef/>
      </w:r>
      <w:r>
        <w:tab/>
        <w:t>Radni dokument službi Komisije: procjena učinka uz Prijedlog Uredbe Europskog parlamenta i Vijeća o izmjeni Uredbe (EU) br. 99/2013 o europskome statističkom programu od 2013. do 2017. njegovim produljenjem na razdoblje od 2018. do 2020.</w:t>
      </w:r>
    </w:p>
  </w:footnote>
  <w:footnote w:id="9">
    <w:p>
      <w:pPr>
        <w:pStyle w:val="FootnoteText"/>
        <w:ind w:left="426" w:hanging="426"/>
      </w:pPr>
      <w:r>
        <w:rPr>
          <w:rStyle w:val="FootnoteReference"/>
        </w:rPr>
        <w:footnoteRef/>
      </w:r>
      <w:r>
        <w:tab/>
        <w:t>SL L […], […], str. […].</w:t>
      </w:r>
    </w:p>
  </w:footnote>
  <w:footnote w:id="10">
    <w:p>
      <w:pPr>
        <w:pStyle w:val="FootnoteText"/>
        <w:ind w:left="426" w:hanging="426"/>
      </w:pPr>
      <w:r>
        <w:rPr>
          <w:rStyle w:val="FootnoteReference"/>
        </w:rPr>
        <w:footnoteRef/>
      </w:r>
      <w:r>
        <w:tab/>
        <w:t>SL L […], […], str. […].</w:t>
      </w:r>
    </w:p>
  </w:footnote>
  <w:footnote w:id="11">
    <w:p>
      <w:pPr>
        <w:pStyle w:val="FootnoteText"/>
        <w:ind w:left="426" w:hanging="426"/>
      </w:pPr>
      <w:r>
        <w:rPr>
          <w:rStyle w:val="FootnoteReference"/>
        </w:rPr>
        <w:footnoteRef/>
      </w:r>
      <w:r>
        <w:tab/>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31.3.2009., str. 164.).</w:t>
      </w:r>
    </w:p>
  </w:footnote>
  <w:footnote w:id="12">
    <w:p>
      <w:pPr>
        <w:pStyle w:val="FootnoteText"/>
        <w:ind w:left="426" w:hanging="426"/>
      </w:pPr>
      <w:r>
        <w:rPr>
          <w:rStyle w:val="FootnoteReference"/>
        </w:rPr>
        <w:footnoteRef/>
      </w:r>
      <w:r>
        <w:tab/>
        <w:t>Uredba (EU) br. 99/2013 Europskog parlamenta i Vijeća od 15. siječnja 2013. o europskome statističkom programu od 2013. do 2017.(SL L 39, 9.2.2013., str. 12.).</w:t>
      </w:r>
    </w:p>
  </w:footnote>
  <w:footnote w:id="13">
    <w:p>
      <w:pPr>
        <w:pStyle w:val="FootnoteText"/>
        <w:ind w:left="426" w:hanging="426"/>
      </w:pPr>
      <w:r>
        <w:rPr>
          <w:rStyle w:val="FootnoteReference"/>
        </w:rPr>
        <w:footnoteRef/>
      </w:r>
      <w:r>
        <w:tab/>
        <w:t>Međuinstitucionalni sporazum od 2. prosinca 2013. između Europskog parlamenta, Vijeća i Komisije o proračunskoj disciplini, o suradnji u vezi s proračunskim pitanjima i o dobrom financijskom upravljanju (SL C 373, 20.12.2013., str. 1.).</w:t>
      </w:r>
    </w:p>
  </w:footnote>
  <w:footnote w:id="14">
    <w:p>
      <w:pPr>
        <w:pStyle w:val="FootnoteText"/>
        <w:ind w:left="426" w:hanging="426"/>
      </w:pPr>
      <w:r>
        <w:rPr>
          <w:rStyle w:val="FootnoteReference"/>
        </w:rPr>
        <w:footnoteRef/>
      </w:r>
      <w:r>
        <w:tab/>
        <w:t>Odluka br. 234/2008/EZ Europskog parlamenta i Vijeća od 11. ožujka 2008. o osnivanju Europskog savjetodavnog odbora za statistiku i o stavljanju izvan snage Odluke Vijeća 91/116/EEZ (SL L 73, 15.3.2008., str. 13.).</w:t>
      </w:r>
    </w:p>
  </w:footnote>
  <w:footnote w:id="15">
    <w:p>
      <w:pPr>
        <w:pStyle w:val="FootnoteText"/>
        <w:ind w:left="426" w:hanging="426"/>
      </w:pPr>
      <w:r>
        <w:rPr>
          <w:rStyle w:val="FootnoteReference"/>
        </w:rPr>
        <w:footnoteRef/>
      </w:r>
      <w:r>
        <w:tab/>
        <w:t>Odluka Vijeća 2006/856/EZ od 13. studenoga 2006. o osnivanju Odbora za monetarnu, financijsku i platnobilančnu statistiku (SL L 332, 30.11.2006., str. 21.).</w:t>
      </w:r>
    </w:p>
  </w:footnote>
  <w:footnote w:id="16">
    <w:p>
      <w:pPr>
        <w:pStyle w:val="FootnoteText"/>
        <w:ind w:left="426" w:hanging="426"/>
      </w:pPr>
      <w:r>
        <w:rPr>
          <w:rStyle w:val="FootnoteReference"/>
        </w:rPr>
        <w:footnoteRef/>
      </w:r>
      <w:r>
        <w:tab/>
        <w:t>SL L 248, 18.9.2013, str. 1.</w:t>
      </w:r>
    </w:p>
  </w:footnote>
  <w:footnote w:id="17">
    <w:p>
      <w:pPr>
        <w:pStyle w:val="FootnoteText"/>
        <w:ind w:left="426" w:hanging="426"/>
      </w:pPr>
      <w:r>
        <w:rPr>
          <w:rStyle w:val="FootnoteReference"/>
        </w:rPr>
        <w:footnoteRef/>
      </w:r>
      <w:r>
        <w:tab/>
        <w:t>SL L 292, 15.11.1996, str. 2.</w:t>
      </w:r>
    </w:p>
  </w:footnote>
  <w:footnote w:id="18">
    <w:p>
      <w:pPr>
        <w:pStyle w:val="FootnoteText"/>
        <w:ind w:left="426" w:hanging="426"/>
      </w:pPr>
      <w:r>
        <w:rPr>
          <w:rStyle w:val="FootnoteReference"/>
        </w:rPr>
        <w:footnoteRef/>
      </w:r>
      <w:r>
        <w:tab/>
        <w:t>ABM: upravljanje na temelju djelatnosti; ABB: priprema proračuna na temelju djelatnosti.</w:t>
      </w:r>
    </w:p>
  </w:footnote>
  <w:footnote w:id="19">
    <w:p>
      <w:pPr>
        <w:pStyle w:val="FootnoteText"/>
        <w:ind w:left="426" w:hanging="426"/>
      </w:pPr>
      <w:r>
        <w:rPr>
          <w:rStyle w:val="FootnoteReference"/>
        </w:rPr>
        <w:footnoteRef/>
      </w:r>
      <w:r>
        <w:tab/>
        <w:t>Kako je navedeno u članku 54. stavku 2. točkama (a) ili (b) Financijske uredbe.</w:t>
      </w:r>
    </w:p>
  </w:footnote>
  <w:footnote w:id="20">
    <w:p>
      <w:pPr>
        <w:pStyle w:val="FootnoteText"/>
        <w:ind w:left="426" w:hanging="426"/>
      </w:pPr>
      <w:r>
        <w:rPr>
          <w:rStyle w:val="FootnoteReference"/>
        </w:rPr>
        <w:footnoteRef/>
      </w:r>
      <w:r>
        <w:tab/>
        <w:t>Odluka Komisije (2012/504/EU) od 17. rujna 2012. o Eurostatu (SL L 251, 18.9.2012., str. 49.)</w:t>
      </w:r>
    </w:p>
  </w:footnote>
  <w:footnote w:id="21">
    <w:p>
      <w:pPr>
        <w:pStyle w:val="FootnoteText"/>
        <w:ind w:left="426" w:hanging="426"/>
      </w:pPr>
      <w:r>
        <w:rPr>
          <w:rStyle w:val="FootnoteReference"/>
        </w:rPr>
        <w:footnoteRef/>
      </w:r>
      <w:r>
        <w:tab/>
        <w:t>Dif. = diferencirana odobrena sredstva / nedif. = nediferencirana odobrena sredstva.</w:t>
      </w:r>
    </w:p>
  </w:footnote>
  <w:footnote w:id="22">
    <w:p>
      <w:pPr>
        <w:pStyle w:val="FootnoteText"/>
        <w:ind w:left="426" w:hanging="426"/>
      </w:pPr>
      <w:r>
        <w:rPr>
          <w:rStyle w:val="FootnoteReference"/>
        </w:rPr>
        <w:footnoteRef/>
      </w:r>
      <w:r>
        <w:tab/>
        <w:t xml:space="preserve">EFTA: Europsko udruženje slobodne trgovine </w:t>
      </w:r>
    </w:p>
  </w:footnote>
  <w:footnote w:id="23">
    <w:p>
      <w:pPr>
        <w:pStyle w:val="FootnoteText"/>
        <w:ind w:left="426" w:hanging="426"/>
      </w:pPr>
      <w:r>
        <w:rPr>
          <w:rStyle w:val="FootnoteReference"/>
        </w:rPr>
        <w:footnoteRef/>
      </w:r>
      <w:r>
        <w:tab/>
        <w:t>Zemlje kandidatkinje i, ako je primjenjivo, potencijalne zemlje kandidatkinje sa zapadnog Balkana.</w:t>
      </w:r>
    </w:p>
  </w:footnote>
  <w:footnote w:id="24">
    <w:p>
      <w:pPr>
        <w:pStyle w:val="FootnoteText"/>
        <w:ind w:left="426" w:hanging="426"/>
      </w:pPr>
      <w:r>
        <w:rPr>
          <w:rStyle w:val="FootnoteReference"/>
        </w:rPr>
        <w:footnoteRef/>
      </w:r>
      <w:r>
        <w:tab/>
        <w:t>Godina N je godina početka provedbe prijedloga/inicijative.</w:t>
      </w:r>
    </w:p>
  </w:footnote>
  <w:footnote w:id="25">
    <w:p>
      <w:pPr>
        <w:pStyle w:val="FootnoteText"/>
        <w:ind w:left="426" w:hanging="426"/>
      </w:pPr>
      <w:r>
        <w:rPr>
          <w:rStyle w:val="FootnoteReference"/>
        </w:rPr>
        <w:footnoteRef/>
      </w:r>
      <w:r>
        <w:tab/>
        <w:t>Tehnička i/ili administrativna pomoć i rashodi za potporu provedbi programa i/ili djelovanja EU-a (prijašnje linije „BA”), neizravnih istraživanja i izravnih istraživanja.</w:t>
      </w:r>
    </w:p>
  </w:footnote>
  <w:footnote w:id="26">
    <w:p>
      <w:pPr>
        <w:pStyle w:val="FootnoteText"/>
        <w:ind w:left="426" w:hanging="426"/>
      </w:pPr>
      <w:r>
        <w:rPr>
          <w:rStyle w:val="FootnoteReference"/>
        </w:rPr>
        <w:footnoteRef/>
      </w:r>
      <w:r>
        <w:tab/>
        <w:t>Godina N je godina početka provedbe prijedloga/inicijative.</w:t>
      </w:r>
    </w:p>
  </w:footnote>
  <w:footnote w:id="27">
    <w:p>
      <w:pPr>
        <w:pStyle w:val="FootnoteText"/>
        <w:ind w:left="426" w:hanging="426"/>
      </w:pPr>
      <w:r>
        <w:rPr>
          <w:rStyle w:val="FootnoteReference"/>
        </w:rPr>
        <w:footnoteRef/>
      </w:r>
      <w:r>
        <w:tab/>
        <w:t>Rezultati se odnose na proizvode i usluge koji se isporučuju (npr.: broj financiranih studentskih razmjena, kilometri izgrađenih prometnica itd.).</w:t>
      </w:r>
    </w:p>
  </w:footnote>
  <w:footnote w:id="28">
    <w:p>
      <w:pPr>
        <w:pStyle w:val="FootnoteText"/>
        <w:ind w:left="426" w:hanging="426"/>
      </w:pPr>
      <w:r>
        <w:rPr>
          <w:rStyle w:val="FootnoteReference"/>
        </w:rPr>
        <w:footnoteRef/>
      </w:r>
      <w:r>
        <w:tab/>
        <w:t>Na način opisan u točki 1.4.2. „Posebni cilj/ciljevi…”.</w:t>
      </w:r>
    </w:p>
  </w:footnote>
  <w:footnote w:id="29">
    <w:p>
      <w:pPr>
        <w:pStyle w:val="FootnoteText"/>
        <w:ind w:left="426" w:hanging="426"/>
      </w:pPr>
      <w:r>
        <w:rPr>
          <w:rStyle w:val="FootnoteReference"/>
        </w:rPr>
        <w:footnoteRef/>
      </w:r>
      <w:r>
        <w:tab/>
        <w:t>Godina N je godina početka provedbe prijedloga/inicijative.</w:t>
      </w:r>
    </w:p>
  </w:footnote>
  <w:footnote w:id="30">
    <w:p>
      <w:pPr>
        <w:pStyle w:val="FootnoteText"/>
        <w:ind w:left="426" w:hanging="426"/>
      </w:pPr>
      <w:r>
        <w:rPr>
          <w:rStyle w:val="FootnoteReference"/>
        </w:rPr>
        <w:footnoteRef/>
      </w:r>
      <w:r>
        <w:tab/>
        <w:t>Tehnička i/ili administrativna pomoć i rashodi za potporu provedbi programa i/ili djelovanja EU-a (prijašnje linije „BA”), neizravnih istraživanja i izravnih istraživanja.</w:t>
      </w:r>
    </w:p>
  </w:footnote>
  <w:footnote w:id="31">
    <w:p>
      <w:pPr>
        <w:pStyle w:val="FootnoteText"/>
        <w:ind w:left="426" w:hanging="426"/>
      </w:pPr>
      <w:r>
        <w:rPr>
          <w:rStyle w:val="FootnoteReference"/>
        </w:rPr>
        <w:footnoteRef/>
      </w:r>
      <w:r>
        <w:tab/>
        <w:t>U okviru gornje granice za vanjsko osoblje iz odobrenih sredstava za poslovanje (prijašnje linije „BA”).</w:t>
      </w:r>
    </w:p>
  </w:footnote>
  <w:footnote w:id="32">
    <w:p>
      <w:pPr>
        <w:pStyle w:val="FootnoteText"/>
        <w:ind w:left="426" w:hanging="426"/>
      </w:pPr>
      <w:r>
        <w:rPr>
          <w:rStyle w:val="FootnoteReference"/>
        </w:rPr>
        <w:footnoteRef/>
      </w:r>
      <w:r>
        <w:tab/>
        <w:t>Kad je riječ o tradicionalnim vlastitim sredstvima (carine, pristojbe na šećer) navedeni iznosi moraju biti neto iznosi, tj.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FC9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C22B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BC29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6800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EA44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lvlOverride w:ilvl="0">
      <w:startOverride w:val="1"/>
    </w:lvlOverride>
  </w:num>
  <w:num w:numId="15">
    <w:abstractNumId w:val="24"/>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5: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76AAC1CAF897417B8E2AD92DCD0252AC"/>
    <w:docVar w:name="LW_CROSSREFERENCE" w:val="{SWD(2016) 287 final}_x000b_{SWD(2016) 288 final}"/>
    <w:docVar w:name="LW_DocType" w:val="COM"/>
    <w:docVar w:name="LW_EMISSION" w:val="7.9.2016."/>
    <w:docVar w:name="LW_EMISSION_ISODATE" w:val="2016-09-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i \u352?vicarsku)"/>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65"/>
    <w:docVar w:name="LW_REF.II.NEW.CP_YEAR" w:val="2016"/>
    <w:docVar w:name="LW_REF.INST.NEW" w:val="COM"/>
    <w:docVar w:name="LW_REF.INST.NEW_ADOPTED" w:val="final"/>
    <w:docVar w:name="LW_REF.INST.NEW_TEXT" w:val="(2016) 557"/>
    <w:docVar w:name="LW_REF.INTERNE" w:val="&lt;UNUSED&gt;"/>
    <w:docVar w:name="LW_SOUS.TITRE.OBJ.CP" w:val="&lt;UNUSED&gt;"/>
    <w:docVar w:name="LW_STATUT.CP" w:val="Prijedlog"/>
    <w:docVar w:name="LW_SUPERTITRE" w:val="&lt;UNUSED&gt;"/>
    <w:docVar w:name="LW_TITRE.OBJ.CP" w:val="o izmjeni Uredbe (EU) br. 99/2013 Europskog parlamenta i Vije\u263?a o europskome statisti\u269?kom programu od 2013. do 2017. njegovim produljenjem na razdoblje od 2018. do 2020."/>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hr-HR"/>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hr-HR"/>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AE08-D691-4701-BC04-0D643CAA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36</Pages>
  <Words>9213</Words>
  <Characters>58233</Characters>
  <Application>Microsoft Office Word</Application>
  <DocSecurity>0</DocSecurity>
  <Lines>1764</Lines>
  <Paragraphs>853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66593</CharactersWithSpaces>
  <SharedDoc>false</SharedDoc>
  <HLinks>
    <vt:vector size="18" baseType="variant">
      <vt:variant>
        <vt:i4>7209039</vt:i4>
      </vt:variant>
      <vt:variant>
        <vt:i4>6</vt:i4>
      </vt:variant>
      <vt:variant>
        <vt:i4>0</vt:i4>
      </vt:variant>
      <vt:variant>
        <vt:i4>5</vt:i4>
      </vt:variant>
      <vt:variant>
        <vt:lpwstr>http://www.cc.cec/budg/man/budgmanag/budgmanag_en.html</vt:lpwstr>
      </vt:variant>
      <vt:variant>
        <vt:lpwstr/>
      </vt:variant>
      <vt:variant>
        <vt:i4>6946832</vt:i4>
      </vt:variant>
      <vt:variant>
        <vt:i4>3</vt:i4>
      </vt:variant>
      <vt:variant>
        <vt:i4>0</vt:i4>
      </vt:variant>
      <vt:variant>
        <vt:i4>5</vt:i4>
      </vt:variant>
      <vt:variant>
        <vt:lpwstr>https://myintracomm-collab.ec.europa.eu/dg/ESTAT/DO.U.C.EUR/_layouts/15/DocIdRedir.aspx?ID=UAM7TH3CYF7M-9-83239</vt:lpwstr>
      </vt:variant>
      <vt:variant>
        <vt:lpwstr/>
      </vt:variant>
      <vt:variant>
        <vt:i4>2818101</vt:i4>
      </vt:variant>
      <vt:variant>
        <vt:i4>0</vt:i4>
      </vt:variant>
      <vt:variant>
        <vt:i4>0</vt:i4>
      </vt:variant>
      <vt:variant>
        <vt:i4>5</vt:i4>
      </vt:variant>
      <vt:variant>
        <vt:lpwstr>http://ec.europa.eu/eurostat/about/opportunities/consultations/esp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2016-07-26T09:58:00Z</cp:lastPrinted>
  <dcterms:created xsi:type="dcterms:W3CDTF">2016-09-05T13:54:00Z</dcterms:created>
  <dcterms:modified xsi:type="dcterms:W3CDTF">2016-09-07T10:05:00Z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