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EFA76BC396F4137A6080EB7AED0C9F0" style="width:450.75pt;height:436.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UZASADNIENIE</w:t>
      </w:r>
    </w:p>
    <w:p>
      <w:pPr>
        <w:rPr>
          <w:noProof/>
        </w:rPr>
      </w:pPr>
    </w:p>
    <w:p>
      <w:pPr>
        <w:pStyle w:val="ManualHeading1"/>
        <w:spacing w:before="0" w:after="240"/>
        <w:rPr>
          <w:noProof/>
        </w:rPr>
      </w:pPr>
      <w:r>
        <w:rPr>
          <w:noProof/>
        </w:rPr>
        <w:t>1.</w:t>
      </w:r>
      <w:r>
        <w:rPr>
          <w:noProof/>
        </w:rPr>
        <w:tab/>
        <w:t>KONTEKST WNIOSKU</w:t>
      </w:r>
    </w:p>
    <w:p>
      <w:pPr>
        <w:pStyle w:val="ManualHeading2"/>
        <w:spacing w:before="0" w:after="240"/>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Unia Europejska stoi przed wyzwaniami w wielu obszarach polityki, a zapotrzebowanie na statystyki europejskie</w:t>
      </w:r>
      <w:r>
        <w:rPr>
          <w:rStyle w:val="FootnoteReference"/>
          <w:noProof/>
        </w:rPr>
        <w:footnoteReference w:id="1"/>
      </w:r>
      <w:r>
        <w:rPr>
          <w:noProof/>
        </w:rPr>
        <w:t xml:space="preserve"> jest nieustannie wysokie. Wdrażanie i monitorowanie polityki UE zależy od porównywalnych informacji statystycznych wysokiej jakości na temat sytuacji gospodarczej, społecznej i środowiskowej w UE oraz jej elementów składowych na szczeblu krajowym i regionalnym. Statystyka europejska jest również niezbędna, aby „Europa” mogła być zrozumiała dla ogółu społeczeństwa i aby obywatele mogli uczestniczyć w procesie demokratycznym i debacie na temat teraźniejszości i przyszłości UE.</w:t>
      </w:r>
    </w:p>
    <w:p>
      <w:pPr>
        <w:pBdr>
          <w:top w:val="nil"/>
          <w:left w:val="nil"/>
          <w:bottom w:val="nil"/>
          <w:right w:val="nil"/>
          <w:between w:val="nil"/>
          <w:bar w:val="nil"/>
        </w:pBdr>
        <w:spacing w:before="0" w:after="240"/>
        <w:rPr>
          <w:noProof/>
        </w:rPr>
      </w:pPr>
      <w:r>
        <w:rPr>
          <w:noProof/>
        </w:rPr>
        <w:t>Aby zaspokoić zapotrzebowanie na informacje wynikające z 10 priorytetów politycznych Komisji</w:t>
      </w:r>
      <w:r>
        <w:rPr>
          <w:rStyle w:val="FootnoteReference"/>
          <w:noProof/>
        </w:rPr>
        <w:footnoteReference w:id="2"/>
      </w:r>
      <w:r>
        <w:rPr>
          <w:noProof/>
        </w:rPr>
        <w:t>, należy uzupełnić szereg luk statystycznych wymagających pilnego podjęcia działań. Co więcej, konieczne jest pilne zwiększenie aktualności niektórych statystyk europejskich, aby zapewniały one bardziej aktualne informacje niezbędne w kontekście europejskiego semestru.</w:t>
      </w:r>
    </w:p>
    <w:p>
      <w:pPr>
        <w:pBdr>
          <w:top w:val="nil"/>
          <w:left w:val="nil"/>
          <w:bottom w:val="nil"/>
          <w:right w:val="nil"/>
          <w:between w:val="nil"/>
          <w:bar w:val="nil"/>
        </w:pBdr>
        <w:spacing w:before="0" w:after="240"/>
        <w:rPr>
          <w:noProof/>
        </w:rPr>
      </w:pPr>
      <w:r>
        <w:rPr>
          <w:noProof/>
        </w:rPr>
        <w:t xml:space="preserve">Mimo że krajowe systemy statystyczne podjęły znaczące starania, aby unowocześnić swoje metody tworzenia statystyk przy wsparciu Europejskiego programu statystycznego 2013–2017 (ESP), obecna infrastruktura tworzenia statystyk nie jest wystarczająco elastyczna, by w razie potrzeby zapewnić nowe statystyki, przy jednoczesnym ograniczeniu powiązanych kosztów i obciążeń administracyjnych. Jeżeli zostanie zachowany </w:t>
      </w:r>
      <w:r>
        <w:rPr>
          <w:i/>
          <w:noProof/>
        </w:rPr>
        <w:t>status quo</w:t>
      </w:r>
      <w:r>
        <w:rPr>
          <w:noProof/>
        </w:rPr>
        <w:t>, Europejski System Statystyczny (ESS) nie będzie w stanie zaspokoić rosnącego zapotrzebowania na statystyki ani odpowiedzieć na potrzebę ich szybszego udostępniania, co będzie stanowić zagrożenie dla przydatności statystyk europejskich.</w:t>
      </w:r>
    </w:p>
    <w:p>
      <w:pPr>
        <w:pBdr>
          <w:top w:val="nil"/>
          <w:left w:val="nil"/>
          <w:bottom w:val="nil"/>
          <w:right w:val="nil"/>
          <w:between w:val="nil"/>
          <w:bar w:val="nil"/>
        </w:pBdr>
        <w:spacing w:before="0"/>
        <w:rPr>
          <w:noProof/>
        </w:rPr>
      </w:pPr>
      <w:r>
        <w:rPr>
          <w:noProof/>
        </w:rPr>
        <w:t>W związku z powyższym celem wniosku jest przedłużenie ESP na lata 2018–2020 oraz zapewnienie wsparcia finansowego, którego ESS potrzebuje, aby móc:</w:t>
      </w:r>
    </w:p>
    <w:p>
      <w:pPr>
        <w:pStyle w:val="Tiret0"/>
        <w:numPr>
          <w:ilvl w:val="0"/>
          <w:numId w:val="13"/>
        </w:numPr>
        <w:tabs>
          <w:tab w:val="clear" w:pos="850"/>
        </w:tabs>
        <w:spacing w:before="0"/>
        <w:ind w:left="709" w:hanging="425"/>
        <w:rPr>
          <w:noProof/>
        </w:rPr>
      </w:pPr>
      <w:r>
        <w:rPr>
          <w:noProof/>
        </w:rPr>
        <w:t>zapewniać wysokiej jakości informacje statystyczne oraz wypełnić luki statystyczne, które należy zlikwidować jak najszybciej, kładąc nacisk na szereg obszarów priorytetowych odzwierciedlających 10 politycznych priorytetów Komisji;</w:t>
      </w:r>
    </w:p>
    <w:p>
      <w:pPr>
        <w:pStyle w:val="Tiret0"/>
        <w:tabs>
          <w:tab w:val="clear" w:pos="850"/>
        </w:tabs>
        <w:spacing w:before="0"/>
        <w:ind w:left="709" w:hanging="425"/>
        <w:rPr>
          <w:noProof/>
        </w:rPr>
      </w:pPr>
      <w:r>
        <w:rPr>
          <w:noProof/>
        </w:rPr>
        <w:t>tworzyć stałą zdolność niezbędną, aby szybciej odpowiadać na pojawiające się potrzeby oraz dostosowywać infrastrukturę statystyczną w celu wykorzystania potencjału nowych źródeł danych; oraz</w:t>
      </w:r>
    </w:p>
    <w:p>
      <w:pPr>
        <w:pStyle w:val="Tiret0"/>
        <w:tabs>
          <w:tab w:val="clear" w:pos="850"/>
        </w:tabs>
        <w:spacing w:before="0" w:after="240"/>
        <w:ind w:left="709" w:hanging="425"/>
        <w:rPr>
          <w:noProof/>
        </w:rPr>
      </w:pPr>
      <w:r>
        <w:rPr>
          <w:noProof/>
        </w:rPr>
        <w:t>umacniać partnerstwo wewnątrz ESS i poza nim w celu dalszego zwiększania jego wydajności i wzmacniania jego wiodącej roli w statystyce publicznej na świecie.</w:t>
      </w:r>
    </w:p>
    <w:p>
      <w:pPr>
        <w:pBdr>
          <w:top w:val="nil"/>
          <w:left w:val="nil"/>
          <w:bottom w:val="nil"/>
          <w:right w:val="nil"/>
          <w:between w:val="nil"/>
          <w:bar w:val="nil"/>
        </w:pBdr>
        <w:spacing w:before="0" w:after="240"/>
        <w:rPr>
          <w:noProof/>
        </w:rPr>
      </w:pPr>
      <w:r>
        <w:rPr>
          <w:noProof/>
        </w:rPr>
        <w:lastRenderedPageBreak/>
        <w:t>Strony, na które niniejszy wniosek wywrze najbardziej bezpośredni wpływ, to użytkownicy statystyk (np. decydenci, media, badacze), producenci statystyk (krajowe urzędy statystyczne (KUS) i inne organy krajowe), a także respondenci (gospodarstwa domowe i przedsiębiorstwa).</w:t>
      </w:r>
    </w:p>
    <w:p>
      <w:pPr>
        <w:pBdr>
          <w:top w:val="nil"/>
          <w:left w:val="nil"/>
          <w:bottom w:val="nil"/>
          <w:right w:val="nil"/>
          <w:between w:val="nil"/>
          <w:bar w:val="nil"/>
        </w:pBdr>
        <w:spacing w:before="0" w:after="240"/>
        <w:rPr>
          <w:noProof/>
        </w:rPr>
      </w:pPr>
      <w:r>
        <w:rPr>
          <w:noProof/>
        </w:rPr>
        <w:t>Ponieważ ESP to inicjatywa horyzontalna, nie stanowi on części programu sprawności i wydajności regulacyjnej (REFIT) Komisji.</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 xml:space="preserve">Artykuł 13 rozporządzenia (WE) nr 223/2009 w sprawie statystyki europejskiej stanowi, że „Europejski program statystyczny zapewnia ramy w zakresie opracowywania, tworzenia i rozpowszechniania statystyki europejskiej, wyznaczając główne dziedziny i cele przewidywanych działań na okres odpowiadający okresowi wieloletnich ram finansowych”. ESP wyznacza ramy i określa priorytety w zakresie statystyki europejskiej na czas trwania programu, a także określa budżet na pokrycie tego okresu. Roczne programy prac Eurostatu są oparte na wieloletnim ESP. Obecny ESP, ustanowiony w rozporządzeniu (WE) nr 99/2013 i obejmujący okres od 2013 r. do 2017 r., jest ósmym programem tego rodzaju. </w:t>
      </w:r>
    </w:p>
    <w:p>
      <w:pPr>
        <w:pBdr>
          <w:top w:val="nil"/>
          <w:left w:val="nil"/>
          <w:bottom w:val="nil"/>
          <w:right w:val="nil"/>
          <w:between w:val="nil"/>
          <w:bar w:val="nil"/>
        </w:pBdr>
        <w:spacing w:before="0" w:after="240"/>
        <w:rPr>
          <w:noProof/>
        </w:rPr>
      </w:pPr>
      <w:r>
        <w:rPr>
          <w:noProof/>
        </w:rPr>
        <w:t>Inicjatywa ta ma na celu stworzenie ram legislacyjnych dla ESP na czas trwania wieloletnich ram finansowych (WRF).</w:t>
      </w:r>
    </w:p>
    <w:p>
      <w:pPr>
        <w:pBdr>
          <w:top w:val="nil"/>
          <w:left w:val="nil"/>
          <w:bottom w:val="nil"/>
          <w:right w:val="nil"/>
          <w:between w:val="nil"/>
          <w:bar w:val="nil"/>
        </w:pBdr>
        <w:spacing w:before="0"/>
        <w:rPr>
          <w:noProof/>
        </w:rPr>
      </w:pPr>
      <w:r>
        <w:rPr>
          <w:noProof/>
        </w:rPr>
        <w:t xml:space="preserve">Artykuł 14 rozporządzenia (WE) nr 223/2009 stanowi, że ESP jest realizowany w ramach „poszczególnych działań w dziedzinie statystyki”, które są ustalane: </w:t>
      </w:r>
    </w:p>
    <w:p>
      <w:pPr>
        <w:pStyle w:val="Tiret0"/>
        <w:rPr>
          <w:noProof/>
        </w:rPr>
      </w:pPr>
      <w:r>
        <w:rPr>
          <w:noProof/>
        </w:rPr>
        <w:t xml:space="preserve">przez Parlament Europejski i Radę; </w:t>
      </w:r>
    </w:p>
    <w:p>
      <w:pPr>
        <w:pStyle w:val="Tiret0"/>
        <w:rPr>
          <w:noProof/>
        </w:rPr>
      </w:pPr>
      <w:r>
        <w:rPr>
          <w:noProof/>
        </w:rPr>
        <w:t xml:space="preserve">przez Komisję w określonych przypadkach; lub </w:t>
      </w:r>
    </w:p>
    <w:p>
      <w:pPr>
        <w:pStyle w:val="Tiret0"/>
        <w:rPr>
          <w:noProof/>
        </w:rPr>
      </w:pPr>
      <w:r>
        <w:rPr>
          <w:noProof/>
        </w:rPr>
        <w:t xml:space="preserve">w umowach dotyczących ESS pomiędzy KUS lub innymi organami krajowymi a Komisją (Eurostatem). </w:t>
      </w:r>
    </w:p>
    <w:p>
      <w:pPr>
        <w:pBdr>
          <w:top w:val="nil"/>
          <w:left w:val="nil"/>
          <w:bottom w:val="nil"/>
          <w:right w:val="nil"/>
          <w:between w:val="nil"/>
          <w:bar w:val="nil"/>
        </w:pBdr>
        <w:spacing w:before="0" w:after="240"/>
        <w:rPr>
          <w:noProof/>
        </w:rPr>
      </w:pPr>
      <w:r>
        <w:rPr>
          <w:noProof/>
        </w:rPr>
        <w:t>Niniejszy wniosek nie dotyczy „innych statystyk” zdefiniowanych w decyzji Komisji 2012/504/UE</w:t>
      </w:r>
      <w:r>
        <w:rPr>
          <w:rStyle w:val="FootnoteReference"/>
          <w:noProof/>
        </w:rPr>
        <w:footnoteReference w:id="3"/>
      </w:r>
      <w:r>
        <w:rPr>
          <w:noProof/>
        </w:rPr>
        <w:t>, które nie są statystykami europejskimi i które identyfikuje się w procedurze planowania i programowania kierowanej przez Eurostat.</w:t>
      </w:r>
    </w:p>
    <w:p>
      <w:pPr>
        <w:pStyle w:val="ManualHeading2"/>
        <w:spacing w:before="0" w:after="240"/>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noProof/>
        </w:rPr>
      </w:pPr>
      <w:r>
        <w:rPr>
          <w:noProof/>
        </w:rPr>
        <w:t>Głównym celem statystyki europejskiej jest wspieranie opracowywania, monitorowania i oceny polityki europejskiej poprzez zapewnianie rzetelnych, obiektywnych, porównywalnych i spójnych informacji statystycznych.</w:t>
      </w:r>
    </w:p>
    <w:p>
      <w:pPr>
        <w:pBdr>
          <w:top w:val="nil"/>
          <w:left w:val="nil"/>
          <w:bottom w:val="nil"/>
          <w:right w:val="nil"/>
          <w:between w:val="nil"/>
          <w:bar w:val="nil"/>
        </w:pBdr>
        <w:spacing w:before="0" w:after="240"/>
        <w:rPr>
          <w:noProof/>
        </w:rPr>
      </w:pPr>
      <w:r>
        <w:rPr>
          <w:noProof/>
        </w:rPr>
        <w:t xml:space="preserve">Niniejszy wniosek będzie wspierał wszystkie 10 priorytetów politycznych w ramach programu Komisji na rzecz zatrudnienia, wzrostu, sprawiedliwości oraz zmian demokratycznych, a także inne polityki Unii takie jak: europejski semestr, strategia „Europa 2020” na rzecz zatrudnienia i inteligentnego, trwałego wzrostu gospodarczego sprzyjającego włączeniu społecznemu oraz europejska unia energetyczna. Potrzeba odpowiedzi politycznej na głęboki kryzys gospodarczy i jego skutki społeczne zwiększyła zapotrzebowanie na lepsze strategie gospodarcze i społeczne oparte na solidnych i porównywalnych dowodach. Decyzje podejmowane w oparciu o dowody są szczególnie ważne dla zarządzania wynikami strategii UE. Rada wielokrotnie podkreślała kluczowe znaczenie statystyki publicznej dla kształtowania polityki, ostatnio w konkluzjach Rady ECOFIN z dnia 8 grudnia 2015 r. </w:t>
      </w:r>
    </w:p>
    <w:p>
      <w:pPr>
        <w:pBdr>
          <w:top w:val="nil"/>
          <w:left w:val="nil"/>
          <w:bottom w:val="nil"/>
          <w:right w:val="nil"/>
          <w:between w:val="nil"/>
          <w:bar w:val="nil"/>
        </w:pBdr>
        <w:spacing w:before="0"/>
        <w:rPr>
          <w:noProof/>
        </w:rPr>
      </w:pPr>
      <w:r>
        <w:rPr>
          <w:noProof/>
        </w:rPr>
        <w:t>W szczególności omawiana inicjatywa będzie wspierać strategie Unii w następujących obszarach:</w:t>
      </w:r>
    </w:p>
    <w:p>
      <w:pPr>
        <w:pStyle w:val="Tiret0"/>
        <w:rPr>
          <w:noProof/>
        </w:rPr>
      </w:pPr>
      <w:r>
        <w:rPr>
          <w:noProof/>
        </w:rPr>
        <w:t>zgodnie z głównymi priorytetami w zakresie wzrostu gospodarczego i tworzenia miejsc pracy, umiejętności, mobilności oraz ograniczania ubóstwa i wykluczenia społecznego wskaźniki społeczne powinny pomóc wzmocnić społeczny wymiar UE, europejską unię walutową oraz analizę skutków społecznych polityki makroekonomicznej;</w:t>
      </w:r>
    </w:p>
    <w:p>
      <w:pPr>
        <w:pStyle w:val="Tiret0"/>
        <w:rPr>
          <w:noProof/>
        </w:rPr>
      </w:pPr>
      <w:r>
        <w:rPr>
          <w:noProof/>
        </w:rPr>
        <w:t>w celu wsparcia realizacji priorytetu dotyczącego „stymulowania zatrudnienia, wzrostu i inwestycji” potrzebne są dalsze prace statystyczne, aby przeanalizować wpływ rozwoju technologii i innowacji na wzrost i zatrudnienie oraz aby wdrożyć system monitorowania gospodarki o obiegu zamkniętym;</w:t>
      </w:r>
    </w:p>
    <w:p>
      <w:pPr>
        <w:pStyle w:val="Tiret0"/>
        <w:rPr>
          <w:noProof/>
        </w:rPr>
      </w:pPr>
      <w:r>
        <w:rPr>
          <w:noProof/>
        </w:rPr>
        <w:t>w celu zapewnienia lepszych dowodów statystycznych na potrzeby „europejskiej unii energetycznej” potrzebne są bardziej szczegółowe dane dotyczące zużycia energii oraz lepsze wstępne szacunki dotyczące bilansów energetycznych;</w:t>
      </w:r>
    </w:p>
    <w:p>
      <w:pPr>
        <w:pStyle w:val="Tiret0"/>
        <w:rPr>
          <w:noProof/>
        </w:rPr>
      </w:pPr>
      <w:r>
        <w:rPr>
          <w:noProof/>
        </w:rPr>
        <w:t>istnieje potrzeba stworzenia statystyk dotyczących transgranicznej sprzedaży przez internet dla celów priorytetu dotyczącego „jednolitego rynku treści cyfrowych”. W szczególności potrzebne są bardziej szczegółowe informacje dotyczące dostępu do usług świadczonych przez pośredników w zakresie dystrybucji treści, zaufania do platform internetowych i pośredników oraz przeszkód napotykanych przez gospodarstwa domowe podczas dokonywania zakupów transgranicznych;</w:t>
      </w:r>
    </w:p>
    <w:p>
      <w:pPr>
        <w:pStyle w:val="Tiret0"/>
        <w:rPr>
          <w:noProof/>
        </w:rPr>
      </w:pPr>
      <w:r>
        <w:rPr>
          <w:noProof/>
        </w:rPr>
        <w:t>w celu wsparcia priorytetu w zakresie „pogłębionej i bardziej sprawiedliwej unii gospodarczej i walutowej” zharmonizowany indeks cen domów i związane z nim statystyki nabierają coraz większego znaczenia w kontekście oceny reform strukturalnych państw członkowskich. W rezultacie użytkownicy domagają się podjęcia dalszych starań, aby rozszerzyć zakres i podnieść jakość tych statystyk; oraz</w:t>
      </w:r>
    </w:p>
    <w:p>
      <w:pPr>
        <w:pStyle w:val="Tiret0"/>
        <w:rPr>
          <w:noProof/>
        </w:rPr>
      </w:pPr>
      <w:r>
        <w:rPr>
          <w:noProof/>
        </w:rPr>
        <w:t>w celu „wzmocnienia roli UE na arenie światowej” oraz zgodnie z agendą na rzecz zrównoważonego rozwoju 2030 statystyki powinny pomagać UE w kontrolowaniu i monitorowaniu wpływu jej polityki zewnętrznej oraz programów pomocy oraz przyczyniać się do dobrego rządzenia i demokratycznej debaty w krajach partnerskich.</w:t>
      </w:r>
    </w:p>
    <w:p>
      <w:pPr>
        <w:pStyle w:val="ManualHeading1"/>
        <w:spacing w:before="0" w:after="240"/>
        <w:rPr>
          <w:noProof/>
        </w:rPr>
      </w:pPr>
      <w:r>
        <w:rPr>
          <w:noProof/>
        </w:rPr>
        <w:t>2.</w:t>
      </w:r>
      <w:r>
        <w:rPr>
          <w:noProof/>
        </w:rPr>
        <w:tab/>
        <w:t>PODSTAWA PRAWNA, POMOCNICZOŚĆ I PROPORCJONALNOŚĆ</w:t>
      </w:r>
    </w:p>
    <w:p>
      <w:pPr>
        <w:pStyle w:val="ManualHeading2"/>
        <w:spacing w:before="0" w:after="240"/>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Wynikającą z Traktatu podstawę prawną niniejszego wniosku stanowi art. 338 Traktatu o funkcjonowaniu Unii Europejskiej, na mocy którego Parlament Europejski i Rada mogą uchwalić środki w celu tworzenia statystyk, jeżeli jest to konieczne dla działań Unii. W artykule tym określono wymogi dotyczące tworzenia statystyki europejskiej poprzez stwierdzenie, że proces ten musi się odbywać w poszanowaniu bezstronności, rzetelności, obiektywizmu, niezależności naukowej, efektywności pod względem kosztów oraz poufności informacji statystycznych.</w:t>
      </w:r>
    </w:p>
    <w:p>
      <w:pPr>
        <w:pStyle w:val="ManualHeading2"/>
        <w:spacing w:before="0" w:after="240"/>
        <w:rPr>
          <w:rFonts w:eastAsia="Arial Unicode MS"/>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Zasada pomocniczości ma zastosowanie, o ile wniosek nie podlega wyłącznym kompetencjom UE. Podział kompetencji pomiędzy UE a państwami członkowskimi jest uzasadniony potrzebą zapewnienia wysokiej jakości i porównywalności statystyk, na których opiera się polityka UE, oraz międzynarodowym charakterem wielu aspektów statystyki ogółem, a w szczególności statystyki europejskiej. Dlatego też jedynie skoordynowane podejście do opracowywania, tworzenia i rozpowszechniania statystyki europejskiej – jak określono w ESP – gwarantuje wymaganą spójność i porównywalność statystyk istotnych dla działań UE.</w:t>
      </w:r>
    </w:p>
    <w:p>
      <w:pPr>
        <w:pBdr>
          <w:top w:val="nil"/>
          <w:left w:val="nil"/>
          <w:bottom w:val="nil"/>
          <w:right w:val="nil"/>
          <w:between w:val="nil"/>
          <w:bar w:val="nil"/>
        </w:pBdr>
        <w:spacing w:before="0" w:after="240"/>
        <w:rPr>
          <w:noProof/>
        </w:rPr>
      </w:pPr>
      <w:r>
        <w:rPr>
          <w:noProof/>
        </w:rPr>
        <w:t xml:space="preserve">Cel proponowanych działań, tj. opracowywanie, tworzenie i rozpowszechnianie statystyki europejskiej w ramach ESP przedłużonego na lata 2018–2020, nie może zostać osiągnięty w wystarczającym stopniu przez państwa członkowskie, natomiast możliwe jest pełniejsze jego osiągnięcie na szczeblu UE na podstawie unijnego aktu prawnego przy zapewnieniu niezbędnej porównywalności informacji statystycznych na poziomie UE we wszystkich dziedzinach statystyki objętych tym aktem prawnym. Samego gromadzenia danych może dokonywać państwo członkowskie. </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rPr>
          <w:noProof/>
        </w:rPr>
      </w:pPr>
      <w:r>
        <w:rPr>
          <w:noProof/>
        </w:rPr>
        <w:t>Wniosek jest zgodny z zasadą proporcjonalności z następujących względów:</w:t>
      </w:r>
    </w:p>
    <w:p>
      <w:pPr>
        <w:pBdr>
          <w:top w:val="nil"/>
          <w:left w:val="nil"/>
          <w:bottom w:val="nil"/>
          <w:right w:val="nil"/>
          <w:between w:val="nil"/>
          <w:bar w:val="nil"/>
        </w:pBdr>
        <w:spacing w:before="0" w:after="240"/>
        <w:rPr>
          <w:rFonts w:eastAsia="Arial Unicode MS"/>
          <w:noProof/>
        </w:rPr>
      </w:pPr>
      <w:r>
        <w:rPr>
          <w:noProof/>
        </w:rPr>
        <w:t>Zgodnie z zasadą proporcjonalności niniejszy wniosek w sprawie rozporządzenia jest ograniczony do minimum niezbędnego do osiągnięcia określonego w nim celu i nie wykracza poza to, co jest do tego celu konieczne. Szczegółowe cele proponowanego przedłużenia programu są takie same jak cele obecnego programu (2013–2017). Cele te są przedstawiane i planowane bardziej szczegółowo w rocznych programach prac Komisji w dziedzinie statystyki, opracowywanych w ścisłej współpracy z państwami członkowskimi i przyjmowanych z uwzględnieniem opinii Komitetu ds. ESS. Nowe wymogi statystyczne wywierające wpływ na państwa członkowskie będą przygotowywane z bezpośrednim udziałem państw członkowskich na wczesnym etapie.</w:t>
      </w:r>
    </w:p>
    <w:p>
      <w:pPr>
        <w:pStyle w:val="ManualHeading2"/>
        <w:spacing w:before="0" w:after="240"/>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noProof/>
        </w:rPr>
      </w:pPr>
      <w:r>
        <w:rPr>
          <w:noProof/>
        </w:rPr>
        <w:t>Proponowany instrument: rozporządzenie.</w:t>
      </w:r>
    </w:p>
    <w:p>
      <w:pPr>
        <w:pBdr>
          <w:top w:val="nil"/>
          <w:left w:val="nil"/>
          <w:bottom w:val="nil"/>
          <w:right w:val="nil"/>
          <w:between w:val="nil"/>
          <w:bar w:val="nil"/>
        </w:pBdr>
        <w:spacing w:before="0" w:after="240"/>
        <w:rPr>
          <w:rFonts w:eastAsia="Arial Unicode MS"/>
          <w:noProof/>
        </w:rPr>
      </w:pPr>
      <w:r>
        <w:rPr>
          <w:noProof/>
        </w:rPr>
        <w:t>Wniosek dotyczy zmiany rozporządzenia Parlamentu Europejskiego i Rady (UE) nr 99/2013 w sprawie Europejskiego programu statystycznego 2013–2017</w:t>
      </w:r>
      <w:r>
        <w:rPr>
          <w:rStyle w:val="FootnoteReference"/>
          <w:noProof/>
        </w:rPr>
        <w:footnoteReference w:id="4"/>
      </w:r>
      <w:r>
        <w:rPr>
          <w:noProof/>
        </w:rPr>
        <w:t xml:space="preserve"> poprzez przedłużenie go na lata 2018–2020.</w:t>
      </w:r>
    </w:p>
    <w:p>
      <w:pPr>
        <w:pStyle w:val="ManualHeading1"/>
        <w:spacing w:before="0" w:after="240"/>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spacing w:before="0" w:after="240"/>
        <w:rPr>
          <w:rFonts w:eastAsia="Arial Unicode MS"/>
          <w:noProof/>
          <w:u w:color="000000"/>
          <w:bdr w:val="nil"/>
        </w:rPr>
      </w:pPr>
      <w:r>
        <w:rPr>
          <w:noProof/>
        </w:rPr>
        <w:t>•</w:t>
      </w:r>
      <w:r>
        <w:rPr>
          <w:noProof/>
        </w:rPr>
        <w:tab/>
        <w:t xml:space="preserve">Oceny </w:t>
      </w:r>
      <w:r>
        <w:rPr>
          <w:i/>
          <w:noProof/>
          <w:u w:color="000000"/>
          <w:bdr w:val="nil"/>
        </w:rPr>
        <w:t>ex post</w:t>
      </w:r>
      <w:r>
        <w:rPr>
          <w:noProof/>
        </w:rPr>
        <w:t xml:space="preserve"> / kontrole sprawności obowiązującego prawodawstwa</w:t>
      </w:r>
    </w:p>
    <w:p>
      <w:pPr>
        <w:pBdr>
          <w:top w:val="nil"/>
          <w:left w:val="nil"/>
          <w:bottom w:val="nil"/>
          <w:right w:val="nil"/>
          <w:between w:val="nil"/>
          <w:bar w:val="nil"/>
        </w:pBdr>
        <w:spacing w:before="0" w:after="240"/>
        <w:rPr>
          <w:noProof/>
        </w:rPr>
      </w:pPr>
      <w:r>
        <w:rPr>
          <w:noProof/>
        </w:rPr>
        <w:t>Ocena wspólnotowego programu statystycznego 2008–2012, przegląd śródokresowy</w:t>
      </w:r>
      <w:r>
        <w:rPr>
          <w:rStyle w:val="FootnoteReference"/>
          <w:noProof/>
        </w:rPr>
        <w:footnoteReference w:id="5"/>
      </w:r>
      <w:r>
        <w:rPr>
          <w:noProof/>
        </w:rPr>
        <w:t xml:space="preserve"> ESP 2013–2017 oraz ostateczna ocena programu modernizacji europejskiej statystyki przedsiębiorstw i handlu (MEETS) zostały dokładnie przeanalizowane.</w:t>
      </w:r>
    </w:p>
    <w:p>
      <w:pPr>
        <w:pBdr>
          <w:top w:val="nil"/>
          <w:left w:val="nil"/>
          <w:bottom w:val="nil"/>
          <w:right w:val="nil"/>
          <w:between w:val="nil"/>
          <w:bar w:val="nil"/>
        </w:pBdr>
        <w:spacing w:before="0"/>
        <w:rPr>
          <w:noProof/>
        </w:rPr>
      </w:pPr>
      <w:r>
        <w:rPr>
          <w:noProof/>
        </w:rPr>
        <w:t>W przeglądzie śródokresowym ESP 2013–2017 stwierdzono, że program jest co do zasady odpowiednio wdrażany, a perspektywa osiągnięcia 17 z jego 23 celów szczegółowych jest bardzo bliska. ESP oferuje dobrą europejską wartość dodaną, jest sprawnie realizowany, odpowiada na potrzeby użytkowników i jest spójny z innymi programami statystycznymi. Na przykład przejście w kierunku nowych metod tworzenia statystyk pomaga w realizacji podejść stosowanych w całym ESS. W ramach oceny sformułowano trzy zalecenia zapewniające wskazówki dotyczące wdrażania ESP i jego dalszą optymalizację:</w:t>
      </w:r>
    </w:p>
    <w:p>
      <w:pPr>
        <w:pStyle w:val="Tiret0"/>
        <w:rPr>
          <w:noProof/>
        </w:rPr>
      </w:pPr>
      <w:r>
        <w:rPr>
          <w:noProof/>
        </w:rPr>
        <w:t>należy zwracać szczególną uwagę na cele, w przypadku których napotkano problemy;</w:t>
      </w:r>
    </w:p>
    <w:p>
      <w:pPr>
        <w:pStyle w:val="Tiret0"/>
        <w:rPr>
          <w:noProof/>
        </w:rPr>
      </w:pPr>
      <w:r>
        <w:rPr>
          <w:noProof/>
        </w:rPr>
        <w:t>należy zapewnić wystarczające zasoby do utrzymania niezbędnego poziomu inwestycji dotyczących modernizacji tworzenia statystyk europejskich; oraz</w:t>
      </w:r>
    </w:p>
    <w:p>
      <w:pPr>
        <w:pStyle w:val="Tiret0"/>
        <w:rPr>
          <w:noProof/>
        </w:rPr>
      </w:pPr>
      <w:r>
        <w:rPr>
          <w:noProof/>
        </w:rPr>
        <w:t>należy określić i realizować projekty na szczeblu UE, które mogą zwiększyć europejską wartość dodaną.</w:t>
      </w:r>
    </w:p>
    <w:p>
      <w:pPr>
        <w:pBdr>
          <w:top w:val="nil"/>
          <w:left w:val="nil"/>
          <w:bottom w:val="nil"/>
          <w:right w:val="nil"/>
          <w:between w:val="nil"/>
          <w:bar w:val="nil"/>
        </w:pBdr>
        <w:spacing w:before="0" w:after="240"/>
        <w:rPr>
          <w:noProof/>
        </w:rPr>
      </w:pPr>
      <w:r>
        <w:rPr>
          <w:noProof/>
        </w:rPr>
        <w:t>Powyższe zalecenia poddano gruntownej analizie i uwzględniono w niniejszym wniosku.</w:t>
      </w:r>
    </w:p>
    <w:p>
      <w:pPr>
        <w:pStyle w:val="ManualHeading2"/>
        <w:spacing w:before="0" w:after="240"/>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noProof/>
        </w:rPr>
      </w:pPr>
      <w:r>
        <w:rPr>
          <w:noProof/>
        </w:rPr>
        <w:t>Strategię konsultacji wniosku w sprawie przedłużeniu ESP 2013–2017 opracowano na wczesnym etapie w celu zgromadzenia danych wejściowych i opinii od jak największej liczby zainteresowanych stron. W tym kontekście oraz na podstawie intensywnych konsultacji z różnymi zainteresowanymi grupami prowadzonych od 2014 r. Eurostat zaproponował kompleksowe podejście do konsultacji z zainteresowanymi stronami w ramach oceny skutków.</w:t>
      </w:r>
    </w:p>
    <w:p>
      <w:pPr>
        <w:pBdr>
          <w:top w:val="nil"/>
          <w:left w:val="nil"/>
          <w:bottom w:val="nil"/>
          <w:right w:val="nil"/>
          <w:between w:val="nil"/>
          <w:bar w:val="nil"/>
        </w:pBdr>
        <w:spacing w:before="0" w:after="240"/>
        <w:rPr>
          <w:noProof/>
        </w:rPr>
      </w:pPr>
      <w:r>
        <w:rPr>
          <w:noProof/>
        </w:rPr>
        <w:t>Konsultacje z zainteresowanymi stronami przeprowadzono zgodnie ze strategią oraz ogólnymi zasadami i normami minimalnymi określonymi przez Komisję w wytycznych dotyczących konsultacji z zainteresowanymi stronami. Głównymi elementami strategii były cykl ukierunkowanych konsultacji z najważniejszymi zainteresowanymi stronami oraz konsultacje społeczne</w:t>
      </w:r>
      <w:r>
        <w:rPr>
          <w:rStyle w:val="FootnoteReference"/>
          <w:noProof/>
        </w:rPr>
        <w:footnoteReference w:id="6"/>
      </w:r>
      <w:r>
        <w:rPr>
          <w:noProof/>
        </w:rPr>
        <w:t xml:space="preserve"> mające zapewnić wszystkim zainteresowanym stronom możliwość wyrażenia swoich poglądów.</w:t>
      </w:r>
    </w:p>
    <w:p>
      <w:pPr>
        <w:pBdr>
          <w:top w:val="nil"/>
          <w:left w:val="nil"/>
          <w:bottom w:val="nil"/>
          <w:right w:val="nil"/>
          <w:between w:val="nil"/>
          <w:bar w:val="nil"/>
        </w:pBdr>
        <w:spacing w:before="0" w:after="240"/>
        <w:rPr>
          <w:noProof/>
        </w:rPr>
      </w:pPr>
      <w:r>
        <w:rPr>
          <w:noProof/>
        </w:rPr>
        <w:t xml:space="preserve">Ponieważ obecny ESP 2013–2017 opracowywano w latach 2010–2011, uznano za istotne, aby zasięgnąć opinii zainteresowanych stron w celu zidentyfikowania zmian, jakie zaszły od tego czasu i które należy wziąć pod uwagę przy przedłużaniu programu. Są to zmiany polityczne, gospodarcze i społeczne oraz postęp w obszarach technologii, statystyki i metodyki. Następnie przeprowadzono ocenę priorytetów w zakresie statystyk europejskich do 2020 r., w szczególności z punktu widzenia użytkowników. Ponadto zwrócono się przekazanie informacji zwrotnych na temat wpływu sugerowanych działań na użytkowników i producentów statystyk, a także na respondentów (w szczególności przedsiębiorstwa), oraz na temat zidentyfikowanych trudności, które trzeba będzie przezwyciężyć, aby przeprowadzić te działania. W konsultacjach skupiono się również na wpływie poszczególnych wariantów strategicznych na przedłużenie ESP. </w:t>
      </w:r>
    </w:p>
    <w:p>
      <w:pPr>
        <w:pBdr>
          <w:top w:val="nil"/>
          <w:left w:val="nil"/>
          <w:bottom w:val="nil"/>
          <w:right w:val="nil"/>
          <w:between w:val="nil"/>
          <w:bar w:val="nil"/>
        </w:pBdr>
        <w:spacing w:before="0"/>
        <w:rPr>
          <w:noProof/>
        </w:rPr>
      </w:pPr>
      <w:r>
        <w:rPr>
          <w:noProof/>
        </w:rPr>
        <w:t>W ramach strategii dotyczącej konsultacji zidentyfikowano i zestawiono kategorie i grupy zainteresowanych stron, tak aby wszystkie te kategorie i grupy zostały uwzględnione w wystarczającym stopniu. Znaleźli się wśród nich instytucjonalni i nieinstytucjonalni użytkownicy statystyk europejskich, producenci (KUS i inne organy krajowe), respondenci (przedsiębiorstwa i gospodarstwa domowe) i ogół społeczeństwa. Szeroko zakrojone konsultacje z zainteresowanymi stronami należącymi do różnych kategorii, prowadzone począwszy od 2014 r. i przez cały 2015 r., obejmowały:</w:t>
      </w:r>
    </w:p>
    <w:p>
      <w:pPr>
        <w:pStyle w:val="Tiret0"/>
        <w:rPr>
          <w:noProof/>
        </w:rPr>
      </w:pPr>
      <w:r>
        <w:rPr>
          <w:noProof/>
        </w:rPr>
        <w:t xml:space="preserve">konferencję użytkowników statystyk europejskich i zainteresowanych stron; </w:t>
      </w:r>
    </w:p>
    <w:p>
      <w:pPr>
        <w:pStyle w:val="Tiret0"/>
        <w:rPr>
          <w:noProof/>
        </w:rPr>
      </w:pPr>
      <w:r>
        <w:rPr>
          <w:noProof/>
        </w:rPr>
        <w:t>konsultacje z dyrekcjami generalnymi Komisji;</w:t>
      </w:r>
    </w:p>
    <w:p>
      <w:pPr>
        <w:pStyle w:val="Tiret0"/>
        <w:rPr>
          <w:noProof/>
        </w:rPr>
      </w:pPr>
      <w:r>
        <w:rPr>
          <w:noProof/>
        </w:rPr>
        <w:t>konsultacje z producentami / krajowymi urzędami statystycznymi; oraz</w:t>
      </w:r>
    </w:p>
    <w:p>
      <w:pPr>
        <w:pStyle w:val="Tiret0"/>
        <w:rPr>
          <w:noProof/>
        </w:rPr>
      </w:pPr>
      <w:r>
        <w:rPr>
          <w:noProof/>
        </w:rPr>
        <w:t xml:space="preserve">konsultacje społeczne dotyczące zmian w ogólnym środowisku, które mogłyby wpłynąć na priorytety ESP 2018–2020, oraz skutków różnych wariantów. </w:t>
      </w:r>
    </w:p>
    <w:p>
      <w:pPr>
        <w:pBdr>
          <w:top w:val="nil"/>
          <w:left w:val="nil"/>
          <w:bottom w:val="nil"/>
          <w:right w:val="nil"/>
          <w:between w:val="nil"/>
          <w:bar w:val="nil"/>
        </w:pBdr>
        <w:spacing w:before="0" w:after="240"/>
        <w:rPr>
          <w:noProof/>
        </w:rPr>
      </w:pPr>
      <w:r>
        <w:rPr>
          <w:noProof/>
        </w:rPr>
        <w:t>Dodatkowo na wczesnym etapie przygotowań ESP</w:t>
      </w:r>
      <w:r>
        <w:rPr>
          <w:rStyle w:val="FootnoteReference"/>
          <w:noProof/>
        </w:rPr>
        <w:footnoteReference w:id="7"/>
      </w:r>
      <w:r>
        <w:rPr>
          <w:noProof/>
        </w:rPr>
        <w:t xml:space="preserve"> oraz na bieżąco Komisja zasięgała opinii Europejskiego Komitetu Doradczego ds. Statystyki, który reprezentuje użytkowników i respondentów na szczeblu europejskim i którego członkowie są znanymi specjaliści w dziedzinie statystyki. Komitet zwrócił uwagę na wyraźną potrzebę ograniczenia obciążeń dla respondentów, zwiększenia aktualności oraz włączenia nowych źródeł danych spoza ESS, a także zapewnienia odpowiednich środków oceny nowych polityk.</w:t>
      </w:r>
    </w:p>
    <w:p>
      <w:pPr>
        <w:pBdr>
          <w:top w:val="nil"/>
          <w:left w:val="nil"/>
          <w:bottom w:val="nil"/>
          <w:right w:val="nil"/>
          <w:between w:val="nil"/>
          <w:bar w:val="nil"/>
        </w:pBdr>
        <w:spacing w:before="0" w:after="240"/>
        <w:rPr>
          <w:noProof/>
        </w:rPr>
      </w:pPr>
      <w:r>
        <w:rPr>
          <w:noProof/>
        </w:rPr>
        <w:t>Poza zewnętrznymi konsultacjami Komisja przeprowadziła również wewnętrzną ocenę własnych potrzeb statystycznych, z której wynika, że potrzeby te nie zmniejszą się w okresie przedłużenia programu, tj. w latach 2018–2020. Należałoby utrzymać obecny poziom informacji statystycznych istotny dla formułowania, analizy i monitorowania polityki. Należy uzupełnić luki w danych, uwzględnić nowe potrzeby w niektórych konkretnych obszarach polityki oraz zapewnić aktualniejsze dane i dodatkowy podział geograficzny. W większości przypadków nowe potrzeby dotyczą 10 priorytetów politycznych określonych w wytycznych politycznych Komisji na lata 2014–2019. Co więcej, istnieje potrzeba bardziej efektywnego wykorzystania nowych źródeł danych (np. tzw. „dużych zbiorów danych”), co w perspektywie długoterminowej mogłoby doprowadzić do poprawy wydajności. Obszary, które należy rozwijać, obejmują statystykę społeczną (w tym dotyczącą migracji, zdrowia i płci społeczno-kulturowej) oraz statystykę biznesową. Zmiany w modelu europejskich rynków energii wymagają usprawnienia statystyk w zakresie energii w celu zapewnienia aktualnych, porównywalnych i wystarczająco szczegółowych danych w kontekście unii energetycznej i polityki przeciwdziałania zmianie klimatu.</w:t>
      </w:r>
    </w:p>
    <w:p>
      <w:pPr>
        <w:pBdr>
          <w:top w:val="nil"/>
          <w:left w:val="nil"/>
          <w:bottom w:val="nil"/>
          <w:right w:val="nil"/>
          <w:between w:val="nil"/>
          <w:bar w:val="nil"/>
        </w:pBdr>
        <w:spacing w:before="0"/>
        <w:rPr>
          <w:noProof/>
        </w:rPr>
      </w:pPr>
      <w:r>
        <w:rPr>
          <w:noProof/>
        </w:rPr>
        <w:t>Analiza informacji zwrotnych otrzymanych od różnych grup zainteresowanych stron wykazała podstawową rozbieżność:</w:t>
      </w:r>
    </w:p>
    <w:p>
      <w:pPr>
        <w:pStyle w:val="Tiret0"/>
        <w:rPr>
          <w:noProof/>
        </w:rPr>
      </w:pPr>
      <w:r>
        <w:rPr>
          <w:noProof/>
        </w:rPr>
        <w:t>użytkownicy oczekują produktów statystycznych jak najwyższej jakości, między innymi pod względem przydatności, aktualności, zasięgu i porównywalności; podczas gdy</w:t>
      </w:r>
    </w:p>
    <w:p>
      <w:pPr>
        <w:pStyle w:val="Tiret0"/>
        <w:rPr>
          <w:noProof/>
        </w:rPr>
      </w:pPr>
      <w:r>
        <w:rPr>
          <w:noProof/>
        </w:rPr>
        <w:t xml:space="preserve">producenci – z uwagi na ich ograniczone zasoby – napotykają szereg problemów w zaspokajaniu zapotrzebowania. </w:t>
      </w:r>
    </w:p>
    <w:p>
      <w:pPr>
        <w:pBdr>
          <w:top w:val="nil"/>
          <w:left w:val="nil"/>
          <w:bottom w:val="nil"/>
          <w:right w:val="nil"/>
          <w:between w:val="nil"/>
          <w:bar w:val="nil"/>
        </w:pBdr>
        <w:spacing w:before="0" w:after="240"/>
        <w:rPr>
          <w:noProof/>
        </w:rPr>
      </w:pPr>
      <w:r>
        <w:rPr>
          <w:noProof/>
        </w:rPr>
        <w:t>Wszystkie grupy podkreśliły konieczność dalszej modernizacji procesów tworzenia statystyk.</w:t>
      </w:r>
    </w:p>
    <w:p>
      <w:pPr>
        <w:pBdr>
          <w:top w:val="nil"/>
          <w:left w:val="nil"/>
          <w:bottom w:val="nil"/>
          <w:right w:val="nil"/>
          <w:between w:val="nil"/>
          <w:bar w:val="nil"/>
        </w:pBdr>
        <w:spacing w:before="0" w:after="240"/>
        <w:rPr>
          <w:rFonts w:eastAsia="Arial Unicode MS"/>
          <w:noProof/>
        </w:rPr>
      </w:pPr>
      <w:r>
        <w:rPr>
          <w:noProof/>
        </w:rPr>
        <w:t>Wyniki konsultacji z zainteresowanymi stronami poddano gruntownym badaniom i uwzględniono w analizie wariantów strategicznych w kontekście oceny skutków. Preferowany wariant strategiczny, przedstawiony w niniejszym wniosku, przyniósłby największy wpływ pod względem zdolności do szybszego tworzenia danych, co jest niezbędne do zaspokojenia podstawowych potrzeb użytkowników. Niniejszy wniosek zawiera również nowe środki mające na celu zwiększenie przydatności i aktualności statystyki społecznej i dotyczącej energii, a także wykorzystanie nowych źródeł danych, w tym dużych zbiorów danych. Nacisk kładziony jest na projekty modernizacyjne, których celem jest zwiększenie elastyczności systemów tworzenia statystyk oraz ograniczenie zarówno kosztów długoterminowych dla producentów, jak i obciążeń administracyjnych dla respondentów.</w:t>
      </w:r>
    </w:p>
    <w:p>
      <w:pPr>
        <w:pStyle w:val="ManualHeading2"/>
        <w:spacing w:before="0" w:after="240"/>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noProof/>
        </w:rPr>
      </w:pPr>
      <w:r>
        <w:rPr>
          <w:noProof/>
        </w:rPr>
        <w:t>Nie dotyczy.</w:t>
      </w:r>
    </w:p>
    <w:p>
      <w:pPr>
        <w:pStyle w:val="ManualHeading2"/>
        <w:spacing w:before="0" w:after="240"/>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noProof/>
        </w:rPr>
      </w:pPr>
      <w:r>
        <w:rPr>
          <w:noProof/>
        </w:rPr>
        <w:t>Na potrzeby niniejszego wniosku przeprowadzono ocenę skutków</w:t>
      </w:r>
      <w:r>
        <w:rPr>
          <w:rStyle w:val="FootnoteReference"/>
          <w:noProof/>
        </w:rPr>
        <w:footnoteReference w:id="8"/>
      </w:r>
      <w:r>
        <w:rPr>
          <w:noProof/>
        </w:rPr>
        <w:t xml:space="preserve">. Dnia 18 marca 2016 r. Rada ds. Kontroli Regulacyjnej wydała pozytywną opinię w sprawie sprawozdania z oceny skutków. </w:t>
      </w:r>
    </w:p>
    <w:p>
      <w:pPr>
        <w:pBdr>
          <w:top w:val="nil"/>
          <w:left w:val="nil"/>
          <w:bottom w:val="nil"/>
          <w:right w:val="nil"/>
          <w:between w:val="nil"/>
          <w:bar w:val="nil"/>
        </w:pBdr>
        <w:spacing w:before="0"/>
        <w:rPr>
          <w:noProof/>
        </w:rPr>
      </w:pPr>
      <w:r>
        <w:rPr>
          <w:noProof/>
        </w:rPr>
        <w:t>Ponieważ opracowanie wieloletniego ESP jest wymagane na mocy art. 13 ust. 1 rozporządzenia (WE) nr 223/2009, w ocenie skutków nie rozważano, czy należy przedłużyć ESP, lecz jak najlepiej tego dokonać. Ponieważ wniosek dotyczy przedłużenia obecnego ESP (2013–2017), w odniesieniu do wszystkich wariantów strategicznych przyjęto następujące istniejące cele szczegółowe na lata 2018–2020:</w:t>
      </w:r>
    </w:p>
    <w:p>
      <w:pPr>
        <w:pStyle w:val="Tiret0"/>
        <w:rPr>
          <w:noProof/>
        </w:rPr>
      </w:pPr>
      <w:r>
        <w:rPr>
          <w:noProof/>
        </w:rPr>
        <w:t>cel 1: zapewnianie wysokiej jakości informacji statystycznych niezbędnych do wsparcia opracowywania, monitorowania i oceny polityk UE oraz zaspokajania potrzeb szerokiego kręgu użytkowników;</w:t>
      </w:r>
    </w:p>
    <w:p>
      <w:pPr>
        <w:pStyle w:val="Tiret0"/>
        <w:rPr>
          <w:noProof/>
        </w:rPr>
      </w:pPr>
      <w:r>
        <w:rPr>
          <w:noProof/>
        </w:rPr>
        <w:t>cel 2: wdrażanie nowych metod tworzenia statystyki europejskiej w celu poprawy wydajności i jakości;</w:t>
      </w:r>
    </w:p>
    <w:p>
      <w:pPr>
        <w:pStyle w:val="Tiret0"/>
        <w:rPr>
          <w:noProof/>
        </w:rPr>
      </w:pPr>
      <w:r>
        <w:rPr>
          <w:noProof/>
        </w:rPr>
        <w:t>cel 3: umacnianie partnerstwa wewnątrz Europejskiego Systemu Statystycznego i poza nim, aby zwiększać jego wydajność i wspierać jego wiodącą rolę w statystyce publicznej na świecie.</w:t>
      </w:r>
    </w:p>
    <w:p>
      <w:pPr>
        <w:rPr>
          <w:noProof/>
        </w:rPr>
      </w:pPr>
      <w:r>
        <w:rPr>
          <w:noProof/>
        </w:rPr>
        <w:t>Rozważono poniższe warianty strategiczne.</w:t>
      </w:r>
    </w:p>
    <w:p>
      <w:pPr>
        <w:pStyle w:val="ManualHeading3"/>
        <w:tabs>
          <w:tab w:val="clear" w:pos="850"/>
        </w:tabs>
        <w:spacing w:before="0" w:after="240"/>
        <w:ind w:left="1134" w:hanging="1134"/>
        <w:rPr>
          <w:noProof/>
        </w:rPr>
      </w:pPr>
      <w:r>
        <w:rPr>
          <w:noProof/>
        </w:rPr>
        <w:t xml:space="preserve">Wariant 1: </w:t>
      </w:r>
      <w:r>
        <w:rPr>
          <w:noProof/>
        </w:rPr>
        <w:tab/>
        <w:t>Ten sam ESP (2013–2017) przedłużony na lata 2018–2020 (scenariusz odniesienia)</w:t>
      </w:r>
    </w:p>
    <w:p>
      <w:pPr>
        <w:pBdr>
          <w:top w:val="nil"/>
          <w:left w:val="nil"/>
          <w:bottom w:val="nil"/>
          <w:right w:val="nil"/>
          <w:between w:val="nil"/>
          <w:bar w:val="nil"/>
        </w:pBdr>
        <w:spacing w:before="0" w:after="240"/>
        <w:rPr>
          <w:noProof/>
        </w:rPr>
      </w:pPr>
      <w:r>
        <w:rPr>
          <w:noProof/>
        </w:rPr>
        <w:t xml:space="preserve">Wariant ten uznano za scenariusz odniesienia, z którym porównywano pozostałe warianty. Nie zakłada on żadnej zmiany pod względem planowanych statystyk (cel 1), ram dostosowania infrastruktury statystycznej (cel 2) ani partnerstwa (cel 3). </w:t>
      </w:r>
    </w:p>
    <w:p>
      <w:pPr>
        <w:pStyle w:val="ManualHeading3"/>
        <w:tabs>
          <w:tab w:val="clear" w:pos="850"/>
        </w:tabs>
        <w:spacing w:before="0" w:after="240"/>
        <w:ind w:left="1134" w:hanging="1134"/>
        <w:rPr>
          <w:noProof/>
        </w:rPr>
      </w:pPr>
      <w:r>
        <w:rPr>
          <w:noProof/>
        </w:rPr>
        <w:t xml:space="preserve">Wariant 2: </w:t>
      </w:r>
      <w:r>
        <w:rPr>
          <w:noProof/>
        </w:rPr>
        <w:tab/>
        <w:t>Przedłużenie obecnego ESP z dostosowaniami</w:t>
      </w:r>
    </w:p>
    <w:p>
      <w:pPr>
        <w:pBdr>
          <w:top w:val="nil"/>
          <w:left w:val="nil"/>
          <w:bottom w:val="nil"/>
          <w:right w:val="nil"/>
          <w:between w:val="nil"/>
          <w:bar w:val="nil"/>
        </w:pBdr>
        <w:spacing w:before="0" w:after="240"/>
        <w:rPr>
          <w:noProof/>
        </w:rPr>
      </w:pPr>
      <w:r>
        <w:rPr>
          <w:noProof/>
        </w:rPr>
        <w:t xml:space="preserve">Wariant ten zakłada program na lata 2018–2020 zachowujący strukturę obecnego programu przy jednoczesnym uwzględnieniu możliwych sposobów wykorzystania potencjału dużych zbiorów danych do tworzenia statystyk, wizji ESS na rok 2020 oraz nowych potrzeb użytkowników. </w:t>
      </w:r>
    </w:p>
    <w:p>
      <w:pPr>
        <w:pBdr>
          <w:top w:val="nil"/>
          <w:left w:val="nil"/>
          <w:bottom w:val="nil"/>
          <w:right w:val="nil"/>
          <w:between w:val="nil"/>
          <w:bar w:val="nil"/>
        </w:pBdr>
        <w:spacing w:before="0" w:after="240"/>
        <w:rPr>
          <w:noProof/>
        </w:rPr>
      </w:pPr>
      <w:r>
        <w:rPr>
          <w:noProof/>
        </w:rPr>
        <w:t>Wiązałby się on ze zmianami zarówno pod względem treści programu, jak i jego budżetu. W pewnym stopniu wariant ten można również uznać za zmieniający zakres programu, w szczególności ze względu na możliwą zmianę priorytetów w zakresie obecnych wyników statystycznych.</w:t>
      </w:r>
    </w:p>
    <w:p>
      <w:pPr>
        <w:pStyle w:val="ManualHeading3"/>
        <w:tabs>
          <w:tab w:val="clear" w:pos="850"/>
        </w:tabs>
        <w:spacing w:before="0" w:after="240"/>
        <w:ind w:left="1134" w:hanging="1134"/>
        <w:rPr>
          <w:noProof/>
        </w:rPr>
      </w:pPr>
      <w:r>
        <w:rPr>
          <w:noProof/>
        </w:rPr>
        <w:t xml:space="preserve">Wariant 2a: </w:t>
      </w:r>
      <w:r>
        <w:rPr>
          <w:noProof/>
        </w:rPr>
        <w:tab/>
        <w:t xml:space="preserve">Zmiana obecnego ESP i ograniczenie rocznego budżetu </w:t>
      </w:r>
    </w:p>
    <w:p>
      <w:pPr>
        <w:pBdr>
          <w:top w:val="nil"/>
          <w:left w:val="nil"/>
          <w:bottom w:val="nil"/>
          <w:right w:val="nil"/>
          <w:between w:val="nil"/>
          <w:bar w:val="nil"/>
        </w:pBdr>
        <w:spacing w:before="0" w:after="240"/>
        <w:rPr>
          <w:noProof/>
        </w:rPr>
      </w:pPr>
      <w:r>
        <w:rPr>
          <w:noProof/>
        </w:rPr>
        <w:t>Wariant ten był początkowo rozważany, lecz został odrzucony na wczesnym etapie, ponieważ nie rozwiązuje on w wystarczającym stopniu zidentyfikowanych problemów. Wiązałby się on z radykalnym ograniczeniem poziomu ambicji w odniesieniu do celu szczegółowego dotyczącego „statystyki służącej różnym celom i poprawy wydajności”, w szczególności jeżeli chodzi o nowe źródła danych (brak inwestycji w duże zbiory danych), oraz byłby ze szkodą dla aktualności i przydatności danych.</w:t>
      </w:r>
    </w:p>
    <w:p>
      <w:pPr>
        <w:pBdr>
          <w:top w:val="nil"/>
          <w:left w:val="nil"/>
          <w:bottom w:val="nil"/>
          <w:right w:val="nil"/>
          <w:between w:val="nil"/>
          <w:bar w:val="nil"/>
        </w:pBdr>
        <w:spacing w:before="0" w:after="240"/>
        <w:rPr>
          <w:noProof/>
        </w:rPr>
      </w:pPr>
      <w:r>
        <w:rPr>
          <w:noProof/>
        </w:rPr>
        <w:t>Z konsultacji z KUS wynikło, że wariant ten spełniałby wymogi określone w celu 2 w znacznie mniejszym stopniu niż oczekiwano w przypadku wszystkich państw członkowskich. Istnieje możliwość, że w niektórych państwach nie przedsięwzięto by żadnego projektu modernizacji. Ponieważ działania dotyczące wprowadzenia w życie wizji ESS na rok 2020 zależą od puli środków finansowych ESS, bez odpowiedniego wsparcia budżetowego byłyby one poważnie zagrożone. Podkreślono koszt dużych zbiorów danych (infrastruktura IT, bardziej zaawansowane umiejętności informatyczne, statystyczne i inne) i rozwiązań w zakresie otwartych danych.</w:t>
      </w:r>
    </w:p>
    <w:p>
      <w:pPr>
        <w:pStyle w:val="ManualHeading3"/>
        <w:tabs>
          <w:tab w:val="clear" w:pos="850"/>
        </w:tabs>
        <w:spacing w:before="0" w:after="240"/>
        <w:ind w:left="1134" w:hanging="1134"/>
        <w:rPr>
          <w:noProof/>
        </w:rPr>
      </w:pPr>
      <w:r>
        <w:rPr>
          <w:noProof/>
        </w:rPr>
        <w:t xml:space="preserve">Wariant 2b: </w:t>
      </w:r>
      <w:r>
        <w:rPr>
          <w:noProof/>
        </w:rPr>
        <w:tab/>
        <w:t>Zmieniony program, w tym ulepszone wyniki statystyczne, aby dostosować tworzenie statystyk do 10 priorytetów politycznych Komisji, zrównoważony dzięki zdecydowanej zmianie priorytetów (budżet roczny taki sam jak w przypadku obecnego ESP).</w:t>
      </w:r>
    </w:p>
    <w:p>
      <w:pPr>
        <w:pBdr>
          <w:top w:val="nil"/>
          <w:left w:val="nil"/>
          <w:bottom w:val="nil"/>
          <w:right w:val="nil"/>
          <w:between w:val="nil"/>
          <w:bar w:val="nil"/>
        </w:pBdr>
        <w:spacing w:before="0" w:after="240"/>
        <w:rPr>
          <w:noProof/>
        </w:rPr>
      </w:pPr>
      <w:r>
        <w:rPr>
          <w:noProof/>
        </w:rPr>
        <w:t>Wariant ten oznaczałby wyraźną zmianę priorytetów obecnych wyników statystycznych w celu ułatwienia poprawy (w szczególności pod względem aktualności) statystyk zgodnie z najbardziej pilnymi potrzebami użytkownika, zwłaszcza dotyczącymi statystyk w zakresie nierówności, ubóstwa i deprywacji materialnej, energii oraz środowiska. W celu uwzględnienia nowych działań należy znacznie ograniczyć zakres i zasięg pewnych istniejących zbiorów danych (ograniczenie informacji, podziałów geograficznych lub okresowości). Możliwe ograniczenie istniejących wyników byłoby oparte na analizie kosztów i względnych zaletach tych statystyk.</w:t>
      </w:r>
    </w:p>
    <w:p>
      <w:pPr>
        <w:pStyle w:val="ManualHeading3"/>
        <w:tabs>
          <w:tab w:val="clear" w:pos="850"/>
        </w:tabs>
        <w:spacing w:before="0" w:after="240"/>
        <w:ind w:left="1134" w:hanging="1134"/>
        <w:rPr>
          <w:noProof/>
        </w:rPr>
      </w:pPr>
      <w:r>
        <w:rPr>
          <w:noProof/>
        </w:rPr>
        <w:t xml:space="preserve">Wariant 2c: </w:t>
      </w:r>
      <w:r>
        <w:rPr>
          <w:noProof/>
        </w:rPr>
        <w:tab/>
        <w:t>Zmieniony program, z uwzględnieniem nowych wyników statystycznych służących dostosowaniu tworzenia statystyk do 10 priorytetów politycznych Komisji, uzupełniony o istotne inicjatywy mające na celu ograniczenie obciążeń dla respondentów oraz kosztów dla KUS, a także zwiększony roczny budżet.</w:t>
      </w:r>
    </w:p>
    <w:p>
      <w:pPr>
        <w:pBdr>
          <w:top w:val="nil"/>
          <w:left w:val="nil"/>
          <w:bottom w:val="nil"/>
          <w:right w:val="nil"/>
          <w:between w:val="nil"/>
          <w:bar w:val="nil"/>
        </w:pBdr>
        <w:spacing w:before="0"/>
        <w:rPr>
          <w:noProof/>
        </w:rPr>
      </w:pPr>
      <w:r>
        <w:rPr>
          <w:noProof/>
        </w:rPr>
        <w:t>Wariant ten, oprócz istniejących wyników przygotowywanych w ramach obecnego programu, obejmowałby również następujące nowe lub ulepszone opracowania statystyczne (cel 1), przy uwzględnieniu nowych potrzeb użytkowników:</w:t>
      </w:r>
    </w:p>
    <w:p>
      <w:pPr>
        <w:pStyle w:val="Tiret0"/>
        <w:rPr>
          <w:noProof/>
        </w:rPr>
      </w:pPr>
      <w:r>
        <w:rPr>
          <w:noProof/>
        </w:rPr>
        <w:t>zwiększenie aktualności danych dotyczących nierówności, ubóstwa i deprywacji materialnej osób w Europie (uwzględniając tzw. „szybkie szacunki”);</w:t>
      </w:r>
    </w:p>
    <w:p>
      <w:pPr>
        <w:pStyle w:val="Tiret0"/>
        <w:rPr>
          <w:noProof/>
        </w:rPr>
      </w:pPr>
      <w:r>
        <w:rPr>
          <w:noProof/>
        </w:rPr>
        <w:t>tworzenie większej ilości bardziej aktualnej statystyki w zakresie energii (efektywność, bezpieczeństwo, odnawialne źródła energii, spożycie, ceny itd.);</w:t>
      </w:r>
    </w:p>
    <w:p>
      <w:pPr>
        <w:pStyle w:val="Tiret0"/>
        <w:rPr>
          <w:noProof/>
        </w:rPr>
      </w:pPr>
      <w:r>
        <w:rPr>
          <w:noProof/>
        </w:rPr>
        <w:t>poprawa jakości i aktualności danych dotyczących środowiska w celu wsparcia polityki przeciwdziałania zmianie klimatu i gospodarki o obiegu zamkniętym;</w:t>
      </w:r>
    </w:p>
    <w:p>
      <w:pPr>
        <w:pStyle w:val="Tiret0"/>
        <w:rPr>
          <w:noProof/>
        </w:rPr>
      </w:pPr>
      <w:r>
        <w:rPr>
          <w:noProof/>
        </w:rPr>
        <w:t>ocena postępów w zakresie celów zrównoważonego rozwoju ONZ;</w:t>
      </w:r>
    </w:p>
    <w:p>
      <w:pPr>
        <w:pStyle w:val="Tiret0"/>
        <w:rPr>
          <w:noProof/>
        </w:rPr>
      </w:pPr>
      <w:r>
        <w:rPr>
          <w:noProof/>
        </w:rPr>
        <w:t>wsparcie czynników wpływających na rozwój technologii i handel elektroniczny;</w:t>
      </w:r>
    </w:p>
    <w:p>
      <w:pPr>
        <w:pStyle w:val="Tiret0"/>
        <w:rPr>
          <w:noProof/>
        </w:rPr>
      </w:pPr>
      <w:r>
        <w:rPr>
          <w:noProof/>
        </w:rPr>
        <w:t>poprawa corocznych prognoz ludności;</w:t>
      </w:r>
    </w:p>
    <w:p>
      <w:pPr>
        <w:pStyle w:val="Tiret0"/>
        <w:rPr>
          <w:noProof/>
        </w:rPr>
      </w:pPr>
      <w:r>
        <w:rPr>
          <w:noProof/>
        </w:rPr>
        <w:t>rozszerzenie statystyki w zakresie cen domów;</w:t>
      </w:r>
    </w:p>
    <w:p>
      <w:pPr>
        <w:pStyle w:val="Tiret0"/>
        <w:rPr>
          <w:noProof/>
        </w:rPr>
      </w:pPr>
      <w:r>
        <w:rPr>
          <w:noProof/>
        </w:rPr>
        <w:t>rozszerzenie zakresu statystyki dotyczącej sektora usług; oraz</w:t>
      </w:r>
    </w:p>
    <w:p>
      <w:pPr>
        <w:pStyle w:val="Tiret0"/>
        <w:rPr>
          <w:noProof/>
        </w:rPr>
      </w:pPr>
      <w:r>
        <w:rPr>
          <w:noProof/>
        </w:rPr>
        <w:t>ocena stopnia globalizacji.</w:t>
      </w:r>
    </w:p>
    <w:p>
      <w:pPr>
        <w:pBdr>
          <w:top w:val="nil"/>
          <w:left w:val="nil"/>
          <w:bottom w:val="nil"/>
          <w:right w:val="nil"/>
          <w:between w:val="nil"/>
          <w:bar w:val="nil"/>
        </w:pBdr>
        <w:spacing w:before="0"/>
        <w:rPr>
          <w:noProof/>
        </w:rPr>
      </w:pPr>
      <w:r>
        <w:rPr>
          <w:noProof/>
        </w:rPr>
        <w:t xml:space="preserve">Obejmowałby on również nowe inwestycje w infrastrukturę statystyczną w ramach celu 2, które skupiałyby się na: </w:t>
      </w:r>
    </w:p>
    <w:p>
      <w:pPr>
        <w:pStyle w:val="Tiret0"/>
        <w:rPr>
          <w:noProof/>
        </w:rPr>
      </w:pPr>
      <w:r>
        <w:rPr>
          <w:noProof/>
        </w:rPr>
        <w:t>pracach badawczych nad przyszłym unijnym sondażem społecznym w celu znacznego zwiększenia elastyczności wskaźników społecznych, aby zapewnić bardziej terminowe odpowiadanie na nowe potrzeby użytkowników;</w:t>
      </w:r>
    </w:p>
    <w:p>
      <w:pPr>
        <w:pStyle w:val="Tiret0"/>
        <w:rPr>
          <w:noProof/>
        </w:rPr>
      </w:pPr>
      <w:r>
        <w:rPr>
          <w:noProof/>
        </w:rPr>
        <w:t>statystyce na życzenie i rozpowszechnianiu jako usłudze: rozwój zdolności do dostarczania większej liczby lepszej jakości usług w zakresie analizy danych oraz produktów, aby wzmacniać, kształtować i monitorować polityki UE, szczególnie w obszarach konkurencyjności, gospodarki o obiegu zamkniętym, rolnictwa i polityki żywnościowej, a także rozwoju regionalnego;</w:t>
      </w:r>
    </w:p>
    <w:p>
      <w:pPr>
        <w:pStyle w:val="Tiret0"/>
        <w:rPr>
          <w:noProof/>
        </w:rPr>
      </w:pPr>
      <w:r>
        <w:rPr>
          <w:noProof/>
        </w:rPr>
        <w:t>modernizacji, w tym korzystaniu z nowych źródeł: wykorzystaniu potencjału rozwiązań cyfrowych, szczególnie pod względem wprowadzenia nowych źródeł danych (duże zbiory danych, internet rzeczy); oraz</w:t>
      </w:r>
    </w:p>
    <w:p>
      <w:pPr>
        <w:pStyle w:val="Tiret0"/>
        <w:rPr>
          <w:noProof/>
        </w:rPr>
      </w:pPr>
      <w:r>
        <w:rPr>
          <w:noProof/>
        </w:rPr>
        <w:t>podstawowej infrastrukturze i projektach pilotażowych na potrzeby modernizacji: umocnieniu europejskiej infrastruktury statystycznej poprzez projekty oparte na doświadczeniach europejskiego systemu interoperacyjnych statystycznych rejestrów przedsiębiorstw (rejestru EuroGroups) oraz „census hub”; opracowaniu, i rozpowszechnianiu pośród organów statystycznych nowych narzędzi metodologicznych i IT, a także zapewnieniu bardziej powszechnego zastosowania danych administracyjnych i technik łączenia danych.</w:t>
      </w:r>
    </w:p>
    <w:p>
      <w:pPr>
        <w:pStyle w:val="ManualHeading3"/>
        <w:tabs>
          <w:tab w:val="clear" w:pos="850"/>
        </w:tabs>
        <w:spacing w:before="0" w:after="240"/>
        <w:ind w:left="1134" w:hanging="1134"/>
        <w:rPr>
          <w:noProof/>
        </w:rPr>
      </w:pPr>
      <w:r>
        <w:rPr>
          <w:noProof/>
        </w:rPr>
        <w:t xml:space="preserve">Wariant 3: </w:t>
      </w:r>
      <w:r>
        <w:rPr>
          <w:noProof/>
        </w:rPr>
        <w:tab/>
        <w:t>Dwa oddzielne programy</w:t>
      </w:r>
    </w:p>
    <w:p>
      <w:pPr>
        <w:pBdr>
          <w:top w:val="nil"/>
          <w:left w:val="nil"/>
          <w:bottom w:val="nil"/>
          <w:right w:val="nil"/>
          <w:between w:val="nil"/>
          <w:bar w:val="nil"/>
        </w:pBdr>
        <w:spacing w:before="0"/>
        <w:rPr>
          <w:noProof/>
        </w:rPr>
      </w:pPr>
      <w:r>
        <w:rPr>
          <w:noProof/>
        </w:rPr>
        <w:t>Wariant ten jest podobny do wariantu 2b pod względem planowanych celów i działań, lecz skupia się na innym sposobie organizacji pracy: za pośrednictwem dwóch różnych programów, z których jeden uwzględniałby jedynie modernizację:</w:t>
      </w:r>
    </w:p>
    <w:p>
      <w:pPr>
        <w:pStyle w:val="Tiret0"/>
        <w:rPr>
          <w:noProof/>
        </w:rPr>
      </w:pPr>
      <w:r>
        <w:rPr>
          <w:noProof/>
        </w:rPr>
        <w:t>przedłużenie obecnego ESP na lata 2018–2020 i dostosowanie go do harmonogramu WRF, bez aspektu modernizacji (cel 2 obecnego programu);</w:t>
      </w:r>
    </w:p>
    <w:p>
      <w:pPr>
        <w:pStyle w:val="Tiret0"/>
        <w:rPr>
          <w:noProof/>
        </w:rPr>
      </w:pPr>
      <w:r>
        <w:rPr>
          <w:noProof/>
        </w:rPr>
        <w:t>oddzielny program skupiający się na modernizacji i rozwoju europejskiej infrastruktury statystycznej, którego treść odzwierciedlałaby cel 2 wariantu 2b. Nie jest możliwe ustalenie innego harmonogramu dla tego drugiego programu (np. po roku 2020), ponieważ o harmonogramie decydują obowiązujące WRF (aktualne do 2020 r.).</w:t>
      </w:r>
    </w:p>
    <w:p>
      <w:pPr>
        <w:pStyle w:val="ManualHeading3"/>
        <w:spacing w:before="0" w:after="240"/>
        <w:rPr>
          <w:noProof/>
        </w:rPr>
      </w:pPr>
      <w:r>
        <w:rPr>
          <w:noProof/>
        </w:rPr>
        <w:t>Preferowany wariant strategiczny</w:t>
      </w:r>
    </w:p>
    <w:p>
      <w:pPr>
        <w:pBdr>
          <w:top w:val="nil"/>
          <w:left w:val="nil"/>
          <w:bottom w:val="nil"/>
          <w:right w:val="nil"/>
          <w:between w:val="nil"/>
          <w:bar w:val="nil"/>
        </w:pBdr>
        <w:spacing w:before="0" w:after="240"/>
        <w:rPr>
          <w:noProof/>
        </w:rPr>
      </w:pPr>
      <w:r>
        <w:rPr>
          <w:noProof/>
        </w:rPr>
        <w:t>W ocenie skutków rozważono wpływ wariantów na główne zainteresowane grupy na podstawie różnych kryteriów. Wpływ na użytkowników oceniono na podstawie aktualności, przydatności i harmonizacji, a wpływ na producentów statystyk przeanalizowano w oparciu o ograniczenia kosztów oraz poziom wspólnej infrastruktury. Ograniczone obciążenia były głównym kryterium w ocenie wpływu na respondentów. Dodatkowo dla każdego wariantu przeanalizowano wpływ na budżet UE.</w:t>
      </w:r>
    </w:p>
    <w:p>
      <w:pPr>
        <w:pBdr>
          <w:top w:val="nil"/>
          <w:left w:val="nil"/>
          <w:bottom w:val="nil"/>
          <w:right w:val="nil"/>
          <w:between w:val="nil"/>
          <w:bar w:val="nil"/>
        </w:pBdr>
        <w:spacing w:before="0" w:after="240"/>
        <w:rPr>
          <w:noProof/>
        </w:rPr>
      </w:pPr>
      <w:r>
        <w:rPr>
          <w:noProof/>
        </w:rPr>
        <w:t>Zgodnie z wynikami analizy uwzględniającej różne kryteria preferowanym wariantem strategicznym jest wariant 2c. Wariant ten miałby najbardziej pozytywny wpływ na aktualność, a nowe działania skupiałyby się na ulepszonej aktualności statystyk dotyczących nierówności, ubóstwa, deprywacji materialnej, a także energii i środowiska. Oczekuje się znaczne zwiększenie przydatności statystyk dla decydentów w tym wariancie oraz inwestycje w nowych obszarach, ponowne ustalenie priorytetów, działania mające na celu zwiększenie zdolności dostarczania większej liczby i lepszych usług i produktów (np. statystyki na życzenie) oraz poprawę rozpowszechniania.</w:t>
      </w:r>
    </w:p>
    <w:p>
      <w:pPr>
        <w:pBdr>
          <w:top w:val="nil"/>
          <w:left w:val="nil"/>
          <w:bottom w:val="nil"/>
          <w:right w:val="nil"/>
          <w:between w:val="nil"/>
          <w:bar w:val="nil"/>
        </w:pBdr>
        <w:spacing w:before="0" w:after="240"/>
        <w:rPr>
          <w:noProof/>
        </w:rPr>
      </w:pPr>
      <w:r>
        <w:rPr>
          <w:noProof/>
        </w:rPr>
        <w:t xml:space="preserve">Jeżeli chodzi o producentów, wariant 2c pomoże spełnić nowe wymogi związane z celami 1 i 2 dzięki zwiększeniu budżetu ESP, zgodnie z życzeniem głównych zainteresowanych stron. Znaczna część dodatkowego budżetu będzie wydatkowana za pośrednictwem państw członkowskich w drodze dotacji, co umożliwi im większą modernizację systemów produkcji oraz wykorzystanie nowych źródeł danych. </w:t>
      </w:r>
    </w:p>
    <w:p>
      <w:pPr>
        <w:pBdr>
          <w:top w:val="nil"/>
          <w:left w:val="nil"/>
          <w:bottom w:val="nil"/>
          <w:right w:val="nil"/>
          <w:between w:val="nil"/>
          <w:bar w:val="nil"/>
        </w:pBdr>
        <w:spacing w:before="0" w:after="240"/>
        <w:rPr>
          <w:noProof/>
        </w:rPr>
      </w:pPr>
      <w:r>
        <w:rPr>
          <w:noProof/>
        </w:rPr>
        <w:t xml:space="preserve">Zgodnie z oczekiwaniami wariant 2c jeszcze bardziej ograniczy ogólne obciążenie respondentów wśród przedsiębiorstw i obywateli, mimo że większość wyników będzie widoczna jedynie w perspektywie średnioterminowej, ponieważ stosowanie nowych źródeł danych będzie wprowadzane stopniowo i będzie podlegać warunkom lokalnym w państwie członkowskim. </w:t>
      </w:r>
    </w:p>
    <w:p>
      <w:pPr>
        <w:pBdr>
          <w:top w:val="nil"/>
          <w:left w:val="nil"/>
          <w:bottom w:val="nil"/>
          <w:right w:val="nil"/>
          <w:between w:val="nil"/>
          <w:bar w:val="nil"/>
        </w:pBdr>
        <w:spacing w:before="0" w:after="240"/>
        <w:rPr>
          <w:noProof/>
        </w:rPr>
      </w:pPr>
      <w:r>
        <w:rPr>
          <w:noProof/>
        </w:rPr>
        <w:t>Realizacja preferowanego wariantu strategicznego będzie obejmować zwiększenie budżetu operacyjnego przeznaczonego na ESP 2018–2020. W ocenie skutków ustalono, że jedynie dodatkowa inwestycja zapewniłaby przygotowanie nowych wyników statystycznych oraz bardziej aktualnych danych, zgodnie z życzeniem użytkowników, bez ograniczania innych bardzo istotnych statystyk. Co więcej, będą również potrzebne dodatkowe inwestycje w infrastrukturę statystyczną (zarówno w państwach członkowskich, jak i w Eurostacie), aby ułatwić korzystanie z nowych źródeł danych na potrzeby tworzenia informacji statystycznych dostosowanych do potrzeb użytkowników, co ograniczy koszty administracyjne i obciążenie respondentów.</w:t>
      </w:r>
    </w:p>
    <w:p>
      <w:pPr>
        <w:pStyle w:val="ManualHeading3"/>
        <w:spacing w:before="0" w:after="240"/>
        <w:rPr>
          <w:noProof/>
        </w:rPr>
      </w:pPr>
      <w:r>
        <w:rPr>
          <w:noProof/>
        </w:rPr>
        <w:t>Inne skutki</w:t>
      </w:r>
    </w:p>
    <w:p>
      <w:pPr>
        <w:pBdr>
          <w:top w:val="nil"/>
          <w:left w:val="nil"/>
          <w:bottom w:val="nil"/>
          <w:right w:val="nil"/>
          <w:between w:val="nil"/>
          <w:bar w:val="nil"/>
        </w:pBdr>
        <w:spacing w:before="0" w:after="240"/>
        <w:rPr>
          <w:noProof/>
        </w:rPr>
      </w:pPr>
      <w:r>
        <w:rPr>
          <w:noProof/>
        </w:rPr>
        <w:t>Skutki gospodarcze, społeczne i środowiskowe niniejszego wniosku będą miały charakter pośredni. Jeżeli chodzi o gospodarkę, inicjatywa doprowadzi do usprawnienia bazy danych statystycznych (np. dotyczących globalizacji, sektora usług, innowacji) dla polityk, które przyczyniają się do stymulowania i umacniania wzrostu gospodarczego. Dodatkowo przyjęcie niniejszego wniosku zwiększy zdolność oceny społecznych skutków decyzji w zakresie polityki gospodarczej. Przedmiotem szczególnego zainteresowania będzie wpływ na poziom bezrobocia/zatrudnienia, tendencje w obszarze ubóstwa oraz rynek pracy ogółem. Zwiększona aktualność wskaźników społecznych, w połączeniu z obecnymi wskaźnikami makroekonomicznymi, umożliwi bardziej zintegrowaną i skuteczną analizę decyzji. Jeżeli chodzi o środowisko, przyjęcie wniosku będzie stanowić ułatwienie dla polityk, które przyczyniają się do zrównoważonego wzrostu gospodarczego, dzięki zapewnieniu ulepszonej statystyki dotyczącej energii i środowiska.</w:t>
      </w:r>
    </w:p>
    <w:p>
      <w:pPr>
        <w:pStyle w:val="ManualHeading2"/>
        <w:spacing w:before="0" w:after="240"/>
        <w:rPr>
          <w:rFonts w:eastAsia="Arial Unicode MS"/>
          <w:noProof/>
          <w:u w:color="000000"/>
          <w:bdr w:val="nil"/>
        </w:rPr>
      </w:pPr>
      <w:r>
        <w:rPr>
          <w:noProof/>
        </w:rPr>
        <w:t>•</w:t>
      </w:r>
      <w:r>
        <w:rPr>
          <w:noProof/>
        </w:rPr>
        <w:tab/>
        <w:t>Sprawność regulacyjna i uproszczenie</w:t>
      </w:r>
    </w:p>
    <w:p>
      <w:pPr>
        <w:pBdr>
          <w:top w:val="nil"/>
          <w:left w:val="nil"/>
          <w:bottom w:val="nil"/>
          <w:right w:val="nil"/>
          <w:between w:val="nil"/>
          <w:bar w:val="nil"/>
        </w:pBdr>
        <w:spacing w:before="0" w:after="240"/>
        <w:rPr>
          <w:noProof/>
        </w:rPr>
      </w:pPr>
      <w:r>
        <w:rPr>
          <w:noProof/>
        </w:rPr>
        <w:t>Ponieważ ESP to inicjatywa horyzontalna, nie stanowi on części komisyjnego programu sprawności i wydajności regulacyjnej (REFIT). Komisja wdrożyła jednak trzy inicjatywy REFIT w szczegółowych obszarach statystyki w dziedzinie rolnictwa, społeczeństwa i przedsiębiorstw. Zaprojektowano je w taki sposób, aby stanowiły uzupełnienie starań modernizacyjnych przewidzianych w ramach niniejszej inicjatywy poprzez uproszczenie i usprawnienie fragmentarycznych przepisów dotyczących statystyki w zakresie rolnictwa, sondaży społecznych dotyczących osób fizycznych i gospodarstw domowych, a także statystyk w dziedzinie przedsiębiorstw, a także, aby zwiększyły skuteczność i elastyczność gromadzenia danych oraz sprawiły, by proces ten był mniej uciążliwy dla respondentów. Inicjatywy te mogą jednak zostać wprowadzone w życie tylko w perspektywie średnio- do długoterminowej i przekroczą ramy czasowe przedłużonego programu.</w:t>
      </w:r>
    </w:p>
    <w:p>
      <w:pPr>
        <w:pStyle w:val="ManualHeading2"/>
        <w:spacing w:before="0" w:after="240"/>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1"/>
        <w:spacing w:before="0" w:after="240"/>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Całkowita kwota poniesiona przez budżet UE na rzecz przedłużenia programu (2018–2020) wynosi 218,1 mln EUR (ceny bieżące).</w:t>
      </w:r>
    </w:p>
    <w:p>
      <w:pPr>
        <w:pBdr>
          <w:top w:val="nil"/>
          <w:left w:val="nil"/>
          <w:bottom w:val="nil"/>
          <w:right w:val="nil"/>
          <w:between w:val="nil"/>
          <w:bar w:val="nil"/>
        </w:pBdr>
        <w:spacing w:before="0" w:after="240"/>
        <w:rPr>
          <w:rFonts w:eastAsia="Arial Unicode MS"/>
          <w:noProof/>
        </w:rPr>
      </w:pPr>
      <w:r>
        <w:rPr>
          <w:noProof/>
        </w:rPr>
        <w:t>Szczegółowy wpływ na budżet przedstawiono w ocenie skutków finansowych regulacji.</w:t>
      </w:r>
    </w:p>
    <w:p>
      <w:pPr>
        <w:pStyle w:val="ManualHeading1"/>
        <w:spacing w:before="0" w:after="240"/>
        <w:rPr>
          <w:noProof/>
        </w:rPr>
      </w:pPr>
      <w:r>
        <w:rPr>
          <w:noProof/>
        </w:rPr>
        <w:t>5.</w:t>
      </w:r>
      <w:r>
        <w:rPr>
          <w:noProof/>
        </w:rPr>
        <w:tab/>
        <w:t>ELEMENTY FAKULTATYWNE</w:t>
      </w:r>
    </w:p>
    <w:p>
      <w:pPr>
        <w:pStyle w:val="ManualHeading2"/>
        <w:spacing w:before="0" w:after="240"/>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noProof/>
        </w:rPr>
      </w:pPr>
      <w:r>
        <w:rPr>
          <w:noProof/>
        </w:rPr>
        <w:t xml:space="preserve">Na mocy zmienionego art. 15 ust. 3 do dnia 31 grudnia 2021 r. i po zasięgnięciu opinii Komitetu ds. ESS oraz Europejskiego Komitetu Doradczego ds. Statystyki Komisja przedłoży Parlamentowi Europejskiemu i Radzie końcowe sprawozdanie z oceny realizacji programu. Opisana procedura zostanie przeprowadzona zgodnie z wytycznymi Komisji. </w:t>
      </w:r>
    </w:p>
    <w:p>
      <w:pPr>
        <w:pBdr>
          <w:top w:val="nil"/>
          <w:left w:val="nil"/>
          <w:bottom w:val="nil"/>
          <w:right w:val="nil"/>
          <w:between w:val="nil"/>
          <w:bar w:val="nil"/>
        </w:pBdr>
        <w:spacing w:before="0" w:after="240"/>
        <w:rPr>
          <w:noProof/>
        </w:rPr>
      </w:pPr>
      <w:r>
        <w:rPr>
          <w:noProof/>
        </w:rPr>
        <w:t>Korzystając z doświadczenia zdobytego w związku z przeglądem śródokresowym ESP 2013–2017, Eurostat rozpoczął łączenie działań w ramach rocznego programu prac ze 114 wskaźnikami w ESP. Działanie to będzie miało dwa pozytywne skutki: ułatwi przyszłe oceny oraz umożliwi automatyczne monitorowanie każdego roku pod względem realizacji wszystkich wskaźników ESP.</w:t>
      </w:r>
    </w:p>
    <w:p>
      <w:pPr>
        <w:pStyle w:val="ManualHeading2"/>
        <w:spacing w:before="0" w:after="240"/>
        <w:rPr>
          <w:rFonts w:eastAsia="Arial Unicode MS"/>
          <w:noProof/>
          <w:u w:color="000000"/>
          <w:bdr w:val="nil"/>
        </w:rPr>
      </w:pPr>
      <w:r>
        <w:rPr>
          <w:noProof/>
        </w:rPr>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spacing w:before="0" w:after="240"/>
        <w:rPr>
          <w:rFonts w:eastAsia="Arial Unicode MS"/>
          <w:noProof/>
          <w:u w:color="000000"/>
          <w:bdr w:val="nil"/>
        </w:rPr>
      </w:pPr>
      <w:r>
        <w:rPr>
          <w:noProof/>
        </w:rPr>
        <w:t>•</w:t>
      </w:r>
      <w:r>
        <w:rPr>
          <w:noProof/>
        </w:rPr>
        <w:tab/>
        <w:t>Szczegółowe omówienie wniosku</w:t>
      </w:r>
    </w:p>
    <w:p>
      <w:pPr>
        <w:pBdr>
          <w:top w:val="nil"/>
          <w:left w:val="nil"/>
          <w:bottom w:val="nil"/>
          <w:right w:val="nil"/>
          <w:between w:val="nil"/>
          <w:bar w:val="nil"/>
        </w:pBdr>
        <w:spacing w:before="0" w:after="240"/>
        <w:rPr>
          <w:rFonts w:eastAsia="Arial Unicode MS"/>
          <w:noProof/>
        </w:rPr>
      </w:pPr>
      <w:r>
        <w:rPr>
          <w:noProof/>
        </w:rPr>
        <w:t>Wniosek dotyczy zmiany ESP 2013–2017 poprzez dodanie nowych wyników statystycznych w celu dostosowania tworzenia statystyk do 10 priorytetów politycznych Komisji oraz uzupełnienie go o istotne inicjatywy na rzecz modernizacji metod tworzenia statystyk i ograniczenia obciążenia respondentów oraz kosztów dla KUS.</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2016/0265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Parlamentu Europejskiego i Rady (UE) nr 99/2013</w:t>
      </w:r>
      <w:r>
        <w:rPr>
          <w:noProof/>
        </w:rPr>
        <w:br/>
        <w:t>w sprawie Europejskiego programu statystycznego 2013–2017 poprzez przedłużenie go</w:t>
      </w:r>
      <w:r>
        <w:rPr>
          <w:noProof/>
        </w:rPr>
        <w:br/>
        <w:t>na lata 2018–2020</w:t>
      </w:r>
    </w:p>
    <w:p>
      <w:pPr>
        <w:pStyle w:val="IntrtEEE"/>
        <w:rPr>
          <w:noProof/>
        </w:rPr>
      </w:pPr>
      <w:r>
        <w:rPr>
          <w:noProof/>
        </w:rPr>
        <w:t>(Tekst mający znaczenie dla EOG i Szwajcarii)</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338 ust. 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9"/>
      </w:r>
      <w:r>
        <w:rPr>
          <w:noProof/>
        </w:rPr>
        <w:t>,</w:t>
      </w:r>
    </w:p>
    <w:p>
      <w:pPr>
        <w:rPr>
          <w:noProof/>
        </w:rPr>
      </w:pPr>
      <w:r>
        <w:rPr>
          <w:noProof/>
        </w:rPr>
        <w:t>uwzględniając opinię Komitetu Regionów</w:t>
      </w:r>
      <w:r>
        <w:rPr>
          <w:rStyle w:val="FootnoteReference"/>
          <w:noProof/>
        </w:rPr>
        <w:footnoteReference w:id="10"/>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Wiarygodne i adekwatne dowody oparte na statystykach europejskich są absolutnie konieczne do pomiaru postępów i oceny skuteczności polityki i programów Unii, szczególnie w kontekście strategii „Europa 2020” oraz programu na rzecz zatrudnienia, wzrostu, sprawiedliwości oraz zmian demokratycznych.</w:t>
      </w:r>
    </w:p>
    <w:p>
      <w:pPr>
        <w:pStyle w:val="ManualConsidrant"/>
        <w:rPr>
          <w:noProof/>
        </w:rPr>
      </w:pPr>
      <w:r>
        <w:t>(2)</w:t>
      </w:r>
      <w:r>
        <w:tab/>
      </w:r>
      <w:r>
        <w:rPr>
          <w:noProof/>
        </w:rPr>
        <w:t>Na mocy rozporządzenia Parlamentu Europejskiego i Rady (WE) nr 223/2009</w:t>
      </w:r>
      <w:r>
        <w:rPr>
          <w:rStyle w:val="FootnoteReference"/>
          <w:noProof/>
        </w:rPr>
        <w:footnoteReference w:id="11"/>
      </w:r>
      <w:r>
        <w:rPr>
          <w:noProof/>
        </w:rPr>
        <w:t xml:space="preserve"> celem Europejskiego programu statystycznego jest zapewnienie ram w zakresie opracowywania, tworzenia i rozpowszechniania statystyki europejskiej, przy jednoczesnym wyznaczeniu głównych dziedzin i celów przewidywanych działań na okres odpowiadający okresowi wieloletnich ram finansowych.</w:t>
      </w:r>
    </w:p>
    <w:p>
      <w:pPr>
        <w:pStyle w:val="ManualConsidrant"/>
        <w:rPr>
          <w:noProof/>
        </w:rPr>
      </w:pPr>
      <w:r>
        <w:t>(3)</w:t>
      </w:r>
      <w:r>
        <w:tab/>
      </w:r>
      <w:r>
        <w:rPr>
          <w:noProof/>
        </w:rPr>
        <w:t>Rozporządzenie Parlamentu Europejskiego i Rady (UE) nr 99/2013</w:t>
      </w:r>
      <w:r>
        <w:rPr>
          <w:rStyle w:val="FootnoteReference"/>
          <w:noProof/>
        </w:rPr>
        <w:footnoteReference w:id="12"/>
      </w:r>
      <w:r>
        <w:rPr>
          <w:noProof/>
        </w:rPr>
        <w:t xml:space="preserve"> obejmuje tylko okres od 2013 r. do 2017 r., podczas gdy obecne wieloletnie ramy finansowe sięgają roku 2020. Należy zatem wprowadzić w nich zmiany, aby przedłużyć Europejski program statystyczny do 2020 r.</w:t>
      </w:r>
    </w:p>
    <w:p>
      <w:pPr>
        <w:pStyle w:val="ManualConsidrant"/>
        <w:rPr>
          <w:noProof/>
        </w:rPr>
      </w:pPr>
      <w:r>
        <w:t>(4)</w:t>
      </w:r>
      <w:r>
        <w:tab/>
      </w:r>
      <w:r>
        <w:rPr>
          <w:noProof/>
        </w:rPr>
        <w:t>W kontekście lepszego stanowienia prawa polityka Unii powinna być w zwiększonym stopniu kształtowana i monitorowana na podstawie solidnych dowodów. Statystyka europejska odgrywa w tym obszarze istotną rolę i może przynieść wymierną zmianę, szczególnie w tych obszarach polityki, w których elastyczność ma ogromne znaczenie dla powodzenia.</w:t>
      </w:r>
    </w:p>
    <w:p>
      <w:pPr>
        <w:pStyle w:val="ManualConsidrant"/>
        <w:rPr>
          <w:noProof/>
        </w:rPr>
      </w:pPr>
      <w:r>
        <w:t>(5)</w:t>
      </w:r>
      <w:r>
        <w:tab/>
      </w:r>
      <w:r>
        <w:rPr>
          <w:noProof/>
        </w:rPr>
        <w:t>Lepsza statystyka ma zatem zasadnicze znaczenie dla osiągnięcia lepszych rezultatów i przyczynienia się do stworzenia „lepszej Europy”; należy dołożyć większych starań, aby zwiększyć inwestycje w statystykę publiczną zarówno na szczeblu europejskim, jak i krajowym. Powinno to zapewnić wytyczne w priorytetowych obszarach polityki oraz na rzecz budowania zdolności jako uzupełnienie obecnych wytycznych i zmiany priorytetów na bieżąco. W szczególności należy podjąć działania, aby uzupełnić te luki statystyczne, które wymagają najbardziej pilnego podjęcia działań, zwiększyć aktualność oraz wesprzeć priorytety polityczne i koordynację polityki gospodarczej za pośrednictwem europejskiego semestru. Komisja (Eurostat) powinna również przedstawić nowe prognozy ludności w ścisłej współpracy z krajowymi urzędami statystycznymi, aby uaktualnić analizę wpływu starzenia się społeczeństwa na gospodarkę i budżet.</w:t>
      </w:r>
    </w:p>
    <w:p>
      <w:pPr>
        <w:pStyle w:val="ManualConsidrant"/>
        <w:rPr>
          <w:noProof/>
        </w:rPr>
      </w:pPr>
      <w:r>
        <w:t>(6)</w:t>
      </w:r>
      <w:r>
        <w:tab/>
      </w:r>
      <w:r>
        <w:rPr>
          <w:noProof/>
        </w:rPr>
        <w:t>Należy kontynuować opracowywanie eksperymentalnych sprawozdań w zakresie ekosystemu oraz statystyk dotyczących zmiany klimatu, w tym tych istotnych dla przystosowania się do zmiany klimatu i „śladów”, szczególnie celem wsparcia wprowadzania w życie porozumienia klimatycznego z Paryża z 2015 r. oraz agendy na rzecz zrównoważonego rozwoju 2030. Europejska unia energetyczna i ramy polityki klimatyczno-energetycznej do roku 2030, których celem jest zwiększenie konkurencyjności, bezpieczeństwa i zrównoważonego charakteru gospodarki i systemu energetycznego Unii, będą wymagać nowych statystyk dotyczących zużycia energii, efektywności energetycznej, energii odnawialnych, zależności energetycznej i bezpieczeństwa dostaw energii.</w:t>
      </w:r>
    </w:p>
    <w:p>
      <w:pPr>
        <w:pStyle w:val="ManualConsidrant"/>
        <w:rPr>
          <w:noProof/>
        </w:rPr>
      </w:pPr>
      <w:r>
        <w:t>(7)</w:t>
      </w:r>
      <w:r>
        <w:tab/>
      </w:r>
      <w:r>
        <w:rPr>
          <w:noProof/>
        </w:rPr>
        <w:t>Przedłużenie programu jest okazją do dokonania dostosowań i odzwierciedlenia nowych tendencji, do uzupełnienia istniejących celów i bieżącego ustalania priorytetów.</w:t>
      </w:r>
    </w:p>
    <w:p>
      <w:pPr>
        <w:pStyle w:val="ManualConsidrant"/>
        <w:rPr>
          <w:noProof/>
        </w:rPr>
      </w:pPr>
      <w:r>
        <w:t>(8)</w:t>
      </w:r>
      <w:r>
        <w:tab/>
      </w:r>
      <w:r>
        <w:rPr>
          <w:noProof/>
        </w:rPr>
        <w:t>Odpowiednie zwiększenie budżetu przeznaczonego na statystykę na szczeblu UE powinno ułatwić wprowadzenie tych zmian w programie i przynieść istotną wartość dodaną i rezultaty dzięki projektom na wielką skalę, strukturalnym efektom mnożnikowym i korzyściom skali dla systemów statystycznych we wszystkich państwach członkowskich.</w:t>
      </w:r>
    </w:p>
    <w:p>
      <w:pPr>
        <w:pStyle w:val="ManualConsidrant"/>
        <w:rPr>
          <w:noProof/>
        </w:rPr>
      </w:pPr>
      <w:r>
        <w:t>(9)</w:t>
      </w:r>
      <w:r>
        <w:tab/>
      </w:r>
      <w:r>
        <w:rPr>
          <w:noProof/>
        </w:rPr>
        <w:t>W rozporządzeniu ustanawia się pulę środków finansowych na potrzeby przedłużenia Europejskiego programu statystycznego na lata 2018–2020. Ma ona stanowić główną kwotę odniesienia, w rozumieniu pkt 17 Porozumienia międzyinstytucjonalnego pomiędzy Parlamentem Europejskim, Radą i Komisją</w:t>
      </w:r>
      <w:r>
        <w:rPr>
          <w:rStyle w:val="FootnoteReference"/>
          <w:noProof/>
        </w:rPr>
        <w:footnoteReference w:id="13"/>
      </w:r>
      <w:r>
        <w:rPr>
          <w:noProof/>
        </w:rPr>
        <w:t>, w trakcie rocznej procedury budżetowej.</w:t>
      </w:r>
    </w:p>
    <w:p>
      <w:pPr>
        <w:pStyle w:val="ManualConsidrant"/>
        <w:rPr>
          <w:noProof/>
        </w:rPr>
      </w:pPr>
      <w:r>
        <w:t>(10)</w:t>
      </w:r>
      <w:r>
        <w:tab/>
      </w:r>
      <w:r>
        <w:rPr>
          <w:noProof/>
        </w:rPr>
        <w:t>Ponieważ cel niniejszego rozporządzenia, mianowicie przedłużenie Europejskiego programu statystycznego na lata 2018–2020, nie może zostać osiągnięty w wystarczającym stopniu przez państwa członkowskie, natomiast możliwe jest pełniejsze jego osiągnięcie na szczeblu Unii, Unia może przyjąć środki zgodnie z zasadą pomocniczości określoną w art. 5 Traktatu o Unii Europejskiej. Zgodnie z zasadą proporcjonalności określoną w tym artykule niniejsze rozporządzenie nie wykracza poza to, co jest konieczne do osiągnięcia tego celu.</w:t>
      </w:r>
    </w:p>
    <w:p>
      <w:pPr>
        <w:pStyle w:val="ManualConsidrant"/>
        <w:rPr>
          <w:noProof/>
        </w:rPr>
      </w:pPr>
      <w:r>
        <w:t>(11)</w:t>
      </w:r>
      <w:r>
        <w:tab/>
      </w:r>
      <w:r>
        <w:rPr>
          <w:noProof/>
        </w:rPr>
        <w:t>Zgodnie z rozporządzeniem (WE) nr 223/2009 projekt wniosku w sprawie przedłużenia Europejskiego Programu Statystycznego na lata 2018–2020 został przedstawiony do wstępnej analizy Komitetowi ds. Europejskiego Systemu Statystycznego, Europejskiemu Komitetowi Doradczemu ds. Statystyki, ustanowionemu na mocy decyzji Parlamentu Europejskiego i Rady nr 234/2008/WE</w:t>
      </w:r>
      <w:r>
        <w:rPr>
          <w:rStyle w:val="FootnoteReference"/>
          <w:noProof/>
        </w:rPr>
        <w:footnoteReference w:id="14"/>
      </w:r>
      <w:r>
        <w:rPr>
          <w:rStyle w:val="FootnoteReference"/>
          <w:noProof/>
        </w:rPr>
        <w:t xml:space="preserve"> </w:t>
      </w:r>
      <w:r>
        <w:rPr>
          <w:noProof/>
        </w:rPr>
        <w:t>, oraz Komitetowi ds. Statystyki Walutowej, Finansowej i Bilansu Płatniczego, ustanowionemu na mocy decyzji Rady 2006/856/WE</w:t>
      </w:r>
      <w:r>
        <w:rPr>
          <w:rStyle w:val="FootnoteReference"/>
          <w:noProof/>
        </w:rPr>
        <w:footnoteReference w:id="15"/>
      </w:r>
      <w:r>
        <w:rPr>
          <w:noProof/>
        </w:rPr>
        <w:t>.</w:t>
      </w:r>
    </w:p>
    <w:p>
      <w:pPr>
        <w:pStyle w:val="ManualConsidrant"/>
        <w:rPr>
          <w:noProof/>
        </w:rPr>
      </w:pPr>
      <w:r>
        <w:t>(12)</w:t>
      </w:r>
      <w:r>
        <w:tab/>
      </w:r>
      <w:r>
        <w:rPr>
          <w:noProof/>
        </w:rPr>
        <w:t>Należy zatem odpowiednio zmienić rozporządzenie (UE) nr 99/2013,</w:t>
      </w:r>
    </w:p>
    <w:p>
      <w:pPr>
        <w:pStyle w:val="Formuledadoption"/>
        <w:rPr>
          <w:noProof/>
        </w:rPr>
      </w:pPr>
      <w:r>
        <w:rPr>
          <w:noProof/>
        </w:rPr>
        <w:t>PRZYJMUJĄ NINIEJSZE ROZPORZĄDZENIE:</w:t>
      </w:r>
    </w:p>
    <w:p>
      <w:pPr>
        <w:pStyle w:val="Titrearticle"/>
        <w:rPr>
          <w:noProof/>
        </w:rPr>
      </w:pPr>
      <w:r>
        <w:rPr>
          <w:noProof/>
        </w:rPr>
        <w:t>Artykuł 1</w:t>
      </w:r>
    </w:p>
    <w:p>
      <w:pPr>
        <w:rPr>
          <w:noProof/>
        </w:rPr>
      </w:pPr>
      <w:r>
        <w:rPr>
          <w:noProof/>
        </w:rPr>
        <w:t>W rozporządzeniu (WE) nr 99/2013 wprowadza się następujące zmiany:</w:t>
      </w:r>
    </w:p>
    <w:p>
      <w:pPr>
        <w:pStyle w:val="Point0"/>
        <w:rPr>
          <w:noProof/>
        </w:rPr>
      </w:pPr>
      <w:r>
        <w:rPr>
          <w:noProof/>
        </w:rPr>
        <w:t>1)</w:t>
      </w:r>
      <w:r>
        <w:rPr>
          <w:noProof/>
        </w:rPr>
        <w:tab/>
        <w:t>w art. 1 dodaje się ustęp w brzmieniu:</w:t>
      </w:r>
    </w:p>
    <w:p>
      <w:pPr>
        <w:rPr>
          <w:noProof/>
        </w:rPr>
      </w:pPr>
      <w:r>
        <w:rPr>
          <w:noProof/>
        </w:rPr>
        <w:t>„Program przedłuża się na okres od 2018 r. do 2020 r.”;</w:t>
      </w:r>
    </w:p>
    <w:p>
      <w:pPr>
        <w:pStyle w:val="Point0"/>
        <w:rPr>
          <w:noProof/>
        </w:rPr>
      </w:pPr>
      <w:r>
        <w:rPr>
          <w:noProof/>
        </w:rPr>
        <w:t>2)</w:t>
      </w:r>
      <w:r>
        <w:rPr>
          <w:noProof/>
        </w:rPr>
        <w:tab/>
        <w:t xml:space="preserve">w art. 7 ust. 1 dodaje się następujący ustęp: </w:t>
      </w:r>
    </w:p>
    <w:p>
      <w:pPr>
        <w:ind w:left="1134"/>
        <w:rPr>
          <w:noProof/>
        </w:rPr>
      </w:pPr>
      <w:r>
        <w:rPr>
          <w:noProof/>
        </w:rPr>
        <w:t>„Pulę środków finansowych Unii na realizację programu na lata 2018–2020 ustala się w kwocie 218,1 mln EUR objętych okresem programowania 2014–2020.”;</w:t>
      </w:r>
    </w:p>
    <w:p>
      <w:pPr>
        <w:pStyle w:val="Point0"/>
        <w:rPr>
          <w:noProof/>
        </w:rPr>
      </w:pPr>
      <w:r>
        <w:rPr>
          <w:noProof/>
        </w:rPr>
        <w:t>3)</w:t>
      </w:r>
      <w:r>
        <w:rPr>
          <w:noProof/>
        </w:rPr>
        <w:tab/>
        <w:t>art. 13 otrzymuje brzmienie:</w:t>
      </w:r>
    </w:p>
    <w:p>
      <w:pPr>
        <w:ind w:left="1134"/>
        <w:rPr>
          <w:noProof/>
        </w:rPr>
      </w:pPr>
      <w:r>
        <w:rPr>
          <w:noProof/>
        </w:rPr>
        <w:t>„Ochrona interesów finansowych Unii</w:t>
      </w:r>
    </w:p>
    <w:p>
      <w:pPr>
        <w:ind w:left="1134"/>
        <w:rPr>
          <w:noProof/>
        </w:rPr>
      </w:pPr>
      <w:r>
        <w:rPr>
          <w:noProof/>
        </w:rPr>
        <w:t>1. Komisja przyjmuje odpowiednie środki zapewniające, w trakcie realizacji działań finansowanych na podstawie niniejszego rozporządzenia, ochronę interesów finansowych Unii poprzez stosowanie środków zapobiegania nadużyciom finansowym, korupcji i innym bezprawnym działaniom, poprzez spójne i skuteczne kontrole oraz, w razie wykrycia nieprawidłowości, poprzez odzyskiwanie kwot nienależnie wypłaconych oraz, w stosownych przypadkach, poprzez skuteczne, proporcjonalne i odstraszające kary administracyjne i finansowe.</w:t>
      </w:r>
    </w:p>
    <w:p>
      <w:pPr>
        <w:ind w:left="1134"/>
        <w:rPr>
          <w:noProof/>
        </w:rPr>
      </w:pPr>
      <w:r>
        <w:rPr>
          <w:noProof/>
        </w:rPr>
        <w:t>2. Komisja oraz Trybunał Obrachunkowy lub ich przedstawiciele są uprawnieni do przeprowadzania audytów, na podstawie dokumentacji oraz poprzez kontrole na miejscu, wobec wszystkich beneficjentów dotacji, wykonawców, podwykonawców i osób trzecich, którzy bezpośrednio lub pośrednio otrzymali w ramach programu unijne środki.</w:t>
      </w:r>
    </w:p>
    <w:p>
      <w:pPr>
        <w:ind w:left="1134"/>
        <w:rPr>
          <w:noProof/>
        </w:rPr>
      </w:pPr>
      <w:r>
        <w:rPr>
          <w:noProof/>
        </w:rPr>
        <w:t>3. Europejski Urząd ds. Zwalczania Nadużyć Finansowych (OLAF) może przeprowadzać kontrole i inspekcje na miejscu u podmiotów gospodarczych, których takie finansowanie bezpośrednio lub pośrednio dotyczy, zgodnie z procedurami określonymi w rozporządzeniu Parlamentu Europejskiego i Rady (UE, Euratom) nr 883/2013</w:t>
      </w:r>
      <w:r>
        <w:rPr>
          <w:rStyle w:val="FootnoteReference"/>
          <w:noProof/>
        </w:rPr>
        <w:footnoteReference w:id="16"/>
      </w:r>
      <w:r>
        <w:rPr>
          <w:noProof/>
        </w:rPr>
        <w:t xml:space="preserve"> oraz w rozporządzeniu Rady (Euratom, WE) nr 2185/96</w:t>
      </w:r>
      <w:r>
        <w:rPr>
          <w:rStyle w:val="FootnoteReference"/>
          <w:noProof/>
        </w:rPr>
        <w:footnoteReference w:id="17"/>
      </w:r>
      <w:r>
        <w:rPr>
          <w:noProof/>
        </w:rPr>
        <w:t>, w celu ustalenia, czy miały miejsce nadużycie finansowe, korupcja lub jakiekolwiek inne nielegalne działanie, naruszające interesy finansowe Unii, w związku z umową o udzielenie dotacji, decyzją o udzieleniu dotacji lub zamówieniem finansowanym, bezpośrednio lub pośrednio, w ramach niniejszego rozporządzenia.</w:t>
      </w:r>
    </w:p>
    <w:p>
      <w:pPr>
        <w:ind w:left="1134"/>
        <w:rPr>
          <w:noProof/>
        </w:rPr>
      </w:pPr>
      <w:r>
        <w:rPr>
          <w:noProof/>
        </w:rPr>
        <w:t>4. W umowach o współpracy z państwami trzecimi i organizacjami międzynarodowymi, umowach o udzielenie dotacji, decyzjach o udzieleniu dotacji i zamówieniach wynikających z wdrożenia niniejszego rozporządzenia wyraźnie upoważnia się Komisję, Trybunał Obrachunkowy i OLAF do prowadzenia takich audytów, kontroli i inspekcji na miejscu.</w:t>
      </w:r>
    </w:p>
    <w:p>
      <w:pPr>
        <w:ind w:left="1134"/>
        <w:rPr>
          <w:noProof/>
        </w:rPr>
      </w:pPr>
      <w:r>
        <w:rPr>
          <w:noProof/>
        </w:rPr>
        <w:t>5. W przypadku gdy realizację działania zlecono na zewnątrz lub podzlecono w całości lub w części lub gdy realizacja działania wymaga udzielenia zamówienia publicznego lub udzielenia wsparcia finansowanego osobie trzeciej, w zamówieniu, umowie o udzielenie dotacji lub decyzji o udzieleniu dotacji przewiduje się zobowiązanie wykonawcy lub beneficjenta do uzyskania od każdej zaangażowanej osoby trzeciej wyraźnej akceptacji wspomnianych uprawnień Komisji, Trybunału Obrachunkowego i OLAF.</w:t>
      </w:r>
    </w:p>
    <w:p>
      <w:pPr>
        <w:ind w:left="1134"/>
        <w:rPr>
          <w:noProof/>
        </w:rPr>
      </w:pPr>
      <w:r>
        <w:rPr>
          <w:noProof/>
        </w:rPr>
        <w:t>6. Ustępy 4 i 5 stosuje się, nie naruszając przepisów ustępów 1, 2 i 3.”;</w:t>
      </w:r>
    </w:p>
    <w:p>
      <w:pPr>
        <w:pStyle w:val="Point0"/>
        <w:rPr>
          <w:noProof/>
        </w:rPr>
      </w:pPr>
      <w:r>
        <w:rPr>
          <w:noProof/>
        </w:rPr>
        <w:t>4)</w:t>
      </w:r>
      <w:r>
        <w:rPr>
          <w:noProof/>
        </w:rPr>
        <w:tab/>
        <w:t>art. 15 ust. 3 otrzymuje brzmienie:</w:t>
      </w:r>
    </w:p>
    <w:p>
      <w:pPr>
        <w:ind w:left="1134"/>
        <w:rPr>
          <w:noProof/>
        </w:rPr>
      </w:pPr>
      <w:r>
        <w:rPr>
          <w:noProof/>
        </w:rPr>
        <w:t>„Do dnia 31 grudnia 2021 r. i po zasięgnięciu opinii Komitetu ds. ESS oraz Europejskiego Komitetu Doradczego ds. Statystyki Komisja przedkłada Parlamentowi Europejskiemu i Radzie końcowe sprawozdanie z oceny realizacji programu.”;</w:t>
      </w:r>
    </w:p>
    <w:p>
      <w:pPr>
        <w:pStyle w:val="Point0"/>
        <w:rPr>
          <w:noProof/>
        </w:rPr>
      </w:pPr>
      <w:r>
        <w:rPr>
          <w:noProof/>
        </w:rPr>
        <w:t>5)</w:t>
      </w:r>
      <w:r>
        <w:rPr>
          <w:noProof/>
        </w:rPr>
        <w:tab/>
        <w:t>w załączniku wprowadza się zmiany określone w załączniku do niniejszego rozporządzenia.</w:t>
      </w:r>
    </w:p>
    <w:p>
      <w:pPr>
        <w:pStyle w:val="Titrearticle"/>
        <w:rPr>
          <w:noProof/>
        </w:rPr>
      </w:pPr>
      <w:r>
        <w:rPr>
          <w:noProof/>
        </w:rPr>
        <w:t>Artykuł 2</w:t>
      </w:r>
    </w:p>
    <w:p>
      <w:pPr>
        <w:rPr>
          <w:noProof/>
        </w:rPr>
      </w:pPr>
      <w:r>
        <w:rPr>
          <w:noProof/>
        </w:rPr>
        <w:t xml:space="preserve">Niniejsze rozporządzenie wchodzi w życie z dniem jego opublikowania w </w:t>
      </w:r>
      <w:r>
        <w:rPr>
          <w:i/>
          <w:noProof/>
        </w:rPr>
        <w:t>Dzienniku Urzędowym Unii Europejskiej</w:t>
      </w:r>
      <w:r>
        <w:rPr>
          <w:noProof/>
        </w:rPr>
        <w:t>.</w:t>
      </w:r>
    </w:p>
    <w:p>
      <w:pPr>
        <w:rPr>
          <w:noProof/>
        </w:rPr>
      </w:pPr>
      <w:r>
        <w:rPr>
          <w:noProof/>
        </w:rPr>
        <w:t>Niniejsze rozporządzenie stosuje się od dnia 1 stycznia 2018 r.</w:t>
      </w:r>
    </w:p>
    <w:p>
      <w:pPr>
        <w:pStyle w:val="Applicationdirecte"/>
        <w:keepNext/>
        <w:keepLines/>
        <w:rPr>
          <w:noProof/>
        </w:rPr>
      </w:pPr>
      <w:r>
        <w:rPr>
          <w:noProof/>
        </w:rPr>
        <w:t>Niniejsze rozporządzenie wiąże w całości i jest bezpośrednio stosowane we wszystkich państwach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OCENA SKUTKÓW FINANSOWYCH REGULACJI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Okres trwania działania i jego wpływ finansowy </w:t>
      </w:r>
    </w:p>
    <w:p>
      <w:pPr>
        <w:pStyle w:val="ManualHeading2"/>
        <w:rPr>
          <w:b w:val="0"/>
          <w:noProof/>
        </w:rPr>
      </w:pPr>
      <w:r>
        <w:rPr>
          <w:noProof/>
        </w:rPr>
        <w:tab/>
      </w:r>
      <w:r>
        <w:rPr>
          <w:b w:val="0"/>
          <w:noProof/>
        </w:rPr>
        <w:t>1.7.</w:t>
      </w:r>
      <w:r>
        <w:rPr>
          <w:noProof/>
        </w:rPr>
        <w:tab/>
      </w:r>
      <w:r>
        <w:rPr>
          <w:b w:val="0"/>
          <w:noProof/>
        </w:rPr>
        <w:t xml:space="preserve">Przewidywane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pPr>
        <w:jc w:val="center"/>
        <w:rPr>
          <w:noProof/>
        </w:rPr>
      </w:pPr>
      <w:r>
        <w:rPr>
          <w:b/>
          <w:noProof/>
          <w:u w:val="single"/>
        </w:rPr>
        <w:t>OCENA SKUTKÓW FINANSOWYCH REGULACJI</w:t>
      </w:r>
    </w:p>
    <w:p>
      <w:pPr>
        <w:pStyle w:val="ManualHeading1"/>
        <w:rPr>
          <w:noProof/>
        </w:rPr>
      </w:pPr>
      <w:r>
        <w:t>1.</w:t>
      </w:r>
      <w:r>
        <w:tab/>
      </w:r>
      <w:r>
        <w:rPr>
          <w:noProof/>
        </w:rPr>
        <w:t xml:space="preserve">STRUKTURA WNIOSKU/INICJATYWY </w:t>
      </w:r>
    </w:p>
    <w:p>
      <w:pPr>
        <w:pStyle w:val="ManualHeading2"/>
        <w:rPr>
          <w:noProof/>
        </w:rPr>
      </w:pPr>
      <w:r>
        <w:t>1.1.</w:t>
      </w:r>
      <w:r>
        <w:tab/>
      </w:r>
      <w:r>
        <w:rPr>
          <w:noProof/>
        </w:rPr>
        <w:t xml:space="preserve">Tytuł wniosku/inicjatywy </w:t>
      </w:r>
    </w:p>
    <w:p>
      <w:pPr>
        <w:pStyle w:val="Text1"/>
        <w:pBdr>
          <w:top w:val="single" w:sz="4" w:space="1" w:color="auto"/>
          <w:left w:val="single" w:sz="4" w:space="4" w:color="auto"/>
          <w:bottom w:val="single" w:sz="4" w:space="1" w:color="auto"/>
          <w:right w:val="single" w:sz="4" w:space="4" w:color="auto"/>
        </w:pBdr>
        <w:rPr>
          <w:noProof/>
        </w:rPr>
      </w:pPr>
      <w:r>
        <w:rPr>
          <w:noProof/>
        </w:rPr>
        <w:t>Wniosek w sprawie rozporządzenia dotyczącego zmiany rozporządzenia Parlamentu Europejskiego i Rady (UE) nr 99/2013 w sprawie Europejskiego programu statystycznego 2013–2017 poprzez przedłużenie go na lata 2018–2020.</w:t>
      </w:r>
    </w:p>
    <w:p>
      <w:pPr>
        <w:pStyle w:val="ManualHeading2"/>
        <w:rPr>
          <w:noProof/>
          <w:szCs w:val="24"/>
        </w:rPr>
      </w:pPr>
      <w:r>
        <w:t>1.2.</w:t>
      </w:r>
      <w:r>
        <w:tab/>
      </w:r>
      <w:r>
        <w:rPr>
          <w:noProof/>
        </w:rPr>
        <w:t>Dziedziny polityki w strukturze ABM/ABB, których dotyczy wniosek/inicjatywa</w:t>
      </w:r>
      <w:r>
        <w:rPr>
          <w:rStyle w:val="FootnoteReference"/>
          <w:noProof/>
        </w:rPr>
        <w:footnoteReference w:id="1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29 Statystyka (29 01 – Wsparcie administracyjne dla obszaru polityki „Statystyka”; 29 02 – Europejski program statystyczny)</w:t>
      </w:r>
    </w:p>
    <w:p>
      <w:pPr>
        <w:pStyle w:val="ManualHeading2"/>
        <w:rPr>
          <w:bCs/>
          <w:noProof/>
          <w:szCs w:val="24"/>
        </w:rPr>
      </w:pPr>
      <w:r>
        <w:t>1.3.</w:t>
      </w:r>
      <w:r>
        <w:tab/>
      </w:r>
      <w:r>
        <w:rPr>
          <w:noProof/>
        </w:rPr>
        <w:t xml:space="preserve">Charakter wniosku/inicjatywy </w:t>
      </w:r>
    </w:p>
    <w:p>
      <w:pPr>
        <w:pStyle w:val="Text1"/>
        <w:rPr>
          <w:b/>
          <w:noProof/>
          <w:sz w:val="22"/>
        </w:rPr>
      </w:pPr>
      <w:r>
        <w:rPr>
          <w:noProof/>
          <w:sz w:val="22"/>
        </w:rPr>
        <w:sym w:font="Wingdings" w:char="F0A8"/>
      </w:r>
      <w:r>
        <w:rPr>
          <w:b/>
          <w:i/>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 / działania przygotowawczego</w:t>
      </w:r>
      <w:r>
        <w:rPr>
          <w:rStyle w:val="FootnoteReference"/>
          <w:b/>
          <w:noProof/>
        </w:rPr>
        <w:footnoteReference w:id="19"/>
      </w:r>
      <w:r>
        <w:rPr>
          <w:noProof/>
          <w:sz w:val="22"/>
        </w:rPr>
        <w:t xml:space="preserve"> </w:t>
      </w:r>
    </w:p>
    <w:p>
      <w:pPr>
        <w:pStyle w:val="Text1"/>
        <w:rPr>
          <w:noProof/>
          <w:sz w:val="22"/>
        </w:rPr>
      </w:pPr>
      <w:r>
        <w:rPr>
          <w:noProof/>
          <w:sz w:val="22"/>
        </w:rPr>
        <w:sym w:font="Wingdings" w:char="F0FD"/>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t>1.4.</w:t>
      </w:r>
      <w:r>
        <w:tab/>
      </w:r>
      <w:r>
        <w:rPr>
          <w:noProof/>
        </w:rPr>
        <w:t>Cel(e)</w:t>
      </w:r>
    </w:p>
    <w:p>
      <w:pPr>
        <w:pStyle w:val="ManualHeading3"/>
        <w:rPr>
          <w:noProof/>
        </w:rPr>
      </w:pPr>
      <w:r>
        <w:t>1.4.1.</w:t>
      </w:r>
      <w:r>
        <w:tab/>
      </w:r>
      <w:r>
        <w:rPr>
          <w:noProof/>
        </w:rPr>
        <w:t xml:space="preserve">Wieloletnie cele strategiczne Komisji wskazane we wniosku/inicjatywie </w:t>
      </w:r>
    </w:p>
    <w:p>
      <w:pPr>
        <w:pStyle w:val="Text1"/>
        <w:pBdr>
          <w:top w:val="single" w:sz="4" w:space="1" w:color="auto"/>
          <w:left w:val="single" w:sz="4" w:space="4" w:color="auto"/>
          <w:bottom w:val="single" w:sz="4" w:space="1" w:color="auto"/>
          <w:right w:val="single" w:sz="4" w:space="4" w:color="auto"/>
        </w:pBdr>
        <w:rPr>
          <w:noProof/>
        </w:rPr>
      </w:pPr>
      <w:r>
        <w:rPr>
          <w:noProof/>
        </w:rPr>
        <w:t>Wniosek jest spójny z priorytetami Unii Europejskiej, ponieważ statystyki opracowywane, tworzone i rozpowszechniane w ramach Europejskiego programu statystycznego (ESP) przyczynią się do wdrożenia takich polityk UE, jak strategia „Europa 2020” na rzecz inteligentnego i zrównoważonego wzrostu sprzyjającego włączeniu społecznemu i inne polityki, które uwzględniono w 10 priorytetach strategicznych Komisji na lata 2014–2019 (tj. program na rzecz zatrudnienia, wzrostu, sprawiedliwości oraz zmian demokratycznych).</w:t>
      </w:r>
    </w:p>
    <w:p>
      <w:pPr>
        <w:pStyle w:val="ManualHeading3"/>
        <w:rPr>
          <w:bCs/>
          <w:noProof/>
          <w:szCs w:val="24"/>
        </w:rPr>
      </w:pPr>
      <w:r>
        <w:t>1.4.2.</w:t>
      </w:r>
      <w:r>
        <w:tab/>
      </w:r>
      <w:r>
        <w:rPr>
          <w:noProof/>
        </w:rPr>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rPr>
          <w:noProof/>
        </w:rPr>
      </w:pPr>
      <w:r>
        <w:rPr>
          <w:noProof/>
        </w:rPr>
        <w:t>Cele szczegółowe nr 1 i 4:</w:t>
      </w:r>
    </w:p>
    <w:p>
      <w:pPr>
        <w:pStyle w:val="Text1"/>
        <w:pBdr>
          <w:top w:val="single" w:sz="4" w:space="1" w:color="auto"/>
          <w:left w:val="single" w:sz="4" w:space="4" w:color="auto"/>
          <w:bottom w:val="single" w:sz="4" w:space="1" w:color="auto"/>
          <w:right w:val="single" w:sz="4" w:space="4" w:color="auto"/>
        </w:pBdr>
        <w:rPr>
          <w:noProof/>
        </w:rPr>
      </w:pPr>
      <w:r>
        <w:rPr>
          <w:noProof/>
        </w:rPr>
        <w:t>terminowe dostarczanie informacji statystycznych, aby wspierać opracowywanie, monitorowanie i ocenę polityk Unii odpowiednio odzwierciedlających priorytety, utrzymując równowagę między obszarami gospodarczymi, społecznymi i środowiskowymi oraz zaspokajając potrzeby szerokiego kręgu użytkowników statystyki europejskiej, w tym innych decydentów, badaczy, przedsiębiorców i wszystkich obywateli Europy, w sposób racjonalny pod względem kosztów bez niepotrzebnego powielania działań.</w:t>
      </w:r>
    </w:p>
    <w:p>
      <w:pPr>
        <w:pStyle w:val="Text1"/>
        <w:pBdr>
          <w:top w:val="single" w:sz="4" w:space="1" w:color="auto"/>
          <w:left w:val="single" w:sz="4" w:space="4" w:color="auto"/>
          <w:bottom w:val="single" w:sz="4" w:space="1" w:color="auto"/>
          <w:right w:val="single" w:sz="4" w:space="4" w:color="auto"/>
        </w:pBdr>
        <w:rPr>
          <w:noProof/>
        </w:rPr>
      </w:pPr>
      <w:r>
        <w:rPr>
          <w:noProof/>
        </w:rPr>
        <w:t>Zapewnienie spójnego dostarczania takich statystyk podczas całego okresu trwania programu, pod warunkiem że nie zakłóca to mechanizmów określania priorytetów Europejskiego Systemu Statystycznego (ESS).</w:t>
      </w:r>
    </w:p>
    <w:p>
      <w:pPr>
        <w:pStyle w:val="Text1"/>
        <w:pBdr>
          <w:top w:val="single" w:sz="4" w:space="1" w:color="auto"/>
          <w:left w:val="single" w:sz="4" w:space="4" w:color="auto"/>
          <w:bottom w:val="single" w:sz="4" w:space="1" w:color="auto"/>
          <w:right w:val="single" w:sz="4" w:space="4" w:color="auto"/>
        </w:pBdr>
        <w:rPr>
          <w:noProof/>
        </w:rPr>
      </w:pPr>
      <w:r>
        <w:rPr>
          <w:noProof/>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3403 — Tworzenie informacji statystycznych</w:t>
      </w:r>
    </w:p>
    <w:p>
      <w:pPr>
        <w:pStyle w:val="Text1"/>
        <w:pBdr>
          <w:top w:val="single" w:sz="4" w:space="1" w:color="auto"/>
          <w:left w:val="single" w:sz="4" w:space="4" w:color="auto"/>
          <w:bottom w:val="single" w:sz="4" w:space="1" w:color="auto"/>
          <w:right w:val="single" w:sz="4" w:space="4" w:color="auto"/>
        </w:pBdr>
        <w:rPr>
          <w:noProof/>
        </w:rPr>
      </w:pPr>
      <w:r>
        <w:rPr>
          <w:noProof/>
        </w:rPr>
        <w:t>Cel szczegółowy nr 2:</w:t>
      </w:r>
    </w:p>
    <w:p>
      <w:pPr>
        <w:pStyle w:val="Text1"/>
        <w:pBdr>
          <w:top w:val="single" w:sz="4" w:space="1" w:color="auto"/>
          <w:left w:val="single" w:sz="4" w:space="4" w:color="auto"/>
          <w:bottom w:val="single" w:sz="4" w:space="1" w:color="auto"/>
          <w:right w:val="single" w:sz="4" w:space="4" w:color="auto"/>
        </w:pBdr>
        <w:rPr>
          <w:noProof/>
        </w:rPr>
      </w:pPr>
      <w:r>
        <w:rPr>
          <w:noProof/>
        </w:rPr>
        <w:t>wdrażanie nowych metod tworzenia statystyki europejskiej w celu poprawy wydajności i jakości.</w:t>
      </w:r>
    </w:p>
    <w:p>
      <w:pPr>
        <w:pStyle w:val="Text1"/>
        <w:pBdr>
          <w:top w:val="single" w:sz="4" w:space="1" w:color="auto"/>
          <w:left w:val="single" w:sz="4" w:space="4" w:color="auto"/>
          <w:bottom w:val="single" w:sz="4" w:space="1" w:color="auto"/>
          <w:right w:val="single" w:sz="4" w:space="4" w:color="auto"/>
        </w:pBdr>
        <w:rPr>
          <w:noProof/>
        </w:rPr>
      </w:pPr>
      <w:r>
        <w:rPr>
          <w:noProof/>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3403 — Tworzenie informacji statystycznych;</w:t>
      </w:r>
      <w:r>
        <w:rPr>
          <w:noProof/>
        </w:rPr>
        <w:tab/>
      </w:r>
      <w:r>
        <w:rPr>
          <w:noProof/>
        </w:rPr>
        <w:br/>
        <w:t>3480 — Wsparcie administracyjne dla Eurostatu;</w:t>
      </w:r>
      <w:r>
        <w:rPr>
          <w:noProof/>
        </w:rPr>
        <w:tab/>
      </w:r>
      <w:r>
        <w:rPr>
          <w:noProof/>
        </w:rPr>
        <w:br/>
        <w:t>3481 — Strategia i koordynacja polityki dla Eurostatu</w:t>
      </w:r>
    </w:p>
    <w:p>
      <w:pPr>
        <w:pStyle w:val="Text1"/>
        <w:pBdr>
          <w:top w:val="single" w:sz="4" w:space="1" w:color="auto"/>
          <w:left w:val="single" w:sz="4" w:space="4" w:color="auto"/>
          <w:bottom w:val="single" w:sz="4" w:space="1" w:color="auto"/>
          <w:right w:val="single" w:sz="4" w:space="4" w:color="auto"/>
        </w:pBdr>
        <w:rPr>
          <w:noProof/>
        </w:rPr>
      </w:pPr>
      <w:r>
        <w:rPr>
          <w:noProof/>
        </w:rPr>
        <w:t>Cel szczegółowy nr 3:</w:t>
      </w:r>
    </w:p>
    <w:p>
      <w:pPr>
        <w:pStyle w:val="Text1"/>
        <w:pBdr>
          <w:top w:val="single" w:sz="4" w:space="1" w:color="auto"/>
          <w:left w:val="single" w:sz="4" w:space="4" w:color="auto"/>
          <w:bottom w:val="single" w:sz="4" w:space="1" w:color="auto"/>
          <w:right w:val="single" w:sz="4" w:space="4" w:color="auto"/>
        </w:pBdr>
        <w:rPr>
          <w:noProof/>
        </w:rPr>
      </w:pPr>
      <w:r>
        <w:rPr>
          <w:noProof/>
        </w:rPr>
        <w:t>Umacnianie partnerstwa wewnątrz Europejskiego Systemu Statystycznego i poza nim, aby zwiększać jego wydajność i wspierać jego wiodącą rolę w statystyce publicznej na świecie.</w:t>
      </w:r>
    </w:p>
    <w:p>
      <w:pPr>
        <w:pStyle w:val="Text1"/>
        <w:pBdr>
          <w:top w:val="single" w:sz="4" w:space="1" w:color="auto"/>
          <w:left w:val="single" w:sz="4" w:space="4" w:color="auto"/>
          <w:bottom w:val="single" w:sz="4" w:space="1" w:color="auto"/>
          <w:right w:val="single" w:sz="4" w:space="4" w:color="auto"/>
        </w:pBdr>
        <w:rPr>
          <w:noProof/>
        </w:rPr>
      </w:pPr>
      <w:r>
        <w:rPr>
          <w:noProof/>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3481 — Strategia i koordynacja polityki dla Eurostatu</w:t>
      </w:r>
    </w:p>
    <w:p>
      <w:pPr>
        <w:pStyle w:val="Text1"/>
        <w:pBdr>
          <w:top w:val="single" w:sz="4" w:space="1" w:color="auto"/>
          <w:left w:val="single" w:sz="4" w:space="4" w:color="auto"/>
          <w:bottom w:val="single" w:sz="4" w:space="1" w:color="auto"/>
          <w:right w:val="single" w:sz="4" w:space="4" w:color="auto"/>
        </w:pBdr>
        <w:rPr>
          <w:noProof/>
        </w:rPr>
      </w:pPr>
      <w:r>
        <w:rPr>
          <w:noProof/>
        </w:rPr>
        <w:t>Bardziej szczegółowe cele przedstawiono w rocznych programach prac Komisji w dziedzinie statystyki.</w:t>
      </w:r>
    </w:p>
    <w:p>
      <w:pPr>
        <w:pStyle w:val="ManualHeading3"/>
        <w:rPr>
          <w:bCs/>
          <w:noProof/>
          <w:szCs w:val="24"/>
        </w:rPr>
      </w:pPr>
      <w:r>
        <w:rPr>
          <w:noProof/>
        </w:rPr>
        <w:br w:type="page"/>
      </w:r>
      <w:r>
        <w:t>1.4.3.</w:t>
      </w:r>
      <w:r>
        <w:tab/>
      </w:r>
      <w:r>
        <w:rPr>
          <w:noProof/>
        </w:rPr>
        <w:t>Oczekiwane wyniki i wpływ</w:t>
      </w:r>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Inicjatywa ta ma na celu stworzenie ram legislacyjnych dla ESP na czas trwania wieloletnich ram finansowych (MFF) oraz zapewnienie ESS wsparcia finansowego niezbędnego, aby system ten był w stanie: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zapewniać użytkownikom wysokiej jakości informacje statystyczne oraz wypełnić luki statystyczne, które należy zlikwidować jak najszybciej, kładąc nacisk na szereg obszarów priorytetowych odzwierciedlających 10 politycznych priorytetów Komisji;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umożliwiać producentom statystyki publicznej stworzenie stałej zdolności niezbędnej, aby szybciej odpowiadać na pojawiające się potrzeby oraz dostosowywać infrastrukturę statystyczną w celu wykorzystania potencjału nowych źródeł danych;</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jeszcze bardziej ograniczyć obciążenie respondentów (przedsiębiorstw i osób fizycznych) poprzez zwiększenie efektywności i wydajności ESS; oraz</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umacniać partnerstwo wewnątrz ESS i poza nim, aby zwiększyć jego wydajność i wspierać jego wiodącą rolę w statystyce publicznej na świecie.</w:t>
      </w:r>
    </w:p>
    <w:p>
      <w:pPr>
        <w:pStyle w:val="ManualHeading3"/>
        <w:rPr>
          <w:bCs/>
          <w:noProof/>
          <w:szCs w:val="24"/>
        </w:rPr>
      </w:pPr>
      <w:r>
        <w:t>1.4.4.</w:t>
      </w:r>
      <w:r>
        <w:tab/>
      </w:r>
      <w:r>
        <w:rPr>
          <w:noProof/>
        </w:rPr>
        <w:t xml:space="preserve">Wskaźniki wyników i wpływu </w:t>
      </w:r>
    </w:p>
    <w:p>
      <w:pPr>
        <w:pStyle w:val="Text1"/>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rPr>
          <w:noProof/>
        </w:rPr>
      </w:pPr>
      <w:r>
        <w:rPr>
          <w:noProof/>
        </w:rPr>
        <w:t>Następujące kluczowe wskaźniki efektywności są określone w oświadczeniu dotyczącym programu oraz w planach zarządzania, a także uwzględniane w rocznych sprawozdaniach z działalności (2013–2017) ESP; większość z nich będzie również wykorzystywana do monitorowania wdrażania przedłużenia programu na lata 2018–2020:</w:t>
      </w:r>
    </w:p>
    <w:p>
      <w:pPr>
        <w:pStyle w:val="Text1"/>
        <w:pBdr>
          <w:top w:val="single" w:sz="4" w:space="1" w:color="auto"/>
          <w:left w:val="single" w:sz="4" w:space="4" w:color="auto"/>
          <w:bottom w:val="single" w:sz="4" w:space="1" w:color="auto"/>
          <w:right w:val="single" w:sz="4" w:space="4" w:color="auto"/>
        </w:pBdr>
        <w:rPr>
          <w:noProof/>
        </w:rPr>
      </w:pPr>
      <w:r>
        <w:rPr>
          <w:noProof/>
        </w:rPr>
        <w:t>wskaźniki postrzegania przez użytkowników (źródło: coroczne badanie zadowolenia użytkowników przeprowadzone przez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1.</w:t>
      </w:r>
      <w:r>
        <w:rPr>
          <w:noProof/>
        </w:rPr>
        <w:tab/>
        <w:t>odsetek użytkowników oceniających ogólną jakość danych zapewnianych przez Eurostat i świadczonych przez niego usług jako „bardzo wysoką” lub „wysoką”;</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2.</w:t>
      </w:r>
      <w:r>
        <w:rPr>
          <w:noProof/>
        </w:rPr>
        <w:tab/>
        <w:t>odsetek użytkowników oceniających ogólną jakość statystyk europejskich jako „bardzo wysoką” lub „wysoką”;</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3.</w:t>
      </w:r>
      <w:r>
        <w:rPr>
          <w:noProof/>
        </w:rPr>
        <w:tab/>
        <w:t>odsetek użytkowników oceniających aktualność statystyk europejskich dla swoich potrzeb jako „bardzo dobrą” lub „dobrą”;</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4.</w:t>
      </w:r>
      <w:r>
        <w:rPr>
          <w:noProof/>
        </w:rPr>
        <w:tab/>
        <w:t>odsetek użytkowników oceniających porównywalność statystyk europejskich pomiędzy regionami i krajami jako „bardzo dobrą” lub „dobrą”;</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wskaźniki faktyczne: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5.</w:t>
      </w:r>
      <w:r>
        <w:rPr>
          <w:noProof/>
        </w:rPr>
        <w:tab/>
        <w:t>liczba pobrań danych (w mln) przez użytkowników zewnętrznych z publicznych baz danych Eurostatu za pośrednictwem strony internetowej Eurostatu (źródło: sprawozdania monitorujące z rozpowszechniania danych drogą elektroniczną przez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6.</w:t>
      </w:r>
      <w:r>
        <w:rPr>
          <w:noProof/>
        </w:rPr>
        <w:tab/>
        <w:t>terminowość doboru próby danych statystycznych: średnia liczba dni doboru próby z wyprzedzeniem (pozytywny) lub z opóźnieniem (negatywny) w porównaniu z celem prawnym. Próbę dobiera się z podstawowych europejskich wskaźników gospodarczych (źródło: roczne sprawozdanie podsumowujące Eurostatu z wymogów informacyjnych w UGW, przedstawione Komitetowi Ekonomiczno-Finansowemu) oraz handlu zagranicznego UE (źródło: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7.</w:t>
      </w:r>
      <w:r>
        <w:rPr>
          <w:noProof/>
        </w:rPr>
        <w:tab/>
        <w:t>długość szeregów czasowych próby danych statystycznych (eurowskaźniki – serie aktywne – źródło: baza danych Eurostatu).</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Wskaźniki oparte na samoocenie (jeden dla każdego celu):</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8.</w:t>
      </w:r>
      <w:r>
        <w:rPr>
          <w:noProof/>
        </w:rPr>
        <w:tab/>
        <w:t>Stopień realizacji każdego celu szczegółowego, mierzony jako odsetek realizacji powiązanych działań/wyników (źródło: monitorowanie przeprowadzane dwa razy w roku).</w:t>
      </w:r>
    </w:p>
    <w:p>
      <w:pPr>
        <w:pStyle w:val="Text1"/>
        <w:pBdr>
          <w:top w:val="single" w:sz="4" w:space="1" w:color="auto"/>
          <w:left w:val="single" w:sz="4" w:space="4" w:color="auto"/>
          <w:bottom w:val="single" w:sz="4" w:space="1" w:color="auto"/>
          <w:right w:val="single" w:sz="4" w:space="4" w:color="auto"/>
        </w:pBdr>
        <w:rPr>
          <w:noProof/>
        </w:rPr>
      </w:pPr>
      <w:r>
        <w:rPr>
          <w:noProof/>
        </w:rPr>
        <w:t>Do celów monitorowania i wdrożenia przedłużenia programu na lata 2018–2020 zostaną wprowadzone następujące ulepszenia:</w:t>
      </w:r>
    </w:p>
    <w:p>
      <w:pPr>
        <w:pStyle w:val="Text1"/>
        <w:pBdr>
          <w:top w:val="single" w:sz="4" w:space="1" w:color="auto"/>
          <w:left w:val="single" w:sz="4" w:space="4" w:color="auto"/>
          <w:bottom w:val="single" w:sz="4" w:space="1" w:color="auto"/>
          <w:right w:val="single" w:sz="4" w:space="4" w:color="auto"/>
        </w:pBdr>
        <w:rPr>
          <w:noProof/>
        </w:rPr>
      </w:pPr>
      <w:r>
        <w:rPr>
          <w:noProof/>
        </w:rPr>
        <w:t>jeden ze wskaźników „postrzegania przez użytkowników” (nr od 1 do 4), które są oparte na unikalnym źródle i nie są jednoznacznie związane z programem lub budżetem Eurostatu, zostanie usunięty (nr 2).</w:t>
      </w:r>
    </w:p>
    <w:p>
      <w:pPr>
        <w:pStyle w:val="Text1"/>
        <w:pBdr>
          <w:top w:val="single" w:sz="4" w:space="1" w:color="auto"/>
          <w:left w:val="single" w:sz="4" w:space="4" w:color="auto"/>
          <w:bottom w:val="single" w:sz="4" w:space="1" w:color="auto"/>
          <w:right w:val="single" w:sz="4" w:space="4" w:color="auto"/>
        </w:pBdr>
        <w:rPr>
          <w:noProof/>
        </w:rPr>
      </w:pPr>
      <w:r>
        <w:rPr>
          <w:noProof/>
        </w:rPr>
        <w:t>Obecny wskaźnik nr 7 dotyczący długości szeregów czasowych próby danych statystycznych zostanie zastąpiony bardziej obszernym wskaźnikiem, który będzie obejmował wszystkie dziedziny statystyki i uwzględniał zapewnianie szeregów „zastępczych” dla przerwanych szeregów czasowych (na przykład z powodu zmiany metodyki). Wspomniana nowa wersja wskaźnika będzie mocno związana z celami programu i będzie pozostawała pod bezpośrednim lub znacznym wpływem budżetu UE.</w:t>
      </w:r>
    </w:p>
    <w:p>
      <w:pPr>
        <w:pStyle w:val="Text1"/>
        <w:pBdr>
          <w:top w:val="single" w:sz="4" w:space="1" w:color="auto"/>
          <w:left w:val="single" w:sz="4" w:space="4" w:color="auto"/>
          <w:bottom w:val="single" w:sz="4" w:space="1" w:color="auto"/>
          <w:right w:val="single" w:sz="4" w:space="4" w:color="auto"/>
        </w:pBdr>
        <w:rPr>
          <w:noProof/>
        </w:rPr>
      </w:pPr>
      <w:r>
        <w:rPr>
          <w:noProof/>
        </w:rPr>
        <w:t>Zostanie wprowadzony dodatkowy wskaźnik do mierzenia liczby różnych „statystyk” (tj. wskaźników, podwskaźników, podziałów, jednostek itd.) udostępnionych użytkownikom (w całości i dla głównych dziedzin statystyki, na które w największym stopniu wpłynie przedłużenie ESP, np. statystyka społeczna i środowiskowa). Wskaźnik ten można uzupełnić o liczbę punktów / wartości danych / danych liczbowych. Podstawowa różnica między oboma wskaźnikami polega na tym, że drugi z nich zwiększa się również za każdym razem, gdy udostępnianych jest więcej nowych danych liczbowych, a pierwszy zwiększa się jedynie wtedy, gdy tworzone są nowe rodzaje statystyk. Wspomniane nowe wskaźniki będą mocno powiązane z celami programu i będą pozostawały pod bezpośrednim lub znacznym wpływem budżetu UE.</w:t>
      </w:r>
    </w:p>
    <w:p>
      <w:pPr>
        <w:pStyle w:val="Text1"/>
        <w:pBdr>
          <w:top w:val="single" w:sz="4" w:space="1" w:color="auto"/>
          <w:left w:val="single" w:sz="4" w:space="4" w:color="auto"/>
          <w:bottom w:val="single" w:sz="4" w:space="1" w:color="auto"/>
          <w:right w:val="single" w:sz="4" w:space="4" w:color="auto"/>
        </w:pBdr>
        <w:rPr>
          <w:noProof/>
        </w:rPr>
      </w:pPr>
      <w:r>
        <w:rPr>
          <w:noProof/>
        </w:rPr>
        <w:t>Przeanalizowana zostanie również możliwość zdefiniowania ulepszonego wskaźnika aktualności oraz opracowanie procedury IT do obliczania go na podstawie danych dostępnych w publicznych bazach danych Eurostatu. Jeżeli możliwe będzie wdrożenie takiego wskaźnika aktualności, zastąpi on obecny wskaźnik nr 3.</w:t>
      </w:r>
    </w:p>
    <w:p>
      <w:pPr>
        <w:pStyle w:val="ManualHeading2"/>
        <w:rPr>
          <w:bCs/>
          <w:noProof/>
          <w:szCs w:val="24"/>
        </w:rPr>
      </w:pPr>
      <w:r>
        <w:t>1.5.</w:t>
      </w:r>
      <w:r>
        <w:tab/>
      </w:r>
      <w:r>
        <w:rPr>
          <w:noProof/>
        </w:rPr>
        <w:t xml:space="preserve">Uzasadnienie wniosku/inicjatywy </w:t>
      </w:r>
    </w:p>
    <w:p>
      <w:pPr>
        <w:pStyle w:val="ManualHeading3"/>
        <w:rPr>
          <w:noProof/>
        </w:rPr>
      </w:pPr>
      <w:r>
        <w:t>1.5.1.</w:t>
      </w:r>
      <w:r>
        <w:tab/>
      </w:r>
      <w:r>
        <w:rPr>
          <w:noProof/>
        </w:rPr>
        <w:t xml:space="preserve">Potrzeby, które mają zostać zaspokojone w perspektywie krótko- lub długoterminowej </w:t>
      </w:r>
    </w:p>
    <w:p>
      <w:pPr>
        <w:pStyle w:val="Text1"/>
        <w:pBdr>
          <w:top w:val="single" w:sz="4" w:space="1" w:color="auto"/>
          <w:left w:val="single" w:sz="4" w:space="4" w:color="auto"/>
          <w:bottom w:val="single" w:sz="4" w:space="1" w:color="auto"/>
          <w:right w:val="single" w:sz="4" w:space="4" w:color="auto"/>
        </w:pBdr>
        <w:rPr>
          <w:noProof/>
        </w:rPr>
      </w:pPr>
      <w:r>
        <w:rPr>
          <w:noProof/>
        </w:rPr>
        <w:t>Zgodnie z art. 13 ust. 1 rozporządzenia (WE) nr 223/2009 ESP ma zapewniać ramy w zakresie opracowywania, tworzenia i rozpowszechniania statystyki europejskiej, wyznaczając główne dziedziny i cele przewidywanych działań na okres odpowiadający okresowi WRF. W ESP określa się priorytety dotyczące potrzeb w zakresie informacji niezbędnych do prowadzenia działań UE i ustanawia budżet przeznaczonego na ich realizację. W związku z tym, że obecny ESP kończy się w 2017 r., należy go przedłużyć na lata 2018–2020.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Istnieje duże zapotrzebowanie na statystykę publiczną w porównaniu z innymi źródłami informacji, ponieważ tego rodzaju statystyka jest tworzona i rozpowszechniana zgodnie ze szczegółowymi zasadami i kryteriami jakości, w związku z czym reprezentuje wartość dodaną dla użytkowników. Należy uzupełnić szereg luk statystycznych, aby statystyka mogła zapewnić większe wsparcie przy realizacji polityki UE. Konieczne jest pilne zwiększenie aktualności niektórych statystyk, aby zapewnić informacje niezbędne na potrzeby europejskiego semestru. Zapotrzebowanie na statystykę wynikające z 10 priorytetów politycznych Komisji oraz zwiększającej się złożoności społeczeństw podaje w wątpliwość przydatność obecnej statystyki europejskiej. </w:t>
      </w:r>
    </w:p>
    <w:p>
      <w:pPr>
        <w:pStyle w:val="Text1"/>
        <w:pBdr>
          <w:top w:val="single" w:sz="4" w:space="1" w:color="auto"/>
          <w:left w:val="single" w:sz="4" w:space="4" w:color="auto"/>
          <w:bottom w:val="single" w:sz="4" w:space="1" w:color="auto"/>
          <w:right w:val="single" w:sz="4" w:space="4" w:color="auto"/>
        </w:pBdr>
        <w:rPr>
          <w:noProof/>
        </w:rPr>
      </w:pPr>
      <w:r>
        <w:rPr>
          <w:noProof/>
        </w:rPr>
        <w:t>Mimo że krajowe systemy statystyczne podjęły znaczące starania, aby unowocześnić swoje metody tworzenia statystyk przy wsparciu ESP 2013–2017, obecna infrastruktura tworzenia statystyk nie jest wystarczająco elastyczna, by w razie potrzeby zapewnić nowe statystyki, przy jednoczesnym ograniczeniu powiązanych kosztów i obciążenia administracyjnego. Jeżeli obecny poziom inwestycji nie zostanie zwiększony, ESS nie będzie w stanie zaspokoić rosnącego zapotrzebowania na statystyki ani odpowiedzieć na potrzebę ich szybszego udostępniania.</w:t>
      </w:r>
    </w:p>
    <w:p>
      <w:pPr>
        <w:pStyle w:val="Text1"/>
        <w:pBdr>
          <w:top w:val="single" w:sz="4" w:space="1" w:color="auto"/>
          <w:left w:val="single" w:sz="4" w:space="4" w:color="auto"/>
          <w:bottom w:val="single" w:sz="4" w:space="1" w:color="auto"/>
          <w:right w:val="single" w:sz="4" w:space="4" w:color="auto"/>
        </w:pBdr>
        <w:rPr>
          <w:noProof/>
        </w:rPr>
      </w:pPr>
      <w:r>
        <w:rPr>
          <w:noProof/>
        </w:rPr>
        <w:t>Strony, na które niniejszy wniosek wywrze najbardziej bezpośredni wpływ, to użytkownicy statystyk (np. decydenci, przedsiębiorstwa, media, badacze i ogół społeczeństwa na szczeblu UE i na szczeblu krajowym), producenci statystyk (krajowe urzędy statystyczne i inne organy krajowe), a także respondenci (gospodarstwa domowe i przedsiębiorstwa).</w:t>
      </w:r>
    </w:p>
    <w:p>
      <w:pPr>
        <w:pStyle w:val="ManualHeading3"/>
        <w:rPr>
          <w:bCs/>
          <w:noProof/>
          <w:szCs w:val="24"/>
        </w:rPr>
      </w:pPr>
      <w:r>
        <w:t>1.5.2.</w:t>
      </w:r>
      <w:r>
        <w:tab/>
      </w:r>
      <w:r>
        <w:rPr>
          <w:noProof/>
        </w:rPr>
        <w:t>Wartość dodana z tytułu zaangażowania Unii Europejskiej</w:t>
      </w:r>
    </w:p>
    <w:p>
      <w:pPr>
        <w:pStyle w:val="Text1"/>
        <w:pBdr>
          <w:top w:val="single" w:sz="4" w:space="1" w:color="auto"/>
          <w:left w:val="single" w:sz="4" w:space="4" w:color="auto"/>
          <w:bottom w:val="single" w:sz="4" w:space="1" w:color="auto"/>
          <w:right w:val="single" w:sz="4" w:space="4" w:color="auto"/>
        </w:pBdr>
        <w:rPr>
          <w:noProof/>
        </w:rPr>
      </w:pPr>
      <w:r>
        <w:rPr>
          <w:noProof/>
        </w:rPr>
        <w:t>Państwa członkowskie gromadzą informacje statyczne na szczeblu krajowym, lecz, aby osiągnąć porównywalność danych na szczeblu UE, powinny dokonywać tego według tych samych zharmonizowanych zasad. Jedynie poprzez skoordynowane podejście do opracowywania, tworzenia i rozpowszechniania statystyki europejskiej – jak określono w ESP – można zagwarantować konieczną spójność i porównywalność statystyki istotnej dla obszarów działań UE. Proponowane działania na szczeblu UE również przyczyniłyby się do efektywnego wykorzystania zasobów (dzięki korzyści skali) oraz stanowiłyby wsparcie dla organów krajowych w budowaniu zdolności w zakresie harmonizacji i metodyki.</w:t>
      </w:r>
    </w:p>
    <w:p>
      <w:pPr>
        <w:pStyle w:val="ManualHeading3"/>
        <w:rPr>
          <w:bCs/>
          <w:noProof/>
          <w:szCs w:val="24"/>
        </w:rPr>
      </w:pPr>
      <w:r>
        <w:t>1.5.3.</w:t>
      </w:r>
      <w:r>
        <w:tab/>
      </w:r>
      <w:r>
        <w:rPr>
          <w:noProof/>
        </w:rPr>
        <w:t>Główne wnioski wyciągnięte z podobnych działań</w:t>
      </w:r>
    </w:p>
    <w:p>
      <w:pPr>
        <w:pStyle w:val="Text1"/>
        <w:pBdr>
          <w:top w:val="single" w:sz="4" w:space="1" w:color="auto"/>
          <w:left w:val="single" w:sz="4" w:space="4" w:color="auto"/>
          <w:bottom w:val="single" w:sz="4" w:space="1" w:color="auto"/>
          <w:right w:val="single" w:sz="4" w:space="4" w:color="auto"/>
        </w:pBdr>
        <w:rPr>
          <w:noProof/>
        </w:rPr>
      </w:pPr>
      <w:r>
        <w:rPr>
          <w:noProof/>
        </w:rPr>
        <w:t>Ocena wspólnotowego programu statystycznego 2008–2012, przegląd śródokresowy ESP 2013–2017 oraz ostateczna ocena programu modernizacji europejskiej statystyki przedsiębiorstw i handlu (MEETS) zostały dokładnie przeanalizowane.</w:t>
      </w:r>
    </w:p>
    <w:p>
      <w:pPr>
        <w:pStyle w:val="Text1"/>
        <w:pBdr>
          <w:top w:val="single" w:sz="4" w:space="1" w:color="auto"/>
          <w:left w:val="single" w:sz="4" w:space="4" w:color="auto"/>
          <w:bottom w:val="single" w:sz="4" w:space="1" w:color="auto"/>
          <w:right w:val="single" w:sz="4" w:space="4" w:color="auto"/>
        </w:pBdr>
        <w:rPr>
          <w:noProof/>
        </w:rPr>
      </w:pPr>
      <w:r>
        <w:rPr>
          <w:noProof/>
        </w:rPr>
        <w:t>W przeglądzie śródokresowym ESP 2013–2017 stwierdzono, że program jest co do zasady odpowiednio wdrażany, a perspektywa osiągnięcia 17 z jego 23 celów szczegółowych jest bardzo bliska. ESP oferuje dobrą europejską wartość dodaną, jest sprawnie realizowany, odpowiada na potrzeby użytkowników i jest spójny z innymi programami statystycznymi. Na przykład przejście w kierunku nowych metod tworzenia statystyk pomaga w realizacji podejść stosowanych w całym ESS. W ramach oceny sformułowano trzy zalecenia zapewniające wskazówki dotyczące wdrażania programu i jego dalszą optymalizację:</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należy zwracać szczególną uwagę na cele, w przypadku których napotkano problemy;</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należy zapewnić wystarczające zasoby do utrzymania niezbędnego poziomu inwestycji dotyczących modernizacji tworzenia statystyk europejskich; oraz</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należy określić i realizować projekty na szczeblu UE, które mogą zwiększyć europejską wartość dodaną.</w:t>
      </w:r>
    </w:p>
    <w:p>
      <w:pPr>
        <w:pStyle w:val="ManualHeading3"/>
        <w:rPr>
          <w:bCs/>
          <w:noProof/>
          <w:szCs w:val="24"/>
        </w:rPr>
      </w:pPr>
      <w:r>
        <w:t>1.5.4.</w:t>
      </w:r>
      <w:r>
        <w:tab/>
      </w:r>
      <w:r>
        <w:rPr>
          <w:noProof/>
        </w:rPr>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W decyzji Komisji 2012/504/UE</w:t>
      </w:r>
      <w:r>
        <w:rPr>
          <w:rStyle w:val="FootnoteReference"/>
          <w:noProof/>
        </w:rPr>
        <w:footnoteReference w:id="20"/>
      </w:r>
      <w:r>
        <w:rPr>
          <w:noProof/>
        </w:rPr>
        <w:t xml:space="preserve"> określono rolę i zakres obowiązków Eurostatu w wewnętrznej strukturze organizacyjnej Komisji w odniesieniu do opracowywania, tworzenia i rozpowszechniania statystyk. Jeżeli chodzi o planowanie i programowanie działań w dziedzinie statystyki, art. 5 tej decyzji stanowi, że działania dotyczące statystyki europejskiej mają być określone w ESP i rocznym programie prac, o których mowa odpowiednio w art. 13 i 17 rozporządzenia (WE) nr 223/2009. </w:t>
      </w:r>
    </w:p>
    <w:p>
      <w:pPr>
        <w:pStyle w:val="ManualHeading2"/>
        <w:rPr>
          <w:bCs/>
          <w:noProof/>
          <w:szCs w:val="24"/>
        </w:rPr>
      </w:pPr>
      <w:r>
        <w:rPr>
          <w:noProof/>
        </w:rPr>
        <w:br w:type="page"/>
      </w:r>
      <w:r>
        <w:t>1.6.</w:t>
      </w:r>
      <w:r>
        <w:tab/>
      </w:r>
      <w:r>
        <w:rPr>
          <w:noProof/>
        </w:rPr>
        <w:t xml:space="preserve">Okres trwania działania i jego wpływ finansowy </w:t>
      </w:r>
    </w:p>
    <w:p>
      <w:pPr>
        <w:pStyle w:val="Text1"/>
        <w:rPr>
          <w:noProof/>
        </w:rPr>
      </w:pPr>
      <w:r>
        <w:rPr>
          <w:noProof/>
          <w:sz w:val="22"/>
        </w:rPr>
        <w:sym w:font="Wingdings" w:char="F0FD"/>
      </w:r>
      <w:r>
        <w:rPr>
          <w:b/>
          <w:i/>
          <w:noProof/>
        </w:rPr>
        <w:t xml:space="preserve"> </w:t>
      </w:r>
      <w:r>
        <w:rPr>
          <w:noProof/>
        </w:rPr>
        <w:t xml:space="preserve">Wniosek/inicjatywa </w:t>
      </w:r>
      <w:r>
        <w:rPr>
          <w:b/>
          <w:noProof/>
        </w:rPr>
        <w:t xml:space="preserve">o ograniczonym okresie trwania </w:t>
      </w:r>
    </w:p>
    <w:p>
      <w:pPr>
        <w:pStyle w:val="ListDash2"/>
        <w:rPr>
          <w:noProof/>
        </w:rPr>
      </w:pPr>
      <w:r>
        <w:rPr>
          <w:noProof/>
          <w:sz w:val="22"/>
        </w:rPr>
        <w:sym w:font="Wingdings" w:char="F0FD"/>
      </w:r>
      <w:r>
        <w:rPr>
          <w:noProof/>
        </w:rPr>
        <w:tab/>
        <w:t>Okres trwania wniosku/inicjatywy: od 1 stycznia 2018 r. do 31 grudnia 2020 r.</w:t>
      </w:r>
    </w:p>
    <w:p>
      <w:pPr>
        <w:pStyle w:val="ListDash2"/>
        <w:rPr>
          <w:noProof/>
        </w:rPr>
      </w:pPr>
      <w:r>
        <w:rPr>
          <w:noProof/>
          <w:sz w:val="22"/>
        </w:rPr>
        <w:sym w:font="Wingdings" w:char="F0FD"/>
      </w:r>
      <w:r>
        <w:rPr>
          <w:noProof/>
        </w:rPr>
        <w:tab/>
        <w:t xml:space="preserve">Okres trwania wpływu finansowego od 2018 r. do 2020 r. w przypadku środków na zobowiązania i od 2018 r. do 2024 r. w przypadku środków na płatności. </w:t>
      </w:r>
    </w:p>
    <w:p>
      <w:pPr>
        <w:pStyle w:val="Text1"/>
        <w:rPr>
          <w:noProof/>
        </w:rPr>
      </w:pPr>
      <w:r>
        <w:rPr>
          <w:noProof/>
        </w:rPr>
        <w:sym w:font="Wingdings" w:char="F0A8"/>
      </w:r>
      <w:r>
        <w:rPr>
          <w:b/>
          <w:i/>
          <w:noProof/>
        </w:rPr>
        <w:t xml:space="preserve"> </w:t>
      </w:r>
      <w:r>
        <w:rPr>
          <w:noProof/>
        </w:rPr>
        <w:t xml:space="preserve">Wniosek/inicjatywa o </w:t>
      </w:r>
      <w:r>
        <w:rPr>
          <w:b/>
          <w:noProof/>
        </w:rPr>
        <w:t>nieograniczonym okresie trwania</w:t>
      </w:r>
    </w:p>
    <w:p>
      <w:pPr>
        <w:pStyle w:val="ListDash1"/>
        <w:rPr>
          <w:noProof/>
        </w:rPr>
      </w:pPr>
      <w:r>
        <w:rPr>
          <w:noProof/>
        </w:rPr>
        <w:t>Wprowadzenie w życie z okresem rozruchu od RRRR r. do RRRR r.,</w:t>
      </w:r>
    </w:p>
    <w:p>
      <w:pPr>
        <w:pStyle w:val="ListDash1"/>
        <w:rPr>
          <w:noProof/>
        </w:rPr>
      </w:pPr>
      <w:r>
        <w:rPr>
          <w:noProof/>
        </w:rPr>
        <w:t>po którym następuje faza operacyjna.</w:t>
      </w:r>
    </w:p>
    <w:p>
      <w:pPr>
        <w:pStyle w:val="ManualHeading2"/>
        <w:rPr>
          <w:bCs/>
          <w:noProof/>
          <w:szCs w:val="24"/>
        </w:rPr>
      </w:pPr>
      <w:r>
        <w:t>1.7.</w:t>
      </w:r>
      <w:r>
        <w:tab/>
      </w:r>
      <w:r>
        <w:rPr>
          <w:noProof/>
        </w:rPr>
        <w:t>Planowane tryby zarządzania</w:t>
      </w:r>
      <w:r>
        <w:rPr>
          <w:rStyle w:val="FootnoteReference"/>
          <w:noProof/>
        </w:rPr>
        <w:t xml:space="preserve"> </w:t>
      </w:r>
    </w:p>
    <w:p>
      <w:pPr>
        <w:pStyle w:val="Text1"/>
        <w:rPr>
          <w:noProof/>
        </w:rPr>
      </w:pPr>
      <w:r>
        <w:rPr>
          <w:noProof/>
          <w:sz w:val="22"/>
        </w:rPr>
        <w:sym w:font="Wingdings" w:char="F0FD"/>
      </w:r>
      <w:r>
        <w:rPr>
          <w:i/>
          <w:noProof/>
        </w:rPr>
        <w:t xml:space="preserve"> </w:t>
      </w:r>
      <w:r>
        <w:rPr>
          <w:b/>
          <w:noProof/>
        </w:rPr>
        <w:t>Bezpośrednie zarządzanie</w:t>
      </w:r>
      <w:r>
        <w:rPr>
          <w:noProof/>
        </w:rPr>
        <w:t xml:space="preserve"> przez Komisję</w:t>
      </w:r>
    </w:p>
    <w:p>
      <w:pPr>
        <w:pStyle w:val="ListDash2"/>
        <w:rPr>
          <w:rFonts w:cs="EUAlbertina"/>
          <w:noProof/>
        </w:rPr>
      </w:pPr>
      <w:r>
        <w:rPr>
          <w:noProof/>
          <w:sz w:val="22"/>
        </w:rPr>
        <w:sym w:font="Wingdings" w:char="F0FD"/>
      </w:r>
      <w:r>
        <w:rPr>
          <w:noProof/>
        </w:rPr>
        <w:t xml:space="preserve">w ramach jej służb, w tym za pośrednictwem jej pracowników w delegaturach Unii; </w:t>
      </w:r>
    </w:p>
    <w:p>
      <w:pPr>
        <w:pStyle w:val="ListDash2"/>
        <w:rPr>
          <w:noProof/>
        </w:rPr>
      </w:pPr>
      <w:r>
        <w:rPr>
          <w:noProof/>
        </w:rPr>
        <w:sym w:font="Wingdings" w:char="F0A8"/>
      </w:r>
      <w:r>
        <w:rPr>
          <w:noProof/>
        </w:rPr>
        <w:tab/>
        <w:t xml:space="preserve">przez agencje wykonawcze </w:t>
      </w:r>
    </w:p>
    <w:p>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państwom trzecim lub organom przez nie wyznaczonym;</w:t>
      </w:r>
    </w:p>
    <w:p>
      <w:pPr>
        <w:pStyle w:val="ListDash2"/>
        <w:rPr>
          <w:noProof/>
        </w:rPr>
      </w:pPr>
      <w:r>
        <w:rPr>
          <w:noProof/>
        </w:rPr>
        <w:sym w:font="Wingdings" w:char="F0A8"/>
      </w:r>
      <w:r>
        <w:rPr>
          <w:noProof/>
        </w:rPr>
        <w:t>organizacjom międzynarodowym i ich agencjom (należy wyszczególnić);</w:t>
      </w:r>
    </w:p>
    <w:p>
      <w:pPr>
        <w:pStyle w:val="ListDash2"/>
        <w:rPr>
          <w:noProof/>
        </w:rPr>
      </w:pPr>
      <w:r>
        <w:rPr>
          <w:noProof/>
        </w:rPr>
        <w:sym w:font="Wingdings" w:char="F0A8"/>
      </w:r>
      <w:r>
        <w:rPr>
          <w:noProof/>
        </w:rPr>
        <w:t>EBI oraz Europejskiemu Funduszowi Inwestycyjnemu;</w:t>
      </w:r>
    </w:p>
    <w:p>
      <w:pPr>
        <w:pStyle w:val="ListDash2"/>
        <w:rPr>
          <w:noProof/>
        </w:rPr>
      </w:pPr>
      <w:r>
        <w:rPr>
          <w:noProof/>
        </w:rPr>
        <w:sym w:font="Wingdings" w:char="F0A8"/>
      </w:r>
      <w:r>
        <w:rPr>
          <w:noProof/>
        </w:rPr>
        <w:t>organom, o których mowa w art. 208 i 209 rozporządzenia finansowego;</w:t>
      </w:r>
    </w:p>
    <w:p>
      <w:pPr>
        <w:pStyle w:val="ListDash2"/>
        <w:rPr>
          <w:noProof/>
        </w:rPr>
      </w:pPr>
      <w:r>
        <w:rPr>
          <w:noProof/>
        </w:rPr>
        <w:sym w:font="Wingdings" w:char="F0A8"/>
      </w:r>
      <w:r>
        <w:rPr>
          <w:noProof/>
        </w:rPr>
        <w:t>organom prawa publicznego;</w:t>
      </w:r>
    </w:p>
    <w:p>
      <w:pPr>
        <w:pStyle w:val="ListDash2"/>
        <w:rPr>
          <w:noProof/>
        </w:rPr>
      </w:pPr>
      <w:r>
        <w:rPr>
          <w:noProof/>
        </w:rPr>
        <w:sym w:font="Wingdings" w:char="F0A8"/>
      </w:r>
      <w:r>
        <w:rPr>
          <w:noProof/>
        </w:rPr>
        <w:t>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ŚRODKI ZARZĄDZANIA </w:t>
      </w:r>
    </w:p>
    <w:p>
      <w:pPr>
        <w:pStyle w:val="ManualHeading2"/>
        <w:rPr>
          <w:noProof/>
        </w:rPr>
      </w:pPr>
      <w:r>
        <w:t>2.1.</w:t>
      </w:r>
      <w:r>
        <w:tab/>
      </w:r>
      <w:r>
        <w:rPr>
          <w:noProof/>
        </w:rPr>
        <w:t xml:space="preserve">Zasady nadzoru i sprawozdawczości </w:t>
      </w:r>
    </w:p>
    <w:p>
      <w:pPr>
        <w:pStyle w:val="Text1"/>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Artykuł 1 ust. 3 projektowanego rozporządzenia stanowi, że do dnia 31 grudnia 2021 r. i po zasięgnięciu opinii Komitetu ds. ESS oraz Europejskiego Komitetu Doradczego ds. Statystyki Komisja przedkłada Parlamentowi Europejskiemu i Radzie końcowe sprawozdanie z oceny realizacji programu. Ocena zostanie przeprowadzona zgodnie z wytycznymi Komisji. </w:t>
      </w:r>
    </w:p>
    <w:p>
      <w:pPr>
        <w:pStyle w:val="Text1"/>
        <w:pBdr>
          <w:top w:val="single" w:sz="4" w:space="1" w:color="auto"/>
          <w:left w:val="single" w:sz="4" w:space="4" w:color="auto"/>
          <w:bottom w:val="single" w:sz="4" w:space="1" w:color="auto"/>
          <w:right w:val="single" w:sz="4" w:space="4" w:color="auto"/>
        </w:pBdr>
        <w:rPr>
          <w:noProof/>
        </w:rPr>
      </w:pPr>
      <w:r>
        <w:rPr>
          <w:noProof/>
        </w:rPr>
        <w:t>Korzystając z doświadczenia zdobytego w związku z przeglądem śródokresowym ESP 2013–2017, Komisja (Eurostat) rozpoczęła łączenie działań w ramach rocznego programu prac ze 114 wskaźnikami określonymi w ESP. Działanie to będzie miało dwa pozytywne skutki: ułatwi przyszłe oceny oraz umożliwi automatyczne monitorowanie każdego roku pod względem realizacji wszystkich wskaźników ESP. Wnioski wyciągnięte z nabytych doświadczeń, które uwzględniono podczas przygotowywania projektu niniejszego wniosku, przedstawiono w sekcji 1.5.3 powyżej. Wyniki konsultacji z zainteresowanymi stronami oraz oceny skutków przedstawiono w sekcji 3 uzasadnienia.</w:t>
      </w:r>
    </w:p>
    <w:p>
      <w:pPr>
        <w:pStyle w:val="ManualHeading2"/>
        <w:rPr>
          <w:bCs/>
          <w:noProof/>
          <w:szCs w:val="24"/>
        </w:rPr>
      </w:pPr>
      <w:r>
        <w:t>2.2.</w:t>
      </w:r>
      <w:r>
        <w:tab/>
      </w:r>
      <w:r>
        <w:rPr>
          <w:noProof/>
        </w:rPr>
        <w:t xml:space="preserve">System zarządzania i kontroli </w:t>
      </w:r>
    </w:p>
    <w:p>
      <w:pPr>
        <w:pStyle w:val="ManualHeading3"/>
        <w:rPr>
          <w:noProof/>
        </w:rPr>
      </w:pPr>
      <w:r>
        <w:t>2.2.1.</w:t>
      </w:r>
      <w:r>
        <w:tab/>
      </w:r>
      <w:r>
        <w:rPr>
          <w:noProof/>
        </w:rPr>
        <w:t xml:space="preserve">Zidentyfikowane ryzyko. </w:t>
      </w:r>
    </w:p>
    <w:p>
      <w:pPr>
        <w:pStyle w:val="Text1"/>
        <w:pBdr>
          <w:top w:val="single" w:sz="4" w:space="1" w:color="auto"/>
          <w:left w:val="single" w:sz="4" w:space="4" w:color="auto"/>
          <w:bottom w:val="single" w:sz="4" w:space="1" w:color="auto"/>
          <w:right w:val="single" w:sz="4" w:space="4" w:color="auto"/>
        </w:pBdr>
        <w:rPr>
          <w:noProof/>
        </w:rPr>
      </w:pPr>
      <w:r>
        <w:rPr>
          <w:noProof/>
        </w:rPr>
        <w:t>Tryb zarządzania proponowanego programu to scentralizowane zarządzanie bezpośrednie przez Komisję. Z finansowego punktu widzenia program będzie wdrażany poprzez udzielanie zamówień publicznych, w szczególności firmom specjalizującym się w statystyce lub w usługach informacyjnych, lub poprzez dotacje (głównie dla krajowych urzędów statystycznych).</w:t>
      </w:r>
    </w:p>
    <w:p>
      <w:pPr>
        <w:pStyle w:val="Text1"/>
        <w:pBdr>
          <w:top w:val="single" w:sz="4" w:space="1" w:color="auto"/>
          <w:left w:val="single" w:sz="4" w:space="4" w:color="auto"/>
          <w:bottom w:val="single" w:sz="4" w:space="1" w:color="auto"/>
          <w:right w:val="single" w:sz="4" w:space="4" w:color="auto"/>
        </w:pBdr>
        <w:rPr>
          <w:noProof/>
        </w:rPr>
      </w:pPr>
      <w:r>
        <w:rPr>
          <w:noProof/>
        </w:rPr>
        <w:t>W rozporządzeniu (WE) nr 223/2009 w sprawie statystyki europejskiej dopuszcza się bezpośrednie przyznawanie dotacji tym organom. Jeżeli chodzi o dotacje, jeden z głównych zidentyfikowanych czynników ryzyka był związany z obliczaniem kosztów personelu; poziom ryzyka dotyczącego zwrotu kosztów personelu został ograniczony dzięki wprowadzeniu systemu kosztów jednostkowych (decyzja Komisji C(2014) 6332).</w:t>
      </w:r>
    </w:p>
    <w:p>
      <w:pPr>
        <w:pStyle w:val="Text1"/>
        <w:pBdr>
          <w:top w:val="single" w:sz="4" w:space="1" w:color="auto"/>
          <w:left w:val="single" w:sz="4" w:space="4" w:color="auto"/>
          <w:bottom w:val="single" w:sz="4" w:space="1" w:color="auto"/>
          <w:right w:val="single" w:sz="4" w:space="4" w:color="auto"/>
        </w:pBdr>
        <w:rPr>
          <w:noProof/>
        </w:rPr>
      </w:pPr>
      <w:r>
        <w:rPr>
          <w:noProof/>
        </w:rPr>
        <w:t xml:space="preserve">Roczne kontrole jakości </w:t>
      </w:r>
      <w:r>
        <w:rPr>
          <w:i/>
          <w:noProof/>
        </w:rPr>
        <w:t>ex post</w:t>
      </w:r>
      <w:r>
        <w:rPr>
          <w:noProof/>
        </w:rPr>
        <w:t xml:space="preserve"> nie wykazały żadnych istotnych problemów dotyczących udzielania zamówień publicznych. Uwzględniono opinie wydane przez Dział Audytu Wewnętrznego Komisji oraz Trybunał Obrachunkowy w latach 2011–2012. Od tamtej pory nie przeprowadzono żadnych audytów w dziedzinie zamówień publicznych. Zarząd Eurostatu nie zidentyfikował żadnego istotnego ryzyka w tym obszarze.</w:t>
      </w:r>
    </w:p>
    <w:p>
      <w:pPr>
        <w:pStyle w:val="ManualHeading3"/>
        <w:rPr>
          <w:bCs/>
          <w:noProof/>
          <w:szCs w:val="24"/>
        </w:rPr>
      </w:pPr>
      <w:r>
        <w:t>2.2.2.</w:t>
      </w:r>
      <w:r>
        <w:tab/>
      </w:r>
      <w:r>
        <w:rPr>
          <w:noProof/>
        </w:rPr>
        <w:t>Informacje dotyczące struktury wewnętrznego systemu kontroli.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Strategia kontroli Eurostatu na lata 2012–2017 zostanie podana przeglądowi i przedłużona, tak aby objęła przedłużenie ESP na lata 2018–2020. Strategia ta będzie oparta na analizie i ocenie ryzyka, które należy przeprowadzić, zanim program zostanie przedłużony.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Główne elementy systemu kontroli wewnętrznej obejmują i nadal będą obejmowały weryfikację </w:t>
      </w:r>
      <w:r>
        <w:rPr>
          <w:i/>
          <w:noProof/>
        </w:rPr>
        <w:t>ex ante</w:t>
      </w:r>
      <w:r>
        <w:rPr>
          <w:noProof/>
        </w:rPr>
        <w:t xml:space="preserve"> aspektów operacyjnych i finansowych każdej transakcji finansowej (legalności, prawidłowości i należytego zarządzania finansami) zgodnie z art. 66 ust. 5 rozporządzenia finansowego. Kontrole </w:t>
      </w:r>
      <w:r>
        <w:rPr>
          <w:i/>
          <w:noProof/>
        </w:rPr>
        <w:t>ex ante</w:t>
      </w:r>
      <w:r>
        <w:rPr>
          <w:noProof/>
        </w:rPr>
        <w:t xml:space="preserve"> obejmują cały cykl życia wydatków – od planowania i programowania dotacji i zamówień publicznych po płatności. W tym celu w odniesieniu do każdej transakcji zostaną przeprowadzone kontrole z zastosowaniem szczegółowych list kontrolnych, które ma stosować każdy podmiot w obiegach finansowych. W stosownych przypadkach można przewidzieć dodatkowe analizy i oceny ryzyka na podstawie wyników kontroli rocznych. W stosownych przypadkach można również przeprowadzić dokładniejsze weryfikacje </w:t>
      </w:r>
      <w:r>
        <w:rPr>
          <w:i/>
          <w:noProof/>
        </w:rPr>
        <w:t>ex ante</w:t>
      </w:r>
      <w:r>
        <w:rPr>
          <w:noProof/>
        </w:rPr>
        <w:t xml:space="preserve"> i kontrole </w:t>
      </w:r>
      <w:r>
        <w:rPr>
          <w:i/>
          <w:noProof/>
        </w:rPr>
        <w:t>ex post</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Do wykonania budżetu programu zgodnie z zasadami należytego zarządzania finansami i do zagwarantowania, że spełnione są wymogi legalności i prawidłowości, przyczyni się również odpowiedni nadzór oraz oparta na wynikach finansowa sprawozdawczość, kontrola i ocena. </w:t>
      </w:r>
    </w:p>
    <w:p>
      <w:pPr>
        <w:pStyle w:val="ManualHeading3"/>
        <w:rPr>
          <w:noProof/>
        </w:rPr>
      </w:pPr>
      <w:r>
        <w:t>2.2.3.</w:t>
      </w:r>
      <w:r>
        <w:tab/>
      </w:r>
      <w:r>
        <w:rPr>
          <w:noProof/>
        </w:rPr>
        <w:t xml:space="preserve">Oszacowanie kosztów i korzyści wynikających z kontroli i ocena prawdopodobnego ryzyka błędu. </w:t>
      </w:r>
    </w:p>
    <w:p>
      <w:pPr>
        <w:pStyle w:val="Text1"/>
        <w:pBdr>
          <w:top w:val="single" w:sz="4" w:space="1" w:color="auto"/>
          <w:left w:val="single" w:sz="4" w:space="4" w:color="auto"/>
          <w:bottom w:val="single" w:sz="4" w:space="1" w:color="auto"/>
          <w:right w:val="single" w:sz="4" w:space="4" w:color="auto"/>
        </w:pBdr>
        <w:rPr>
          <w:noProof/>
        </w:rPr>
      </w:pPr>
      <w:r>
        <w:rPr>
          <w:noProof/>
        </w:rPr>
        <w:t>Strategia kontroli programu ma na celu utrzymanie ryzyka niezgodności poniżej kryterium istotności wynoszącego 2 %, co jest zgodne z celami w zakresie kontroli wewnętrznej i zarządzania ryzykiem określonymi w strategicznym planie Eurostatu na lata 2016–2020. System kontroli wewnętrznej (i jego koszty) uznaje się za odpowiednie do osiągnięcia tego celu. Zapewniona zostanie komplementarność powyższych źródeł wiarygodności w celu uniknięcia powielania działań i umożliwienia opłacalnych kontroli. Eurostat uznaje, że koszty wszystkich kontroli będą stanowić około 4,5 % budżetu programu. Korzyści płynące z kontroli (poza zgodnością z przepisami wykonawczymi) obejmują lepszy stosunek wartości do ceny, skutki odstraszające, poprawę wydajności oraz ulepszenia systemu.</w:t>
      </w:r>
    </w:p>
    <w:p>
      <w:pPr>
        <w:pStyle w:val="ManualHeading2"/>
        <w:rPr>
          <w:bCs/>
          <w:noProof/>
          <w:szCs w:val="24"/>
        </w:rPr>
      </w:pPr>
      <w:r>
        <w:t>2.3.</w:t>
      </w:r>
      <w:r>
        <w:tab/>
      </w:r>
      <w:r>
        <w:rPr>
          <w:noProof/>
        </w:rPr>
        <w:t xml:space="preserve">Środki zapobiegania nadużyciom finansowym i nieprawidłowościom </w:t>
      </w:r>
    </w:p>
    <w:p>
      <w:pPr>
        <w:pStyle w:val="Text1"/>
        <w:rPr>
          <w:i/>
          <w:noProof/>
          <w:sz w:val="20"/>
        </w:rPr>
      </w:pPr>
      <w:r>
        <w:rPr>
          <w:i/>
          <w:noProof/>
          <w:sz w:val="20"/>
        </w:rPr>
        <w:t>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rPr>
          <w:noProof/>
        </w:rPr>
      </w:pPr>
      <w:r>
        <w:rPr>
          <w:noProof/>
        </w:rPr>
        <w:t xml:space="preserve">Dnia 30 października 2013 r. Eurostat przyjął strategię zwalczania nadużyć finansowych na lata 2014–2017 zgodnie ze strategią Komisji w sprawie zwalczania nadużyć finansowych (CAFS) z dnia 24 czerwca 2011 r. W strategii Eurostatu wyznaczono trzy cele operacyjne: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w:t>
      </w:r>
      <w:r>
        <w:rPr>
          <w:noProof/>
        </w:rPr>
        <w:tab/>
        <w:t xml:space="preserve">wzmocnienie istniejących elementów dotyczących zwalczania nadużyć finansowych;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w:t>
      </w:r>
      <w:r>
        <w:rPr>
          <w:noProof/>
        </w:rPr>
        <w:tab/>
        <w:t xml:space="preserve">włączenie elementów dotyczących zwalczania nadużyć finansowych do oceny ryzyka / zarządzania ryzykiem przez Eurostat oraz do audytów, planowania, sprawozdawczości i monitorowania; oraz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(iii)</w:t>
      </w:r>
      <w:r>
        <w:rPr>
          <w:noProof/>
        </w:rPr>
        <w:tab/>
        <w:t>wzmocnienie zdolności i świadomości Eurostatu w zakresie zwalczania nadużyć finansowych jako części polityki Komisji dotyczącej zwalczania takich nadużyć.</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Strategii tej towarzyszy plan działania w zakresie zwalczania nadużyć finansowych. Wprowadzanie w życie wyżej wspomnianej strategii, w okresie jej stosowania, jest monitorowane dwa razy w roku i obejmuje składanie sprawozdań zarządowi.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oceni skutki strategii w 2017 r. i odpowiednio ją uaktualni. W 2016 r. Eurostat dokona przeglądu planu działania w dziedzinie zwalczania nadużyć finansowych, co będzie bardzo istotne dla oceny strategii. </w:t>
      </w:r>
    </w:p>
    <w:p>
      <w:pPr>
        <w:pStyle w:val="Text1"/>
        <w:pBdr>
          <w:top w:val="single" w:sz="4" w:space="1" w:color="auto"/>
          <w:left w:val="single" w:sz="4" w:space="4" w:color="auto"/>
          <w:bottom w:val="single" w:sz="4" w:space="1" w:color="auto"/>
          <w:right w:val="single" w:sz="4" w:space="4" w:color="auto"/>
        </w:pBdr>
        <w:rPr>
          <w:noProof/>
        </w:rPr>
      </w:pPr>
      <w:r>
        <w:rPr>
          <w:noProof/>
        </w:rPr>
        <w:t>Przeglądy strategii i planu działania zostaną przeprowadzone na podstawie zaktualizowanych metodyk OLAF oraz wytycznych sporządzonych w lutym 2016 r.</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SZACUNKOWY WPŁYW FINANSOWY WNIOSKU/INICJATYWY </w:t>
      </w:r>
    </w:p>
    <w:p>
      <w:pPr>
        <w:pStyle w:val="ManualHeading2"/>
        <w:rPr>
          <w:noProof/>
        </w:rPr>
      </w:pPr>
      <w:r>
        <w:t>3.1.</w:t>
      </w:r>
      <w:r>
        <w:tab/>
      </w:r>
      <w:r>
        <w:rPr>
          <w:noProof/>
        </w:rPr>
        <w:t xml:space="preserve">Działy wieloletnich ram finansowych i linie budżetowe po stronie wydatków, na które wniosek/inicjatywa ma wpływ </w:t>
      </w:r>
    </w:p>
    <w:p>
      <w:pPr>
        <w:pStyle w:val="ListBullet1"/>
        <w:rPr>
          <w:noProof/>
        </w:rPr>
      </w:pPr>
      <w:r>
        <w:rPr>
          <w:noProof/>
        </w:rPr>
        <w:t xml:space="preserve">Istniejące linie budżetowe </w:t>
      </w:r>
    </w:p>
    <w:p>
      <w:pPr>
        <w:pStyle w:val="Text1"/>
        <w:rPr>
          <w:noProof/>
        </w:rPr>
      </w:pPr>
      <w:r>
        <w:rPr>
          <w:noProof/>
        </w:rPr>
        <w:t>Według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 xml:space="preserve">Rodzaj </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Dział 1a </w:t>
            </w:r>
            <w:r>
              <w:rPr>
                <w:noProof/>
              </w:rPr>
              <w:tab/>
            </w:r>
            <w:r>
              <w:rPr>
                <w:noProof/>
                <w:sz w:val="20"/>
              </w:rPr>
              <w:br/>
              <w:t>Konkurencyjność na rzecz wzrostu gospodarczego i zatrudnienia</w:t>
            </w:r>
          </w:p>
        </w:tc>
        <w:tc>
          <w:tcPr>
            <w:tcW w:w="1080" w:type="dxa"/>
            <w:vAlign w:val="center"/>
          </w:tcPr>
          <w:p>
            <w:pPr>
              <w:jc w:val="center"/>
              <w:rPr>
                <w:noProof/>
                <w:sz w:val="22"/>
              </w:rPr>
            </w:pPr>
            <w:r>
              <w:rPr>
                <w:noProof/>
                <w:sz w:val="18"/>
              </w:rPr>
              <w:t>Zróżnicowane / niezróżnicowane</w:t>
            </w:r>
            <w:r>
              <w:rPr>
                <w:rStyle w:val="FootnoteReference"/>
                <w:noProof/>
                <w:sz w:val="18"/>
              </w:rPr>
              <w:footnoteReference w:id="21"/>
            </w:r>
            <w:r>
              <w:rPr>
                <w:noProof/>
              </w:rPr>
              <w:t>.</w:t>
            </w:r>
          </w:p>
        </w:tc>
        <w:tc>
          <w:tcPr>
            <w:tcW w:w="956" w:type="dxa"/>
            <w:vAlign w:val="center"/>
          </w:tcPr>
          <w:p>
            <w:pPr>
              <w:jc w:val="center"/>
              <w:rPr>
                <w:b/>
                <w:noProof/>
                <w:sz w:val="18"/>
              </w:rPr>
            </w:pPr>
            <w:r>
              <w:rPr>
                <w:noProof/>
                <w:sz w:val="18"/>
              </w:rPr>
              <w:t>państw EFTA</w:t>
            </w:r>
            <w:r>
              <w:rPr>
                <w:rStyle w:val="FootnoteReference"/>
                <w:noProof/>
                <w:sz w:val="18"/>
              </w:rPr>
              <w:footnoteReference w:id="22"/>
            </w:r>
          </w:p>
        </w:tc>
        <w:tc>
          <w:tcPr>
            <w:tcW w:w="1080" w:type="dxa"/>
            <w:vAlign w:val="center"/>
          </w:tcPr>
          <w:p>
            <w:pPr>
              <w:jc w:val="center"/>
              <w:rPr>
                <w:noProof/>
                <w:sz w:val="18"/>
              </w:rPr>
            </w:pPr>
            <w:r>
              <w:rPr>
                <w:noProof/>
                <w:sz w:val="18"/>
              </w:rPr>
              <w:t>krajów kandydujących</w:t>
            </w:r>
            <w:r>
              <w:rPr>
                <w:rStyle w:val="FootnoteReference"/>
                <w:noProof/>
                <w:sz w:val="18"/>
              </w:rPr>
              <w:footnoteReference w:id="23"/>
            </w: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t>29.02.01</w:t>
            </w:r>
            <w:r>
              <w:rPr>
                <w:noProof/>
              </w:rPr>
              <w:tab/>
            </w:r>
            <w:r>
              <w:br/>
              <w:t>Przedłużenie ESP na lata 2018–2020 – zapewnianie wysokiej jakości informacji statystycznych, wdrażanie nowych metod tworzenia statystyk europejskich oraz umacnianie partnerstwa wewnątrz ESS</w:t>
            </w:r>
          </w:p>
        </w:tc>
        <w:tc>
          <w:tcPr>
            <w:tcW w:w="1080" w:type="dxa"/>
            <w:vAlign w:val="center"/>
          </w:tcPr>
          <w:p>
            <w:pPr>
              <w:jc w:val="center"/>
              <w:rPr>
                <w:noProof/>
                <w:color w:val="0000FF"/>
                <w:sz w:val="22"/>
              </w:rPr>
            </w:pPr>
            <w:r>
              <w:rPr>
                <w:noProof/>
                <w:sz w:val="22"/>
              </w:rPr>
              <w:t>Zróżnicowane</w:t>
            </w:r>
          </w:p>
        </w:tc>
        <w:tc>
          <w:tcPr>
            <w:tcW w:w="956" w:type="dxa"/>
            <w:vAlign w:val="center"/>
          </w:tcPr>
          <w:p>
            <w:pPr>
              <w:jc w:val="center"/>
              <w:rPr>
                <w:noProof/>
                <w:sz w:val="22"/>
              </w:rPr>
            </w:pPr>
            <w:r>
              <w:rPr>
                <w:noProof/>
                <w:sz w:val="22"/>
              </w:rPr>
              <w:t>TAK</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color w:val="0000F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pPr>
            <w:r>
              <w:t>29.01.04.01</w:t>
            </w:r>
            <w:r>
              <w:rPr>
                <w:noProof/>
              </w:rPr>
              <w:tab/>
            </w:r>
            <w:r>
              <w:br/>
            </w:r>
            <w:r>
              <w:rPr>
                <w:noProof/>
                <w:color w:val="0000FF"/>
                <w:sz w:val="22"/>
              </w:rPr>
              <w:t>Wydatki pomocnicze dla ESP</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Niezróżnicowane</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TAK</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NIE</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NIE</w:t>
            </w:r>
          </w:p>
        </w:tc>
        <w:tc>
          <w:tcPr>
            <w:tcW w:w="1448"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NIE</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Szacunkowy wpływ na wydatki </w:t>
      </w:r>
    </w:p>
    <w:p>
      <w:pPr>
        <w:pStyle w:val="ManualHeading3"/>
        <w:rPr>
          <w:noProof/>
          <w:u w:val="single"/>
        </w:rPr>
      </w:pPr>
      <w:r>
        <w:t>3.2.1.</w:t>
      </w:r>
      <w:r>
        <w:tab/>
      </w:r>
      <w:r>
        <w:rPr>
          <w:noProof/>
        </w:rPr>
        <w:t xml:space="preserve">Synteza szacunkowego wpływu na wydatki </w:t>
      </w:r>
    </w:p>
    <w:p>
      <w:pPr>
        <w:jc w:val="right"/>
        <w:rPr>
          <w:noProof/>
          <w:sz w:val="20"/>
        </w:rPr>
      </w:pPr>
      <w:r>
        <w:rPr>
          <w:noProof/>
          <w:sz w:val="20"/>
        </w:rPr>
        <w:t>w mln EUR (do trzech miejsc po przecinku)</w:t>
      </w:r>
    </w:p>
    <w:tbl>
      <w:tblPr>
        <w:tblW w:w="0" w:type="auto"/>
        <w:jc w:val="center"/>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1080"/>
        <w:gridCol w:w="7229"/>
      </w:tblGrid>
      <w:tr>
        <w:trPr>
          <w:jc w:val="center"/>
        </w:trPr>
        <w:tc>
          <w:tcPr>
            <w:tcW w:w="5209" w:type="dxa"/>
            <w:shd w:val="thinDiagStripe" w:color="C0C0C0" w:fill="auto"/>
            <w:vAlign w:val="center"/>
          </w:tcPr>
          <w:p>
            <w:pPr>
              <w:spacing w:before="60" w:after="60"/>
              <w:jc w:val="center"/>
              <w:rPr>
                <w:b/>
                <w:noProof/>
                <w:sz w:val="22"/>
              </w:rPr>
            </w:pPr>
            <w:r>
              <w:rPr>
                <w:b/>
                <w:noProof/>
                <w:sz w:val="22"/>
              </w:rPr>
              <w:t>Dział wieloletnich ram finansowych</w:t>
            </w:r>
          </w:p>
        </w:tc>
        <w:tc>
          <w:tcPr>
            <w:tcW w:w="1080" w:type="dxa"/>
            <w:vAlign w:val="center"/>
          </w:tcPr>
          <w:p>
            <w:pPr>
              <w:spacing w:before="60" w:after="60"/>
              <w:jc w:val="center"/>
              <w:rPr>
                <w:noProof/>
                <w:sz w:val="22"/>
              </w:rPr>
            </w:pPr>
            <w:r>
              <w:rPr>
                <w:noProof/>
                <w:sz w:val="22"/>
              </w:rPr>
              <w:t>Numer</w:t>
            </w:r>
          </w:p>
        </w:tc>
        <w:tc>
          <w:tcPr>
            <w:tcW w:w="7229" w:type="dxa"/>
            <w:vAlign w:val="center"/>
          </w:tcPr>
          <w:p>
            <w:pPr>
              <w:spacing w:before="60" w:after="60"/>
              <w:rPr>
                <w:noProof/>
                <w:sz w:val="22"/>
              </w:rPr>
            </w:pPr>
            <w:r>
              <w:rPr>
                <w:noProof/>
                <w:sz w:val="22"/>
              </w:rPr>
              <w:t xml:space="preserve">Dział 1a </w:t>
            </w:r>
            <w:r>
              <w:rPr>
                <w:noProof/>
              </w:rPr>
              <w:tab/>
            </w:r>
            <w:r>
              <w:rPr>
                <w:noProof/>
                <w:sz w:val="22"/>
              </w:rPr>
              <w:br/>
              <w:t xml:space="preserve">Konkurencyjność na rzecz wzrostu gospodarczego i zatrudnienia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934"/>
        <w:gridCol w:w="992"/>
        <w:gridCol w:w="678"/>
        <w:gridCol w:w="868"/>
        <w:gridCol w:w="868"/>
        <w:gridCol w:w="1777"/>
      </w:tblGrid>
      <w:tr>
        <w:tc>
          <w:tcPr>
            <w:tcW w:w="3960" w:type="dxa"/>
            <w:vAlign w:val="center"/>
          </w:tcPr>
          <w:p>
            <w:pPr>
              <w:jc w:val="center"/>
              <w:rPr>
                <w:noProof/>
                <w:sz w:val="22"/>
              </w:rPr>
            </w:pPr>
            <w:r>
              <w:rPr>
                <w:noProof/>
                <w:sz w:val="22"/>
              </w:rPr>
              <w:t>DG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r>
              <w:rPr>
                <w:rStyle w:val="FootnoteReference"/>
                <w:b/>
                <w:noProof/>
                <w:sz w:val="20"/>
              </w:rPr>
              <w:footnoteReference w:id="24"/>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934" w:type="dxa"/>
            <w:vAlign w:val="center"/>
          </w:tcPr>
          <w:p>
            <w:pPr>
              <w:jc w:val="center"/>
              <w:rPr>
                <w:noProof/>
                <w:sz w:val="20"/>
              </w:rPr>
            </w:pPr>
            <w:r>
              <w:rPr>
                <w:noProof/>
                <w:sz w:val="20"/>
              </w:rPr>
              <w:t>Rok</w:t>
            </w:r>
            <w:r>
              <w:rPr>
                <w:noProof/>
                <w:sz w:val="22"/>
              </w:rPr>
              <w:br/>
            </w:r>
            <w:r>
              <w:rPr>
                <w:b/>
                <w:noProof/>
                <w:sz w:val="20"/>
              </w:rPr>
              <w:t>2020</w:t>
            </w:r>
          </w:p>
        </w:tc>
        <w:tc>
          <w:tcPr>
            <w:tcW w:w="992" w:type="dxa"/>
            <w:vAlign w:val="center"/>
          </w:tcPr>
          <w:p>
            <w:pPr>
              <w:jc w:val="center"/>
              <w:rPr>
                <w:noProof/>
                <w:sz w:val="20"/>
              </w:rPr>
            </w:pPr>
            <w:r>
              <w:rPr>
                <w:noProof/>
                <w:sz w:val="20"/>
              </w:rPr>
              <w:t>Rok</w:t>
            </w:r>
            <w:r>
              <w:rPr>
                <w:noProof/>
                <w:sz w:val="22"/>
              </w:rPr>
              <w:br/>
            </w:r>
            <w:r>
              <w:rPr>
                <w:b/>
                <w:noProof/>
                <w:sz w:val="20"/>
              </w:rPr>
              <w:t>2021 i późniejsze lata</w:t>
            </w:r>
          </w:p>
        </w:tc>
        <w:tc>
          <w:tcPr>
            <w:tcW w:w="2414" w:type="dxa"/>
            <w:gridSpan w:val="3"/>
            <w:vAlign w:val="center"/>
          </w:tcPr>
          <w:p>
            <w:pPr>
              <w:jc w:val="center"/>
              <w:rPr>
                <w:b/>
                <w:noProof/>
                <w:sz w:val="18"/>
              </w:rPr>
            </w:pPr>
            <w:r>
              <w:rPr>
                <w:noProof/>
                <w:sz w:val="18"/>
              </w:rPr>
              <w:t>Wprowadzić taką liczbę kolumn dla poszczególnych lat, jaka jest niezbędna, by odzwierciedlić cały okres wpływu (zob. pkt 1.6)</w:t>
            </w:r>
          </w:p>
        </w:tc>
        <w:tc>
          <w:tcPr>
            <w:tcW w:w="1777" w:type="dxa"/>
            <w:vAlign w:val="center"/>
          </w:tcPr>
          <w:p>
            <w:pPr>
              <w:jc w:val="center"/>
              <w:rPr>
                <w:b/>
                <w:noProof/>
                <w:sz w:val="20"/>
              </w:rPr>
            </w:pPr>
            <w:r>
              <w:rPr>
                <w:b/>
                <w:noProof/>
                <w:sz w:val="20"/>
              </w:rPr>
              <w:t>OGÓŁEM</w:t>
            </w:r>
          </w:p>
        </w:tc>
      </w:tr>
      <w:tr>
        <w:trPr>
          <w:trHeight w:val="213"/>
        </w:trPr>
        <w:tc>
          <w:tcPr>
            <w:tcW w:w="6054" w:type="dxa"/>
            <w:gridSpan w:val="4"/>
            <w:vAlign w:val="center"/>
          </w:tcPr>
          <w:p>
            <w:pPr>
              <w:spacing w:before="20" w:after="20"/>
              <w:ind w:left="252" w:hanging="252"/>
              <w:rPr>
                <w:noProof/>
                <w:sz w:val="21"/>
              </w:rPr>
            </w:pPr>
            <w:r>
              <w:rPr>
                <w:noProof/>
                <w:sz w:val="21"/>
              </w:rPr>
              <w:sym w:font="Wingdings" w:char="F09F"/>
            </w:r>
            <w:r>
              <w:rPr>
                <w:noProof/>
                <w:sz w:val="21"/>
              </w:rPr>
              <w:t xml:space="preserve"> </w:t>
            </w:r>
            <w:r>
              <w:rPr>
                <w:noProof/>
              </w:rPr>
              <w:tab/>
            </w:r>
            <w:r>
              <w:rPr>
                <w:noProof/>
                <w:sz w:val="21"/>
              </w:rPr>
              <w:t xml:space="preserve">środki operacyjne </w:t>
            </w:r>
          </w:p>
        </w:tc>
        <w:tc>
          <w:tcPr>
            <w:tcW w:w="868" w:type="dxa"/>
            <w:vAlign w:val="center"/>
          </w:tcPr>
          <w:p>
            <w:pPr>
              <w:rPr>
                <w:noProof/>
                <w:sz w:val="20"/>
              </w:rPr>
            </w:pPr>
          </w:p>
        </w:tc>
        <w:tc>
          <w:tcPr>
            <w:tcW w:w="868" w:type="dxa"/>
            <w:vAlign w:val="center"/>
          </w:tcPr>
          <w:p>
            <w:pPr>
              <w:rPr>
                <w:noProof/>
                <w:sz w:val="20"/>
              </w:rPr>
            </w:pPr>
          </w:p>
        </w:tc>
        <w:tc>
          <w:tcPr>
            <w:tcW w:w="934" w:type="dxa"/>
            <w:vAlign w:val="center"/>
          </w:tcPr>
          <w:p>
            <w:pPr>
              <w:rPr>
                <w:noProof/>
                <w:sz w:val="20"/>
              </w:rPr>
            </w:pPr>
          </w:p>
        </w:tc>
        <w:tc>
          <w:tcPr>
            <w:tcW w:w="992" w:type="dxa"/>
            <w:vAlign w:val="center"/>
          </w:tcPr>
          <w:p>
            <w:pPr>
              <w:rPr>
                <w:noProof/>
                <w:sz w:val="20"/>
              </w:rPr>
            </w:pPr>
          </w:p>
        </w:tc>
        <w:tc>
          <w:tcPr>
            <w:tcW w:w="67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b/>
                <w:noProof/>
                <w:sz w:val="22"/>
              </w:rPr>
            </w:pPr>
            <w:r>
              <w:rPr>
                <w:b/>
                <w:noProof/>
                <w:sz w:val="20"/>
              </w:rPr>
              <w:t>29,0201</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59,475</w:t>
            </w:r>
          </w:p>
        </w:tc>
        <w:tc>
          <w:tcPr>
            <w:tcW w:w="868" w:type="dxa"/>
            <w:vAlign w:val="center"/>
          </w:tcPr>
          <w:p>
            <w:pPr>
              <w:spacing w:before="20" w:after="20"/>
              <w:jc w:val="right"/>
              <w:rPr>
                <w:noProof/>
                <w:sz w:val="20"/>
              </w:rPr>
            </w:pPr>
            <w:r>
              <w:rPr>
                <w:noProof/>
                <w:sz w:val="20"/>
              </w:rPr>
              <w:t>73,245</w:t>
            </w:r>
          </w:p>
        </w:tc>
        <w:tc>
          <w:tcPr>
            <w:tcW w:w="934" w:type="dxa"/>
            <w:vAlign w:val="center"/>
          </w:tcPr>
          <w:p>
            <w:pPr>
              <w:spacing w:before="20" w:after="20"/>
              <w:jc w:val="right"/>
              <w:rPr>
                <w:noProof/>
                <w:sz w:val="20"/>
              </w:rPr>
            </w:pPr>
            <w:r>
              <w:rPr>
                <w:noProof/>
                <w:sz w:val="20"/>
              </w:rPr>
              <w:t>75,486</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5,829</w:t>
            </w:r>
          </w:p>
        </w:tc>
        <w:tc>
          <w:tcPr>
            <w:tcW w:w="868" w:type="dxa"/>
            <w:vAlign w:val="center"/>
          </w:tcPr>
          <w:p>
            <w:pPr>
              <w:spacing w:before="20" w:after="20"/>
              <w:jc w:val="right"/>
              <w:rPr>
                <w:noProof/>
                <w:sz w:val="20"/>
              </w:rPr>
            </w:pPr>
            <w:r>
              <w:rPr>
                <w:noProof/>
                <w:sz w:val="20"/>
              </w:rPr>
              <w:t>28,141</w:t>
            </w:r>
          </w:p>
        </w:tc>
        <w:tc>
          <w:tcPr>
            <w:tcW w:w="934" w:type="dxa"/>
            <w:vAlign w:val="center"/>
          </w:tcPr>
          <w:p>
            <w:pPr>
              <w:spacing w:before="20" w:after="20"/>
              <w:jc w:val="right"/>
              <w:rPr>
                <w:noProof/>
                <w:sz w:val="20"/>
              </w:rPr>
            </w:pPr>
            <w:r>
              <w:rPr>
                <w:noProof/>
                <w:sz w:val="20"/>
              </w:rPr>
              <w:t>51,027</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val="restart"/>
            <w:vAlign w:val="center"/>
          </w:tcPr>
          <w:p>
            <w:pPr>
              <w:rPr>
                <w:noProof/>
                <w:sz w:val="22"/>
              </w:rPr>
            </w:pP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ind w:left="252" w:hanging="252"/>
              <w:rPr>
                <w:noProof/>
                <w:sz w:val="22"/>
              </w:rPr>
            </w:pPr>
            <w:r>
              <w:rPr>
                <w:noProof/>
                <w:sz w:val="21"/>
              </w:rPr>
              <w:sym w:font="Wingdings" w:char="F09F"/>
            </w:r>
            <w:r>
              <w:rPr>
                <w:noProof/>
                <w:sz w:val="21"/>
              </w:rPr>
              <w:t xml:space="preserve"> </w:t>
            </w:r>
            <w:r>
              <w:rPr>
                <w:noProof/>
              </w:rPr>
              <w:tab/>
            </w:r>
            <w:r>
              <w:rPr>
                <w:noProof/>
                <w:sz w:val="21"/>
              </w:rPr>
              <w:t>Środki administracyjne finansowane ze środków przydzielonych na określone programy operacyjne</w:t>
            </w:r>
            <w:r>
              <w:rPr>
                <w:rStyle w:val="FootnoteReference"/>
                <w:noProof/>
                <w:sz w:val="21"/>
              </w:rPr>
              <w:footnoteReference w:id="25"/>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934" w:type="dxa"/>
            <w:vAlign w:val="center"/>
          </w:tcPr>
          <w:p>
            <w:pPr>
              <w:rPr>
                <w:b/>
                <w:noProof/>
                <w:sz w:val="20"/>
              </w:rPr>
            </w:pPr>
          </w:p>
        </w:tc>
        <w:tc>
          <w:tcPr>
            <w:tcW w:w="992" w:type="dxa"/>
            <w:vAlign w:val="center"/>
          </w:tcPr>
          <w:p>
            <w:pPr>
              <w:rPr>
                <w:b/>
                <w:noProof/>
                <w:sz w:val="20"/>
              </w:rPr>
            </w:pPr>
          </w:p>
        </w:tc>
        <w:tc>
          <w:tcPr>
            <w:tcW w:w="67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b/>
                <w:noProof/>
                <w:sz w:val="20"/>
              </w:rPr>
              <w:t>29,010401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3,230</w:t>
            </w:r>
          </w:p>
        </w:tc>
        <w:tc>
          <w:tcPr>
            <w:tcW w:w="868" w:type="dxa"/>
            <w:vAlign w:val="center"/>
          </w:tcPr>
          <w:p>
            <w:pPr>
              <w:spacing w:before="40" w:after="40"/>
              <w:jc w:val="right"/>
              <w:rPr>
                <w:noProof/>
                <w:sz w:val="20"/>
              </w:rPr>
            </w:pPr>
            <w:r>
              <w:rPr>
                <w:noProof/>
                <w:sz w:val="20"/>
              </w:rPr>
              <w:t>3,313</w:t>
            </w:r>
          </w:p>
        </w:tc>
        <w:tc>
          <w:tcPr>
            <w:tcW w:w="934" w:type="dxa"/>
            <w:vAlign w:val="center"/>
          </w:tcPr>
          <w:p>
            <w:pPr>
              <w:spacing w:before="40" w:after="40"/>
              <w:jc w:val="right"/>
              <w:rPr>
                <w:noProof/>
                <w:sz w:val="20"/>
              </w:rPr>
            </w:pPr>
            <w:r>
              <w:rPr>
                <w:noProof/>
                <w:sz w:val="20"/>
              </w:rPr>
              <w:t>3,397</w:t>
            </w:r>
          </w:p>
        </w:tc>
        <w:tc>
          <w:tcPr>
            <w:tcW w:w="992" w:type="dxa"/>
            <w:vAlign w:val="center"/>
          </w:tcPr>
          <w:p>
            <w:pPr>
              <w:spacing w:before="40" w:after="40"/>
              <w:jc w:val="right"/>
              <w:rPr>
                <w:b/>
                <w:noProof/>
                <w:sz w:val="20"/>
              </w:rPr>
            </w:pPr>
          </w:p>
        </w:tc>
        <w:tc>
          <w:tcPr>
            <w:tcW w:w="67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r>
              <w:rPr>
                <w:b/>
                <w:noProof/>
                <w:sz w:val="20"/>
              </w:rPr>
              <w:t>9,940</w:t>
            </w:r>
          </w:p>
        </w:tc>
      </w:tr>
      <w:tr>
        <w:tc>
          <w:tcPr>
            <w:tcW w:w="3960" w:type="dxa"/>
            <w:vMerge w:val="restart"/>
            <w:vAlign w:val="center"/>
          </w:tcPr>
          <w:p>
            <w:pPr>
              <w:jc w:val="center"/>
              <w:rPr>
                <w:b/>
                <w:noProof/>
                <w:sz w:val="22"/>
              </w:rPr>
            </w:pPr>
            <w:r>
              <w:rPr>
                <w:b/>
                <w:noProof/>
                <w:sz w:val="22"/>
              </w:rPr>
              <w:t>OGÓŁEM środki</w:t>
            </w:r>
            <w:r>
              <w:rPr>
                <w:noProof/>
                <w:sz w:val="22"/>
              </w:rPr>
              <w:br/>
            </w:r>
            <w:r>
              <w:rPr>
                <w:b/>
                <w:noProof/>
                <w:sz w:val="22"/>
              </w:rPr>
              <w:t>dla DG ESTAT</w:t>
            </w:r>
          </w:p>
        </w:tc>
        <w:tc>
          <w:tcPr>
            <w:tcW w:w="1440" w:type="dxa"/>
            <w:vAlign w:val="center"/>
          </w:tcPr>
          <w:p>
            <w:pPr>
              <w:rPr>
                <w:noProof/>
                <w:sz w:val="18"/>
              </w:rPr>
            </w:pPr>
            <w:r>
              <w:rPr>
                <w:noProof/>
                <w:sz w:val="18"/>
              </w:rPr>
              <w:t>Środki na zobowiązania</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62,705</w:t>
            </w:r>
          </w:p>
        </w:tc>
        <w:tc>
          <w:tcPr>
            <w:tcW w:w="868" w:type="dxa"/>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r>
        <w:tc>
          <w:tcPr>
            <w:tcW w:w="3960" w:type="dxa"/>
            <w:vMerge/>
          </w:tcPr>
          <w:p>
            <w:pPr>
              <w:rPr>
                <w:noProof/>
                <w:sz w:val="20"/>
              </w:rPr>
            </w:pPr>
          </w:p>
        </w:tc>
        <w:tc>
          <w:tcPr>
            <w:tcW w:w="1440"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9,059</w:t>
            </w:r>
          </w:p>
        </w:tc>
        <w:tc>
          <w:tcPr>
            <w:tcW w:w="868" w:type="dxa"/>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21"/>
        <w:gridCol w:w="868"/>
        <w:gridCol w:w="842"/>
        <w:gridCol w:w="26"/>
        <w:gridCol w:w="934"/>
        <w:gridCol w:w="23"/>
        <w:gridCol w:w="969"/>
        <w:gridCol w:w="23"/>
        <w:gridCol w:w="655"/>
        <w:gridCol w:w="23"/>
        <w:gridCol w:w="845"/>
        <w:gridCol w:w="23"/>
        <w:gridCol w:w="845"/>
        <w:gridCol w:w="23"/>
        <w:gridCol w:w="1754"/>
        <w:gridCol w:w="23"/>
      </w:tblGrid>
      <w:tr>
        <w:trPr>
          <w:gridAfter w:val="1"/>
          <w:wAfter w:w="23" w:type="dxa"/>
          <w:trHeight w:val="277"/>
        </w:trPr>
        <w:tc>
          <w:tcPr>
            <w:tcW w:w="3960" w:type="dxa"/>
            <w:vMerge w:val="restart"/>
            <w:vAlign w:val="center"/>
          </w:tcPr>
          <w:p>
            <w:pPr>
              <w:spacing w:before="20" w:after="20"/>
              <w:ind w:left="252" w:hanging="252"/>
              <w:rPr>
                <w:noProof/>
                <w:sz w:val="22"/>
              </w:rPr>
            </w:pPr>
            <w:r>
              <w:rPr>
                <w:noProof/>
              </w:rPr>
              <w:br w:type="page"/>
            </w:r>
            <w:r>
              <w:rPr>
                <w:noProof/>
                <w:sz w:val="21"/>
              </w:rPr>
              <w:sym w:font="Wingdings" w:char="F09F"/>
            </w:r>
            <w:r>
              <w:rPr>
                <w:noProof/>
                <w:sz w:val="21"/>
              </w:rPr>
              <w:t xml:space="preserve"> </w:t>
            </w:r>
            <w:r>
              <w:rPr>
                <w:noProof/>
              </w:rPr>
              <w:tab/>
            </w:r>
            <w:r>
              <w:rPr>
                <w:noProof/>
                <w:sz w:val="21"/>
              </w:rPr>
              <w:t xml:space="preserve">OGÓŁEM środki operacyjne </w:t>
            </w:r>
          </w:p>
        </w:tc>
        <w:tc>
          <w:tcPr>
            <w:tcW w:w="1440" w:type="dxa"/>
            <w:vAlign w:val="center"/>
          </w:tcPr>
          <w:p>
            <w:pPr>
              <w:spacing w:beforeLines="20" w:before="48" w:afterLines="20" w:after="48"/>
              <w:rPr>
                <w:noProof/>
                <w:sz w:val="18"/>
              </w:rPr>
            </w:pPr>
            <w:r>
              <w:rPr>
                <w:noProof/>
                <w:sz w:val="18"/>
              </w:rPr>
              <w:t>Środki na zobowiązania</w:t>
            </w:r>
          </w:p>
        </w:tc>
        <w:tc>
          <w:tcPr>
            <w:tcW w:w="621"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59,475</w:t>
            </w:r>
          </w:p>
        </w:tc>
        <w:tc>
          <w:tcPr>
            <w:tcW w:w="868" w:type="dxa"/>
            <w:gridSpan w:val="2"/>
            <w:vAlign w:val="center"/>
          </w:tcPr>
          <w:p>
            <w:pPr>
              <w:spacing w:before="20" w:after="20"/>
              <w:jc w:val="right"/>
              <w:rPr>
                <w:noProof/>
                <w:sz w:val="20"/>
              </w:rPr>
            </w:pPr>
            <w:r>
              <w:rPr>
                <w:noProof/>
                <w:sz w:val="20"/>
              </w:rPr>
              <w:t xml:space="preserve"> 73,245</w:t>
            </w:r>
          </w:p>
        </w:tc>
        <w:tc>
          <w:tcPr>
            <w:tcW w:w="934" w:type="dxa"/>
            <w:vAlign w:val="center"/>
          </w:tcPr>
          <w:p>
            <w:pPr>
              <w:spacing w:before="20" w:after="20"/>
              <w:jc w:val="right"/>
              <w:rPr>
                <w:noProof/>
                <w:sz w:val="20"/>
              </w:rPr>
            </w:pPr>
            <w:r>
              <w:rPr>
                <w:noProof/>
                <w:sz w:val="20"/>
              </w:rPr>
              <w:t>75,486</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21"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5,829</w:t>
            </w:r>
          </w:p>
        </w:tc>
        <w:tc>
          <w:tcPr>
            <w:tcW w:w="842" w:type="dxa"/>
            <w:vAlign w:val="center"/>
          </w:tcPr>
          <w:p>
            <w:pPr>
              <w:spacing w:before="20" w:after="20"/>
              <w:jc w:val="right"/>
              <w:rPr>
                <w:noProof/>
                <w:sz w:val="20"/>
              </w:rPr>
            </w:pPr>
            <w:r>
              <w:rPr>
                <w:noProof/>
                <w:sz w:val="20"/>
              </w:rPr>
              <w:t>28,141</w:t>
            </w:r>
          </w:p>
        </w:tc>
        <w:tc>
          <w:tcPr>
            <w:tcW w:w="983" w:type="dxa"/>
            <w:gridSpan w:val="3"/>
            <w:vAlign w:val="center"/>
          </w:tcPr>
          <w:p>
            <w:pPr>
              <w:spacing w:before="20" w:after="20"/>
              <w:jc w:val="right"/>
              <w:rPr>
                <w:noProof/>
                <w:sz w:val="20"/>
              </w:rPr>
            </w:pPr>
            <w:r>
              <w:rPr>
                <w:noProof/>
                <w:sz w:val="20"/>
              </w:rPr>
              <w:t>51,027</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rPr>
          <w:gridAfter w:val="1"/>
          <w:wAfter w:w="23" w:type="dxa"/>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r>
            <w:r>
              <w:rPr>
                <w:noProof/>
                <w:sz w:val="21"/>
              </w:rPr>
              <w:t xml:space="preserve">OGÓŁEM środki administracyjne finansowane ze środków przydzielonych na określone programy operacyjne </w:t>
            </w:r>
          </w:p>
        </w:tc>
        <w:tc>
          <w:tcPr>
            <w:tcW w:w="621"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rPr>
            </w:pPr>
            <w:r>
              <w:rPr>
                <w:noProof/>
                <w:sz w:val="20"/>
              </w:rPr>
              <w:t>3,230</w:t>
            </w:r>
          </w:p>
        </w:tc>
        <w:tc>
          <w:tcPr>
            <w:tcW w:w="868" w:type="dxa"/>
            <w:gridSpan w:val="2"/>
            <w:vAlign w:val="center"/>
          </w:tcPr>
          <w:p>
            <w:pPr>
              <w:spacing w:before="20" w:after="20"/>
              <w:jc w:val="right"/>
              <w:rPr>
                <w:noProof/>
                <w:sz w:val="20"/>
              </w:rPr>
            </w:pPr>
            <w:r>
              <w:rPr>
                <w:noProof/>
                <w:sz w:val="20"/>
              </w:rPr>
              <w:t>3,313</w:t>
            </w:r>
          </w:p>
        </w:tc>
        <w:tc>
          <w:tcPr>
            <w:tcW w:w="934" w:type="dxa"/>
            <w:vAlign w:val="center"/>
          </w:tcPr>
          <w:p>
            <w:pPr>
              <w:spacing w:before="20" w:after="20"/>
              <w:jc w:val="right"/>
              <w:rPr>
                <w:noProof/>
                <w:sz w:val="20"/>
              </w:rPr>
            </w:pPr>
            <w:r>
              <w:rPr>
                <w:noProof/>
                <w:sz w:val="20"/>
              </w:rPr>
              <w:t>3,397</w:t>
            </w:r>
          </w:p>
        </w:tc>
        <w:tc>
          <w:tcPr>
            <w:tcW w:w="992" w:type="dxa"/>
            <w:gridSpan w:val="2"/>
            <w:vAlign w:val="center"/>
          </w:tcPr>
          <w:p>
            <w:pPr>
              <w:spacing w:before="20" w:after="20"/>
              <w:jc w:val="right"/>
              <w:rPr>
                <w:b/>
                <w:noProof/>
                <w:sz w:val="20"/>
              </w:rPr>
            </w:pPr>
          </w:p>
        </w:tc>
        <w:tc>
          <w:tcPr>
            <w:tcW w:w="67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9,940</w:t>
            </w:r>
          </w:p>
        </w:tc>
      </w:tr>
      <w:tr>
        <w:trPr>
          <w:gridAfter w:val="1"/>
          <w:wAfter w:w="23" w:type="dxa"/>
        </w:trPr>
        <w:tc>
          <w:tcPr>
            <w:tcW w:w="3960" w:type="dxa"/>
            <w:vMerge w:val="restart"/>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 1 wieloletnich ram finansowych</w:t>
            </w:r>
          </w:p>
        </w:tc>
        <w:tc>
          <w:tcPr>
            <w:tcW w:w="1440" w:type="dxa"/>
            <w:vAlign w:val="center"/>
          </w:tcPr>
          <w:p>
            <w:pPr>
              <w:rPr>
                <w:noProof/>
                <w:sz w:val="18"/>
              </w:rPr>
            </w:pPr>
            <w:r>
              <w:rPr>
                <w:noProof/>
                <w:sz w:val="18"/>
              </w:rPr>
              <w:t>Środki na zobowiązania</w:t>
            </w:r>
          </w:p>
        </w:tc>
        <w:tc>
          <w:tcPr>
            <w:tcW w:w="621"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62,705</w:t>
            </w:r>
          </w:p>
        </w:tc>
        <w:tc>
          <w:tcPr>
            <w:tcW w:w="868" w:type="dxa"/>
            <w:gridSpan w:val="2"/>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r>
        <w:trPr>
          <w:gridAfter w:val="1"/>
          <w:wAfter w:w="23" w:type="dxa"/>
        </w:trPr>
        <w:tc>
          <w:tcPr>
            <w:tcW w:w="3960" w:type="dxa"/>
            <w:vMerge/>
            <w:shd w:val="thinDiagStripe" w:color="C0C0C0" w:fill="auto"/>
          </w:tcPr>
          <w:p>
            <w:pPr>
              <w:rPr>
                <w:noProof/>
                <w:sz w:val="20"/>
              </w:rPr>
            </w:pPr>
          </w:p>
        </w:tc>
        <w:tc>
          <w:tcPr>
            <w:tcW w:w="1440" w:type="dxa"/>
            <w:vAlign w:val="center"/>
          </w:tcPr>
          <w:p>
            <w:pPr>
              <w:rPr>
                <w:noProof/>
                <w:sz w:val="18"/>
              </w:rPr>
            </w:pPr>
            <w:r>
              <w:rPr>
                <w:noProof/>
                <w:sz w:val="18"/>
              </w:rPr>
              <w:t>Środki na płatności</w:t>
            </w:r>
          </w:p>
        </w:tc>
        <w:tc>
          <w:tcPr>
            <w:tcW w:w="621"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9,059</w:t>
            </w:r>
          </w:p>
        </w:tc>
        <w:tc>
          <w:tcPr>
            <w:tcW w:w="868" w:type="dxa"/>
            <w:gridSpan w:val="2"/>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bl>
    <w:p>
      <w:pPr>
        <w:spacing w:after="40"/>
        <w:rPr>
          <w:b/>
          <w:noProof/>
          <w:sz w:val="22"/>
          <w:u w:val="single"/>
        </w:rPr>
      </w:pPr>
      <w:r>
        <w:rPr>
          <w:b/>
          <w:noProof/>
          <w:sz w:val="22"/>
          <w:u w:val="single"/>
        </w:rPr>
        <w:t>Jeżeli wpływ wniosku/inicjatywy nie ogranicza się do jednego działu: NIE DOTYCZY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ind w:left="252" w:hanging="252"/>
              <w:rPr>
                <w:noProof/>
                <w:sz w:val="22"/>
              </w:rPr>
            </w:pPr>
            <w:r>
              <w:rPr>
                <w:noProof/>
                <w:sz w:val="21"/>
              </w:rPr>
              <w:sym w:font="Wingdings" w:char="F09F"/>
            </w:r>
            <w:r>
              <w:rPr>
                <w:noProof/>
                <w:sz w:val="21"/>
              </w:rPr>
              <w:t xml:space="preserve"> </w:t>
            </w:r>
            <w:r>
              <w:rPr>
                <w:noProof/>
              </w:rPr>
              <w:tab/>
            </w:r>
            <w:r>
              <w:rPr>
                <w:noProof/>
                <w:sz w:val="21"/>
              </w:rPr>
              <w:t xml:space="preserve">OGÓŁEM środki operacyjne </w:t>
            </w:r>
          </w:p>
        </w:tc>
        <w:tc>
          <w:tcPr>
            <w:tcW w:w="1440" w:type="dxa"/>
            <w:tcBorders>
              <w:top w:val="single" w:sz="4" w:space="0" w:color="FF0000"/>
            </w:tcBorders>
            <w:vAlign w:val="center"/>
          </w:tcPr>
          <w:p>
            <w:pPr>
              <w:spacing w:beforeLines="20" w:before="48" w:afterLines="20" w:after="48"/>
              <w:rPr>
                <w:noProof/>
                <w:sz w:val="18"/>
              </w:rPr>
            </w:pPr>
            <w:r>
              <w:rPr>
                <w:noProof/>
                <w:sz w:val="18"/>
              </w:rPr>
              <w:t>Środki na zobowiązania</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r>
            <w:r>
              <w:rPr>
                <w:noProof/>
                <w:sz w:val="21"/>
              </w:rPr>
              <w:t xml:space="preserve">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DZIAŁY od 1 do 4 wieloletnich ram finansowych</w:t>
            </w:r>
            <w:r>
              <w:rPr>
                <w:noProof/>
                <w:sz w:val="22"/>
              </w:rPr>
              <w:br/>
            </w:r>
            <w:r>
              <w:rPr>
                <w:noProof/>
                <w:sz w:val="20"/>
              </w:rPr>
              <w:t xml:space="preserve"> (kwota odniesienia)</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Środki na płatności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Dział wieloletnich ram finansowych</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„Wydatki administracyjne”</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Wprowadzić taką liczbę kolumn dla poszczególnych lat, jaka jest niezbędna, by odzwierciedlić cały okres wpływu (zob. pkt 1.6) </w:t>
            </w:r>
          </w:p>
        </w:tc>
        <w:tc>
          <w:tcPr>
            <w:tcW w:w="1777" w:type="dxa"/>
            <w:vAlign w:val="center"/>
          </w:tcPr>
          <w:p>
            <w:pPr>
              <w:jc w:val="center"/>
              <w:rPr>
                <w:b/>
                <w:noProof/>
                <w:sz w:val="20"/>
              </w:rPr>
            </w:pPr>
            <w:r>
              <w:rPr>
                <w:b/>
                <w:noProof/>
                <w:sz w:val="20"/>
              </w:rPr>
              <w:t>OGÓŁEM</w:t>
            </w:r>
          </w:p>
        </w:tc>
      </w:tr>
      <w:tr>
        <w:trPr>
          <w:gridAfter w:val="10"/>
          <w:wAfter w:w="9947" w:type="dxa"/>
        </w:trPr>
        <w:tc>
          <w:tcPr>
            <w:tcW w:w="3960" w:type="dxa"/>
            <w:vAlign w:val="center"/>
          </w:tcPr>
          <w:p>
            <w:pPr>
              <w:spacing w:before="60" w:after="60"/>
              <w:jc w:val="center"/>
              <w:rPr>
                <w:noProof/>
                <w:sz w:val="22"/>
              </w:rPr>
            </w:pPr>
            <w:r>
              <w:rPr>
                <w:noProof/>
                <w:sz w:val="22"/>
              </w:rPr>
              <w:t>DG ESTAT:</w:t>
            </w:r>
          </w:p>
        </w:tc>
      </w:tr>
      <w:tr>
        <w:trPr>
          <w:trHeight w:val="313"/>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r>
            <w:r>
              <w:rPr>
                <w:noProof/>
                <w:sz w:val="22"/>
              </w:rPr>
              <w:t xml:space="preserve">Zasoby ludzkie </w:t>
            </w:r>
          </w:p>
        </w:tc>
        <w:tc>
          <w:tcPr>
            <w:tcW w:w="868" w:type="dxa"/>
            <w:vAlign w:val="center"/>
          </w:tcPr>
          <w:p>
            <w:pPr>
              <w:spacing w:before="20" w:after="20"/>
              <w:jc w:val="right"/>
              <w:rPr>
                <w:noProof/>
                <w:sz w:val="20"/>
              </w:rPr>
            </w:pPr>
            <w:r>
              <w:rPr>
                <w:noProof/>
                <w:sz w:val="20"/>
              </w:rPr>
              <w:t>88,904</w:t>
            </w:r>
          </w:p>
        </w:tc>
        <w:tc>
          <w:tcPr>
            <w:tcW w:w="868" w:type="dxa"/>
            <w:vAlign w:val="center"/>
          </w:tcPr>
          <w:p>
            <w:pPr>
              <w:spacing w:before="20" w:after="20"/>
              <w:jc w:val="right"/>
              <w:rPr>
                <w:noProof/>
                <w:sz w:val="20"/>
              </w:rPr>
            </w:pPr>
            <w:r>
              <w:rPr>
                <w:noProof/>
                <w:sz w:val="20"/>
              </w:rPr>
              <w:t>87,148</w:t>
            </w:r>
          </w:p>
        </w:tc>
        <w:tc>
          <w:tcPr>
            <w:tcW w:w="868" w:type="dxa"/>
            <w:vAlign w:val="center"/>
          </w:tcPr>
          <w:p>
            <w:pPr>
              <w:spacing w:before="20" w:after="20"/>
              <w:jc w:val="right"/>
              <w:rPr>
                <w:noProof/>
                <w:sz w:val="20"/>
              </w:rPr>
            </w:pPr>
            <w:r>
              <w:rPr>
                <w:noProof/>
                <w:sz w:val="20"/>
              </w:rPr>
              <w:t>85,392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261,444</w:t>
            </w:r>
          </w:p>
        </w:tc>
      </w:tr>
      <w:tr>
        <w:trPr>
          <w:trHeight w:val="351"/>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r>
            <w:r>
              <w:rPr>
                <w:noProof/>
                <w:sz w:val="22"/>
              </w:rPr>
              <w:t xml:space="preserve">Pozostałe wydatki administracyjne </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9,870</w:t>
            </w:r>
          </w:p>
        </w:tc>
      </w:tr>
      <w:tr>
        <w:tc>
          <w:tcPr>
            <w:tcW w:w="3960" w:type="dxa"/>
            <w:vAlign w:val="center"/>
          </w:tcPr>
          <w:p>
            <w:pPr>
              <w:jc w:val="center"/>
              <w:rPr>
                <w:b/>
                <w:noProof/>
                <w:sz w:val="22"/>
              </w:rPr>
            </w:pPr>
            <w:r>
              <w:rPr>
                <w:b/>
                <w:noProof/>
                <w:sz w:val="22"/>
              </w:rPr>
              <w:t>OGÓŁEM DG ESTAT</w:t>
            </w:r>
          </w:p>
        </w:tc>
        <w:tc>
          <w:tcPr>
            <w:tcW w:w="2094" w:type="dxa"/>
            <w:gridSpan w:val="2"/>
            <w:vAlign w:val="center"/>
          </w:tcPr>
          <w:p>
            <w:pPr>
              <w:rPr>
                <w:noProof/>
                <w:sz w:val="14"/>
              </w:rPr>
            </w:pPr>
            <w:r>
              <w:rPr>
                <w:noProof/>
                <w:sz w:val="18"/>
              </w:rPr>
              <w:t xml:space="preserve">Środki </w:t>
            </w:r>
          </w:p>
        </w:tc>
        <w:tc>
          <w:tcPr>
            <w:tcW w:w="868" w:type="dxa"/>
            <w:vAlign w:val="center"/>
          </w:tcPr>
          <w:p>
            <w:pPr>
              <w:spacing w:before="60" w:after="6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 5 wieloletnich ram finansowych</w:t>
            </w:r>
          </w:p>
        </w:tc>
        <w:tc>
          <w:tcPr>
            <w:tcW w:w="2094" w:type="dxa"/>
            <w:vAlign w:val="center"/>
          </w:tcPr>
          <w:p>
            <w:pPr>
              <w:spacing w:before="40" w:after="40"/>
              <w:rPr>
                <w:noProof/>
                <w:sz w:val="22"/>
              </w:rPr>
            </w:pPr>
            <w:r>
              <w:rPr>
                <w:noProof/>
                <w:sz w:val="18"/>
              </w:rPr>
              <w:t>(Środki na zobowiązania ogółem = środki na płatności ogółem)</w:t>
            </w:r>
          </w:p>
        </w:tc>
        <w:tc>
          <w:tcPr>
            <w:tcW w:w="868" w:type="dxa"/>
            <w:vAlign w:val="center"/>
          </w:tcPr>
          <w:p>
            <w:pPr>
              <w:spacing w:before="20" w:after="2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709"/>
        <w:gridCol w:w="709"/>
        <w:gridCol w:w="713"/>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noProof/>
                <w:sz w:val="20"/>
              </w:rPr>
              <w:t>Rok</w:t>
            </w:r>
            <w:r>
              <w:rPr>
                <w:noProof/>
                <w:sz w:val="22"/>
              </w:rPr>
              <w:br/>
            </w:r>
            <w:r>
              <w:rPr>
                <w:b/>
                <w:noProof/>
                <w:sz w:val="20"/>
              </w:rPr>
              <w:t>2018</w:t>
            </w:r>
            <w:r>
              <w:rPr>
                <w:rStyle w:val="FootnoteReference"/>
                <w:b/>
                <w:noProof/>
                <w:sz w:val="20"/>
              </w:rPr>
              <w:footnoteReference w:id="26"/>
            </w:r>
          </w:p>
        </w:tc>
        <w:tc>
          <w:tcPr>
            <w:tcW w:w="992" w:type="dxa"/>
            <w:vAlign w:val="center"/>
          </w:tcPr>
          <w:p>
            <w:pPr>
              <w:jc w:val="center"/>
              <w:rPr>
                <w:noProof/>
                <w:sz w:val="20"/>
              </w:rPr>
            </w:pPr>
            <w:r>
              <w:rPr>
                <w:noProof/>
                <w:sz w:val="20"/>
              </w:rPr>
              <w:t>Rok</w:t>
            </w:r>
            <w:r>
              <w:rPr>
                <w:noProof/>
                <w:sz w:val="22"/>
              </w:rPr>
              <w:br/>
            </w:r>
            <w:r>
              <w:rPr>
                <w:b/>
                <w:noProof/>
                <w:sz w:val="20"/>
              </w:rPr>
              <w:t>2019</w:t>
            </w:r>
          </w:p>
        </w:tc>
        <w:tc>
          <w:tcPr>
            <w:tcW w:w="992" w:type="dxa"/>
            <w:vAlign w:val="center"/>
          </w:tcPr>
          <w:p>
            <w:pPr>
              <w:jc w:val="center"/>
              <w:rPr>
                <w:noProof/>
                <w:sz w:val="20"/>
              </w:rPr>
            </w:pPr>
            <w:r>
              <w:rPr>
                <w:noProof/>
                <w:sz w:val="20"/>
              </w:rPr>
              <w:t>Rok</w:t>
            </w:r>
            <w:r>
              <w:rPr>
                <w:noProof/>
                <w:sz w:val="22"/>
              </w:rPr>
              <w:br/>
            </w:r>
            <w:r>
              <w:rPr>
                <w:b/>
                <w:noProof/>
                <w:sz w:val="20"/>
              </w:rPr>
              <w:t>2020</w:t>
            </w:r>
          </w:p>
        </w:tc>
        <w:tc>
          <w:tcPr>
            <w:tcW w:w="992" w:type="dxa"/>
            <w:vAlign w:val="center"/>
          </w:tcPr>
          <w:p>
            <w:pPr>
              <w:jc w:val="center"/>
              <w:rPr>
                <w:noProof/>
                <w:sz w:val="20"/>
              </w:rPr>
            </w:pPr>
            <w:r>
              <w:rPr>
                <w:noProof/>
                <w:sz w:val="20"/>
              </w:rPr>
              <w:t>Rok</w:t>
            </w:r>
            <w:r>
              <w:rPr>
                <w:b/>
                <w:noProof/>
                <w:sz w:val="18"/>
              </w:rPr>
              <w:t>2021 i późniejsze lata</w:t>
            </w:r>
          </w:p>
        </w:tc>
        <w:tc>
          <w:tcPr>
            <w:tcW w:w="2131" w:type="dxa"/>
            <w:gridSpan w:val="3"/>
            <w:vAlign w:val="center"/>
          </w:tcPr>
          <w:p>
            <w:pPr>
              <w:jc w:val="center"/>
              <w:rPr>
                <w:b/>
                <w:noProof/>
                <w:sz w:val="18"/>
              </w:rPr>
            </w:pPr>
            <w:r>
              <w:rPr>
                <w:noProof/>
                <w:sz w:val="18"/>
              </w:rPr>
              <w:t>Wprowadzić taką liczbę kolumn dla poszczególnych lat, jaka jest niezbędna, by odzwierciedlić cały okres wpływu (zob. pkt 1.6)</w:t>
            </w:r>
          </w:p>
        </w:tc>
        <w:tc>
          <w:tcPr>
            <w:tcW w:w="1777"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sz w:val="22"/>
              </w:rPr>
            </w:pPr>
            <w:r>
              <w:rPr>
                <w:b/>
                <w:noProof/>
                <w:sz w:val="22"/>
              </w:rPr>
              <w:t>OGÓŁEM środki</w:t>
            </w:r>
            <w:r>
              <w:rPr>
                <w:noProof/>
                <w:sz w:val="22"/>
              </w:rPr>
              <w:br/>
            </w:r>
            <w:r>
              <w:rPr>
                <w:b/>
                <w:noProof/>
                <w:sz w:val="22"/>
              </w:rPr>
              <w:t>na DZIAŁY od 1 do 5 wieloletnich ram finansowych</w:t>
            </w:r>
          </w:p>
        </w:tc>
        <w:tc>
          <w:tcPr>
            <w:tcW w:w="2094" w:type="dxa"/>
            <w:gridSpan w:val="2"/>
            <w:vAlign w:val="center"/>
          </w:tcPr>
          <w:p>
            <w:pPr>
              <w:rPr>
                <w:noProof/>
                <w:sz w:val="14"/>
              </w:rPr>
            </w:pPr>
            <w:r>
              <w:rPr>
                <w:noProof/>
                <w:sz w:val="18"/>
              </w:rPr>
              <w:t>Środki na zobowiązania</w:t>
            </w:r>
          </w:p>
        </w:tc>
        <w:tc>
          <w:tcPr>
            <w:tcW w:w="969" w:type="dxa"/>
            <w:vAlign w:val="center"/>
          </w:tcPr>
          <w:p>
            <w:pPr>
              <w:spacing w:before="60" w:after="60"/>
              <w:jc w:val="right"/>
              <w:rPr>
                <w:noProof/>
                <w:sz w:val="20"/>
              </w:rPr>
            </w:pPr>
            <w:r>
              <w:rPr>
                <w:noProof/>
                <w:sz w:val="20"/>
              </w:rPr>
              <w:t>154,899</w:t>
            </w:r>
          </w:p>
        </w:tc>
        <w:tc>
          <w:tcPr>
            <w:tcW w:w="992" w:type="dxa"/>
            <w:vAlign w:val="center"/>
          </w:tcPr>
          <w:p>
            <w:pPr>
              <w:spacing w:before="60" w:after="60"/>
              <w:jc w:val="right"/>
              <w:rPr>
                <w:noProof/>
                <w:sz w:val="20"/>
              </w:rPr>
            </w:pPr>
            <w:r>
              <w:rPr>
                <w:noProof/>
                <w:sz w:val="20"/>
              </w:rPr>
              <w:t>166,996</w:t>
            </w:r>
          </w:p>
        </w:tc>
        <w:tc>
          <w:tcPr>
            <w:tcW w:w="992" w:type="dxa"/>
            <w:vAlign w:val="center"/>
          </w:tcPr>
          <w:p>
            <w:pPr>
              <w:spacing w:before="60" w:after="60"/>
              <w:jc w:val="right"/>
              <w:rPr>
                <w:noProof/>
                <w:sz w:val="20"/>
              </w:rPr>
            </w:pPr>
            <w:r>
              <w:rPr>
                <w:noProof/>
                <w:sz w:val="20"/>
              </w:rPr>
              <w:t>167,565</w:t>
            </w:r>
          </w:p>
        </w:tc>
        <w:tc>
          <w:tcPr>
            <w:tcW w:w="992"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969" w:type="dxa"/>
            <w:vAlign w:val="center"/>
          </w:tcPr>
          <w:p>
            <w:pPr>
              <w:spacing w:before="60" w:after="60"/>
              <w:jc w:val="right"/>
              <w:rPr>
                <w:noProof/>
                <w:sz w:val="20"/>
              </w:rPr>
            </w:pPr>
            <w:r>
              <w:rPr>
                <w:noProof/>
                <w:sz w:val="20"/>
              </w:rPr>
              <w:t>101,253</w:t>
            </w:r>
          </w:p>
        </w:tc>
        <w:tc>
          <w:tcPr>
            <w:tcW w:w="992" w:type="dxa"/>
            <w:vAlign w:val="center"/>
          </w:tcPr>
          <w:p>
            <w:pPr>
              <w:spacing w:before="60" w:after="60"/>
              <w:jc w:val="right"/>
              <w:rPr>
                <w:noProof/>
                <w:sz w:val="20"/>
              </w:rPr>
            </w:pPr>
            <w:r>
              <w:rPr>
                <w:noProof/>
                <w:sz w:val="20"/>
              </w:rPr>
              <w:t>121,892</w:t>
            </w:r>
          </w:p>
        </w:tc>
        <w:tc>
          <w:tcPr>
            <w:tcW w:w="992" w:type="dxa"/>
            <w:vAlign w:val="center"/>
          </w:tcPr>
          <w:p>
            <w:pPr>
              <w:spacing w:before="60" w:after="60"/>
              <w:jc w:val="right"/>
              <w:rPr>
                <w:noProof/>
                <w:sz w:val="20"/>
              </w:rPr>
            </w:pPr>
            <w:r>
              <w:rPr>
                <w:noProof/>
                <w:sz w:val="20"/>
              </w:rPr>
              <w:t>143,106</w:t>
            </w:r>
          </w:p>
        </w:tc>
        <w:tc>
          <w:tcPr>
            <w:tcW w:w="992" w:type="dxa"/>
            <w:vAlign w:val="center"/>
          </w:tcPr>
          <w:p>
            <w:pPr>
              <w:spacing w:before="60" w:after="60"/>
              <w:jc w:val="right"/>
              <w:rPr>
                <w:noProof/>
                <w:sz w:val="20"/>
              </w:rPr>
            </w:pPr>
            <w:r>
              <w:rPr>
                <w:noProof/>
                <w:sz w:val="20"/>
              </w:rPr>
              <w:t>123,209</w:t>
            </w: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Szacunkowy wpływ na środki operacyjne </w:t>
      </w:r>
    </w:p>
    <w:p>
      <w:pPr>
        <w:pStyle w:val="ListDash1"/>
        <w:rPr>
          <w:noProof/>
        </w:rPr>
      </w:pPr>
      <w:r>
        <w:rPr>
          <w:noProof/>
        </w:rPr>
        <w:sym w:font="Wingdings" w:char="F0A8"/>
      </w:r>
      <w:r>
        <w:rPr>
          <w:noProof/>
        </w:rPr>
        <w:tab/>
      </w:r>
      <w:r>
        <w:rPr>
          <w:noProof/>
        </w:rPr>
        <w:sym w:font="Wingdings" w:char="F0A8"/>
      </w:r>
      <w:r>
        <w:rPr>
          <w:noProof/>
        </w:rPr>
        <w:t xml:space="preserve">Wniosek/inicjatywa nie wiąże się z koniecznością wykorzystania środków operacyjnych </w:t>
      </w:r>
    </w:p>
    <w:p>
      <w:pPr>
        <w:pStyle w:val="ListDash1"/>
        <w:rPr>
          <w:noProof/>
        </w:rPr>
      </w:pPr>
      <w:r>
        <w:rPr>
          <w:noProof/>
          <w:sz w:val="22"/>
        </w:rPr>
        <w:sym w:font="Wingdings" w:char="F0FD"/>
      </w:r>
      <w:r>
        <w:rPr>
          <w:noProof/>
        </w:rPr>
        <w:tab/>
      </w:r>
      <w:r>
        <w:rPr>
          <w:noProof/>
          <w:sz w:val="22"/>
        </w:rPr>
        <w:sym w:font="Wingdings" w:char="F0FD"/>
      </w:r>
      <w:r>
        <w:rPr>
          <w:noProof/>
        </w:rPr>
        <w:t>Wniosek/inicjatywa wiąże się z koniecznością wykorzystania środków operacyjnych, jak określono poniżej:</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02"/>
        <w:gridCol w:w="880"/>
        <w:gridCol w:w="8"/>
        <w:gridCol w:w="567"/>
        <w:gridCol w:w="86"/>
        <w:gridCol w:w="663"/>
        <w:gridCol w:w="811"/>
        <w:gridCol w:w="636"/>
        <w:gridCol w:w="679"/>
        <w:gridCol w:w="41"/>
        <w:gridCol w:w="720"/>
        <w:gridCol w:w="656"/>
        <w:gridCol w:w="64"/>
        <w:gridCol w:w="884"/>
        <w:gridCol w:w="16"/>
        <w:gridCol w:w="720"/>
        <w:gridCol w:w="540"/>
        <w:gridCol w:w="709"/>
        <w:gridCol w:w="371"/>
        <w:gridCol w:w="720"/>
        <w:gridCol w:w="540"/>
        <w:gridCol w:w="75"/>
        <w:gridCol w:w="645"/>
        <w:gridCol w:w="720"/>
        <w:gridCol w:w="903"/>
        <w:gridCol w:w="7"/>
      </w:tblGrid>
      <w:tr>
        <w:trPr>
          <w:gridAfter w:val="1"/>
          <w:wAfter w:w="7" w:type="dxa"/>
          <w:jc w:val="center"/>
        </w:trPr>
        <w:tc>
          <w:tcPr>
            <w:tcW w:w="1417" w:type="dxa"/>
            <w:gridSpan w:val="2"/>
            <w:vMerge w:val="restart"/>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p>
          <w:p>
            <w:pPr>
              <w:ind w:right="-29"/>
              <w:jc w:val="center"/>
              <w:rPr>
                <w:noProof/>
                <w:sz w:val="18"/>
                <w:szCs w:val="18"/>
              </w:rPr>
            </w:pPr>
            <w:r>
              <w:rPr>
                <w:noProof/>
                <w:sz w:val="18"/>
              </w:rPr>
              <w:sym w:font="Wingdings" w:char="F0F2"/>
            </w:r>
          </w:p>
        </w:tc>
        <w:tc>
          <w:tcPr>
            <w:tcW w:w="880" w:type="dxa"/>
            <w:vAlign w:val="center"/>
          </w:tcPr>
          <w:p>
            <w:pPr>
              <w:ind w:right="-29"/>
              <w:jc w:val="center"/>
              <w:rPr>
                <w:noProof/>
                <w:sz w:val="18"/>
                <w:szCs w:val="18"/>
              </w:rPr>
            </w:pPr>
          </w:p>
        </w:tc>
        <w:tc>
          <w:tcPr>
            <w:tcW w:w="575" w:type="dxa"/>
            <w:gridSpan w:val="2"/>
            <w:vAlign w:val="center"/>
          </w:tcPr>
          <w:p>
            <w:pPr>
              <w:ind w:right="-29"/>
              <w:jc w:val="center"/>
              <w:rPr>
                <w:noProof/>
                <w:sz w:val="18"/>
                <w:szCs w:val="18"/>
              </w:rPr>
            </w:pPr>
          </w:p>
        </w:tc>
        <w:tc>
          <w:tcPr>
            <w:tcW w:w="1560" w:type="dxa"/>
            <w:gridSpan w:val="3"/>
            <w:tcBorders>
              <w:left w:val="nil"/>
            </w:tcBorders>
            <w:vAlign w:val="center"/>
          </w:tcPr>
          <w:p>
            <w:pPr>
              <w:ind w:right="-29"/>
              <w:jc w:val="center"/>
              <w:rPr>
                <w:noProof/>
                <w:sz w:val="18"/>
                <w:szCs w:val="18"/>
              </w:rPr>
            </w:pPr>
            <w:r>
              <w:rPr>
                <w:noProof/>
                <w:sz w:val="18"/>
              </w:rPr>
              <w:t>Rok</w:t>
            </w:r>
            <w:r>
              <w:rPr>
                <w:noProof/>
                <w:sz w:val="22"/>
              </w:rPr>
              <w:br/>
            </w:r>
            <w:r>
              <w:rPr>
                <w:b/>
                <w:noProof/>
                <w:sz w:val="18"/>
              </w:rPr>
              <w:t>2018</w:t>
            </w:r>
          </w:p>
        </w:tc>
        <w:tc>
          <w:tcPr>
            <w:tcW w:w="1315" w:type="dxa"/>
            <w:gridSpan w:val="2"/>
            <w:vAlign w:val="center"/>
          </w:tcPr>
          <w:p>
            <w:pPr>
              <w:ind w:right="-29"/>
              <w:jc w:val="center"/>
              <w:rPr>
                <w:noProof/>
                <w:sz w:val="18"/>
                <w:szCs w:val="18"/>
              </w:rPr>
            </w:pPr>
            <w:r>
              <w:rPr>
                <w:noProof/>
                <w:sz w:val="18"/>
              </w:rPr>
              <w:t>Rok</w:t>
            </w:r>
            <w:r>
              <w:rPr>
                <w:noProof/>
                <w:sz w:val="22"/>
              </w:rPr>
              <w:br/>
            </w:r>
            <w:r>
              <w:rPr>
                <w:b/>
                <w:noProof/>
                <w:sz w:val="18"/>
              </w:rPr>
              <w:t>2019</w:t>
            </w:r>
          </w:p>
        </w:tc>
        <w:tc>
          <w:tcPr>
            <w:tcW w:w="1417" w:type="dxa"/>
            <w:gridSpan w:val="3"/>
            <w:vAlign w:val="center"/>
          </w:tcPr>
          <w:p>
            <w:pPr>
              <w:ind w:right="-29"/>
              <w:jc w:val="center"/>
              <w:rPr>
                <w:noProof/>
                <w:sz w:val="18"/>
                <w:szCs w:val="18"/>
              </w:rPr>
            </w:pPr>
            <w:r>
              <w:rPr>
                <w:noProof/>
                <w:sz w:val="18"/>
              </w:rPr>
              <w:t>Rok</w:t>
            </w:r>
            <w:r>
              <w:rPr>
                <w:noProof/>
                <w:sz w:val="22"/>
              </w:rPr>
              <w:br/>
            </w:r>
            <w:r>
              <w:rPr>
                <w:b/>
                <w:noProof/>
                <w:sz w:val="18"/>
              </w:rPr>
              <w:t>2020</w:t>
            </w:r>
          </w:p>
        </w:tc>
        <w:tc>
          <w:tcPr>
            <w:tcW w:w="948" w:type="dxa"/>
            <w:gridSpan w:val="2"/>
            <w:vAlign w:val="center"/>
          </w:tcPr>
          <w:p>
            <w:pPr>
              <w:ind w:right="-29"/>
              <w:jc w:val="center"/>
              <w:rPr>
                <w:noProof/>
                <w:sz w:val="18"/>
                <w:szCs w:val="18"/>
              </w:rPr>
            </w:pPr>
          </w:p>
        </w:tc>
        <w:tc>
          <w:tcPr>
            <w:tcW w:w="3691" w:type="dxa"/>
            <w:gridSpan w:val="8"/>
            <w:vAlign w:val="center"/>
          </w:tcPr>
          <w:p>
            <w:pPr>
              <w:jc w:val="center"/>
              <w:rPr>
                <w:noProof/>
                <w:sz w:val="18"/>
                <w:szCs w:val="18"/>
              </w:rPr>
            </w:pPr>
            <w:r>
              <w:rPr>
                <w:noProof/>
                <w:sz w:val="18"/>
              </w:rPr>
              <w:t>Wprowadzić taką liczbę kolumn dla poszczególnych lat, jaka jest niezbędna, by odzwierciedlić cały okres wpływu (zob. pkt 1.6)</w:t>
            </w:r>
          </w:p>
        </w:tc>
        <w:tc>
          <w:tcPr>
            <w:tcW w:w="2268" w:type="dxa"/>
            <w:gridSpan w:val="3"/>
            <w:tcBorders>
              <w:left w:val="nil"/>
              <w:bottom w:val="nil"/>
            </w:tcBorders>
            <w:vAlign w:val="center"/>
          </w:tcPr>
          <w:p>
            <w:pPr>
              <w:ind w:right="-29"/>
              <w:jc w:val="center"/>
              <w:rPr>
                <w:noProof/>
                <w:sz w:val="18"/>
                <w:szCs w:val="18"/>
              </w:rPr>
            </w:pPr>
            <w:r>
              <w:rPr>
                <w:b/>
                <w:noProof/>
                <w:sz w:val="18"/>
              </w:rPr>
              <w:t>OGÓŁEM</w:t>
            </w:r>
          </w:p>
        </w:tc>
      </w:tr>
      <w:tr>
        <w:trPr>
          <w:gridAfter w:val="1"/>
          <w:wAfter w:w="7" w:type="dxa"/>
          <w:jc w:val="center"/>
        </w:trPr>
        <w:tc>
          <w:tcPr>
            <w:tcW w:w="1417" w:type="dxa"/>
            <w:gridSpan w:val="2"/>
            <w:vMerge/>
            <w:vAlign w:val="center"/>
          </w:tcPr>
          <w:p>
            <w:pPr>
              <w:ind w:right="-29"/>
              <w:jc w:val="center"/>
              <w:rPr>
                <w:noProof/>
                <w:sz w:val="18"/>
                <w:szCs w:val="18"/>
              </w:rPr>
            </w:pPr>
          </w:p>
        </w:tc>
        <w:tc>
          <w:tcPr>
            <w:tcW w:w="12654" w:type="dxa"/>
            <w:gridSpan w:val="24"/>
            <w:vAlign w:val="center"/>
          </w:tcPr>
          <w:p>
            <w:pPr>
              <w:spacing w:before="60" w:after="60"/>
              <w:ind w:right="-29"/>
              <w:jc w:val="center"/>
              <w:rPr>
                <w:noProof/>
                <w:sz w:val="18"/>
                <w:szCs w:val="18"/>
              </w:rPr>
            </w:pPr>
            <w:r>
              <w:rPr>
                <w:b/>
                <w:noProof/>
                <w:sz w:val="18"/>
              </w:rPr>
              <w:t>PRODUKT</w:t>
            </w:r>
          </w:p>
        </w:tc>
      </w:tr>
      <w:tr>
        <w:trPr>
          <w:cantSplit/>
          <w:trHeight w:val="792"/>
          <w:jc w:val="center"/>
        </w:trPr>
        <w:tc>
          <w:tcPr>
            <w:tcW w:w="1417" w:type="dxa"/>
            <w:gridSpan w:val="2"/>
            <w:vMerge/>
            <w:vAlign w:val="center"/>
          </w:tcPr>
          <w:p>
            <w:pPr>
              <w:rPr>
                <w:noProof/>
                <w:sz w:val="18"/>
                <w:szCs w:val="18"/>
              </w:rPr>
            </w:pPr>
          </w:p>
        </w:tc>
        <w:tc>
          <w:tcPr>
            <w:tcW w:w="888" w:type="dxa"/>
            <w:gridSpan w:val="2"/>
            <w:vAlign w:val="center"/>
          </w:tcPr>
          <w:p>
            <w:pPr>
              <w:jc w:val="center"/>
              <w:rPr>
                <w:noProof/>
                <w:sz w:val="18"/>
                <w:szCs w:val="18"/>
              </w:rPr>
            </w:pPr>
            <w:r>
              <w:rPr>
                <w:noProof/>
                <w:sz w:val="18"/>
              </w:rPr>
              <w:t>Rodzaj</w:t>
            </w:r>
            <w:r>
              <w:rPr>
                <w:rStyle w:val="FootnoteReference"/>
                <w:noProof/>
              </w:rPr>
              <w:footnoteReference w:id="27"/>
            </w:r>
          </w:p>
        </w:tc>
        <w:tc>
          <w:tcPr>
            <w:tcW w:w="567" w:type="dxa"/>
            <w:vAlign w:val="center"/>
          </w:tcPr>
          <w:p>
            <w:pPr>
              <w:jc w:val="center"/>
              <w:rPr>
                <w:noProof/>
                <w:sz w:val="18"/>
                <w:szCs w:val="18"/>
              </w:rPr>
            </w:pPr>
            <w:r>
              <w:rPr>
                <w:noProof/>
                <w:sz w:val="18"/>
              </w:rPr>
              <w:t>Średni koszt</w:t>
            </w:r>
          </w:p>
        </w:tc>
        <w:tc>
          <w:tcPr>
            <w:tcW w:w="749"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811"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6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09"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37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Liczba ogółem</w:t>
            </w:r>
          </w:p>
        </w:tc>
        <w:tc>
          <w:tcPr>
            <w:tcW w:w="910" w:type="dxa"/>
            <w:gridSpan w:val="2"/>
            <w:tcBorders>
              <w:left w:val="dashSmallGap" w:sz="4" w:space="0" w:color="auto"/>
            </w:tcBorders>
            <w:shd w:val="pct10" w:color="auto" w:fill="auto"/>
            <w:vAlign w:val="center"/>
          </w:tcPr>
          <w:p>
            <w:pPr>
              <w:jc w:val="center"/>
              <w:rPr>
                <w:noProof/>
                <w:sz w:val="18"/>
                <w:szCs w:val="18"/>
              </w:rPr>
            </w:pPr>
            <w:r>
              <w:rPr>
                <w:noProof/>
                <w:sz w:val="18"/>
              </w:rPr>
              <w:t>Koszt całkowity</w:t>
            </w:r>
          </w:p>
        </w:tc>
      </w:tr>
      <w:tr>
        <w:trPr>
          <w:gridAfter w:val="1"/>
          <w:wAfter w:w="7" w:type="dxa"/>
          <w:jc w:val="center"/>
        </w:trPr>
        <w:tc>
          <w:tcPr>
            <w:tcW w:w="14071" w:type="dxa"/>
            <w:gridSpan w:val="26"/>
            <w:vAlign w:val="center"/>
          </w:tcPr>
          <w:p>
            <w:pPr>
              <w:spacing w:before="60" w:after="60"/>
              <w:ind w:right="-29"/>
              <w:jc w:val="center"/>
              <w:rPr>
                <w:noProof/>
                <w:sz w:val="16"/>
                <w:szCs w:val="16"/>
              </w:rPr>
            </w:pPr>
            <w:r>
              <w:rPr>
                <w:noProof/>
                <w:sz w:val="16"/>
              </w:rPr>
              <w:t>CELE SZCZEGÓŁOWE nr 1 i 4</w:t>
            </w:r>
            <w:r>
              <w:rPr>
                <w:rStyle w:val="FootnoteReference"/>
                <w:noProof/>
              </w:rPr>
              <w:footnoteReference w:id="28"/>
            </w:r>
          </w:p>
          <w:p>
            <w:pPr>
              <w:spacing w:before="60" w:after="60"/>
              <w:ind w:right="-29"/>
              <w:jc w:val="center"/>
              <w:rPr>
                <w:noProof/>
                <w:sz w:val="18"/>
                <w:szCs w:val="18"/>
              </w:rPr>
            </w:pPr>
            <w:r>
              <w:rPr>
                <w:noProof/>
                <w:sz w:val="18"/>
              </w:rPr>
              <w:t>Terminowe dostarczanie informacji statystycznych, aby wspierać opracowywanie, monitorowanie i ocenę polityk Unii odpowiednio odzwierciedlających priorytety, utrzymując równowagę między obszarami gospodarczymi, społecznymi i środowiskowymi oraz zaspokajając potrzeby szerokiego kręgu użytkowników statystyki europejskiej, w tym innych decydentów, naukowców, przedsiębiorców i wszystkich obywateli Europy, w sposób racjonalny pod względem kosztów bez niepotrzebnego powielania działań.</w:t>
            </w:r>
          </w:p>
          <w:p>
            <w:pPr>
              <w:spacing w:before="60" w:after="60"/>
              <w:ind w:right="-29"/>
              <w:jc w:val="center"/>
              <w:rPr>
                <w:noProof/>
                <w:sz w:val="18"/>
                <w:szCs w:val="18"/>
              </w:rPr>
            </w:pPr>
            <w:r>
              <w:rPr>
                <w:noProof/>
                <w:sz w:val="18"/>
              </w:rPr>
              <w:t>Zapewnienie spójnego dostarczania takich statystyk podczas całego okresu trwania programu, pod warunkiem że nie zakłóca to mechanizmów określania priorytetów ESS.</w:t>
            </w:r>
          </w:p>
        </w:tc>
      </w:tr>
      <w:tr>
        <w:trPr>
          <w:trHeight w:hRule="exact" w:val="567"/>
          <w:jc w:val="center"/>
        </w:trPr>
        <w:tc>
          <w:tcPr>
            <w:tcW w:w="1417" w:type="dxa"/>
            <w:gridSpan w:val="2"/>
          </w:tcPr>
          <w:p>
            <w:pPr>
              <w:ind w:right="-29"/>
              <w:jc w:val="center"/>
              <w:rPr>
                <w:noProof/>
                <w:sz w:val="18"/>
                <w:szCs w:val="18"/>
              </w:rPr>
            </w:pPr>
            <w:r>
              <w:rPr>
                <w:noProof/>
                <w:sz w:val="18"/>
              </w:rPr>
              <w:t>– Produkt</w:t>
            </w:r>
          </w:p>
        </w:tc>
        <w:tc>
          <w:tcPr>
            <w:tcW w:w="880" w:type="dxa"/>
          </w:tcPr>
          <w:p>
            <w:pPr>
              <w:ind w:right="-29"/>
              <w:jc w:val="center"/>
              <w:rPr>
                <w:noProof/>
                <w:sz w:val="18"/>
                <w:szCs w:val="18"/>
              </w:rPr>
            </w:pPr>
            <w:r>
              <w:rPr>
                <w:noProof/>
                <w:sz w:val="16"/>
              </w:rPr>
              <w:t>Działania statystyczne</w:t>
            </w:r>
          </w:p>
        </w:tc>
        <w:tc>
          <w:tcPr>
            <w:tcW w:w="661" w:type="dxa"/>
            <w:gridSpan w:val="3"/>
            <w:tcBorders>
              <w:right w:val="dashSmallGap" w:sz="4" w:space="0" w:color="auto"/>
            </w:tcBorders>
          </w:tcPr>
          <w:p>
            <w:pPr>
              <w:ind w:right="-29"/>
              <w:jc w:val="center"/>
              <w:rPr>
                <w:noProof/>
                <w:sz w:val="18"/>
                <w:szCs w:val="18"/>
              </w:rPr>
            </w:pPr>
            <w:r>
              <w:rPr>
                <w:noProof/>
                <w:sz w:val="18"/>
              </w:rPr>
              <w:t>0,170</w:t>
            </w:r>
          </w:p>
        </w:tc>
        <w:tc>
          <w:tcPr>
            <w:tcW w:w="663" w:type="dxa"/>
            <w:tcBorders>
              <w:right w:val="dashSmallGap" w:sz="4" w:space="0" w:color="auto"/>
            </w:tcBorders>
          </w:tcPr>
          <w:p>
            <w:pPr>
              <w:ind w:right="-29"/>
              <w:jc w:val="center"/>
              <w:rPr>
                <w:noProof/>
                <w:sz w:val="18"/>
                <w:szCs w:val="18"/>
                <w:highlight w:val="yellow"/>
              </w:rPr>
            </w:pPr>
            <w:r>
              <w:rPr>
                <w:noProof/>
                <w:sz w:val="18"/>
              </w:rPr>
              <w:t>215</w:t>
            </w:r>
          </w:p>
        </w:tc>
        <w:tc>
          <w:tcPr>
            <w:tcW w:w="811" w:type="dxa"/>
            <w:tcBorders>
              <w:left w:val="dashSmallGap" w:sz="4" w:space="0" w:color="auto"/>
            </w:tcBorders>
          </w:tcPr>
          <w:p>
            <w:pPr>
              <w:ind w:right="-29"/>
              <w:jc w:val="center"/>
              <w:rPr>
                <w:noProof/>
                <w:sz w:val="18"/>
                <w:szCs w:val="18"/>
              </w:rPr>
            </w:pPr>
            <w:r>
              <w:rPr>
                <w:noProof/>
                <w:sz w:val="18"/>
              </w:rPr>
              <w:t>35,441</w:t>
            </w:r>
          </w:p>
        </w:tc>
        <w:tc>
          <w:tcPr>
            <w:tcW w:w="636" w:type="dxa"/>
            <w:tcBorders>
              <w:right w:val="dashSmallGap" w:sz="4" w:space="0" w:color="auto"/>
            </w:tcBorders>
          </w:tcPr>
          <w:p>
            <w:pPr>
              <w:ind w:right="-29"/>
              <w:jc w:val="center"/>
              <w:rPr>
                <w:noProof/>
                <w:sz w:val="18"/>
                <w:szCs w:val="18"/>
                <w:highlight w:val="yellow"/>
              </w:rPr>
            </w:pPr>
            <w:r>
              <w:rPr>
                <w:noProof/>
                <w:sz w:val="18"/>
              </w:rPr>
              <w:t>264</w:t>
            </w:r>
          </w:p>
        </w:tc>
        <w:tc>
          <w:tcPr>
            <w:tcW w:w="720" w:type="dxa"/>
            <w:gridSpan w:val="2"/>
            <w:tcBorders>
              <w:left w:val="dashSmallGap" w:sz="4" w:space="0" w:color="auto"/>
            </w:tcBorders>
          </w:tcPr>
          <w:p>
            <w:pPr>
              <w:ind w:right="-29"/>
              <w:jc w:val="center"/>
              <w:rPr>
                <w:noProof/>
                <w:sz w:val="18"/>
                <w:szCs w:val="18"/>
                <w:highlight w:val="yellow"/>
              </w:rPr>
            </w:pPr>
            <w:r>
              <w:rPr>
                <w:noProof/>
                <w:sz w:val="18"/>
              </w:rPr>
              <w:t>45,194</w:t>
            </w:r>
          </w:p>
        </w:tc>
        <w:tc>
          <w:tcPr>
            <w:tcW w:w="720" w:type="dxa"/>
            <w:tcBorders>
              <w:right w:val="dashSmallGap" w:sz="4" w:space="0" w:color="auto"/>
            </w:tcBorders>
          </w:tcPr>
          <w:p>
            <w:pPr>
              <w:ind w:right="-29"/>
              <w:jc w:val="center"/>
              <w:rPr>
                <w:noProof/>
                <w:sz w:val="18"/>
                <w:szCs w:val="18"/>
                <w:highlight w:val="yellow"/>
              </w:rPr>
            </w:pPr>
            <w:r>
              <w:rPr>
                <w:noProof/>
                <w:sz w:val="18"/>
              </w:rPr>
              <w:t>267</w:t>
            </w:r>
          </w:p>
        </w:tc>
        <w:tc>
          <w:tcPr>
            <w:tcW w:w="720" w:type="dxa"/>
            <w:gridSpan w:val="2"/>
            <w:tcBorders>
              <w:left w:val="dashSmallGap" w:sz="4" w:space="0" w:color="auto"/>
            </w:tcBorders>
          </w:tcPr>
          <w:p>
            <w:pPr>
              <w:ind w:right="-29"/>
              <w:jc w:val="center"/>
              <w:rPr>
                <w:noProof/>
                <w:sz w:val="18"/>
                <w:szCs w:val="18"/>
              </w:rPr>
            </w:pPr>
            <w:r>
              <w:rPr>
                <w:noProof/>
                <w:sz w:val="18"/>
              </w:rPr>
              <w:t>46,617</w:t>
            </w:r>
          </w:p>
        </w:tc>
        <w:tc>
          <w:tcPr>
            <w:tcW w:w="900" w:type="dxa"/>
            <w:gridSpan w:val="2"/>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09" w:type="dxa"/>
            <w:tcBorders>
              <w:left w:val="dashSmallGap" w:sz="4" w:space="0" w:color="auto"/>
            </w:tcBorders>
          </w:tcPr>
          <w:p>
            <w:pPr>
              <w:ind w:right="-29"/>
              <w:jc w:val="center"/>
              <w:rPr>
                <w:noProof/>
                <w:sz w:val="18"/>
                <w:szCs w:val="18"/>
                <w:highlight w:val="yellow"/>
              </w:rPr>
            </w:pPr>
          </w:p>
        </w:tc>
        <w:tc>
          <w:tcPr>
            <w:tcW w:w="371" w:type="dxa"/>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20" w:type="dxa"/>
            <w:gridSpan w:val="2"/>
            <w:tcBorders>
              <w:left w:val="dashSmallGap" w:sz="4" w:space="0" w:color="auto"/>
            </w:tcBorders>
          </w:tcPr>
          <w:p>
            <w:pPr>
              <w:ind w:right="-29"/>
              <w:jc w:val="center"/>
              <w:rPr>
                <w:noProof/>
                <w:sz w:val="18"/>
                <w:szCs w:val="18"/>
                <w:highlight w:val="yellow"/>
              </w:rPr>
            </w:pPr>
          </w:p>
        </w:tc>
        <w:tc>
          <w:tcPr>
            <w:tcW w:w="720" w:type="dxa"/>
          </w:tcPr>
          <w:p>
            <w:pPr>
              <w:ind w:right="-29"/>
              <w:jc w:val="center"/>
              <w:rPr>
                <w:noProof/>
                <w:sz w:val="18"/>
                <w:szCs w:val="18"/>
              </w:rPr>
            </w:pPr>
            <w:r>
              <w:rPr>
                <w:noProof/>
                <w:sz w:val="18"/>
              </w:rPr>
              <w:t>746</w:t>
            </w:r>
          </w:p>
        </w:tc>
        <w:tc>
          <w:tcPr>
            <w:tcW w:w="910" w:type="dxa"/>
            <w:gridSpan w:val="2"/>
          </w:tcPr>
          <w:p>
            <w:pPr>
              <w:ind w:right="-29"/>
              <w:jc w:val="center"/>
              <w:rPr>
                <w:noProof/>
                <w:sz w:val="18"/>
                <w:szCs w:val="18"/>
              </w:rPr>
            </w:pPr>
            <w:r>
              <w:rPr>
                <w:noProof/>
                <w:sz w:val="18"/>
              </w:rPr>
              <w:t>127,252</w:t>
            </w:r>
          </w:p>
        </w:tc>
      </w:tr>
      <w:tr>
        <w:trPr>
          <w:jc w:val="center"/>
        </w:trPr>
        <w:tc>
          <w:tcPr>
            <w:tcW w:w="2297" w:type="dxa"/>
            <w:gridSpan w:val="3"/>
            <w:tcBorders>
              <w:bottom w:val="single" w:sz="12" w:space="0" w:color="auto"/>
            </w:tcBorders>
            <w:vAlign w:val="center"/>
          </w:tcPr>
          <w:p>
            <w:pPr>
              <w:ind w:right="-29"/>
              <w:jc w:val="center"/>
              <w:rPr>
                <w:noProof/>
                <w:sz w:val="18"/>
                <w:szCs w:val="18"/>
              </w:rPr>
            </w:pPr>
            <w:r>
              <w:rPr>
                <w:noProof/>
                <w:sz w:val="18"/>
              </w:rPr>
              <w:t>Cel szczegółowy nr 1 – suma cząstkowa</w:t>
            </w:r>
          </w:p>
        </w:tc>
        <w:tc>
          <w:tcPr>
            <w:tcW w:w="661" w:type="dxa"/>
            <w:gridSpan w:val="3"/>
            <w:tcBorders>
              <w:bottom w:val="single" w:sz="12" w:space="0" w:color="auto"/>
            </w:tcBorders>
          </w:tcPr>
          <w:p>
            <w:pPr>
              <w:ind w:right="-29"/>
              <w:jc w:val="center"/>
              <w:rPr>
                <w:noProof/>
                <w:sz w:val="18"/>
                <w:szCs w:val="18"/>
              </w:rPr>
            </w:pPr>
            <w:r>
              <w:rPr>
                <w:noProof/>
                <w:sz w:val="18"/>
              </w:rPr>
              <w:t>0,170</w:t>
            </w:r>
          </w:p>
        </w:tc>
        <w:tc>
          <w:tcPr>
            <w:tcW w:w="663" w:type="dxa"/>
            <w:tcBorders>
              <w:bottom w:val="single" w:sz="12" w:space="0" w:color="auto"/>
            </w:tcBorders>
          </w:tcPr>
          <w:p>
            <w:pPr>
              <w:ind w:right="-29"/>
              <w:jc w:val="center"/>
              <w:rPr>
                <w:noProof/>
                <w:sz w:val="18"/>
                <w:szCs w:val="18"/>
                <w:highlight w:val="yellow"/>
              </w:rPr>
            </w:pPr>
            <w:r>
              <w:rPr>
                <w:noProof/>
                <w:sz w:val="18"/>
              </w:rPr>
              <w:t>215</w:t>
            </w:r>
          </w:p>
        </w:tc>
        <w:tc>
          <w:tcPr>
            <w:tcW w:w="811" w:type="dxa"/>
            <w:tcBorders>
              <w:bottom w:val="single" w:sz="12" w:space="0" w:color="auto"/>
            </w:tcBorders>
          </w:tcPr>
          <w:p>
            <w:pPr>
              <w:ind w:right="-29"/>
              <w:jc w:val="center"/>
              <w:rPr>
                <w:noProof/>
                <w:sz w:val="18"/>
                <w:szCs w:val="18"/>
              </w:rPr>
            </w:pPr>
            <w:r>
              <w:rPr>
                <w:noProof/>
                <w:sz w:val="18"/>
              </w:rPr>
              <w:t>35,441</w:t>
            </w:r>
          </w:p>
        </w:tc>
        <w:tc>
          <w:tcPr>
            <w:tcW w:w="636" w:type="dxa"/>
            <w:tcBorders>
              <w:bottom w:val="single" w:sz="12" w:space="0" w:color="auto"/>
            </w:tcBorders>
          </w:tcPr>
          <w:p>
            <w:pPr>
              <w:ind w:right="-29"/>
              <w:jc w:val="center"/>
              <w:rPr>
                <w:noProof/>
                <w:sz w:val="18"/>
                <w:szCs w:val="18"/>
                <w:highlight w:val="yellow"/>
              </w:rPr>
            </w:pPr>
            <w:r>
              <w:rPr>
                <w:noProof/>
                <w:sz w:val="18"/>
              </w:rPr>
              <w:t>264</w:t>
            </w:r>
          </w:p>
        </w:tc>
        <w:tc>
          <w:tcPr>
            <w:tcW w:w="720" w:type="dxa"/>
            <w:gridSpan w:val="2"/>
            <w:tcBorders>
              <w:bottom w:val="single" w:sz="12" w:space="0" w:color="auto"/>
            </w:tcBorders>
          </w:tcPr>
          <w:p>
            <w:pPr>
              <w:ind w:right="-29"/>
              <w:jc w:val="center"/>
              <w:rPr>
                <w:noProof/>
                <w:sz w:val="18"/>
                <w:szCs w:val="18"/>
                <w:highlight w:val="yellow"/>
              </w:rPr>
            </w:pPr>
            <w:r>
              <w:rPr>
                <w:noProof/>
                <w:sz w:val="18"/>
              </w:rPr>
              <w:t>45,194</w:t>
            </w:r>
          </w:p>
        </w:tc>
        <w:tc>
          <w:tcPr>
            <w:tcW w:w="720" w:type="dxa"/>
            <w:tcBorders>
              <w:bottom w:val="single" w:sz="12" w:space="0" w:color="auto"/>
            </w:tcBorders>
          </w:tcPr>
          <w:p>
            <w:pPr>
              <w:ind w:right="-29"/>
              <w:jc w:val="center"/>
              <w:rPr>
                <w:noProof/>
                <w:sz w:val="18"/>
                <w:szCs w:val="18"/>
                <w:highlight w:val="yellow"/>
              </w:rPr>
            </w:pPr>
            <w:r>
              <w:rPr>
                <w:noProof/>
                <w:sz w:val="18"/>
              </w:rPr>
              <w:t>267</w:t>
            </w:r>
          </w:p>
        </w:tc>
        <w:tc>
          <w:tcPr>
            <w:tcW w:w="720" w:type="dxa"/>
            <w:gridSpan w:val="2"/>
            <w:tcBorders>
              <w:bottom w:val="single" w:sz="12" w:space="0" w:color="auto"/>
            </w:tcBorders>
          </w:tcPr>
          <w:p>
            <w:pPr>
              <w:ind w:right="-29"/>
              <w:jc w:val="center"/>
              <w:rPr>
                <w:noProof/>
                <w:sz w:val="18"/>
                <w:szCs w:val="18"/>
              </w:rPr>
            </w:pPr>
            <w:r>
              <w:rPr>
                <w:noProof/>
                <w:sz w:val="18"/>
              </w:rPr>
              <w:t>46,617</w:t>
            </w:r>
          </w:p>
        </w:tc>
        <w:tc>
          <w:tcPr>
            <w:tcW w:w="90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rPr>
            </w:pPr>
            <w:r>
              <w:rPr>
                <w:noProof/>
                <w:sz w:val="18"/>
              </w:rPr>
              <w:t>746</w:t>
            </w:r>
          </w:p>
        </w:tc>
        <w:tc>
          <w:tcPr>
            <w:tcW w:w="910" w:type="dxa"/>
            <w:gridSpan w:val="2"/>
            <w:tcBorders>
              <w:bottom w:val="single" w:sz="12" w:space="0" w:color="auto"/>
            </w:tcBorders>
          </w:tcPr>
          <w:p>
            <w:pPr>
              <w:ind w:right="-29"/>
              <w:jc w:val="center"/>
              <w:rPr>
                <w:noProof/>
                <w:sz w:val="18"/>
                <w:szCs w:val="18"/>
              </w:rPr>
            </w:pPr>
            <w:r>
              <w:rPr>
                <w:noProof/>
                <w:sz w:val="18"/>
              </w:rPr>
              <w:t>127,252</w:t>
            </w:r>
          </w:p>
        </w:tc>
      </w:tr>
      <w:tr>
        <w:trPr>
          <w:gridAfter w:val="1"/>
          <w:wAfter w:w="7" w:type="dxa"/>
          <w:jc w:val="center"/>
        </w:trPr>
        <w:tc>
          <w:tcPr>
            <w:tcW w:w="14071" w:type="dxa"/>
            <w:gridSpan w:val="26"/>
            <w:vAlign w:val="center"/>
          </w:tcPr>
          <w:p>
            <w:pPr>
              <w:spacing w:before="60" w:after="60"/>
              <w:ind w:right="-29"/>
              <w:jc w:val="center"/>
              <w:rPr>
                <w:noProof/>
                <w:sz w:val="18"/>
                <w:szCs w:val="18"/>
              </w:rPr>
            </w:pPr>
            <w:r>
              <w:rPr>
                <w:noProof/>
                <w:sz w:val="18"/>
              </w:rPr>
              <w:t xml:space="preserve">CEL SZCZEGÓŁOWY nr 2 </w:t>
            </w:r>
          </w:p>
          <w:p>
            <w:pPr>
              <w:spacing w:before="60" w:after="60"/>
              <w:ind w:right="-29"/>
              <w:jc w:val="center"/>
              <w:rPr>
                <w:noProof/>
                <w:sz w:val="18"/>
                <w:szCs w:val="18"/>
              </w:rPr>
            </w:pPr>
            <w:r>
              <w:rPr>
                <w:noProof/>
                <w:sz w:val="18"/>
              </w:rPr>
              <w:t>Wdrażanie nowych metod tworzenia statystyki europejskiej w celu poprawy wydajności i jakości.</w:t>
            </w:r>
          </w:p>
        </w:tc>
      </w:tr>
      <w:tr>
        <w:trPr>
          <w:trHeight w:hRule="exact" w:val="497"/>
          <w:jc w:val="center"/>
        </w:trPr>
        <w:tc>
          <w:tcPr>
            <w:tcW w:w="1417" w:type="dxa"/>
            <w:gridSpan w:val="2"/>
          </w:tcPr>
          <w:p>
            <w:pPr>
              <w:ind w:right="-29"/>
              <w:jc w:val="center"/>
              <w:rPr>
                <w:noProof/>
                <w:sz w:val="18"/>
                <w:szCs w:val="18"/>
              </w:rPr>
            </w:pPr>
            <w:r>
              <w:rPr>
                <w:noProof/>
                <w:sz w:val="18"/>
              </w:rPr>
              <w:t>– Produkt</w:t>
            </w:r>
          </w:p>
        </w:tc>
        <w:tc>
          <w:tcPr>
            <w:tcW w:w="880" w:type="dxa"/>
          </w:tcPr>
          <w:p>
            <w:pPr>
              <w:ind w:right="-29"/>
              <w:jc w:val="center"/>
              <w:rPr>
                <w:noProof/>
                <w:sz w:val="18"/>
                <w:szCs w:val="18"/>
              </w:rPr>
            </w:pPr>
            <w:r>
              <w:rPr>
                <w:noProof/>
                <w:sz w:val="16"/>
              </w:rPr>
              <w:t>Działania statystyczne</w:t>
            </w:r>
          </w:p>
        </w:tc>
        <w:tc>
          <w:tcPr>
            <w:tcW w:w="661" w:type="dxa"/>
            <w:gridSpan w:val="3"/>
          </w:tcPr>
          <w:p>
            <w:pPr>
              <w:ind w:right="-29"/>
              <w:jc w:val="center"/>
              <w:rPr>
                <w:noProof/>
                <w:sz w:val="18"/>
                <w:szCs w:val="18"/>
              </w:rPr>
            </w:pPr>
            <w:r>
              <w:rPr>
                <w:noProof/>
                <w:sz w:val="18"/>
              </w:rPr>
              <w:t>0,387</w:t>
            </w:r>
          </w:p>
        </w:tc>
        <w:tc>
          <w:tcPr>
            <w:tcW w:w="663" w:type="dxa"/>
          </w:tcPr>
          <w:p>
            <w:pPr>
              <w:ind w:right="-29"/>
              <w:jc w:val="center"/>
              <w:rPr>
                <w:noProof/>
                <w:sz w:val="18"/>
                <w:szCs w:val="18"/>
                <w:highlight w:val="yellow"/>
              </w:rPr>
            </w:pPr>
            <w:r>
              <w:rPr>
                <w:noProof/>
                <w:sz w:val="18"/>
              </w:rPr>
              <w:t>60</w:t>
            </w:r>
          </w:p>
        </w:tc>
        <w:tc>
          <w:tcPr>
            <w:tcW w:w="811" w:type="dxa"/>
          </w:tcPr>
          <w:p>
            <w:pPr>
              <w:ind w:right="-29"/>
              <w:jc w:val="center"/>
              <w:rPr>
                <w:noProof/>
                <w:sz w:val="18"/>
                <w:szCs w:val="18"/>
              </w:rPr>
            </w:pPr>
            <w:r>
              <w:rPr>
                <w:noProof/>
                <w:sz w:val="18"/>
              </w:rPr>
              <w:t>22,504</w:t>
            </w:r>
          </w:p>
        </w:tc>
        <w:tc>
          <w:tcPr>
            <w:tcW w:w="636" w:type="dxa"/>
          </w:tcPr>
          <w:p>
            <w:pPr>
              <w:ind w:right="-29"/>
              <w:jc w:val="center"/>
              <w:rPr>
                <w:noProof/>
                <w:sz w:val="18"/>
                <w:szCs w:val="18"/>
                <w:highlight w:val="yellow"/>
              </w:rPr>
            </w:pPr>
            <w:r>
              <w:rPr>
                <w:noProof/>
                <w:sz w:val="18"/>
              </w:rPr>
              <w:t>68</w:t>
            </w:r>
          </w:p>
        </w:tc>
        <w:tc>
          <w:tcPr>
            <w:tcW w:w="720" w:type="dxa"/>
            <w:gridSpan w:val="2"/>
          </w:tcPr>
          <w:p>
            <w:pPr>
              <w:ind w:right="-29"/>
              <w:jc w:val="center"/>
              <w:rPr>
                <w:noProof/>
                <w:sz w:val="18"/>
                <w:szCs w:val="18"/>
              </w:rPr>
            </w:pPr>
            <w:r>
              <w:rPr>
                <w:noProof/>
                <w:sz w:val="18"/>
              </w:rPr>
              <w:t>26,482</w:t>
            </w:r>
          </w:p>
        </w:tc>
        <w:tc>
          <w:tcPr>
            <w:tcW w:w="720" w:type="dxa"/>
          </w:tcPr>
          <w:p>
            <w:pPr>
              <w:ind w:right="-29"/>
              <w:jc w:val="center"/>
              <w:rPr>
                <w:noProof/>
                <w:sz w:val="18"/>
                <w:szCs w:val="18"/>
                <w:highlight w:val="yellow"/>
              </w:rPr>
            </w:pPr>
            <w:r>
              <w:rPr>
                <w:noProof/>
                <w:sz w:val="18"/>
              </w:rPr>
              <w:t>69</w:t>
            </w:r>
          </w:p>
        </w:tc>
        <w:tc>
          <w:tcPr>
            <w:tcW w:w="720" w:type="dxa"/>
            <w:gridSpan w:val="2"/>
          </w:tcPr>
          <w:p>
            <w:pPr>
              <w:ind w:right="-29"/>
              <w:jc w:val="center"/>
              <w:rPr>
                <w:noProof/>
                <w:sz w:val="18"/>
                <w:szCs w:val="18"/>
              </w:rPr>
            </w:pPr>
            <w:r>
              <w:rPr>
                <w:noProof/>
                <w:sz w:val="18"/>
              </w:rPr>
              <w:t>27,260</w:t>
            </w:r>
          </w:p>
        </w:tc>
        <w:tc>
          <w:tcPr>
            <w:tcW w:w="900" w:type="dxa"/>
            <w:gridSpan w:val="2"/>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09" w:type="dxa"/>
          </w:tcPr>
          <w:p>
            <w:pPr>
              <w:ind w:right="-29"/>
              <w:jc w:val="center"/>
              <w:rPr>
                <w:noProof/>
                <w:sz w:val="18"/>
                <w:szCs w:val="18"/>
                <w:highlight w:val="yellow"/>
              </w:rPr>
            </w:pPr>
          </w:p>
        </w:tc>
        <w:tc>
          <w:tcPr>
            <w:tcW w:w="371" w:type="dxa"/>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r>
              <w:rPr>
                <w:noProof/>
                <w:sz w:val="18"/>
              </w:rPr>
              <w:t>197</w:t>
            </w:r>
          </w:p>
        </w:tc>
        <w:tc>
          <w:tcPr>
            <w:tcW w:w="910" w:type="dxa"/>
            <w:gridSpan w:val="2"/>
          </w:tcPr>
          <w:p>
            <w:pPr>
              <w:ind w:right="-29"/>
              <w:jc w:val="center"/>
              <w:rPr>
                <w:noProof/>
                <w:sz w:val="18"/>
                <w:szCs w:val="18"/>
              </w:rPr>
            </w:pPr>
            <w:r>
              <w:rPr>
                <w:noProof/>
                <w:sz w:val="18"/>
              </w:rPr>
              <w:t>76,246</w:t>
            </w:r>
          </w:p>
        </w:tc>
      </w:tr>
      <w:tr>
        <w:trPr>
          <w:jc w:val="center"/>
        </w:trPr>
        <w:tc>
          <w:tcPr>
            <w:tcW w:w="2297" w:type="dxa"/>
            <w:gridSpan w:val="3"/>
            <w:tcBorders>
              <w:bottom w:val="single" w:sz="12" w:space="0" w:color="auto"/>
            </w:tcBorders>
            <w:vAlign w:val="center"/>
          </w:tcPr>
          <w:p>
            <w:pPr>
              <w:jc w:val="center"/>
              <w:rPr>
                <w:noProof/>
                <w:sz w:val="18"/>
                <w:szCs w:val="18"/>
              </w:rPr>
            </w:pPr>
            <w:r>
              <w:rPr>
                <w:noProof/>
                <w:sz w:val="18"/>
              </w:rPr>
              <w:t>Cel szczegółowy nr 2 – suma cząstkowa</w:t>
            </w:r>
          </w:p>
        </w:tc>
        <w:tc>
          <w:tcPr>
            <w:tcW w:w="661" w:type="dxa"/>
            <w:gridSpan w:val="3"/>
            <w:tcBorders>
              <w:bottom w:val="single" w:sz="12" w:space="0" w:color="auto"/>
            </w:tcBorders>
          </w:tcPr>
          <w:p>
            <w:pPr>
              <w:ind w:right="-29"/>
              <w:jc w:val="center"/>
              <w:rPr>
                <w:noProof/>
                <w:sz w:val="18"/>
                <w:szCs w:val="18"/>
              </w:rPr>
            </w:pPr>
            <w:r>
              <w:rPr>
                <w:noProof/>
                <w:sz w:val="18"/>
              </w:rPr>
              <w:t>0,387</w:t>
            </w:r>
          </w:p>
        </w:tc>
        <w:tc>
          <w:tcPr>
            <w:tcW w:w="663" w:type="dxa"/>
            <w:tcBorders>
              <w:bottom w:val="single" w:sz="12" w:space="0" w:color="auto"/>
            </w:tcBorders>
          </w:tcPr>
          <w:p>
            <w:pPr>
              <w:ind w:right="-29"/>
              <w:jc w:val="center"/>
              <w:rPr>
                <w:noProof/>
                <w:sz w:val="18"/>
                <w:szCs w:val="18"/>
                <w:highlight w:val="yellow"/>
              </w:rPr>
            </w:pPr>
            <w:r>
              <w:rPr>
                <w:noProof/>
                <w:sz w:val="18"/>
              </w:rPr>
              <w:t>60</w:t>
            </w:r>
          </w:p>
        </w:tc>
        <w:tc>
          <w:tcPr>
            <w:tcW w:w="811" w:type="dxa"/>
            <w:tcBorders>
              <w:bottom w:val="single" w:sz="12" w:space="0" w:color="auto"/>
            </w:tcBorders>
          </w:tcPr>
          <w:p>
            <w:pPr>
              <w:ind w:right="-29"/>
              <w:jc w:val="center"/>
              <w:rPr>
                <w:noProof/>
                <w:sz w:val="18"/>
                <w:szCs w:val="18"/>
              </w:rPr>
            </w:pPr>
            <w:r>
              <w:rPr>
                <w:noProof/>
                <w:sz w:val="18"/>
              </w:rPr>
              <w:t>22,504</w:t>
            </w:r>
          </w:p>
        </w:tc>
        <w:tc>
          <w:tcPr>
            <w:tcW w:w="636" w:type="dxa"/>
            <w:tcBorders>
              <w:bottom w:val="single" w:sz="12" w:space="0" w:color="auto"/>
            </w:tcBorders>
          </w:tcPr>
          <w:p>
            <w:pPr>
              <w:ind w:right="-29"/>
              <w:jc w:val="center"/>
              <w:rPr>
                <w:noProof/>
                <w:sz w:val="18"/>
                <w:szCs w:val="18"/>
                <w:highlight w:val="yellow"/>
              </w:rPr>
            </w:pPr>
            <w:r>
              <w:rPr>
                <w:noProof/>
                <w:sz w:val="18"/>
              </w:rPr>
              <w:t>68</w:t>
            </w:r>
          </w:p>
        </w:tc>
        <w:tc>
          <w:tcPr>
            <w:tcW w:w="720" w:type="dxa"/>
            <w:gridSpan w:val="2"/>
            <w:tcBorders>
              <w:bottom w:val="single" w:sz="12" w:space="0" w:color="auto"/>
            </w:tcBorders>
          </w:tcPr>
          <w:p>
            <w:pPr>
              <w:ind w:right="-29"/>
              <w:jc w:val="center"/>
              <w:rPr>
                <w:noProof/>
                <w:sz w:val="18"/>
                <w:szCs w:val="18"/>
              </w:rPr>
            </w:pPr>
            <w:r>
              <w:rPr>
                <w:noProof/>
                <w:sz w:val="18"/>
              </w:rPr>
              <w:t>26,482</w:t>
            </w:r>
          </w:p>
        </w:tc>
        <w:tc>
          <w:tcPr>
            <w:tcW w:w="720" w:type="dxa"/>
            <w:tcBorders>
              <w:bottom w:val="single" w:sz="12" w:space="0" w:color="auto"/>
            </w:tcBorders>
          </w:tcPr>
          <w:p>
            <w:pPr>
              <w:ind w:right="-29"/>
              <w:jc w:val="center"/>
              <w:rPr>
                <w:noProof/>
                <w:sz w:val="18"/>
                <w:szCs w:val="18"/>
                <w:highlight w:val="yellow"/>
              </w:rPr>
            </w:pPr>
            <w:r>
              <w:rPr>
                <w:noProof/>
                <w:sz w:val="18"/>
              </w:rPr>
              <w:t>69</w:t>
            </w:r>
          </w:p>
        </w:tc>
        <w:tc>
          <w:tcPr>
            <w:tcW w:w="720" w:type="dxa"/>
            <w:gridSpan w:val="2"/>
            <w:tcBorders>
              <w:bottom w:val="single" w:sz="12" w:space="0" w:color="auto"/>
            </w:tcBorders>
          </w:tcPr>
          <w:p>
            <w:pPr>
              <w:ind w:right="-29"/>
              <w:jc w:val="center"/>
              <w:rPr>
                <w:noProof/>
                <w:sz w:val="18"/>
                <w:szCs w:val="18"/>
              </w:rPr>
            </w:pPr>
            <w:r>
              <w:rPr>
                <w:noProof/>
                <w:sz w:val="18"/>
              </w:rPr>
              <w:t>27,260</w:t>
            </w:r>
          </w:p>
        </w:tc>
        <w:tc>
          <w:tcPr>
            <w:tcW w:w="884" w:type="dxa"/>
            <w:tcBorders>
              <w:bottom w:val="single" w:sz="12" w:space="0" w:color="auto"/>
            </w:tcBorders>
          </w:tcPr>
          <w:p>
            <w:pPr>
              <w:ind w:right="-29"/>
              <w:jc w:val="center"/>
              <w:rPr>
                <w:noProof/>
                <w:sz w:val="18"/>
                <w:szCs w:val="18"/>
                <w:highlight w:val="yellow"/>
              </w:rPr>
            </w:pPr>
          </w:p>
        </w:tc>
        <w:tc>
          <w:tcPr>
            <w:tcW w:w="736" w:type="dxa"/>
            <w:gridSpan w:val="2"/>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197</w:t>
            </w:r>
          </w:p>
        </w:tc>
        <w:tc>
          <w:tcPr>
            <w:tcW w:w="910" w:type="dxa"/>
            <w:gridSpan w:val="2"/>
            <w:tcBorders>
              <w:bottom w:val="single" w:sz="12" w:space="0" w:color="auto"/>
            </w:tcBorders>
          </w:tcPr>
          <w:p>
            <w:pPr>
              <w:ind w:right="-29"/>
              <w:jc w:val="center"/>
              <w:rPr>
                <w:noProof/>
                <w:sz w:val="18"/>
                <w:szCs w:val="18"/>
              </w:rPr>
            </w:pPr>
            <w:r>
              <w:rPr>
                <w:noProof/>
                <w:sz w:val="18"/>
              </w:rPr>
              <w:t>76,246</w:t>
            </w:r>
          </w:p>
        </w:tc>
      </w:tr>
      <w:tr>
        <w:trPr>
          <w:gridAfter w:val="1"/>
          <w:wAfter w:w="7" w:type="dxa"/>
          <w:jc w:val="center"/>
        </w:trPr>
        <w:tc>
          <w:tcPr>
            <w:tcW w:w="14071" w:type="dxa"/>
            <w:gridSpan w:val="26"/>
            <w:tcBorders>
              <w:bottom w:val="single" w:sz="12" w:space="0" w:color="auto"/>
            </w:tcBorders>
            <w:vAlign w:val="center"/>
          </w:tcPr>
          <w:p>
            <w:pPr>
              <w:spacing w:before="60" w:after="60"/>
              <w:ind w:right="-29"/>
              <w:jc w:val="center"/>
              <w:rPr>
                <w:noProof/>
                <w:sz w:val="18"/>
                <w:szCs w:val="18"/>
              </w:rPr>
            </w:pPr>
            <w:r>
              <w:rPr>
                <w:noProof/>
                <w:sz w:val="18"/>
              </w:rPr>
              <w:t>CEL SZCZEGÓŁOWY nr 3</w:t>
            </w:r>
          </w:p>
          <w:p>
            <w:pPr>
              <w:ind w:right="-29"/>
              <w:jc w:val="center"/>
              <w:rPr>
                <w:noProof/>
                <w:sz w:val="18"/>
                <w:szCs w:val="18"/>
              </w:rPr>
            </w:pPr>
            <w:r>
              <w:rPr>
                <w:noProof/>
                <w:sz w:val="18"/>
              </w:rPr>
              <w:t>Umacnianie partnerstwa wewnątrz ESS i poza nim w celu dalszego zwiększania jego wydajności i wzmacniania jego wiodącej roli w statystyce publicznej na świecie</w:t>
            </w:r>
          </w:p>
        </w:tc>
      </w:tr>
      <w:tr>
        <w:trPr>
          <w:trHeight w:val="481"/>
          <w:jc w:val="center"/>
        </w:trPr>
        <w:tc>
          <w:tcPr>
            <w:tcW w:w="1315"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 Produkt</w:t>
            </w:r>
            <w:r>
              <w:rPr>
                <w:noProof/>
                <w:sz w:val="16"/>
              </w:rPr>
              <w:t xml:space="preserve"> </w:t>
            </w:r>
          </w:p>
        </w:tc>
        <w:tc>
          <w:tcPr>
            <w:tcW w:w="982" w:type="dxa"/>
            <w:gridSpan w:val="2"/>
            <w:tcBorders>
              <w:top w:val="single" w:sz="12" w:space="0" w:color="auto"/>
              <w:left w:val="single" w:sz="4" w:space="0" w:color="auto"/>
              <w:bottom w:val="single" w:sz="12" w:space="0" w:color="auto"/>
            </w:tcBorders>
          </w:tcPr>
          <w:p>
            <w:pPr>
              <w:ind w:right="-29"/>
              <w:jc w:val="center"/>
              <w:rPr>
                <w:noProof/>
                <w:sz w:val="18"/>
                <w:szCs w:val="18"/>
              </w:rPr>
            </w:pPr>
            <w:r>
              <w:rPr>
                <w:noProof/>
                <w:sz w:val="16"/>
              </w:rPr>
              <w:t>Działania statystyczne</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663"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297"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Cel szczegółowy nr 3 – suma cząstkowa</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663"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297"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b/>
                <w:noProof/>
                <w:sz w:val="18"/>
              </w:rPr>
              <w:t>OGÓŁEM</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0,204</w:t>
            </w:r>
          </w:p>
        </w:tc>
        <w:tc>
          <w:tcPr>
            <w:tcW w:w="6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303</w:t>
            </w:r>
          </w:p>
        </w:tc>
        <w:tc>
          <w:tcPr>
            <w:tcW w:w="811" w:type="dxa"/>
            <w:tcBorders>
              <w:top w:val="single" w:sz="12" w:space="0" w:color="auto"/>
              <w:bottom w:val="single" w:sz="12" w:space="0" w:color="auto"/>
            </w:tcBorders>
          </w:tcPr>
          <w:p>
            <w:pPr>
              <w:spacing w:before="180" w:after="180"/>
              <w:ind w:right="-29"/>
              <w:jc w:val="center"/>
              <w:rPr>
                <w:b/>
                <w:noProof/>
                <w:sz w:val="18"/>
                <w:szCs w:val="18"/>
              </w:rPr>
            </w:pPr>
            <w:r>
              <w:rPr>
                <w:b/>
                <w:noProof/>
                <w:sz w:val="18"/>
              </w:rPr>
              <w:t>59,475</w:t>
            </w:r>
          </w:p>
        </w:tc>
        <w:tc>
          <w:tcPr>
            <w:tcW w:w="636"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360</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73,245</w:t>
            </w: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364</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75,486</w:t>
            </w:r>
          </w:p>
        </w:tc>
        <w:tc>
          <w:tcPr>
            <w:tcW w:w="90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r>
              <w:rPr>
                <w:b/>
                <w:noProof/>
                <w:sz w:val="18"/>
              </w:rPr>
              <w:t>1 027</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highlight w:val="yellow"/>
              </w:rPr>
            </w:pPr>
            <w:r>
              <w:rPr>
                <w:b/>
                <w:noProof/>
                <w:sz w:val="18"/>
              </w:rPr>
              <w:t>208,206</w:t>
            </w:r>
          </w:p>
        </w:tc>
      </w:tr>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Szacunkowy wpływ na środki administracyjne</w:t>
      </w:r>
    </w:p>
    <w:p>
      <w:pPr>
        <w:pStyle w:val="ManualHeading4"/>
        <w:rPr>
          <w:noProof/>
        </w:rPr>
      </w:pPr>
      <w:r>
        <w:t>3.2.3.1.</w:t>
      </w:r>
      <w:r>
        <w:tab/>
      </w:r>
      <w:r>
        <w:rPr>
          <w:noProof/>
        </w:rPr>
        <w:t xml:space="preserve">Streszczenie </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sz w:val="22"/>
        </w:rPr>
        <w:sym w:font="Wingdings" w:char="F0FD"/>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2018</w:t>
            </w:r>
            <w:r>
              <w:rPr>
                <w:rStyle w:val="FootnoteReference"/>
                <w:b/>
                <w:noProof/>
                <w:sz w:val="16"/>
              </w:rPr>
              <w:footnoteReference w:id="29"/>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Wprowadzić taką liczbę kolumn dla poszczególnych lat, jaka jest niezbędna, by odzwierciedlić cały okres wpływu (zob. pkt 1.6)</w:t>
            </w:r>
          </w:p>
        </w:tc>
        <w:tc>
          <w:tcPr>
            <w:tcW w:w="1080" w:type="dxa"/>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 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r>
              <w:rPr>
                <w:noProof/>
                <w:sz w:val="16"/>
              </w:rPr>
              <w:t>88,904</w:t>
            </w:r>
          </w:p>
        </w:tc>
        <w:tc>
          <w:tcPr>
            <w:tcW w:w="1080" w:type="dxa"/>
            <w:vAlign w:val="center"/>
          </w:tcPr>
          <w:p>
            <w:pPr>
              <w:spacing w:before="60" w:after="60" w:line="200" w:lineRule="exact"/>
              <w:jc w:val="right"/>
              <w:rPr>
                <w:noProof/>
                <w:sz w:val="16"/>
                <w:szCs w:val="16"/>
              </w:rPr>
            </w:pPr>
            <w:r>
              <w:rPr>
                <w:noProof/>
                <w:sz w:val="16"/>
              </w:rPr>
              <w:t>87,148</w:t>
            </w:r>
          </w:p>
        </w:tc>
        <w:tc>
          <w:tcPr>
            <w:tcW w:w="1080" w:type="dxa"/>
            <w:vAlign w:val="center"/>
          </w:tcPr>
          <w:p>
            <w:pPr>
              <w:spacing w:before="60" w:after="60" w:line="200" w:lineRule="exact"/>
              <w:jc w:val="right"/>
              <w:rPr>
                <w:noProof/>
                <w:sz w:val="16"/>
                <w:szCs w:val="16"/>
              </w:rPr>
            </w:pPr>
            <w:r>
              <w:rPr>
                <w:noProof/>
                <w:sz w:val="16"/>
              </w:rPr>
              <w:t>85,392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261,444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9,870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DZIAŁ 5 wieloletnich ram finansowych – suma cząstkowa </w:t>
            </w:r>
          </w:p>
        </w:tc>
        <w:tc>
          <w:tcPr>
            <w:tcW w:w="1080" w:type="dxa"/>
            <w:vAlign w:val="center"/>
          </w:tcPr>
          <w:p>
            <w:pPr>
              <w:spacing w:before="60" w:after="60" w:line="200" w:lineRule="exact"/>
              <w:jc w:val="right"/>
              <w:rPr>
                <w:noProof/>
                <w:sz w:val="16"/>
                <w:szCs w:val="16"/>
              </w:rPr>
            </w:pPr>
            <w:r>
              <w:rPr>
                <w:noProof/>
                <w:sz w:val="16"/>
              </w:rPr>
              <w:t>92,194</w:t>
            </w:r>
          </w:p>
        </w:tc>
        <w:tc>
          <w:tcPr>
            <w:tcW w:w="1080" w:type="dxa"/>
            <w:vAlign w:val="center"/>
          </w:tcPr>
          <w:p>
            <w:pPr>
              <w:spacing w:before="60" w:after="60" w:line="200" w:lineRule="exact"/>
              <w:jc w:val="right"/>
              <w:rPr>
                <w:noProof/>
                <w:sz w:val="16"/>
                <w:szCs w:val="16"/>
              </w:rPr>
            </w:pPr>
            <w:r>
              <w:rPr>
                <w:noProof/>
                <w:sz w:val="16"/>
              </w:rPr>
              <w:t>90,438</w:t>
            </w:r>
          </w:p>
        </w:tc>
        <w:tc>
          <w:tcPr>
            <w:tcW w:w="1080" w:type="dxa"/>
            <w:vAlign w:val="center"/>
          </w:tcPr>
          <w:p>
            <w:pPr>
              <w:spacing w:before="60" w:after="60" w:line="200" w:lineRule="exact"/>
              <w:jc w:val="right"/>
              <w:rPr>
                <w:noProof/>
                <w:sz w:val="16"/>
                <w:szCs w:val="16"/>
              </w:rPr>
            </w:pPr>
            <w:r>
              <w:rPr>
                <w:noProof/>
                <w:sz w:val="16"/>
              </w:rPr>
              <w:t>88,682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271,314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Poza DZIAŁEM 5 wieloletnich ram finansowych</w:t>
            </w:r>
            <w:r>
              <w:rPr>
                <w:rStyle w:val="FootnoteReference"/>
                <w:b/>
                <w:noProof/>
                <w:sz w:val="16"/>
              </w:rPr>
              <w:footnoteReference w:id="30"/>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r>
              <w:rPr>
                <w:noProof/>
                <w:sz w:val="16"/>
              </w:rPr>
              <w:t>2,584</w:t>
            </w:r>
          </w:p>
        </w:tc>
        <w:tc>
          <w:tcPr>
            <w:tcW w:w="1080" w:type="dxa"/>
            <w:vAlign w:val="center"/>
          </w:tcPr>
          <w:p>
            <w:pPr>
              <w:spacing w:before="60" w:after="60" w:line="200" w:lineRule="exact"/>
              <w:jc w:val="right"/>
              <w:rPr>
                <w:noProof/>
                <w:sz w:val="16"/>
                <w:szCs w:val="16"/>
              </w:rPr>
            </w:pPr>
            <w:r>
              <w:rPr>
                <w:noProof/>
                <w:sz w:val="16"/>
              </w:rPr>
              <w:t>2,650</w:t>
            </w:r>
          </w:p>
        </w:tc>
        <w:tc>
          <w:tcPr>
            <w:tcW w:w="1080" w:type="dxa"/>
            <w:vAlign w:val="center"/>
          </w:tcPr>
          <w:p>
            <w:pPr>
              <w:spacing w:before="60" w:after="60" w:line="200" w:lineRule="exact"/>
              <w:jc w:val="right"/>
              <w:rPr>
                <w:noProof/>
                <w:sz w:val="16"/>
                <w:szCs w:val="16"/>
              </w:rPr>
            </w:pPr>
            <w:r>
              <w:rPr>
                <w:noProof/>
                <w:sz w:val="16"/>
              </w:rPr>
              <w:t>2,718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7,952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1080" w:type="dxa"/>
            <w:vAlign w:val="center"/>
          </w:tcPr>
          <w:p>
            <w:pPr>
              <w:spacing w:before="60" w:after="60" w:line="200" w:lineRule="exact"/>
              <w:jc w:val="right"/>
              <w:rPr>
                <w:noProof/>
                <w:sz w:val="16"/>
                <w:szCs w:val="16"/>
              </w:rPr>
            </w:pPr>
            <w:r>
              <w:rPr>
                <w:noProof/>
                <w:sz w:val="16"/>
              </w:rPr>
              <w:t>0,646</w:t>
            </w:r>
          </w:p>
        </w:tc>
        <w:tc>
          <w:tcPr>
            <w:tcW w:w="1080" w:type="dxa"/>
            <w:vAlign w:val="center"/>
          </w:tcPr>
          <w:p>
            <w:pPr>
              <w:spacing w:before="60" w:after="60" w:line="200" w:lineRule="exact"/>
              <w:jc w:val="right"/>
              <w:rPr>
                <w:noProof/>
                <w:sz w:val="16"/>
                <w:szCs w:val="16"/>
              </w:rPr>
            </w:pPr>
            <w:r>
              <w:rPr>
                <w:noProof/>
                <w:sz w:val="16"/>
              </w:rPr>
              <w:t>0,663</w:t>
            </w:r>
          </w:p>
        </w:tc>
        <w:tc>
          <w:tcPr>
            <w:tcW w:w="1080" w:type="dxa"/>
            <w:vAlign w:val="center"/>
          </w:tcPr>
          <w:p>
            <w:pPr>
              <w:spacing w:before="60" w:after="60" w:line="200" w:lineRule="exact"/>
              <w:jc w:val="right"/>
              <w:rPr>
                <w:noProof/>
                <w:sz w:val="16"/>
                <w:szCs w:val="16"/>
              </w:rPr>
            </w:pPr>
            <w:r>
              <w:rPr>
                <w:noProof/>
                <w:sz w:val="16"/>
              </w:rPr>
              <w:t>0,679</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1,988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Poza DZIAŁEM 5 </w:t>
            </w:r>
            <w:r>
              <w:rPr>
                <w:noProof/>
                <w:sz w:val="22"/>
              </w:rPr>
              <w:br/>
            </w:r>
            <w:r>
              <w:rPr>
                <w:b/>
                <w:noProof/>
                <w:sz w:val="16"/>
              </w:rPr>
              <w:t>wieloletnich ram finansowych – suma cząstkowa</w:t>
            </w:r>
          </w:p>
        </w:tc>
        <w:tc>
          <w:tcPr>
            <w:tcW w:w="1080" w:type="dxa"/>
            <w:vAlign w:val="center"/>
          </w:tcPr>
          <w:p>
            <w:pPr>
              <w:spacing w:before="60" w:after="60" w:line="200" w:lineRule="exact"/>
              <w:jc w:val="right"/>
              <w:rPr>
                <w:noProof/>
                <w:sz w:val="16"/>
                <w:szCs w:val="16"/>
              </w:rPr>
            </w:pPr>
            <w:r>
              <w:rPr>
                <w:noProof/>
                <w:sz w:val="16"/>
              </w:rPr>
              <w:t>3,230</w:t>
            </w:r>
          </w:p>
        </w:tc>
        <w:tc>
          <w:tcPr>
            <w:tcW w:w="1080" w:type="dxa"/>
            <w:vAlign w:val="center"/>
          </w:tcPr>
          <w:p>
            <w:pPr>
              <w:spacing w:before="60" w:after="60" w:line="200" w:lineRule="exact"/>
              <w:jc w:val="right"/>
              <w:rPr>
                <w:noProof/>
                <w:sz w:val="16"/>
                <w:szCs w:val="16"/>
              </w:rPr>
            </w:pPr>
            <w:r>
              <w:rPr>
                <w:noProof/>
                <w:sz w:val="16"/>
              </w:rPr>
              <w:t>3,313</w:t>
            </w:r>
          </w:p>
        </w:tc>
        <w:tc>
          <w:tcPr>
            <w:tcW w:w="1080" w:type="dxa"/>
            <w:vAlign w:val="center"/>
          </w:tcPr>
          <w:p>
            <w:pPr>
              <w:spacing w:before="60" w:after="60" w:line="200" w:lineRule="exact"/>
              <w:jc w:val="right"/>
              <w:rPr>
                <w:noProof/>
                <w:sz w:val="16"/>
                <w:szCs w:val="16"/>
              </w:rPr>
            </w:pPr>
            <w:r>
              <w:rPr>
                <w:noProof/>
                <w:sz w:val="16"/>
              </w:rPr>
              <w:t>3,397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9,940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95,424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93,751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92,079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281,254</w:t>
            </w:r>
          </w:p>
        </w:tc>
      </w:tr>
    </w:tbl>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r>
        <w:rPr>
          <w:noProof/>
        </w:rPr>
        <w:tab/>
      </w:r>
      <w:r>
        <w:rPr>
          <w:noProof/>
          <w:sz w:val="18"/>
        </w:rPr>
        <w:t xml:space="preserve"> </w:t>
      </w:r>
    </w:p>
    <w:p>
      <w:pPr>
        <w:pStyle w:val="ManualHeading4"/>
        <w:rPr>
          <w:bCs/>
          <w:noProof/>
          <w:szCs w:val="24"/>
        </w:rPr>
      </w:pPr>
      <w:r>
        <w:t>3.2.3.2.</w:t>
      </w:r>
      <w:r>
        <w:tab/>
      </w:r>
      <w:r>
        <w:rPr>
          <w:noProof/>
        </w:rPr>
        <w:t>Szacowane zapotrzebowanie na zasoby ludzkie</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sz w:val="22"/>
        </w:rPr>
        <w:sym w:font="Wingdings" w:char="F0FD"/>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0" w:type="auto"/>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52"/>
        <w:gridCol w:w="1808"/>
        <w:gridCol w:w="1385"/>
        <w:gridCol w:w="1190"/>
        <w:gridCol w:w="1242"/>
        <w:gridCol w:w="1524"/>
        <w:gridCol w:w="1524"/>
        <w:gridCol w:w="1524"/>
      </w:tblGrid>
      <w:tr>
        <w:trPr>
          <w:trHeight w:val="289"/>
          <w:jc w:val="center"/>
        </w:trPr>
        <w:tc>
          <w:tcPr>
            <w:tcW w:w="0" w:type="auto"/>
            <w:gridSpan w:val="2"/>
            <w:shd w:val="clear" w:color="auto" w:fill="auto"/>
          </w:tcPr>
          <w:p>
            <w:pPr>
              <w:pStyle w:val="Text1"/>
              <w:spacing w:before="40" w:after="40"/>
              <w:ind w:left="0"/>
              <w:jc w:val="center"/>
              <w:rPr>
                <w:i/>
                <w:noProof/>
                <w:sz w:val="16"/>
                <w:szCs w:val="16"/>
              </w:rPr>
            </w:pPr>
          </w:p>
        </w:tc>
        <w:tc>
          <w:tcPr>
            <w:tcW w:w="784" w:type="dxa"/>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2018</w:t>
            </w:r>
          </w:p>
        </w:tc>
        <w:tc>
          <w:tcPr>
            <w:tcW w:w="674" w:type="dxa"/>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2019</w:t>
            </w:r>
          </w:p>
        </w:tc>
        <w:tc>
          <w:tcPr>
            <w:tcW w:w="703" w:type="dxa"/>
            <w:shd w:val="clear" w:color="auto" w:fill="auto"/>
            <w:vAlign w:val="center"/>
          </w:tcPr>
          <w:p>
            <w:pPr>
              <w:spacing w:before="20" w:after="20"/>
              <w:jc w:val="center"/>
              <w:rPr>
                <w:noProof/>
                <w:sz w:val="16"/>
                <w:szCs w:val="16"/>
              </w:rPr>
            </w:pPr>
            <w:r>
              <w:rPr>
                <w:noProof/>
                <w:sz w:val="16"/>
              </w:rPr>
              <w:t xml:space="preserve">Rok </w:t>
            </w:r>
            <w:r>
              <w:rPr>
                <w:b/>
                <w:noProof/>
                <w:sz w:val="16"/>
              </w:rPr>
              <w:t>2020</w:t>
            </w:r>
          </w:p>
        </w:tc>
        <w:tc>
          <w:tcPr>
            <w:tcW w:w="0" w:type="auto"/>
            <w:gridSpan w:val="3"/>
            <w:shd w:val="clear" w:color="auto" w:fill="auto"/>
            <w:vAlign w:val="center"/>
          </w:tcPr>
          <w:p>
            <w:pPr>
              <w:jc w:val="center"/>
              <w:rPr>
                <w:b/>
                <w:noProof/>
                <w:sz w:val="16"/>
                <w:szCs w:val="16"/>
              </w:rPr>
            </w:pPr>
            <w:r>
              <w:rPr>
                <w:noProof/>
                <w:sz w:val="16"/>
              </w:rPr>
              <w:t>Wprowadzić taką liczbę kolumn dla poszczególnych lat, jaka jest niezbędna, by odzwierciedlić cały okres wpływu (zob. pkt 1.6)</w:t>
            </w:r>
          </w:p>
        </w:tc>
      </w:tr>
      <w:tr>
        <w:trPr>
          <w:trHeight w:val="289"/>
          <w:jc w:val="center"/>
        </w:trPr>
        <w:tc>
          <w:tcPr>
            <w:tcW w:w="0" w:type="auto"/>
            <w:gridSpan w:val="5"/>
            <w:shd w:val="clear" w:color="auto" w:fill="auto"/>
          </w:tcPr>
          <w:p>
            <w:pPr>
              <w:spacing w:before="20" w:after="20"/>
              <w:rPr>
                <w:noProof/>
                <w:sz w:val="16"/>
                <w:szCs w:val="16"/>
              </w:rPr>
            </w:pPr>
            <w:r>
              <w:rPr>
                <w:b/>
                <w:noProof/>
                <w:sz w:val="16"/>
              </w:rPr>
              <w:sym w:font="Wingdings" w:char="F09F"/>
            </w:r>
            <w:r>
              <w:rPr>
                <w:b/>
                <w:noProof/>
                <w:sz w:val="16"/>
              </w:rPr>
              <w:t>Stanowiska przewidziane w planie zatrudnienia (stanowiska urzędników i pracowników zatrudnionych na czas określony)</w:t>
            </w:r>
          </w:p>
        </w:tc>
        <w:tc>
          <w:tcPr>
            <w:tcW w:w="0" w:type="auto"/>
            <w:gridSpan w:val="3"/>
            <w:shd w:val="clear" w:color="auto" w:fill="auto"/>
            <w:vAlign w:val="center"/>
          </w:tcPr>
          <w:p>
            <w:pPr>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rPr>
                <w:b/>
                <w:noProof/>
                <w:sz w:val="16"/>
                <w:szCs w:val="16"/>
              </w:rPr>
            </w:pPr>
            <w:r>
              <w:rPr>
                <w:noProof/>
                <w:sz w:val="16"/>
              </w:rPr>
              <w:t>29 01 01 01 (w centrali i w biurach przedstawicielstw Komisji)</w:t>
            </w:r>
          </w:p>
        </w:tc>
        <w:tc>
          <w:tcPr>
            <w:tcW w:w="784" w:type="dxa"/>
            <w:shd w:val="clear" w:color="auto" w:fill="auto"/>
            <w:vAlign w:val="center"/>
          </w:tcPr>
          <w:p>
            <w:pPr>
              <w:spacing w:beforeLines="20" w:before="48" w:afterLines="20" w:after="48"/>
              <w:jc w:val="center"/>
              <w:rPr>
                <w:noProof/>
                <w:sz w:val="16"/>
                <w:szCs w:val="16"/>
              </w:rPr>
            </w:pPr>
            <w:r>
              <w:rPr>
                <w:noProof/>
                <w:sz w:val="16"/>
              </w:rPr>
              <w:t>605</w:t>
            </w:r>
          </w:p>
        </w:tc>
        <w:tc>
          <w:tcPr>
            <w:tcW w:w="674" w:type="dxa"/>
            <w:shd w:val="clear" w:color="auto" w:fill="auto"/>
            <w:vAlign w:val="center"/>
          </w:tcPr>
          <w:p>
            <w:pPr>
              <w:spacing w:beforeLines="20" w:before="48" w:afterLines="20" w:after="48"/>
              <w:jc w:val="center"/>
              <w:rPr>
                <w:noProof/>
                <w:sz w:val="16"/>
                <w:szCs w:val="16"/>
              </w:rPr>
            </w:pPr>
            <w:r>
              <w:rPr>
                <w:noProof/>
                <w:sz w:val="16"/>
              </w:rPr>
              <w:t>593</w:t>
            </w:r>
          </w:p>
        </w:tc>
        <w:tc>
          <w:tcPr>
            <w:tcW w:w="703" w:type="dxa"/>
            <w:shd w:val="clear" w:color="auto" w:fill="auto"/>
            <w:vAlign w:val="center"/>
          </w:tcPr>
          <w:p>
            <w:pPr>
              <w:spacing w:beforeLines="20" w:before="48" w:afterLines="20" w:after="48"/>
              <w:jc w:val="center"/>
              <w:rPr>
                <w:noProof/>
                <w:sz w:val="16"/>
                <w:szCs w:val="16"/>
              </w:rPr>
            </w:pPr>
            <w:r>
              <w:rPr>
                <w:noProof/>
                <w:sz w:val="16"/>
              </w:rPr>
              <w:t>581</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z globalnej koperty finansowej)</w:t>
            </w:r>
          </w:p>
        </w:tc>
        <w:tc>
          <w:tcPr>
            <w:tcW w:w="784" w:type="dxa"/>
            <w:shd w:val="clear" w:color="auto" w:fill="auto"/>
            <w:vAlign w:val="center"/>
          </w:tcPr>
          <w:p>
            <w:pPr>
              <w:spacing w:beforeLines="20" w:before="48" w:afterLines="20" w:after="48"/>
              <w:jc w:val="center"/>
              <w:rPr>
                <w:noProof/>
                <w:sz w:val="16"/>
                <w:szCs w:val="16"/>
              </w:rPr>
            </w:pPr>
            <w:r>
              <w:rPr>
                <w:noProof/>
                <w:sz w:val="16"/>
              </w:rPr>
              <w:t>104,6</w:t>
            </w:r>
          </w:p>
        </w:tc>
        <w:tc>
          <w:tcPr>
            <w:tcW w:w="674" w:type="dxa"/>
            <w:shd w:val="clear" w:color="auto" w:fill="auto"/>
            <w:vAlign w:val="center"/>
          </w:tcPr>
          <w:p>
            <w:pPr>
              <w:spacing w:beforeLines="20" w:before="48" w:afterLines="20" w:after="48"/>
              <w:jc w:val="center"/>
              <w:rPr>
                <w:noProof/>
                <w:sz w:val="16"/>
                <w:szCs w:val="16"/>
              </w:rPr>
            </w:pPr>
            <w:r>
              <w:rPr>
                <w:noProof/>
                <w:sz w:val="16"/>
              </w:rPr>
              <w:t>102,6</w:t>
            </w:r>
          </w:p>
        </w:tc>
        <w:tc>
          <w:tcPr>
            <w:tcW w:w="703" w:type="dxa"/>
            <w:shd w:val="clear" w:color="auto" w:fill="auto"/>
            <w:vAlign w:val="center"/>
          </w:tcPr>
          <w:p>
            <w:pPr>
              <w:spacing w:beforeLines="20" w:before="48" w:afterLines="20" w:after="48"/>
              <w:jc w:val="center"/>
              <w:rPr>
                <w:noProof/>
                <w:sz w:val="16"/>
                <w:szCs w:val="16"/>
              </w:rPr>
            </w:pPr>
            <w:r>
              <w:rPr>
                <w:noProof/>
                <w:sz w:val="16"/>
              </w:rPr>
              <w:t>100,6</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 JED w delegaturach)</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1"/>
            </w: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w centrali</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shd w:val="clear" w:color="auto" w:fill="auto"/>
            <w:vAlign w:val="center"/>
          </w:tcPr>
          <w:p>
            <w:pPr>
              <w:pStyle w:val="Text1"/>
              <w:spacing w:beforeLines="20" w:before="48" w:afterLines="20" w:after="48"/>
              <w:ind w:left="136"/>
              <w:jc w:val="left"/>
              <w:rPr>
                <w:b/>
                <w:noProof/>
                <w:sz w:val="16"/>
                <w:szCs w:val="16"/>
              </w:rPr>
            </w:pP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xml:space="preserve">– w delegaturach </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(CA, SNE, INT – pośrednie badania naukowe)</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SNE, INT – bezpośrednie badania naukowe)</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Inna pozycja w budżecie (29 01 04 01)</w:t>
            </w:r>
          </w:p>
        </w:tc>
        <w:tc>
          <w:tcPr>
            <w:tcW w:w="78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67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703"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78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748,6</w:t>
            </w:r>
          </w:p>
        </w:tc>
        <w:tc>
          <w:tcPr>
            <w:tcW w:w="67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734,6</w:t>
            </w:r>
          </w:p>
        </w:tc>
        <w:tc>
          <w:tcPr>
            <w:tcW w:w="703"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720,6</w:t>
            </w: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r>
              <w:rPr>
                <w:noProof/>
                <w:sz w:val="20"/>
              </w:rPr>
              <w:t>Zadania, które mają być wykonywane, obejmują z jednej strony głównie prace w zakresie metodyki, a z drugiej gromadzenie, walidację, przetwarzanie i rozpowszechnianie informacji statystycznych związanych z dziedzinami określonymi w rozporządzeniach mających zastosowanie do statystyki europejskiej. Odnoszą się one również do działań ABB Eurostatu – „Wsparcie administracyjne dla Eurostatu” i „Strategia i koordynacja polityki dla Eurostatu”.</w:t>
            </w:r>
          </w:p>
        </w:tc>
      </w:tr>
      <w:tr>
        <w:tc>
          <w:tcPr>
            <w:tcW w:w="3240" w:type="dxa"/>
          </w:tcPr>
          <w:p>
            <w:pPr>
              <w:spacing w:before="60" w:after="60"/>
              <w:rPr>
                <w:noProof/>
                <w:sz w:val="20"/>
              </w:rPr>
            </w:pPr>
            <w:r>
              <w:rPr>
                <w:noProof/>
                <w:sz w:val="20"/>
              </w:rPr>
              <w:t>Personel zewnętrzny</w:t>
            </w:r>
          </w:p>
        </w:tc>
        <w:tc>
          <w:tcPr>
            <w:tcW w:w="7200" w:type="dxa"/>
          </w:tcPr>
          <w:p>
            <w:pPr>
              <w:rPr>
                <w:noProof/>
                <w:sz w:val="20"/>
              </w:rPr>
            </w:pPr>
            <w:r>
              <w:rPr>
                <w:noProof/>
                <w:sz w:val="20"/>
              </w:rPr>
              <w:t>Wsparcie urzędników i pracowników zatrudnionych na czas określony w wykonywaniu powyższych zadań.</w:t>
            </w: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Zgodność z obowiązującymi wieloletnimi ramami finansowymi </w:t>
      </w:r>
    </w:p>
    <w:p>
      <w:pPr>
        <w:pStyle w:val="ListDash1"/>
        <w:rPr>
          <w:noProof/>
        </w:rPr>
      </w:pPr>
      <w:r>
        <w:rPr>
          <w:noProof/>
        </w:rPr>
        <w:sym w:font="Wingdings" w:char="F0A8"/>
      </w:r>
      <w:r>
        <w:rPr>
          <w:noProof/>
        </w:rPr>
        <w:tab/>
        <w:t>Wniosek/inicjatywa jest zgodny(-a) z obowiązującymi wieloletnimi ramami finansowymi.</w:t>
      </w:r>
    </w:p>
    <w:p>
      <w:pPr>
        <w:pStyle w:val="ListDash1"/>
        <w:rPr>
          <w:noProof/>
        </w:rPr>
      </w:pPr>
      <w:r>
        <w:rPr>
          <w:noProof/>
          <w:sz w:val="22"/>
        </w:rPr>
        <w:sym w:font="Wingdings" w:char="F0FD"/>
      </w:r>
      <w:r>
        <w:rPr>
          <w:noProof/>
        </w:rPr>
        <w:tab/>
        <w:t>Wniosek/inicjatywa wymaga przeprogramowania odpowiedniego działu w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r>
        <w:rPr>
          <w:noProof/>
        </w:rPr>
        <w:t>Proponowane jest całkowite zwiększenie w wysokości 25,2 mln EUR ponad obecne programowanie finansowe dla pozycji budżetu 29 02 01 na lata 2018–2020. Wspomniane zwiększenie budżetu będzie w każdym razie zgodne z ogólnymi pułapami działu 1a przewidzianego w wieloletnich ramach finansowych na lata 2014–2020.</w:t>
      </w:r>
    </w:p>
    <w:p>
      <w:pPr>
        <w:pStyle w:val="ListDash1"/>
        <w:rPr>
          <w:noProof/>
        </w:rPr>
      </w:pPr>
      <w:r>
        <w:rPr>
          <w:noProof/>
        </w:rPr>
        <w:sym w:font="Wingdings" w:char="F0A8"/>
      </w:r>
      <w:r>
        <w:rPr>
          <w:noProof/>
        </w:rPr>
        <w:tab/>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działy i linie budżetowe, których ma on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r>
        <w:t>[...]</w:t>
      </w:r>
    </w:p>
    <w:p>
      <w:pPr>
        <w:pStyle w:val="ManualHeading3"/>
        <w:rPr>
          <w:bCs/>
          <w:noProof/>
          <w:szCs w:val="24"/>
        </w:rPr>
      </w:pPr>
      <w:r>
        <w:t>3.2.5.</w:t>
      </w:r>
      <w:r>
        <w:tab/>
      </w:r>
      <w:r>
        <w:rPr>
          <w:noProof/>
        </w:rPr>
        <w:t xml:space="preserve">Udział osób trzecich w finansowaniu </w:t>
      </w:r>
    </w:p>
    <w:p>
      <w:pPr>
        <w:pStyle w:val="ListDash1"/>
        <w:rPr>
          <w:noProof/>
        </w:rPr>
      </w:pPr>
      <w:r>
        <w:rPr>
          <w:noProof/>
        </w:rPr>
        <w:sym w:font="Wingdings" w:char="F0A8"/>
      </w:r>
      <w:r>
        <w:rPr>
          <w:noProof/>
        </w:rPr>
        <w:tab/>
        <w:t xml:space="preserve">Wniosek/inicjatywa nie przewiduje współfinansowania ze strony osób trzecich </w:t>
      </w:r>
    </w:p>
    <w:p>
      <w:pPr>
        <w:pStyle w:val="ListDash1"/>
        <w:rPr>
          <w:noProof/>
        </w:rPr>
      </w:pPr>
      <w:r>
        <w:rPr>
          <w:noProof/>
          <w:sz w:val="22"/>
        </w:rPr>
        <w:sym w:font="Wingdings" w:char="F0FD"/>
      </w:r>
      <w:r>
        <w:rPr>
          <w:noProof/>
        </w:rPr>
        <w:tab/>
        <w:t>Wniosek/inicjatywa przewiduje współfinansowanie szacowane zgodnie z poniższym:</w:t>
      </w:r>
    </w:p>
    <w:p>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2018</w:t>
            </w:r>
          </w:p>
        </w:tc>
        <w:tc>
          <w:tcPr>
            <w:tcW w:w="964" w:type="dxa"/>
            <w:vAlign w:val="center"/>
          </w:tcPr>
          <w:p>
            <w:pPr>
              <w:jc w:val="center"/>
              <w:rPr>
                <w:noProof/>
                <w:sz w:val="20"/>
              </w:rPr>
            </w:pPr>
            <w:r>
              <w:rPr>
                <w:noProof/>
                <w:sz w:val="20"/>
              </w:rPr>
              <w:t>Rok</w:t>
            </w:r>
            <w:r>
              <w:rPr>
                <w:noProof/>
                <w:sz w:val="22"/>
              </w:rPr>
              <w:br/>
            </w:r>
            <w:r>
              <w:rPr>
                <w:b/>
                <w:noProof/>
                <w:sz w:val="20"/>
              </w:rPr>
              <w:t>2019</w:t>
            </w:r>
          </w:p>
        </w:tc>
        <w:tc>
          <w:tcPr>
            <w:tcW w:w="964" w:type="dxa"/>
            <w:vAlign w:val="center"/>
          </w:tcPr>
          <w:p>
            <w:pPr>
              <w:jc w:val="center"/>
              <w:rPr>
                <w:noProof/>
                <w:sz w:val="20"/>
              </w:rPr>
            </w:pPr>
            <w:r>
              <w:rPr>
                <w:noProof/>
                <w:sz w:val="20"/>
              </w:rPr>
              <w:t>Rok</w:t>
            </w:r>
            <w:r>
              <w:rPr>
                <w:noProof/>
                <w:sz w:val="22"/>
              </w:rPr>
              <w:br/>
            </w:r>
            <w:r>
              <w:rPr>
                <w:b/>
                <w:noProof/>
                <w:sz w:val="20"/>
              </w:rPr>
              <w:t>2020</w:t>
            </w:r>
          </w:p>
        </w:tc>
        <w:tc>
          <w:tcPr>
            <w:tcW w:w="964" w:type="dxa"/>
            <w:vAlign w:val="center"/>
          </w:tcPr>
          <w:p>
            <w:pPr>
              <w:jc w:val="center"/>
              <w:rPr>
                <w:noProof/>
                <w:sz w:val="20"/>
              </w:rPr>
            </w:pPr>
          </w:p>
        </w:tc>
        <w:tc>
          <w:tcPr>
            <w:tcW w:w="2892" w:type="dxa"/>
            <w:gridSpan w:val="3"/>
            <w:vAlign w:val="center"/>
          </w:tcPr>
          <w:p>
            <w:pPr>
              <w:jc w:val="center"/>
              <w:rPr>
                <w:b/>
                <w:noProof/>
                <w:sz w:val="20"/>
              </w:rPr>
            </w:pPr>
            <w:r>
              <w:rPr>
                <w:noProof/>
                <w:sz w:val="20"/>
              </w:rPr>
              <w:t>Wprowadzić taką liczbę kolumn dla poszczególnych lat, jaka jest niezbędna, by odzwierciedlić cały okres wpływu (zob. pkt 1.6)</w:t>
            </w:r>
          </w:p>
        </w:tc>
        <w:tc>
          <w:tcPr>
            <w:tcW w:w="1158" w:type="dxa"/>
            <w:vAlign w:val="center"/>
          </w:tcPr>
          <w:p>
            <w:pPr>
              <w:spacing w:before="60" w:after="60"/>
              <w:jc w:val="center"/>
              <w:rPr>
                <w:noProof/>
                <w:sz w:val="20"/>
              </w:rPr>
            </w:pPr>
            <w:r>
              <w:rPr>
                <w:noProof/>
                <w:sz w:val="20"/>
              </w:rPr>
              <w:t>Ogółem</w:t>
            </w:r>
          </w:p>
        </w:tc>
      </w:tr>
      <w:tr>
        <w:trPr>
          <w:cantSplit/>
        </w:trPr>
        <w:tc>
          <w:tcPr>
            <w:tcW w:w="2340" w:type="dxa"/>
          </w:tcPr>
          <w:p>
            <w:pPr>
              <w:rPr>
                <w:noProof/>
                <w:sz w:val="22"/>
              </w:rPr>
            </w:pPr>
            <w:r>
              <w:rPr>
                <w:noProof/>
                <w:sz w:val="20"/>
              </w:rPr>
              <w:t>Wkład otrzymany od Konfederacji Szwajcarskiej</w:t>
            </w:r>
            <w:r>
              <w:rPr>
                <w:i/>
                <w:noProof/>
                <w:sz w:val="20"/>
              </w:rPr>
              <w:t xml:space="preserve">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r>
        <w:trPr>
          <w:cantSplit/>
        </w:trPr>
        <w:tc>
          <w:tcPr>
            <w:tcW w:w="2340" w:type="dxa"/>
          </w:tcPr>
          <w:p>
            <w:pPr>
              <w:spacing w:before="60" w:after="60"/>
              <w:jc w:val="left"/>
              <w:rPr>
                <w:noProof/>
                <w:sz w:val="20"/>
              </w:rPr>
            </w:pPr>
            <w:r>
              <w:rPr>
                <w:noProof/>
                <w:sz w:val="20"/>
              </w:rPr>
              <w:t xml:space="preserve">OGÓŁEM środki objęte współfinansowaniem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bl>
    <w:p>
      <w:pPr>
        <w:rPr>
          <w:noProof/>
          <w:szCs w:val="24"/>
        </w:rPr>
      </w:pPr>
      <w:r>
        <w:rPr>
          <w:noProof/>
        </w:rPr>
        <w:br w:type="page"/>
        <w:t xml:space="preserve">Szacunkowy wpływ na dochody </w:t>
      </w:r>
    </w:p>
    <w:p>
      <w:pPr>
        <w:pStyle w:val="ListDash1"/>
        <w:rPr>
          <w:noProof/>
        </w:rPr>
      </w:pPr>
      <w:r>
        <w:rPr>
          <w:noProof/>
          <w:sz w:val="22"/>
        </w:rPr>
        <w:sym w:font="Wingdings" w:char="F0FD"/>
      </w:r>
      <w:r>
        <w:rPr>
          <w:noProof/>
        </w:rPr>
        <w:tab/>
        <w:t>Wniosek/inicjatywa nie ma wpływu finansowego na dochody.</w:t>
      </w:r>
    </w:p>
    <w:p>
      <w:pPr>
        <w:pStyle w:val="ListDash1"/>
        <w:rPr>
          <w:noProof/>
        </w:rPr>
      </w:pPr>
      <w:r>
        <w:rPr>
          <w:noProof/>
        </w:rPr>
        <w:sym w:font="Wingdings" w:char="F0A8"/>
      </w:r>
      <w:r>
        <w:rPr>
          <w:noProof/>
        </w:rPr>
        <w:tab/>
        <w:t>Wniosek/inicjatywa ma wpływ finansowy określony poniżej:</w:t>
      </w:r>
    </w:p>
    <w:p>
      <w:pPr>
        <w:pStyle w:val="ListNumberLevel3"/>
        <w:rPr>
          <w:noProof/>
        </w:rPr>
      </w:pPr>
      <w:r>
        <w:rPr>
          <w:noProof/>
        </w:rPr>
        <w:sym w:font="Wingdings" w:char="F0A8"/>
      </w:r>
      <w:r>
        <w:rPr>
          <w:noProof/>
        </w:rPr>
        <w:tab/>
        <w:t xml:space="preserve">wpływ na zasoby własne </w:t>
      </w:r>
    </w:p>
    <w:p>
      <w:pPr>
        <w:pStyle w:val="ListNumberLevel3"/>
        <w:rPr>
          <w:noProof/>
        </w:rPr>
      </w:pPr>
      <w:r>
        <w:rPr>
          <w:noProof/>
        </w:rPr>
        <w:sym w:font="Wingdings" w:char="F0A8"/>
      </w:r>
      <w:r>
        <w:rPr>
          <w:noProof/>
        </w:rPr>
        <w:tab/>
        <w:t xml:space="preserve">wpływ na dochody różne </w:t>
      </w:r>
    </w:p>
    <w:p>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35"/>
        <w:gridCol w:w="1080"/>
        <w:gridCol w:w="900"/>
        <w:gridCol w:w="900"/>
        <w:gridCol w:w="1080"/>
        <w:gridCol w:w="1080"/>
        <w:gridCol w:w="1080"/>
        <w:gridCol w:w="1080"/>
      </w:tblGrid>
      <w:tr>
        <w:trPr>
          <w:trHeight w:val="388"/>
        </w:trPr>
        <w:tc>
          <w:tcPr>
            <w:tcW w:w="1985" w:type="dxa"/>
            <w:vMerge w:val="restart"/>
            <w:vAlign w:val="center"/>
          </w:tcPr>
          <w:p>
            <w:pPr>
              <w:spacing w:before="40" w:after="40"/>
              <w:rPr>
                <w:noProof/>
                <w:sz w:val="18"/>
              </w:rPr>
            </w:pPr>
            <w:r>
              <w:rPr>
                <w:noProof/>
                <w:sz w:val="18"/>
              </w:rPr>
              <w:t>Linia budżetowa po stronie dochodów:</w:t>
            </w:r>
          </w:p>
        </w:tc>
        <w:tc>
          <w:tcPr>
            <w:tcW w:w="1435"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32"/>
            </w:r>
          </w:p>
        </w:tc>
      </w:tr>
      <w:tr>
        <w:trPr>
          <w:trHeight w:val="388"/>
        </w:trPr>
        <w:tc>
          <w:tcPr>
            <w:tcW w:w="1985" w:type="dxa"/>
            <w:vMerge/>
          </w:tcPr>
          <w:p>
            <w:pPr>
              <w:spacing w:before="40" w:after="40"/>
              <w:rPr>
                <w:noProof/>
                <w:sz w:val="18"/>
              </w:rPr>
            </w:pPr>
          </w:p>
        </w:tc>
        <w:tc>
          <w:tcPr>
            <w:tcW w:w="1435"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(zob. pkt 1.6)</w:t>
            </w:r>
          </w:p>
        </w:tc>
      </w:tr>
      <w:tr>
        <w:trPr>
          <w:trHeight w:val="388"/>
        </w:trPr>
        <w:tc>
          <w:tcPr>
            <w:tcW w:w="1985" w:type="dxa"/>
            <w:vAlign w:val="center"/>
          </w:tcPr>
          <w:p>
            <w:pPr>
              <w:spacing w:before="40" w:after="40"/>
              <w:rPr>
                <w:noProof/>
                <w:sz w:val="18"/>
              </w:rPr>
            </w:pPr>
            <w:r>
              <w:rPr>
                <w:noProof/>
                <w:sz w:val="18"/>
              </w:rPr>
              <w:t>Artykuł ………….</w:t>
            </w:r>
          </w:p>
        </w:tc>
        <w:tc>
          <w:tcPr>
            <w:tcW w:w="1435"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noProof/>
        </w:rPr>
      </w:pPr>
      <w:r>
        <w:t>[...]</w:t>
      </w: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426" w:hanging="426"/>
      </w:pPr>
      <w:r>
        <w:rPr>
          <w:rStyle w:val="FootnoteReference"/>
        </w:rPr>
        <w:footnoteRef/>
      </w:r>
      <w:r>
        <w:tab/>
        <w:t>Ramy prawne w zakresie opracowywania, tworzenia i rozpowszechniania statystyki europejskiej ustanowiono w rozporządzeniu Parlamentu Europejskiego i Rady (WE) nr 223/2009 z dnia 11 marca 2009 r. w sprawie statystyki europejskiej oraz uchylającym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 (Dz.U. L 87 z 31.3.2009, s. 164).</w:t>
      </w:r>
    </w:p>
  </w:footnote>
  <w:footnote w:id="2">
    <w:p>
      <w:pPr>
        <w:pStyle w:val="FootnoteText"/>
        <w:ind w:left="426" w:hanging="426"/>
      </w:pPr>
      <w:r>
        <w:rPr>
          <w:rStyle w:val="FootnoteReference"/>
        </w:rPr>
        <w:footnoteRef/>
      </w:r>
      <w:r>
        <w:tab/>
      </w:r>
      <w:hyperlink r:id="rId1" w:history="1">
        <w:r>
          <w:rPr>
            <w:rStyle w:val="Hyperlink"/>
          </w:rPr>
          <w:t>https://ec.europa.eu/priorities/sites/beta-political/files/pg_pl.pdf</w:t>
        </w:r>
      </w:hyperlink>
    </w:p>
  </w:footnote>
  <w:footnote w:id="3">
    <w:p>
      <w:pPr>
        <w:pStyle w:val="FootnoteText"/>
        <w:ind w:left="426" w:hanging="426"/>
      </w:pPr>
      <w:r>
        <w:rPr>
          <w:rStyle w:val="FootnoteReference"/>
        </w:rPr>
        <w:footnoteRef/>
      </w:r>
      <w:r>
        <w:tab/>
        <w:t>Decyzja Komisji 2012/504/UE w sprawie Eurostatu (Dz.U. L 251 z 18.9.2012, s. 49).</w:t>
      </w:r>
    </w:p>
  </w:footnote>
  <w:footnote w:id="4">
    <w:p>
      <w:pPr>
        <w:pStyle w:val="FootnoteText"/>
        <w:ind w:left="426" w:hanging="426"/>
      </w:pPr>
      <w:r>
        <w:rPr>
          <w:rStyle w:val="FootnoteReference"/>
        </w:rPr>
        <w:footnoteRef/>
      </w:r>
      <w:r>
        <w:tab/>
        <w:t>Rozporządzenie Parlamentu Europejskiego i Rady (UE) nr 99/2013 z dnia 15 stycznia 2013 r. w sprawie Europejskiego programu statystycznego 2013–2017 (Dz.U. L 39 z 9.2.2013, s. 12).</w:t>
      </w:r>
    </w:p>
  </w:footnote>
  <w:footnote w:id="5">
    <w:p>
      <w:pPr>
        <w:pStyle w:val="FootnoteText"/>
        <w:ind w:left="426" w:hanging="426"/>
      </w:pPr>
      <w:r>
        <w:rPr>
          <w:rStyle w:val="FootnoteReference"/>
        </w:rPr>
        <w:footnoteRef/>
      </w:r>
      <w:r>
        <w:tab/>
        <w:t>Sprawozdanie Komisji dla Parlamentu Europejskiego i Rady w sprawie wprowadzenia w życie Europejskiego programu statystycznego na lata 2013–2017, COM(2015) 309 final, eur-lex.europa.eu/legal-content/PL/TXT/PDF/?uri=CELEX:52015DC0309&amp;from=pl</w:t>
      </w:r>
    </w:p>
  </w:footnote>
  <w:footnote w:id="6">
    <w:p>
      <w:pPr>
        <w:pStyle w:val="FootnoteText"/>
        <w:ind w:left="426" w:hanging="426"/>
      </w:pPr>
      <w:r>
        <w:rPr>
          <w:rStyle w:val="FootnoteReference"/>
        </w:rPr>
        <w:footnoteRef/>
      </w:r>
      <w:r>
        <w:tab/>
      </w:r>
      <w:r>
        <w:rPr>
          <w:rStyle w:val="Hyperlink"/>
          <w:color w:val="auto"/>
          <w:u w:val="none"/>
        </w:rPr>
        <w:t>Konsultacje społeczne prowadzono za pośrednictwem platformy internetowej „Your Voice in Europe” od dnia 23 lipca do dnia 15 października 2015 r., a uzyskane opinie udostępniono publicznie poprzez kanały komunikacyjne Eurostatu oraz KUS.</w:t>
      </w:r>
    </w:p>
  </w:footnote>
  <w:footnote w:id="7">
    <w:p>
      <w:pPr>
        <w:pStyle w:val="FootnoteText"/>
        <w:ind w:left="426" w:hanging="426"/>
      </w:pPr>
      <w:r>
        <w:rPr>
          <w:rStyle w:val="FootnoteReference"/>
        </w:rPr>
        <w:footnoteRef/>
      </w:r>
      <w:r>
        <w:tab/>
        <w:t>Zgodnie z decyzją Parlamentu Europejskiego i Rady nr 234/2008/WE z dnia 11 marca 2008 r. ustanawiającą Europejski Komitet Doradczy ds. Statystyki i uchylającą decyzję Rady 91/116/EWG (Dz.U. L 73 z 15.3.2008, s. 13).</w:t>
      </w:r>
    </w:p>
  </w:footnote>
  <w:footnote w:id="8">
    <w:p>
      <w:pPr>
        <w:pStyle w:val="FootnoteText"/>
        <w:ind w:left="426" w:hanging="426"/>
      </w:pPr>
      <w:r>
        <w:rPr>
          <w:rStyle w:val="FootnoteReference"/>
        </w:rPr>
        <w:footnoteRef/>
      </w:r>
      <w:r>
        <w:tab/>
        <w:t>Dokument roboczy służb Komisji „Sprawozdanie z oceny skutków” dołączony do wniosku w sprawie rozporządzenia dotyczącego zmiany rozporządzenia Parlamentu Europejskiego i Rady (UE) nr 99/2013 w sprawie Europejskiego programu statystycznego 2013–2017 poprzez przedłużenie go na lata 2018–2020.</w:t>
      </w:r>
    </w:p>
  </w:footnote>
  <w:footnote w:id="9">
    <w:p>
      <w:pPr>
        <w:pStyle w:val="FootnoteText"/>
        <w:ind w:left="426" w:hanging="426"/>
      </w:pPr>
      <w:r>
        <w:rPr>
          <w:rStyle w:val="FootnoteReference"/>
        </w:rPr>
        <w:footnoteRef/>
      </w:r>
      <w:r>
        <w:tab/>
        <w:t>Dz.U. C […] z […], s. […].</w:t>
      </w:r>
    </w:p>
  </w:footnote>
  <w:footnote w:id="10">
    <w:p>
      <w:pPr>
        <w:pStyle w:val="FootnoteText"/>
        <w:ind w:left="426" w:hanging="426"/>
      </w:pPr>
      <w:r>
        <w:rPr>
          <w:rStyle w:val="FootnoteReference"/>
        </w:rPr>
        <w:footnoteRef/>
      </w:r>
      <w:r>
        <w:tab/>
        <w:t>Dz.U. C […] z […], s. […].</w:t>
      </w:r>
    </w:p>
  </w:footnote>
  <w:footnote w:id="11">
    <w:p>
      <w:pPr>
        <w:pStyle w:val="FootnoteText"/>
        <w:ind w:left="426" w:hanging="426"/>
      </w:pPr>
      <w:r>
        <w:rPr>
          <w:rStyle w:val="FootnoteReference"/>
        </w:rPr>
        <w:footnoteRef/>
      </w:r>
      <w:r>
        <w:tab/>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decyzja Rady 89/382/EWG, Euratom w sprawie ustanowienia Komitetu ds. Programów Statystycznych Wspólnot Europejskich (Dz.U. L 87 z 31.3.2009, s. 164).</w:t>
      </w:r>
    </w:p>
  </w:footnote>
  <w:footnote w:id="12">
    <w:p>
      <w:pPr>
        <w:pStyle w:val="FootnoteText"/>
        <w:ind w:left="426" w:hanging="426"/>
      </w:pPr>
      <w:r>
        <w:rPr>
          <w:rStyle w:val="FootnoteReference"/>
        </w:rPr>
        <w:footnoteRef/>
      </w:r>
      <w:r>
        <w:tab/>
        <w:t>Rozporządzenie Parlamentu Europejskiego i Rady (UE) nr 99/2013 z dnia 15 stycznia 2013 r. w sprawie Europejskiego programu statystycznego 2013–2017 (Dz.U. L 39 z 9.2.2013, s. 12).</w:t>
      </w:r>
    </w:p>
  </w:footnote>
  <w:footnote w:id="13">
    <w:p>
      <w:pPr>
        <w:pStyle w:val="FootnoteText"/>
        <w:ind w:left="426" w:hanging="426"/>
      </w:pPr>
      <w:r>
        <w:rPr>
          <w:rStyle w:val="FootnoteReference"/>
        </w:rPr>
        <w:footnoteRef/>
      </w:r>
      <w:r>
        <w:tab/>
        <w:t>Porozumienie międzyinstytucjonalne z dnia 2 grudnia 2013 r. pomiędzy Parlamentem Europejskim, Radą i Komisją w sprawie dyscypliny budżetowej, współpracy w kwestiach budżetowych i należytego zarządzania finansami (Dz.U. C 373 z 20.12.2013, s. 1).</w:t>
      </w:r>
    </w:p>
  </w:footnote>
  <w:footnote w:id="14">
    <w:p>
      <w:pPr>
        <w:pStyle w:val="FootnoteText"/>
        <w:ind w:left="426" w:hanging="426"/>
      </w:pPr>
      <w:r>
        <w:rPr>
          <w:rStyle w:val="FootnoteReference"/>
        </w:rPr>
        <w:footnoteRef/>
      </w:r>
      <w:r>
        <w:tab/>
        <w:t>Decyzja Parlamentu Europejskiego i Rady nr 234/2008/WE z dnia 11 marca 2008 r. ustanawiająca Europejski Komitet Doradczy ds. Statystyki i uchylająca decyzję Rady 91/116/EWG (Dz.U. L 73 z 15.3.2008, s. 13).</w:t>
      </w:r>
    </w:p>
  </w:footnote>
  <w:footnote w:id="15">
    <w:p>
      <w:pPr>
        <w:pStyle w:val="FootnoteText"/>
        <w:ind w:left="426" w:hanging="426"/>
      </w:pPr>
      <w:r>
        <w:rPr>
          <w:rStyle w:val="FootnoteReference"/>
        </w:rPr>
        <w:footnoteRef/>
      </w:r>
      <w:r>
        <w:tab/>
        <w:t>Decyzja Rady 2006/856/WE z dnia 13 listopada 2006 r. ustanawiająca Komitet ds. Statystyki Walutowej, Finansowej i Bilansu Płatniczego (Dz.U. L 332 z 30.11.2006, s. 21).</w:t>
      </w:r>
    </w:p>
  </w:footnote>
  <w:footnote w:id="16">
    <w:p>
      <w:pPr>
        <w:pStyle w:val="FootnoteText"/>
        <w:ind w:left="426" w:hanging="426"/>
      </w:pPr>
      <w:r>
        <w:rPr>
          <w:rStyle w:val="FootnoteReference"/>
        </w:rPr>
        <w:footnoteRef/>
      </w:r>
      <w:r>
        <w:tab/>
        <w:t>Dz.U. L 248 z 18.9.2013, s. 1.</w:t>
      </w:r>
    </w:p>
  </w:footnote>
  <w:footnote w:id="17">
    <w:p>
      <w:pPr>
        <w:pStyle w:val="FootnoteText"/>
        <w:ind w:left="426" w:hanging="426"/>
      </w:pPr>
      <w:r>
        <w:rPr>
          <w:rStyle w:val="FootnoteReference"/>
        </w:rPr>
        <w:footnoteRef/>
      </w:r>
      <w:r>
        <w:tab/>
        <w:t>Dz.U. L 292 z 15.11.1996, s. 2.</w:t>
      </w:r>
    </w:p>
  </w:footnote>
  <w:footnote w:id="18">
    <w:p>
      <w:pPr>
        <w:pStyle w:val="FootnoteText"/>
        <w:ind w:left="426" w:hanging="426"/>
      </w:pPr>
      <w:r>
        <w:rPr>
          <w:rStyle w:val="FootnoteReference"/>
        </w:rPr>
        <w:footnoteRef/>
      </w:r>
      <w:r>
        <w:tab/>
        <w:t>ABM: activity-based management: zarządzanie kosztami działań; ABB: activity-based budgeting: budżetowanie zadaniowe.</w:t>
      </w:r>
    </w:p>
  </w:footnote>
  <w:footnote w:id="19">
    <w:p>
      <w:pPr>
        <w:pStyle w:val="FootnoteText"/>
        <w:ind w:left="426" w:hanging="426"/>
      </w:pPr>
      <w:r>
        <w:rPr>
          <w:rStyle w:val="FootnoteReference"/>
        </w:rPr>
        <w:footnoteRef/>
      </w:r>
      <w:r>
        <w:tab/>
        <w:t>O którym mowa w art. 54 ust. 2 lit. a) lub b) rozporządzenia finansowego.</w:t>
      </w:r>
    </w:p>
  </w:footnote>
  <w:footnote w:id="20">
    <w:p>
      <w:pPr>
        <w:pStyle w:val="FootnoteText"/>
        <w:ind w:left="426" w:hanging="426"/>
      </w:pPr>
      <w:r>
        <w:rPr>
          <w:rStyle w:val="FootnoteReference"/>
        </w:rPr>
        <w:footnoteRef/>
      </w:r>
      <w:r>
        <w:tab/>
        <w:t>Decyzja Komisji 2012/504/UE z dnia 17 września 2012 r. w sprawie Eurostatu (Dz.U. L 251 z 18.9.2012, s. 49).</w:t>
      </w:r>
    </w:p>
  </w:footnote>
  <w:footnote w:id="21">
    <w:p>
      <w:pPr>
        <w:pStyle w:val="FootnoteText"/>
        <w:ind w:left="426" w:hanging="426"/>
      </w:pPr>
      <w:r>
        <w:rPr>
          <w:rStyle w:val="FootnoteReference"/>
        </w:rPr>
        <w:footnoteRef/>
      </w:r>
      <w:r>
        <w:tab/>
        <w:t>Środki zróżnicowane / środki niezróżnicowane.</w:t>
      </w:r>
    </w:p>
  </w:footnote>
  <w:footnote w:id="22">
    <w:p>
      <w:pPr>
        <w:pStyle w:val="FootnoteText"/>
        <w:ind w:left="426" w:hanging="426"/>
      </w:pPr>
      <w:r>
        <w:rPr>
          <w:rStyle w:val="FootnoteReference"/>
        </w:rPr>
        <w:footnoteRef/>
      </w:r>
      <w:r>
        <w:tab/>
        <w:t xml:space="preserve">EFTA: Europejskie Stowarzyszenie Wolnego Handlu. </w:t>
      </w:r>
    </w:p>
  </w:footnote>
  <w:footnote w:id="23">
    <w:p>
      <w:pPr>
        <w:pStyle w:val="FootnoteText"/>
        <w:ind w:left="426" w:hanging="426"/>
      </w:pPr>
      <w:r>
        <w:rPr>
          <w:rStyle w:val="FootnoteReference"/>
        </w:rPr>
        <w:footnoteRef/>
      </w:r>
      <w:r>
        <w:tab/>
        <w:t>Kraje kandydujące oraz w stosownych przypadkach potencjalne kraje kandydujące Bałkanów Zachodnich.</w:t>
      </w:r>
    </w:p>
  </w:footnote>
  <w:footnote w:id="24">
    <w:p>
      <w:pPr>
        <w:pStyle w:val="FootnoteText"/>
        <w:ind w:left="426" w:hanging="426"/>
      </w:pPr>
      <w:r>
        <w:rPr>
          <w:rStyle w:val="FootnoteReference"/>
        </w:rPr>
        <w:footnoteRef/>
      </w:r>
      <w:r>
        <w:tab/>
        <w:t>Rok N jest rokiem, w którym rozpoczyna się wprowadzanie w życie wniosku/inicjatywy.</w:t>
      </w:r>
    </w:p>
  </w:footnote>
  <w:footnote w:id="25">
    <w:p>
      <w:pPr>
        <w:pStyle w:val="FootnoteText"/>
        <w:ind w:left="426" w:hanging="426"/>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26">
    <w:p>
      <w:pPr>
        <w:pStyle w:val="FootnoteText"/>
        <w:ind w:left="426" w:hanging="426"/>
      </w:pPr>
      <w:r>
        <w:rPr>
          <w:rStyle w:val="FootnoteReference"/>
        </w:rPr>
        <w:footnoteRef/>
      </w:r>
      <w:r>
        <w:tab/>
        <w:t>Rok N jest rokiem, w którym rozpoczyna się wprowadzanie w życie wniosku/inicjatywy.</w:t>
      </w:r>
    </w:p>
  </w:footnote>
  <w:footnote w:id="27">
    <w:p>
      <w:pPr>
        <w:pStyle w:val="FootnoteText"/>
        <w:ind w:left="426" w:hanging="426"/>
      </w:pPr>
      <w:r>
        <w:rPr>
          <w:rStyle w:val="FootnoteReference"/>
        </w:rPr>
        <w:footnoteRef/>
      </w:r>
      <w:r>
        <w:tab/>
        <w:t>Produkty odnoszą się do produktów i usług, które zostaną zapewnione (np. liczba sfinansowanych wymian studentów, liczba kilometrów zbudowanych dróg itp.).</w:t>
      </w:r>
    </w:p>
  </w:footnote>
  <w:footnote w:id="28">
    <w:p>
      <w:pPr>
        <w:pStyle w:val="FootnoteText"/>
        <w:ind w:left="426" w:hanging="426"/>
      </w:pPr>
      <w:r>
        <w:rPr>
          <w:rStyle w:val="FootnoteReference"/>
        </w:rPr>
        <w:footnoteRef/>
      </w:r>
      <w:r>
        <w:tab/>
        <w:t>Zgodnie z opisem w pkt 1.4.2 „Cele szczegółowe”.</w:t>
      </w:r>
    </w:p>
  </w:footnote>
  <w:footnote w:id="29">
    <w:p>
      <w:pPr>
        <w:pStyle w:val="FootnoteText"/>
        <w:ind w:left="426" w:hanging="426"/>
      </w:pPr>
      <w:r>
        <w:rPr>
          <w:rStyle w:val="FootnoteReference"/>
        </w:rPr>
        <w:footnoteRef/>
      </w:r>
      <w:r>
        <w:tab/>
        <w:t>Rok N jest rokiem, w którym rozpoczyna się wprowadzanie w życie wniosku/inicjatywy.</w:t>
      </w:r>
    </w:p>
  </w:footnote>
  <w:footnote w:id="30">
    <w:p>
      <w:pPr>
        <w:pStyle w:val="FootnoteText"/>
        <w:ind w:left="426" w:hanging="426"/>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31">
    <w:p>
      <w:pPr>
        <w:pStyle w:val="FootnoteText"/>
        <w:ind w:left="426" w:hanging="426"/>
      </w:pPr>
      <w:r>
        <w:rPr>
          <w:rStyle w:val="FootnoteReference"/>
        </w:rPr>
        <w:footnoteRef/>
      </w:r>
      <w:r>
        <w:tab/>
        <w:t>W ramach podpułapu na personel zewnętrzny ze środków operacyjnych (dawne linie „BA”).</w:t>
      </w:r>
    </w:p>
  </w:footnote>
  <w:footnote w:id="32">
    <w:p>
      <w:pPr>
        <w:pStyle w:val="FootnoteText"/>
        <w:ind w:left="426" w:hanging="426"/>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BFC96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6C22B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BC29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68004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EA44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8"/>
    <w:lvlOverride w:ilvl="0">
      <w:startOverride w:val="1"/>
    </w:lvlOverride>
  </w:num>
  <w:num w:numId="14">
    <w:abstractNumId w:val="24"/>
    <w:lvlOverride w:ilvl="0">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034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12:04: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EFA76BC396F4137A6080EB7AED0C9F0"/>
    <w:docVar w:name="LW_CROSSREFERENCE" w:val="{SWD(2016) 287 final}_x000b_{SWD(2016) 288 final}"/>
    <w:docVar w:name="LW_DocType" w:val="COM"/>
    <w:docVar w:name="LW_EMISSION" w:val="7.9.2016"/>
    <w:docVar w:name="LW_EMISSION_ISODATE" w:val="2016-09-07"/>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i Szwajcarii)"/>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65"/>
    <w:docVar w:name="LW_REF.II.NEW.CP_YEAR" w:val="2016"/>
    <w:docVar w:name="LW_REF.INST.NEW" w:val="COM"/>
    <w:docVar w:name="LW_REF.INST.NEW_ADOPTED" w:val="final"/>
    <w:docVar w:name="LW_REF.INST.NEW_TEXT" w:val="(2016) 557"/>
    <w:docVar w:name="LW_REF.INTERNE" w:val="&lt;UNUSED&gt;"/>
    <w:docVar w:name="LW_SOUS.TITRE.OBJ.CP" w:val="&lt;UNUSED&gt;"/>
    <w:docVar w:name="LW_STATUT.CP" w:val="Wniosek"/>
    <w:docVar w:name="LW_SUPERTITRE" w:val="&lt;UNUSED&gt;"/>
    <w:docVar w:name="LW_TITRE.OBJ.CP" w:val="zmieniaj\u261?ce rozporz\u261?dzenie Parlamentu Europejskiego i Rady (UE) nr 99/2013_x000b_w sprawie Europejskiego programu statystycznego 2013\u8211?2017 poprzez przed\u322?u\u380?enie go_x000b_na lata 2018\u8211?2020"/>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pl-PL"/>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customStyle="1" w:styleId="Style1">
    <w:name w:val="Style1"/>
    <w:basedOn w:val="Point0"/>
    <w:qFormat/>
  </w:style>
  <w:style w:type="paragraph" w:customStyle="1" w:styleId="Style2">
    <w:name w:val="Style2"/>
    <w:basedOn w:val="Point0"/>
    <w:qFormat/>
    <w:pPr>
      <w:ind w:left="1134" w:firstLine="0"/>
    </w:pPr>
  </w:style>
  <w:style w:type="paragraph" w:customStyle="1" w:styleId="Style3">
    <w:name w:val="Style3"/>
    <w:basedOn w:val="Normal"/>
    <w:qFormat/>
    <w:pPr>
      <w:ind w:left="840" w:hanging="840"/>
    </w:pPr>
  </w:style>
  <w:style w:type="paragraph" w:customStyle="1" w:styleId="Style4">
    <w:name w:val="Style4"/>
    <w:basedOn w:val="Normal"/>
    <w:qFormat/>
    <w:pPr>
      <w:ind w:left="840" w:hanging="840"/>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pl-PL"/>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customStyle="1" w:styleId="Style1">
    <w:name w:val="Style1"/>
    <w:basedOn w:val="Point0"/>
    <w:qFormat/>
  </w:style>
  <w:style w:type="paragraph" w:customStyle="1" w:styleId="Style2">
    <w:name w:val="Style2"/>
    <w:basedOn w:val="Point0"/>
    <w:qFormat/>
    <w:pPr>
      <w:ind w:left="1134" w:firstLine="0"/>
    </w:pPr>
  </w:style>
  <w:style w:type="paragraph" w:customStyle="1" w:styleId="Style3">
    <w:name w:val="Style3"/>
    <w:basedOn w:val="Normal"/>
    <w:qFormat/>
    <w:pPr>
      <w:ind w:left="840" w:hanging="840"/>
    </w:pPr>
  </w:style>
  <w:style w:type="paragraph" w:customStyle="1" w:styleId="Style4">
    <w:name w:val="Style4"/>
    <w:basedOn w:val="Normal"/>
    <w:qFormat/>
    <w:pPr>
      <w:ind w:left="840" w:hanging="840"/>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iorities/sites/beta-political/files/pg_p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3CCD-923A-442B-AEFC-9546D5B1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9396</Words>
  <Characters>64558</Characters>
  <Application>Microsoft Office Word</Application>
  <DocSecurity>0</DocSecurity>
  <Lines>1956</Lines>
  <Paragraphs>850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73104</CharactersWithSpaces>
  <SharedDoc>false</SharedDoc>
  <HLinks>
    <vt:vector size="18" baseType="variant">
      <vt:variant>
        <vt:i4>7209039</vt:i4>
      </vt:variant>
      <vt:variant>
        <vt:i4>6</vt:i4>
      </vt:variant>
      <vt:variant>
        <vt:i4>0</vt:i4>
      </vt:variant>
      <vt:variant>
        <vt:i4>5</vt:i4>
      </vt:variant>
      <vt:variant>
        <vt:lpwstr>http://www.cc.cec/budg/man/budgmanag/budgmanag_en.html</vt:lpwstr>
      </vt:variant>
      <vt:variant>
        <vt:lpwstr/>
      </vt:variant>
      <vt:variant>
        <vt:i4>6946832</vt:i4>
      </vt:variant>
      <vt:variant>
        <vt:i4>3</vt:i4>
      </vt:variant>
      <vt:variant>
        <vt:i4>0</vt:i4>
      </vt:variant>
      <vt:variant>
        <vt:i4>5</vt:i4>
      </vt:variant>
      <vt:variant>
        <vt:lpwstr>https://myintracomm-collab.ec.europa.eu/dg/ESTAT/DO.U.C.EUR/_layouts/15/DocIdRedir.aspx?ID=UAM7TH3CYF7M-9-83239</vt:lpwstr>
      </vt:variant>
      <vt:variant>
        <vt:lpwstr/>
      </vt:variant>
      <vt:variant>
        <vt:i4>2818101</vt:i4>
      </vt:variant>
      <vt:variant>
        <vt:i4>0</vt:i4>
      </vt:variant>
      <vt:variant>
        <vt:i4>0</vt:i4>
      </vt:variant>
      <vt:variant>
        <vt:i4>5</vt:i4>
      </vt:variant>
      <vt:variant>
        <vt:lpwstr>http://ec.europa.eu/eurostat/about/opportunities/consultations/esp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2016-07-26T09:58:00Z</cp:lastPrinted>
  <dcterms:created xsi:type="dcterms:W3CDTF">2016-09-05T12:14:00Z</dcterms:created>
  <dcterms:modified xsi:type="dcterms:W3CDTF">2016-09-07T10:04:00Z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