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C7" w:rsidRDefault="00EE57FA" w:rsidP="00EE57F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20991494E2A47F29C6ADA41E5168E7C" style="width:450.6pt;height:409.2pt">
            <v:imagedata r:id="rId8" o:title=""/>
          </v:shape>
        </w:pict>
      </w:r>
    </w:p>
    <w:p w:rsidR="007649C7" w:rsidRDefault="007649C7">
      <w:pPr>
        <w:rPr>
          <w:noProof/>
        </w:rPr>
        <w:sectPr w:rsidR="007649C7" w:rsidSect="00EE57FA">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7649C7" w:rsidRDefault="008969B7">
      <w:pPr>
        <w:pStyle w:val="Exposdesmotifstitre"/>
        <w:rPr>
          <w:noProof/>
        </w:rPr>
      </w:pPr>
      <w:bookmarkStart w:id="0" w:name="_GoBack"/>
      <w:bookmarkEnd w:id="0"/>
      <w:r>
        <w:rPr>
          <w:noProof/>
        </w:rPr>
        <w:lastRenderedPageBreak/>
        <w:t>EXPLANATORY MEMORANDUM</w:t>
      </w:r>
    </w:p>
    <w:p w:rsidR="007649C7" w:rsidRDefault="008969B7">
      <w:pPr>
        <w:pStyle w:val="ManualHeading1"/>
        <w:rPr>
          <w:noProof/>
        </w:rPr>
      </w:pPr>
      <w:r>
        <w:rPr>
          <w:noProof/>
        </w:rPr>
        <w:t>1.</w:t>
      </w:r>
      <w:r>
        <w:rPr>
          <w:noProof/>
        </w:rPr>
        <w:tab/>
        <w:t>CONTEXT OF THE PROPOSAL</w:t>
      </w:r>
    </w:p>
    <w:p w:rsidR="007649C7" w:rsidRDefault="008969B7">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7649C7" w:rsidRDefault="008969B7">
      <w:pPr>
        <w:pBdr>
          <w:top w:val="nil"/>
          <w:left w:val="nil"/>
          <w:bottom w:val="nil"/>
          <w:right w:val="nil"/>
          <w:between w:val="nil"/>
          <w:bar w:val="nil"/>
        </w:pBdr>
        <w:spacing w:before="0" w:after="240"/>
        <w:rPr>
          <w:noProof/>
        </w:rPr>
      </w:pPr>
      <w:r>
        <w:rPr>
          <w:noProof/>
        </w:rPr>
        <w:t>The evolution of digital technologies has changed the way works and other protected subject-matter are created, produced, distributed and exploited. New uses have emerged as well as new actors and new business models. In the digital environment, cross-border uses have also intensified and new opportunities for consumers to access copyright-protected content have materialised. Even though the objectives and principles laid down by the EU copyright framework remain sound, there is a need to adapt it to these new realities. Intervention at EU level is also needed to avoid fragmentation in the internal market. Against this background, the Digital Single Market Strategy</w:t>
      </w:r>
      <w:r>
        <w:rPr>
          <w:rStyle w:val="FootnoteReference"/>
          <w:rFonts w:eastAsia="Arial Unicode MS"/>
          <w:noProof/>
        </w:rPr>
        <w:footnoteReference w:id="1"/>
      </w:r>
      <w:r>
        <w:rPr>
          <w:noProof/>
        </w:rPr>
        <w:t xml:space="preserve"> adopted in May 2015 identified the need “to reduce the differences between national copyright regimes and allow for wider online access to works by users across the EU”. This Communication highlighted the importance to enhance cross-border access to copyright-protected content services, facilitate new uses in the fields of research and education, and clarify the role of online services in the distribution of works and other subject-matter. In December 2015, the Commission issued a Communication ‘Towards a modern, more European copyright framework’</w:t>
      </w:r>
      <w:r>
        <w:rPr>
          <w:rStyle w:val="FootnoteReference"/>
          <w:rFonts w:eastAsia="Arial Unicode MS"/>
          <w:noProof/>
        </w:rPr>
        <w:footnoteReference w:id="2"/>
      </w:r>
      <w:r>
        <w:rPr>
          <w:noProof/>
        </w:rPr>
        <w:t>. This Communication outlined targeted actions and a long-term vision to modernise EU copyright rules. This proposal is one of the measures aiming at addressing specific issues identified in that Communication.</w:t>
      </w:r>
    </w:p>
    <w:p w:rsidR="007649C7" w:rsidRDefault="008969B7">
      <w:pPr>
        <w:pBdr>
          <w:top w:val="nil"/>
          <w:left w:val="nil"/>
          <w:bottom w:val="nil"/>
          <w:right w:val="nil"/>
          <w:between w:val="nil"/>
          <w:bar w:val="nil"/>
        </w:pBdr>
        <w:spacing w:before="0" w:after="240"/>
        <w:rPr>
          <w:noProof/>
        </w:rPr>
      </w:pPr>
      <w:r>
        <w:rPr>
          <w:noProof/>
        </w:rPr>
        <w:t>Exceptions and limitations to copyright and neighbouring rights are harmonised at EU level. Some of these exceptions aim at achieving public policy objectives, such as research or education. However, as new types of uses have recently emerged, it remains uncertain whether these exceptions are still adapted to achieve a fair balance between the rights and interests of authors and other rightholders on the one hand, and of users on the other. In addition, these exceptions remain national and legal certainty around cross-border uses is not guaranteed. In this context, the Commission has identified three areas of intervention: digital and cross-border uses in the field of education, text and data mining in the field of scientific research, and preservation of cultural heritage. The objective is to guarantee the legality of certain types of uses in these fields, including across borders. As a result of a modernised framework of exceptions and limitations, researchers will benefit from a clearer legal space to use innovative text and data mining research tools, teachers and students will be able to take full advantage of digital technologies at all levels of education and cultural heritage institutions (i.e. publicly accessible libraries or museums, archives or film or audio heritage institutions) will be supported in their efforts to preserve the cultural heritage, to the ultimate advantage of EU citizens.</w:t>
      </w:r>
    </w:p>
    <w:p w:rsidR="007649C7" w:rsidRDefault="008969B7">
      <w:pPr>
        <w:pBdr>
          <w:top w:val="nil"/>
          <w:left w:val="nil"/>
          <w:bottom w:val="nil"/>
          <w:right w:val="nil"/>
          <w:between w:val="nil"/>
          <w:bar w:val="nil"/>
        </w:pBdr>
        <w:spacing w:before="0" w:after="240"/>
        <w:rPr>
          <w:noProof/>
        </w:rPr>
      </w:pPr>
      <w:r>
        <w:rPr>
          <w:noProof/>
        </w:rPr>
        <w:t xml:space="preserve">Despite the fact that digital technologies should facilitate cross-border access to works and other subject-matter, obstacles remain, in particular for uses and works where clearance of rights is complex. This is the case for cultural heritage institutions wanting to provide online access, including across borders, to out-of-commerce works contained in their catalogues. As a consequence of these obstacles European citizens miss opportunities to access cultural heritage. The proposal addresses these problems by introducing a specific mechanism to facilitate the conclusion of licences for the dissemination of out-of-commerce works by cultural heritage institutions. As regards audiovisual works, despite the growing importance of video-on-demand platforms, EU audiovisual works only constitute one third of works </w:t>
      </w:r>
      <w:r>
        <w:rPr>
          <w:noProof/>
        </w:rPr>
        <w:lastRenderedPageBreak/>
        <w:t>available to consumers on those platforms. Again, this lack of availability partly derives from a complex clearance process. This proposal provides for measures aiming at facilitating the licensing and clearance of rights process. This would ultimately facilitate consumers' cross-border access to copyright-protected content.</w:t>
      </w:r>
    </w:p>
    <w:p w:rsidR="007649C7" w:rsidRDefault="008969B7">
      <w:pPr>
        <w:pBdr>
          <w:top w:val="nil"/>
          <w:left w:val="nil"/>
          <w:bottom w:val="nil"/>
          <w:right w:val="nil"/>
          <w:between w:val="nil"/>
          <w:bar w:val="nil"/>
        </w:pBdr>
        <w:spacing w:before="0" w:after="240"/>
        <w:rPr>
          <w:rFonts w:eastAsia="Arial Unicode MS"/>
          <w:noProof/>
        </w:rPr>
      </w:pPr>
      <w:r>
        <w:rPr>
          <w:noProof/>
        </w:rPr>
        <w:t>Evolution of digital technologies has led to the emergence of new business models and reinforced the role of the Internet as the main marketplace for the distribution and access to copyright-protected content. In this new framework, rightholders face difficulties when seeking to license their rights and be remunerated for the online distribution of their works. This could put at risk the development of European creativity and production of creative content. It is therefore necessary to guarantee that authors and rightholders receive a fair share of the value that is generated by the use of their works and other subject-matter. Against this background, this proposal provides for measures aiming at improving the position of rightholders to negotiate and be remunerated for the exploitation of their content by online services giving access to user-uploaded content. A fair sharing of value is also necessary to ensure the sustainability of the press publications sector. Press publishers are facing difficulties in licensing their publications online and obtaining a fair share of the value they generate. This could ultimately affect citizens' access to information. This proposal provides for a new right for press publishers aiming at facilitating online licensing of their publications, the recoupment of their investment and the enforcement of their rights. It also addresses existing legal uncertainty as regards the possibility for all publishers to receive a share in the compensation for uses of works under an exception. Finally, authors and performers often have a weak bargaining position in their contractual relationships, when licensing their rights. In addition, transparency on the revenues generated by the use of their works or performances often remains limited. This ultimately affects the remuneration of the authors and performers. This proposal includes measures to improve transparency and better balanced contractual relationships between authors and performers and those to whom they assign their rights. Overall, the measures proposed in title IV of the proposal aiming at achieving a well-functioning market place for copyright are expected to have in the medium term a positive impact on the production and availability of content and on media pluralism, to the ultimate benefit of consumers.</w:t>
      </w:r>
    </w:p>
    <w:p w:rsidR="007649C7" w:rsidRDefault="008969B7">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7649C7" w:rsidRDefault="008969B7">
      <w:pPr>
        <w:pBdr>
          <w:top w:val="nil"/>
          <w:left w:val="nil"/>
          <w:bottom w:val="nil"/>
          <w:right w:val="nil"/>
          <w:between w:val="nil"/>
          <w:bar w:val="nil"/>
        </w:pBdr>
        <w:spacing w:before="0" w:after="240"/>
        <w:rPr>
          <w:noProof/>
        </w:rPr>
      </w:pPr>
      <w:r>
        <w:rPr>
          <w:noProof/>
        </w:rPr>
        <w:t>The Digital Single Market Strategy puts forward a range of initiatives with the objective of creating an internal market for digital content and services. In December 2015, a first step has been undertaken by the adoption by the Commission of a proposal for a Regulation of the European Parliament and of the Council on ensuring the cross-border portability of online content services in the internal market</w:t>
      </w:r>
      <w:r>
        <w:rPr>
          <w:rStyle w:val="FootnoteReference"/>
          <w:rFonts w:eastAsia="Arial Unicode MS"/>
          <w:noProof/>
        </w:rPr>
        <w:footnoteReference w:id="3"/>
      </w:r>
      <w:r>
        <w:rPr>
          <w:noProof/>
        </w:rPr>
        <w:t>.</w:t>
      </w:r>
    </w:p>
    <w:p w:rsidR="007649C7" w:rsidRDefault="008969B7">
      <w:pPr>
        <w:pBdr>
          <w:top w:val="nil"/>
          <w:left w:val="nil"/>
          <w:bottom w:val="nil"/>
          <w:right w:val="nil"/>
          <w:between w:val="nil"/>
          <w:bar w:val="nil"/>
        </w:pBdr>
        <w:spacing w:before="0" w:after="240"/>
        <w:rPr>
          <w:noProof/>
        </w:rPr>
      </w:pPr>
      <w:r>
        <w:rPr>
          <w:noProof/>
        </w:rPr>
        <w:t>The present proposal aims at addressing several of the targeted actions identified in the Communication ‘Towards a modern, more European copyright framework’. Other actions identified in this Communication are covered by the ‘Proposal for a Regulation of the European Parliament and of the Council laying down rules on the exercise of copyright and related rights applicable to certain online transmissions of broadcasting organisations and retransmissions of television and radio programmes’</w:t>
      </w:r>
      <w:r>
        <w:rPr>
          <w:rStyle w:val="FootnoteReference"/>
          <w:rFonts w:eastAsia="Arial Unicode MS"/>
          <w:noProof/>
        </w:rPr>
        <w:footnoteReference w:id="4"/>
      </w:r>
      <w:r>
        <w:rPr>
          <w:noProof/>
        </w:rPr>
        <w:t xml:space="preserve">, the ‘Proposal for a Regulation of the European Parliament and of the Council on the cross-border exchange between the Union and third countries of accessible format copies of certain works and other subject-matter protected by copyright and related rights for the benefit of persons who are blind, visually impaired or </w:t>
      </w:r>
      <w:r>
        <w:rPr>
          <w:noProof/>
        </w:rPr>
        <w:lastRenderedPageBreak/>
        <w:t>otherwise print disabled’</w:t>
      </w:r>
      <w:r>
        <w:rPr>
          <w:rStyle w:val="FootnoteReference"/>
          <w:rFonts w:eastAsia="Arial Unicode MS"/>
          <w:noProof/>
        </w:rPr>
        <w:footnoteReference w:id="5"/>
      </w:r>
      <w:r>
        <w:rPr>
          <w:noProof/>
        </w:rPr>
        <w:t xml:space="preserve"> and the ‘Proposal for a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r>
        <w:rPr>
          <w:rStyle w:val="FootnoteReference"/>
          <w:rFonts w:eastAsia="Arial Unicode MS"/>
          <w:noProof/>
        </w:rPr>
        <w:footnoteReference w:id="6"/>
      </w:r>
      <w:r>
        <w:rPr>
          <w:noProof/>
        </w:rPr>
        <w:t>, adopted on the same date of this proposal for a Directive.</w:t>
      </w:r>
    </w:p>
    <w:p w:rsidR="007649C7" w:rsidRDefault="008969B7">
      <w:pPr>
        <w:pBdr>
          <w:top w:val="nil"/>
          <w:left w:val="nil"/>
          <w:bottom w:val="nil"/>
          <w:right w:val="nil"/>
          <w:between w:val="nil"/>
          <w:bar w:val="nil"/>
        </w:pBdr>
        <w:spacing w:before="0" w:after="240"/>
        <w:rPr>
          <w:noProof/>
          <w:szCs w:val="24"/>
        </w:rPr>
      </w:pPr>
      <w:r>
        <w:rPr>
          <w:noProof/>
        </w:rPr>
        <w:t>This proposal is consistent with the existing EU copyright legal framework. This proposal is based upon, and complements the rules laid down in Directive 96/9/EC</w:t>
      </w:r>
      <w:r>
        <w:rPr>
          <w:rStyle w:val="FootnoteReference"/>
          <w:rFonts w:eastAsia="Arial Unicode MS"/>
          <w:noProof/>
        </w:rPr>
        <w:footnoteReference w:id="7"/>
      </w:r>
      <w:r>
        <w:rPr>
          <w:noProof/>
        </w:rPr>
        <w:t>, Directive 2001/29/EC</w:t>
      </w:r>
      <w:r>
        <w:rPr>
          <w:rStyle w:val="FootnoteReference"/>
          <w:rFonts w:eastAsia="Arial Unicode MS"/>
          <w:noProof/>
        </w:rPr>
        <w:footnoteReference w:id="8"/>
      </w:r>
      <w:r>
        <w:rPr>
          <w:noProof/>
        </w:rPr>
        <w:t>, Directive 2006/115/</w:t>
      </w:r>
      <w:r>
        <w:rPr>
          <w:noProof/>
          <w:szCs w:val="24"/>
        </w:rPr>
        <w:t>EC</w:t>
      </w:r>
      <w:r>
        <w:rPr>
          <w:rStyle w:val="FootnoteReference"/>
          <w:noProof/>
          <w:szCs w:val="24"/>
        </w:rPr>
        <w:footnoteReference w:id="9"/>
      </w:r>
      <w:r>
        <w:rPr>
          <w:noProof/>
          <w:szCs w:val="24"/>
        </w:rPr>
        <w:t>, Directive 2009/24/EC</w:t>
      </w:r>
      <w:r>
        <w:rPr>
          <w:rStyle w:val="FootnoteReference"/>
          <w:noProof/>
          <w:szCs w:val="24"/>
        </w:rPr>
        <w:footnoteReference w:id="10"/>
      </w:r>
      <w:r>
        <w:rPr>
          <w:noProof/>
          <w:szCs w:val="24"/>
        </w:rPr>
        <w:t>, Directive 2012/28/EU</w:t>
      </w:r>
      <w:r>
        <w:rPr>
          <w:rStyle w:val="FootnoteReference"/>
          <w:noProof/>
          <w:szCs w:val="24"/>
        </w:rPr>
        <w:footnoteReference w:id="11"/>
      </w:r>
      <w:r>
        <w:rPr>
          <w:noProof/>
          <w:szCs w:val="24"/>
        </w:rPr>
        <w:t xml:space="preserve"> and Directive 2014/26/EU</w:t>
      </w:r>
      <w:r>
        <w:rPr>
          <w:rStyle w:val="FootnoteReference"/>
          <w:noProof/>
          <w:szCs w:val="24"/>
        </w:rPr>
        <w:footnoteReference w:id="12"/>
      </w:r>
      <w:r>
        <w:rPr>
          <w:noProof/>
          <w:szCs w:val="24"/>
        </w:rPr>
        <w:t xml:space="preserve">. </w:t>
      </w:r>
      <w:r>
        <w:rPr>
          <w:noProof/>
        </w:rPr>
        <w:t>Those Directives, as well as this proposal, contribute to the functioning of the internal market, ensure a high level of protection for right holders and facilitate the clearance of rights.</w:t>
      </w:r>
    </w:p>
    <w:p w:rsidR="007649C7" w:rsidRDefault="008969B7">
      <w:pPr>
        <w:pBdr>
          <w:top w:val="nil"/>
          <w:left w:val="nil"/>
          <w:bottom w:val="nil"/>
          <w:right w:val="nil"/>
          <w:between w:val="nil"/>
          <w:bar w:val="nil"/>
        </w:pBdr>
        <w:spacing w:before="0" w:after="240"/>
        <w:rPr>
          <w:rFonts w:eastAsia="Arial Unicode MS"/>
          <w:noProof/>
        </w:rPr>
      </w:pPr>
      <w:r>
        <w:rPr>
          <w:noProof/>
          <w:szCs w:val="24"/>
        </w:rPr>
        <w:t>This proposal complements Directive 2010/13/EU</w:t>
      </w:r>
      <w:r>
        <w:rPr>
          <w:rStyle w:val="FootnoteReference"/>
          <w:noProof/>
          <w:szCs w:val="24"/>
        </w:rPr>
        <w:footnoteReference w:id="13"/>
      </w:r>
      <w:r>
        <w:rPr>
          <w:noProof/>
          <w:szCs w:val="24"/>
        </w:rPr>
        <w:t xml:space="preserve"> and the proposal</w:t>
      </w:r>
      <w:r>
        <w:rPr>
          <w:rStyle w:val="FootnoteReference"/>
          <w:noProof/>
          <w:szCs w:val="24"/>
        </w:rPr>
        <w:footnoteReference w:id="14"/>
      </w:r>
      <w:r>
        <w:rPr>
          <w:noProof/>
          <w:szCs w:val="24"/>
        </w:rPr>
        <w:t xml:space="preserve"> amending it.</w:t>
      </w:r>
    </w:p>
    <w:p w:rsidR="007649C7" w:rsidRDefault="008969B7">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7649C7" w:rsidRDefault="008969B7">
      <w:pPr>
        <w:widowControl w:val="0"/>
        <w:autoSpaceDE w:val="0"/>
        <w:autoSpaceDN w:val="0"/>
        <w:adjustRightInd w:val="0"/>
        <w:spacing w:before="0" w:after="0"/>
        <w:rPr>
          <w:rFonts w:eastAsia="Arial Unicode MS"/>
          <w:noProof/>
        </w:rPr>
      </w:pPr>
      <w:r>
        <w:rPr>
          <w:rFonts w:eastAsia="Arial Unicode MS"/>
          <w:noProof/>
          <w:u w:color="000000"/>
          <w:bdr w:val="nil"/>
          <w:lang w:eastAsia="en-GB"/>
        </w:rPr>
        <w:t>This proposal would facilitate education and research, improve dissemination of European cultures and positively impact cultural diversity. This Directive is therefore consistent with Articles 165, 167 and 179 of the Treaty on the Functioning of the European Union (TFEU). Furthermore, this proposal contributes to promoting the interests of consumers, in accordance with the EU policies in the field of consumer protection and Article 169 TFEU, by allowing a wider access to and use of copyright-protected content.</w:t>
      </w:r>
    </w:p>
    <w:p w:rsidR="007649C7" w:rsidRDefault="008969B7">
      <w:pPr>
        <w:pStyle w:val="ManualHeading1"/>
        <w:rPr>
          <w:noProof/>
        </w:rPr>
      </w:pPr>
      <w:r>
        <w:rPr>
          <w:noProof/>
        </w:rPr>
        <w:t>2.</w:t>
      </w:r>
      <w:r>
        <w:rPr>
          <w:noProof/>
        </w:rPr>
        <w:tab/>
        <w:t>LEGAL BASIS, SUBSIDIARITY AND PROPORTIONALITY</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7649C7" w:rsidRDefault="008969B7">
      <w:pPr>
        <w:widowControl w:val="0"/>
        <w:autoSpaceDE w:val="0"/>
        <w:autoSpaceDN w:val="0"/>
        <w:adjustRightInd w:val="0"/>
        <w:spacing w:before="0" w:after="0"/>
        <w:rPr>
          <w:rFonts w:eastAsia="Arial Unicode MS"/>
          <w:noProof/>
        </w:rPr>
      </w:pPr>
      <w:r>
        <w:rPr>
          <w:rFonts w:eastAsia="Arial Unicode MS"/>
          <w:noProof/>
          <w:u w:color="000000"/>
          <w:bdr w:val="nil"/>
          <w:lang w:eastAsia="en-GB"/>
        </w:rPr>
        <w:t>The proposal is based on Article 114 TFEU. This Article confers on the EU the power to adopt measures which have as their object the establishment and functioning of the internal market.</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7649C7" w:rsidRDefault="008969B7">
      <w:pPr>
        <w:pBdr>
          <w:top w:val="nil"/>
          <w:left w:val="nil"/>
          <w:bottom w:val="nil"/>
          <w:right w:val="nil"/>
          <w:between w:val="nil"/>
          <w:bar w:val="nil"/>
        </w:pBdr>
        <w:spacing w:before="0" w:after="240"/>
        <w:rPr>
          <w:noProof/>
        </w:rPr>
      </w:pPr>
      <w:r>
        <w:rPr>
          <w:noProof/>
        </w:rPr>
        <w:t>Since exceptions and limitations to copyright and related rights are harmonised at EU level, the margin of manoeuver of Member States in creating or adapting them is limited. In addition, intervention at national level would not be sufficient in view of the cross-border nature of the identified issues. EU intervention is therefore needed to achieve full legal certainty as regards cross-border uses in the fields of research, education and cultural heritage.</w:t>
      </w:r>
    </w:p>
    <w:p w:rsidR="007649C7" w:rsidRDefault="008969B7">
      <w:pPr>
        <w:pBdr>
          <w:top w:val="nil"/>
          <w:left w:val="nil"/>
          <w:bottom w:val="nil"/>
          <w:right w:val="nil"/>
          <w:between w:val="nil"/>
          <w:bar w:val="nil"/>
        </w:pBdr>
        <w:spacing w:before="0" w:after="240"/>
        <w:rPr>
          <w:noProof/>
        </w:rPr>
      </w:pPr>
      <w:r>
        <w:rPr>
          <w:noProof/>
        </w:rPr>
        <w:t>Some national initiatives have already been developed to facilitate dissemination of and access to out-of-commerce works. However, these initiatives only exist in some Member States and are only applicable on the national territory. EU intervention is therefore necessary to ensure that licensing mechanisms for the access and dissemination of out-of-commerce works are in place in all Member States and to ensure their cross-border effect. As regards online exploitation of audiovisual works, to foster the availability of European works on video-on-demand platforms across the EU, there is a need to facilitate negotiations of licensing agreements in all Member States.</w:t>
      </w:r>
    </w:p>
    <w:p w:rsidR="007649C7" w:rsidRDefault="008969B7">
      <w:pPr>
        <w:rPr>
          <w:rFonts w:eastAsia="Arial Unicode MS"/>
          <w:noProof/>
        </w:rPr>
      </w:pPr>
      <w:r>
        <w:rPr>
          <w:noProof/>
        </w:rPr>
        <w:t>Online distribution of copyright-protected content is by essence cross-border. Only mechanisms decided at European level could ensure a well-functioning marketplace for the distribution of works and other subject-matter and to ensure the sustainability of the publishing sector in the face of the challenges of the digital environment. Finally, authors and performers should enjoy in all Member States the high level of protection established by EU legislation. In order to do so and to prevent discrepancies across Member States, it is necessary to set an EU common approach to transparency requirements and mechanisms allowing for the adjustment of contracts in certain cases as well as for the resolution of disputes.</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7649C7" w:rsidRDefault="008969B7">
      <w:pPr>
        <w:rPr>
          <w:rFonts w:eastAsia="Calibri"/>
          <w:noProof/>
        </w:rPr>
      </w:pPr>
      <w:r>
        <w:rPr>
          <w:rFonts w:eastAsia="Calibri"/>
          <w:noProof/>
        </w:rPr>
        <w:t>The proposal provides for mandatory exceptions for Member States to implement. These exceptions target key public policy objectives and uses with a cross-border dimension. Exceptions also contain conditions that ensure the preservation of functioning markets and rightholders' interests and incentives to create and invest. When relevant, and while ensuring that the objectives of the Directive are met, room for national decision has been preserved.</w:t>
      </w:r>
    </w:p>
    <w:p w:rsidR="007649C7" w:rsidRDefault="008969B7">
      <w:pPr>
        <w:rPr>
          <w:rFonts w:eastAsia="Calibri"/>
          <w:noProof/>
        </w:rPr>
      </w:pPr>
      <w:r>
        <w:rPr>
          <w:rFonts w:eastAsia="Calibri"/>
          <w:noProof/>
        </w:rPr>
        <w:t>The proposal requires Member States to establish mechanisms aiming at facilitating the clearance of copyright and related rights in the fields of out-of-commerce works and online exploitation of audiovisual works. Whereas the proposal aims at ensuring a wider access and dissemination of content, it does so while preserving the rights of authors and other rightholders. Several safeguards are put in place to that effect (e.g. opt-out possibilities, preservation of licensing possibilities, participation in the negotiation forum on a voluntary basis). The proposal does not go further than what is necessary to achieve the intended aim while leaving sufficient room for Member States to make decisions as regards the specifics of these mechanisms and does not impose disproportionate costs.</w:t>
      </w:r>
    </w:p>
    <w:p w:rsidR="007649C7" w:rsidRDefault="008969B7">
      <w:pPr>
        <w:rPr>
          <w:noProof/>
          <w:bdr w:val="nil"/>
        </w:rPr>
      </w:pPr>
      <w:r>
        <w:rPr>
          <w:rFonts w:eastAsia="Calibri"/>
          <w:noProof/>
        </w:rPr>
        <w:t>The proposal imposes obligations on some i</w:t>
      </w:r>
      <w:r>
        <w:rPr>
          <w:noProof/>
          <w:bdr w:val="nil"/>
        </w:rPr>
        <w:t>nformation society services. However, these obligations remain reasonable in view of the nature of the services covered, the significant impact of these services on the online content market and the large amounts of copyright-protected content stored by these services. The introduction of a related right for press publishers would improve legal certainty and their bargaining position, which is the pursued objective. The proposal is proportionate as it only covers press publications and digital uses. Furthermore, the proposal will not affect retroactively any acts undertaken or rights acquired before the date of transposition. The transparency obligation contained in the proposal only aims at rebalancing contractual relationships between creators and their contractual counterparts while respecting contractual freedom.</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7649C7" w:rsidRDefault="008969B7">
      <w:pPr>
        <w:pBdr>
          <w:top w:val="nil"/>
          <w:left w:val="nil"/>
          <w:bottom w:val="nil"/>
          <w:right w:val="nil"/>
          <w:between w:val="nil"/>
          <w:bar w:val="nil"/>
        </w:pBdr>
        <w:spacing w:before="0" w:after="240"/>
        <w:rPr>
          <w:rFonts w:eastAsia="Arial Unicode MS"/>
          <w:noProof/>
        </w:rPr>
      </w:pPr>
      <w:r>
        <w:rPr>
          <w:noProof/>
        </w:rPr>
        <w:t>The proposal relates to, and in some instances modifies, existing Directives. It also leaves, when appropriate and taking into account the aim to be achieved, margin of manoeuver for Member States while ensuring that the objective of a functioning internal market is met. The choice of a Directive is therefore adequate.</w:t>
      </w:r>
    </w:p>
    <w:p w:rsidR="007649C7" w:rsidRDefault="008969B7">
      <w:pPr>
        <w:pStyle w:val="ManualHeading1"/>
        <w:rPr>
          <w:noProof/>
        </w:rPr>
      </w:pPr>
      <w:r>
        <w:rPr>
          <w:noProof/>
        </w:rPr>
        <w:t>3.</w:t>
      </w:r>
      <w:r>
        <w:rPr>
          <w:noProof/>
        </w:rPr>
        <w:tab/>
        <w:t>RESULTS OF EX-POST EVALUATIONS, STAKEHOLDER CONSULTATIONS AND IMPACT ASSESSMENTS</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7649C7" w:rsidRDefault="008969B7">
      <w:pPr>
        <w:rPr>
          <w:rFonts w:eastAsia="Arial Unicode MS"/>
          <w:noProof/>
        </w:rPr>
      </w:pPr>
      <w:r>
        <w:rPr>
          <w:rFonts w:eastAsia="Calibri"/>
          <w:noProof/>
        </w:rPr>
        <w:t>The Commission carried out a review of the existing copyright rules between 2013 and 2016 with the objective to “ensure that copyright and copyright-related practices stay fit for purpose in the new digital context”</w:t>
      </w:r>
      <w:r>
        <w:rPr>
          <w:rStyle w:val="FootnoteReference"/>
          <w:noProof/>
        </w:rPr>
        <w:footnoteReference w:id="15"/>
      </w:r>
      <w:r>
        <w:rPr>
          <w:rFonts w:eastAsia="Calibri"/>
          <w:noProof/>
        </w:rPr>
        <w:t>. Even if it started before the adoption of the Commission's Better Regulation Agenda in May 2015</w:t>
      </w:r>
      <w:r>
        <w:rPr>
          <w:rStyle w:val="FootnoteReference"/>
          <w:noProof/>
        </w:rPr>
        <w:footnoteReference w:id="16"/>
      </w:r>
      <w:r>
        <w:rPr>
          <w:rFonts w:eastAsia="Calibri"/>
          <w:noProof/>
        </w:rPr>
        <w:t>, this review process was carried out in the spirit of the Better Regulation guidelines. The review process highlighted, in particular, problems with the implementation of certain exceptions and their lack of cross-border effect</w:t>
      </w:r>
      <w:r>
        <w:rPr>
          <w:rStyle w:val="FootnoteReference"/>
          <w:noProof/>
        </w:rPr>
        <w:footnoteReference w:id="17"/>
      </w:r>
      <w:r>
        <w:rPr>
          <w:rFonts w:eastAsia="Calibri"/>
          <w:noProof/>
        </w:rPr>
        <w:t xml:space="preserve"> and pointed out to difficulties in the use of copyright-protected content, notably in the digital and cross-border context that have emerged in recent years.</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7649C7" w:rsidRDefault="008969B7">
      <w:pPr>
        <w:pBdr>
          <w:top w:val="nil"/>
          <w:left w:val="nil"/>
          <w:bottom w:val="nil"/>
          <w:right w:val="nil"/>
          <w:between w:val="nil"/>
          <w:bar w:val="nil"/>
        </w:pBdr>
        <w:spacing w:before="0" w:after="240"/>
        <w:rPr>
          <w:noProof/>
        </w:rPr>
      </w:pPr>
      <w:r>
        <w:rPr>
          <w:noProof/>
        </w:rPr>
        <w:t>Several public consultations were held by the Commission. The consultation on the review of the EU copyright rules carried out between 5 December 2013 and 5 March 2014</w:t>
      </w:r>
      <w:r>
        <w:rPr>
          <w:rStyle w:val="FootnoteReference"/>
          <w:rFonts w:eastAsia="Arial Unicode MS"/>
          <w:noProof/>
        </w:rPr>
        <w:footnoteReference w:id="18"/>
      </w:r>
      <w:r>
        <w:rPr>
          <w:noProof/>
        </w:rPr>
        <w:t xml:space="preserve"> provided the Commission with an overview of stakeholders' views on the review of the EU copyright rules, including on exceptions and limitations and on the remuneration of authors and performers. The public consultation carried out between 24 September 2015 and 6 January 2016 on the regulatory environment for platforms, online intermediaries, data and cloud computing and the collaborative economy</w:t>
      </w:r>
      <w:r>
        <w:rPr>
          <w:rStyle w:val="FootnoteReference"/>
          <w:rFonts w:eastAsia="Arial Unicode MS"/>
          <w:noProof/>
        </w:rPr>
        <w:footnoteReference w:id="19"/>
      </w:r>
      <w:r>
        <w:rPr>
          <w:noProof/>
        </w:rPr>
        <w:t xml:space="preserve"> provided evidence and views from all stakeholders on the role of intermediaries in the online distribution of works and other subject-matter. Finally, a public consultation was held between the 23 March 2016 and 15 June 2016 on the role of publishers in the copyright value chain and on the 'panorama exception'. This consultation allowed collecting views notably on the possible introduction in EU law of a new related right for publishers.</w:t>
      </w:r>
    </w:p>
    <w:p w:rsidR="007649C7" w:rsidRDefault="008969B7">
      <w:pPr>
        <w:pBdr>
          <w:top w:val="nil"/>
          <w:left w:val="nil"/>
          <w:bottom w:val="nil"/>
          <w:right w:val="nil"/>
          <w:between w:val="nil"/>
          <w:bar w:val="nil"/>
        </w:pBdr>
        <w:spacing w:before="0" w:after="240"/>
        <w:rPr>
          <w:rFonts w:eastAsia="Arial Unicode MS"/>
          <w:noProof/>
        </w:rPr>
      </w:pPr>
      <w:r>
        <w:rPr>
          <w:noProof/>
        </w:rPr>
        <w:t>In addition, between 2014 and 2016, the Commission had discussions with the relevant stakeholders on the different topics addressed by the proposal.</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7649C7" w:rsidRDefault="008969B7">
      <w:pPr>
        <w:pBdr>
          <w:top w:val="nil"/>
          <w:left w:val="nil"/>
          <w:bottom w:val="nil"/>
          <w:right w:val="nil"/>
          <w:between w:val="nil"/>
          <w:bar w:val="nil"/>
        </w:pBdr>
        <w:tabs>
          <w:tab w:val="left" w:pos="567"/>
        </w:tabs>
        <w:spacing w:before="240" w:after="240"/>
        <w:rPr>
          <w:rFonts w:eastAsia="Arial Unicode MS"/>
          <w:noProof/>
        </w:rPr>
      </w:pPr>
      <w:r>
        <w:rPr>
          <w:rFonts w:eastAsia="Calibri"/>
          <w:noProof/>
          <w:szCs w:val="24"/>
          <w:u w:color="000000"/>
          <w:bdr w:val="nil"/>
          <w:lang w:eastAsia="en-GB"/>
        </w:rPr>
        <w:t>Legal</w:t>
      </w:r>
      <w:r>
        <w:rPr>
          <w:rStyle w:val="FootnoteReference"/>
          <w:rFonts w:eastAsia="Calibri"/>
          <w:noProof/>
          <w:szCs w:val="24"/>
          <w:u w:color="000000"/>
          <w:bdr w:val="nil"/>
          <w:lang w:eastAsia="en-GB"/>
        </w:rPr>
        <w:footnoteReference w:id="20"/>
      </w:r>
      <w:r>
        <w:rPr>
          <w:rFonts w:eastAsia="Calibri"/>
          <w:noProof/>
          <w:szCs w:val="24"/>
          <w:u w:color="000000"/>
          <w:bdr w:val="nil"/>
          <w:lang w:eastAsia="en-GB"/>
        </w:rPr>
        <w:t xml:space="preserve"> and economic</w:t>
      </w:r>
      <w:r>
        <w:rPr>
          <w:rStyle w:val="FootnoteReference"/>
          <w:rFonts w:eastAsia="Calibri"/>
          <w:noProof/>
          <w:szCs w:val="24"/>
          <w:u w:color="000000"/>
          <w:bdr w:val="nil"/>
          <w:lang w:eastAsia="en-GB"/>
        </w:rPr>
        <w:footnoteReference w:id="21"/>
      </w:r>
      <w:r>
        <w:rPr>
          <w:rFonts w:eastAsia="Calibri"/>
          <w:noProof/>
          <w:szCs w:val="24"/>
          <w:u w:color="000000"/>
          <w:bdr w:val="nil"/>
          <w:lang w:eastAsia="en-GB"/>
        </w:rPr>
        <w:t xml:space="preserve"> studies have been conducted on the application of Directive 2001/29/EC, on the economic impacts of adapting some exceptions and limitations, on the legal framework of text and data mining and on the remuneration of authors and performers.</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An impact assessment was carried out for this proposal</w:t>
      </w:r>
      <w:r>
        <w:rPr>
          <w:rStyle w:val="FootnoteReference"/>
          <w:rFonts w:eastAsia="Calibri"/>
          <w:noProof/>
          <w:szCs w:val="24"/>
          <w:u w:color="000000"/>
          <w:bdr w:val="nil"/>
          <w:lang w:eastAsia="en-GB"/>
        </w:rPr>
        <w:footnoteReference w:id="22"/>
      </w:r>
      <w:r>
        <w:rPr>
          <w:rFonts w:eastAsia="Calibri"/>
          <w:noProof/>
          <w:szCs w:val="24"/>
          <w:u w:color="000000"/>
          <w:bdr w:val="nil"/>
          <w:lang w:eastAsia="en-GB"/>
        </w:rPr>
        <w:t xml:space="preserve">. On 22 July 2016, the Regulatory Scrutiny Board gave a positive opinion </w:t>
      </w:r>
      <w:r>
        <w:rPr>
          <w:noProof/>
        </w:rPr>
        <w:t>on the understanding that the impact assessment will be further improved</w:t>
      </w:r>
      <w:r>
        <w:rPr>
          <w:rFonts w:eastAsia="Calibri"/>
          <w:noProof/>
          <w:szCs w:val="24"/>
          <w:u w:color="000000"/>
          <w:bdr w:val="nil"/>
          <w:lang w:eastAsia="en-GB"/>
        </w:rPr>
        <w:t>.</w:t>
      </w:r>
      <w:r>
        <w:rPr>
          <w:rStyle w:val="FootnoteReference"/>
          <w:rFonts w:eastAsia="Calibri"/>
          <w:noProof/>
          <w:szCs w:val="24"/>
          <w:u w:color="000000"/>
          <w:bdr w:val="nil"/>
          <w:lang w:eastAsia="en-GB"/>
        </w:rPr>
        <w:footnoteReference w:id="23"/>
      </w:r>
      <w:r>
        <w:rPr>
          <w:rFonts w:eastAsia="Calibri"/>
          <w:noProof/>
          <w:szCs w:val="24"/>
          <w:u w:color="000000"/>
          <w:bdr w:val="nil"/>
          <w:lang w:eastAsia="en-GB"/>
        </w:rPr>
        <w:t xml:space="preserve"> The final Impact Assessment takes into account comments contained in that opinion.</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 xml:space="preserve">The Impact Assessment examines the baseline scenarios, policy options and their impacts for eight topics regrouped under three chapters, namely (i) ensuring wider access to content, (ii) adapting exceptions to digital and cross-border environment and (iii) achieving a well-functioning marketplace for copyright. </w:t>
      </w:r>
      <w:r>
        <w:rPr>
          <w:noProof/>
          <w:bdr w:val="none" w:sz="0" w:space="0" w:color="auto" w:frame="1"/>
        </w:rPr>
        <w:t xml:space="preserve">The impact on the different stakeholders was analysed for each policy option; taking in particular into account the predominance of SMEs in the creative industries the analysis concludes that introducing a special regime would not be appropriate as it would defeat the purpose of the intervention. </w:t>
      </w:r>
      <w:r>
        <w:rPr>
          <w:rFonts w:eastAsia="Calibri"/>
          <w:noProof/>
          <w:szCs w:val="24"/>
          <w:u w:color="000000"/>
          <w:bdr w:val="nil"/>
          <w:lang w:eastAsia="en-GB"/>
        </w:rPr>
        <w:t xml:space="preserve">The policy options of each topic are shortly presented below. </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Access and availability of audiovisual works on video-on-demand platforms: A non-legislative option (Option 1), consisting in the organisation of a stakeholder dialogue on licensing issues, was not retained as it was deemed insufficient to address individual cases of blockages. The chosen option (Option 2) combines the organisation of a stakeholder dialogue with the obligation for Member States to set up a negotiation mechanism.</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Out-of-commerce works: Option 1 required Member States to put in place legal mechanisms, with cross-border effect, to facilitate licensing agreements for out-of-commerce books and learned journals and to organise a stakeholder dialogue at national level to facilitate the implementation of that mechanism. Option 2 went further since it applied to all types of out-of-commerce works. This extension was deemed necessary to address the licensing of out-of-commerce works in all sectors. Option 2 was therefore chosen.</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Use of works and other subject-matter in digital and cross-border teaching activities: Option 1 consisted in providing guidance to Member States on the application of the existing teaching exception in the digital environment and the organisation of a stakeholder dialogue. This was considered not sufficient to ensure legal certainty, in particular as regards cross-border uses. Option 2 required the introduction of a mandatory exception with a cross-border effect covering digital uses. Option 3 is similar to Option 2 but leaves some flexibility to Member States that can decide to apply the exception depending on the availability of licences. This option was deemed to be the most proportionate one.</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Text and data mining: Option 1 consisted in self-regulation initiatives from the industry. Other options consisted in the introduction of a mandatory exception covering text and data mining. In Option 2, the exception only covered uses pursuing a non-commercial scientific research purpose. Option 3 allowed uses for commercial scientific research purpose but limited the benefit of the exception to some beneficiaries. Option 4 went further as it did not restrict beneficiaries. Option 3 was deemed to be the most proportionate one.</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Preservation of cultural heritage: Option 1 consisted in the provision of guidance to Member States on the implementation of the exception on specific acts of reproduction for preservation purposes. This Option was rejected as it was deemed insufficient to achieve legal certainty in the field. Option 2, consisting in a mandatory exception for preservation purposes by cultural heritage institutions, was chosen.</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Use of copyright-protected content by information society services storing and giving access to large amounts of works and other subject-matter uploaded by their users: Option 1 consisted in the organisation of a stakeholder dialogue. This approach was rejected as it would have a limited impact on the possibility for rightholders to determine the conditions of use of their works and other subject-matter. The chosen option (Option 2) goes further and provides for an obligation for certain service providers to put in place appropriate technologies and fosters the conclusion of agreements with rightholders.</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Rights in publications: Option 1 consisted in the organisation of a stakeholder dialogue to find solutions for the dissemination of press publishers' content. This option was deemed insufficient to ensure legal certainty across the EU. Option 2 consisted in the introduction of a related right covering digital uses of press publications. In addition to this, Option 3 leaves the option for Member States to enable publishers, to which rights have been transferred or licensed by an author, to claim a share in the compensation for uses under an exception. This last option was the one retained as it addressed all relevant problems.</w:t>
      </w:r>
    </w:p>
    <w:p w:rsidR="007649C7" w:rsidRDefault="008969B7">
      <w:pPr>
        <w:pBdr>
          <w:top w:val="nil"/>
          <w:left w:val="nil"/>
          <w:bottom w:val="nil"/>
          <w:right w:val="nil"/>
          <w:between w:val="nil"/>
          <w:bar w:val="nil"/>
        </w:pBdr>
        <w:spacing w:before="0" w:after="240"/>
        <w:rPr>
          <w:rFonts w:eastAsia="Arial Unicode MS"/>
          <w:noProof/>
        </w:rPr>
      </w:pPr>
      <w:r>
        <w:rPr>
          <w:rFonts w:eastAsia="Calibri"/>
          <w:noProof/>
          <w:szCs w:val="24"/>
          <w:u w:color="000000"/>
          <w:bdr w:val="nil"/>
          <w:lang w:eastAsia="en-GB"/>
        </w:rPr>
        <w:t>Fair remuneration in contracts of authors and performers: Option 1 consisted in providing a recommendation to Member States and organising a stakeholder dialogue. This option was rejected since it would not be efficient enough. Option 2 foresaw the introduction of transparency obligations on the contractual counterparts of creators. On top of that, Option 3 proposed the introduction of a remuneration adjustment mechanism and a dispute resolution mechanism. This option was the one retained since Option 2 would not have provided enforcement means to creators to support the transparency obligation.</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For the uses covered by the exceptions, the proposal will allow educational establishments, public-interest research institutions and cultural heritage institutions to reduce transaction costs. This reduction of transaction costs does not necessarily mean that rightholders would suffer a loss of income or licensing revenues: the scope and conditions of the exceptions ensure that rightholders would suffer minimal harm. The impact on SMEs in these fields (in particular scientific and educational publishers) and on their business models should therefore be limited.</w:t>
      </w:r>
    </w:p>
    <w:p w:rsidR="007649C7" w:rsidRDefault="008969B7">
      <w:pPr>
        <w:pBdr>
          <w:top w:val="nil"/>
          <w:left w:val="nil"/>
          <w:bottom w:val="nil"/>
          <w:right w:val="nil"/>
          <w:between w:val="nil"/>
          <w:bar w:val="nil"/>
        </w:pBdr>
        <w:spacing w:before="0" w:after="240"/>
        <w:rPr>
          <w:rFonts w:eastAsia="Calibri"/>
          <w:noProof/>
          <w:szCs w:val="24"/>
          <w:u w:color="000000"/>
          <w:bdr w:val="nil"/>
          <w:lang w:eastAsia="en-GB"/>
        </w:rPr>
      </w:pPr>
      <w:r>
        <w:rPr>
          <w:rFonts w:eastAsia="Calibri"/>
          <w:noProof/>
          <w:szCs w:val="24"/>
          <w:u w:color="000000"/>
          <w:bdr w:val="nil"/>
          <w:lang w:eastAsia="en-GB"/>
        </w:rPr>
        <w:t>Mechanisms aiming to improve licensing practices are likely to reduce transaction costs and increase licensing revenues for rightholders. SMEs in the fields (producers, distributors, publishers, etc.) would be positively affected. Other stakeholders, such as VoD platforms, would also be positively affected. The proposal also includes several measures (transparency obligation on rightholders' counterparts, introduction of a new right for press publishers and obligation on some online services) that would improve the bargaining position of rightholders and the control they have on the use of their works and other subject-matter. It is expected to have a positive impact on rightholders' revenues.</w:t>
      </w:r>
    </w:p>
    <w:p w:rsidR="007649C7" w:rsidRDefault="008969B7">
      <w:pPr>
        <w:pBdr>
          <w:top w:val="nil"/>
          <w:left w:val="nil"/>
          <w:bottom w:val="nil"/>
          <w:right w:val="nil"/>
          <w:between w:val="nil"/>
          <w:bar w:val="nil"/>
        </w:pBdr>
        <w:spacing w:before="0" w:after="240"/>
        <w:rPr>
          <w:rFonts w:eastAsia="Arial Unicode MS"/>
          <w:noProof/>
          <w:u w:color="000000"/>
          <w:bdr w:val="nil"/>
          <w:lang w:eastAsia="en-GB"/>
        </w:rPr>
      </w:pPr>
      <w:r>
        <w:rPr>
          <w:noProof/>
          <w:lang w:eastAsia="en-GB"/>
        </w:rPr>
        <w:t xml:space="preserve">The proposal includes new obligations on some online services and on those to which authors and performers transfer their rights. These </w:t>
      </w:r>
      <w:r>
        <w:rPr>
          <w:noProof/>
        </w:rPr>
        <w:t>obligations may impose additional costs. However, the proposal ensures that the costs will remain proportionate and that, when necessary, some actors would not be subject to the obligation. For instance, the transparency obligation will</w:t>
      </w:r>
      <w:r>
        <w:rPr>
          <w:rFonts w:eastAsia="Arial Unicode MS"/>
          <w:noProof/>
          <w:u w:color="000000"/>
          <w:bdr w:val="nil"/>
          <w:lang w:eastAsia="en-GB"/>
        </w:rPr>
        <w:t xml:space="preserve"> not apply when the administrative costs it implies are disproportionate in view of the generated revenues. As for the obligation on online services, it only applies to information society services storing and giving access to large amounts of copyright-protected content uploaded by their users.</w:t>
      </w:r>
    </w:p>
    <w:p w:rsidR="007649C7" w:rsidRDefault="008969B7">
      <w:pPr>
        <w:pBdr>
          <w:top w:val="nil"/>
          <w:left w:val="nil"/>
          <w:bottom w:val="nil"/>
          <w:right w:val="nil"/>
          <w:between w:val="nil"/>
          <w:bar w:val="nil"/>
        </w:pBdr>
        <w:spacing w:before="0" w:after="240"/>
        <w:rPr>
          <w:rFonts w:eastAsia="Arial Unicode MS"/>
          <w:noProof/>
        </w:rPr>
      </w:pPr>
      <w:r>
        <w:rPr>
          <w:rFonts w:eastAsia="Arial Unicode MS"/>
          <w:noProof/>
          <w:u w:color="000000"/>
          <w:bdr w:val="nil"/>
          <w:lang w:eastAsia="en-GB"/>
        </w:rPr>
        <w:t>The proposal foresees the obligation for Member States to implement negotiation and dispute resolution mechanisms. This implies compliance costs for Member States. However, they could rely in most cases on existing structures, which would limit the costs. The teaching exception can also entail some costs for Member States linked to the measures ensuring the availability and visibility of licences for educational establishments.</w:t>
      </w:r>
    </w:p>
    <w:p w:rsidR="007649C7" w:rsidRDefault="008969B7">
      <w:pPr>
        <w:pBdr>
          <w:top w:val="nil"/>
          <w:left w:val="nil"/>
          <w:bottom w:val="nil"/>
          <w:right w:val="nil"/>
          <w:between w:val="nil"/>
          <w:bar w:val="nil"/>
        </w:pBdr>
        <w:spacing w:before="0" w:after="240"/>
        <w:rPr>
          <w:rFonts w:eastAsia="Arial Unicode MS"/>
          <w:noProof/>
        </w:rPr>
      </w:pPr>
      <w:r>
        <w:rPr>
          <w:rFonts w:eastAsia="Calibri"/>
          <w:noProof/>
          <w:szCs w:val="24"/>
          <w:u w:color="000000"/>
          <w:bdr w:val="nil"/>
          <w:lang w:eastAsia="en-GB"/>
        </w:rPr>
        <w:t>New technological developments have been carefully examined. The proposal includes several exceptions that aim at facilitating the use of copyright-protected content via new technologies. This proposal also includes measures to facilitate access to content, including via digital networks. Finally, it ensures a balanced bargaining position between all actors in the digital environment.</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7649C7" w:rsidRDefault="008969B7">
      <w:pPr>
        <w:pBdr>
          <w:top w:val="nil"/>
          <w:left w:val="nil"/>
          <w:bottom w:val="nil"/>
          <w:right w:val="nil"/>
          <w:between w:val="nil"/>
          <w:bar w:val="nil"/>
        </w:pBdr>
        <w:spacing w:before="0" w:after="240"/>
        <w:rPr>
          <w:rFonts w:eastAsia="Arial Unicode MS"/>
          <w:noProof/>
        </w:rPr>
      </w:pPr>
      <w:r>
        <w:rPr>
          <w:noProof/>
        </w:rPr>
        <w:t xml:space="preserve">By improving the bargaining position of authors and performers and the control rightholders have on the use of their copyright-protected content, the proposal will have a positive impact on copyright as a property right, protected under Article 17 of the Charter of Fundamental Rights of the European Union (‘the Charter’). This positive impact will be reinforced by the measures to improve licensing practices, and ultimately rightholders' revenues. New exceptions that reduce to some extent the rightholders' monopoly are justified by other public interest objectives. These exceptions are likely to have a positive impact on the right to education and on cultural diversity. Finally, the Directive has a limited impact on the freedom to conduct a business and on the freedom </w:t>
      </w:r>
      <w:r>
        <w:rPr>
          <w:noProof/>
          <w:szCs w:val="24"/>
        </w:rPr>
        <w:t>of expression and information</w:t>
      </w:r>
      <w:r>
        <w:rPr>
          <w:noProof/>
          <w:szCs w:val="24"/>
          <w:u w:color="000000"/>
        </w:rPr>
        <w:t xml:space="preserve">, as recognised respectively by Articles 16 and 11 </w:t>
      </w:r>
      <w:r>
        <w:rPr>
          <w:noProof/>
        </w:rPr>
        <w:t>of the Charter, due to the mitigation measures put in place and a balanced approach to the obligations set on the relevant stakeholders.</w:t>
      </w:r>
    </w:p>
    <w:p w:rsidR="007649C7" w:rsidRDefault="008969B7">
      <w:pPr>
        <w:pStyle w:val="ManualHeading1"/>
        <w:rPr>
          <w:noProof/>
        </w:rPr>
      </w:pPr>
      <w:r>
        <w:rPr>
          <w:noProof/>
        </w:rPr>
        <w:t>4.</w:t>
      </w:r>
      <w:r>
        <w:rPr>
          <w:noProof/>
        </w:rPr>
        <w:tab/>
        <w:t>BUDGETARY IMPLICATIONS</w:t>
      </w:r>
    </w:p>
    <w:p w:rsidR="007649C7" w:rsidRDefault="008969B7">
      <w:pPr>
        <w:rPr>
          <w:rFonts w:eastAsia="Arial Unicode MS"/>
          <w:noProof/>
        </w:rPr>
      </w:pPr>
      <w:r>
        <w:rPr>
          <w:rFonts w:eastAsia="Calibri"/>
          <w:noProof/>
        </w:rPr>
        <w:t>The proposal has no impact on the European Union budget.</w:t>
      </w:r>
    </w:p>
    <w:p w:rsidR="007649C7" w:rsidRDefault="008969B7">
      <w:pPr>
        <w:pStyle w:val="ManualHeading1"/>
        <w:rPr>
          <w:noProof/>
        </w:rPr>
      </w:pPr>
      <w:r>
        <w:rPr>
          <w:noProof/>
        </w:rPr>
        <w:t>5.</w:t>
      </w:r>
      <w:r>
        <w:rPr>
          <w:noProof/>
        </w:rPr>
        <w:tab/>
        <w:t>OTHER ELEMENTS</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7649C7" w:rsidRDefault="008969B7">
      <w:pPr>
        <w:pBdr>
          <w:top w:val="nil"/>
          <w:left w:val="nil"/>
          <w:bottom w:val="nil"/>
          <w:right w:val="nil"/>
          <w:between w:val="nil"/>
          <w:bar w:val="nil"/>
        </w:pBdr>
        <w:spacing w:before="0" w:after="240"/>
        <w:rPr>
          <w:rFonts w:eastAsia="Arial Unicode MS"/>
          <w:noProof/>
        </w:rPr>
      </w:pPr>
      <w:r>
        <w:rPr>
          <w:noProof/>
        </w:rPr>
        <w:t>In accordance with Article 22 the Commission shall carry out a review of the Directive no sooner than [five] years after the date of [transposition].</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w:t>
      </w:r>
    </w:p>
    <w:p w:rsidR="007649C7" w:rsidRDefault="008969B7">
      <w:pPr>
        <w:pBdr>
          <w:top w:val="nil"/>
          <w:left w:val="nil"/>
          <w:bottom w:val="nil"/>
          <w:right w:val="nil"/>
          <w:between w:val="nil"/>
          <w:bar w:val="nil"/>
        </w:pBdr>
        <w:spacing w:before="0" w:after="240"/>
        <w:rPr>
          <w:rFonts w:eastAsia="Arial Unicode MS"/>
          <w:noProof/>
        </w:rPr>
      </w:pPr>
      <w:r>
        <w:rPr>
          <w:rFonts w:eastAsia="Arial Unicode MS"/>
          <w:noProof/>
        </w:rPr>
        <w:t>In compliance with recital 48 of the proposal, Member States will notify the Commission of their transposition measures with explanatory documents. This is necessary given the complexity of rules laid down by the proposal and the importance to keep a harmonised approach of rules applicable to the digital and cross-border environment.</w:t>
      </w:r>
    </w:p>
    <w:p w:rsidR="007649C7" w:rsidRDefault="008969B7">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7649C7" w:rsidRDefault="008969B7">
      <w:pPr>
        <w:pBdr>
          <w:top w:val="nil"/>
          <w:left w:val="nil"/>
          <w:bottom w:val="nil"/>
          <w:right w:val="nil"/>
          <w:between w:val="nil"/>
          <w:bar w:val="nil"/>
        </w:pBdr>
        <w:spacing w:before="0" w:after="240"/>
        <w:rPr>
          <w:noProof/>
        </w:rPr>
      </w:pPr>
      <w:r>
        <w:rPr>
          <w:noProof/>
        </w:rPr>
        <w:t>The first title contains general provisions which (i) specify the subject-matter and the scope of the Directive and (ii) provide definitions that will need to be interpreted in a uniform manner in the Union.</w:t>
      </w:r>
    </w:p>
    <w:p w:rsidR="007649C7" w:rsidRDefault="008969B7">
      <w:pPr>
        <w:pBdr>
          <w:top w:val="nil"/>
          <w:left w:val="nil"/>
          <w:bottom w:val="nil"/>
          <w:right w:val="nil"/>
          <w:between w:val="nil"/>
          <w:bar w:val="nil"/>
        </w:pBdr>
        <w:spacing w:before="0" w:after="240"/>
        <w:rPr>
          <w:noProof/>
        </w:rPr>
      </w:pPr>
      <w:r>
        <w:rPr>
          <w:noProof/>
        </w:rPr>
        <w:t>The second title concerns measures to adapt exceptions and limitations to the digital and cross-border environment. This title includes three articles which require Member States to provide for mandatory exceptions or a limitation allowing (i) text and data mining carried out by research organisations for the purposes of scientific research (Article 3); (ii) digital uses of works and other subject-matter for the sole purpose of illustration for teaching (Article 4) and (iii) cultural heritage institutions to make copies of works and other subject-matter that are permanently in their collections to the extent necessary for their preservation (Article 5). Article 6 provides for common provisions to the title on exceptions and limitations.</w:t>
      </w:r>
    </w:p>
    <w:p w:rsidR="007649C7" w:rsidRDefault="008969B7">
      <w:pPr>
        <w:spacing w:before="0" w:after="240"/>
        <w:rPr>
          <w:noProof/>
        </w:rPr>
      </w:pPr>
      <w:r>
        <w:rPr>
          <w:noProof/>
        </w:rPr>
        <w:t xml:space="preserve">The third title concerns measures to improve licensing practices and ensure wider access to content. Article 7 requires Member States to </w:t>
      </w:r>
      <w:r>
        <w:rPr>
          <w:rFonts w:eastAsia="Calibri"/>
          <w:noProof/>
          <w:szCs w:val="24"/>
          <w:u w:color="000000"/>
          <w:bdr w:val="nil"/>
          <w:lang w:eastAsia="en-GB"/>
        </w:rPr>
        <w:t>put in place a legal mechanism to facilitate licensing agreements of out-of-commerce works and other subject-matter.</w:t>
      </w:r>
      <w:r>
        <w:rPr>
          <w:noProof/>
        </w:rPr>
        <w:t xml:space="preserve"> Article 8 guarantees the cross-border effect of such </w:t>
      </w:r>
      <w:r>
        <w:rPr>
          <w:rFonts w:eastAsia="Calibri"/>
          <w:noProof/>
          <w:szCs w:val="24"/>
          <w:u w:color="000000"/>
          <w:bdr w:val="nil"/>
          <w:lang w:eastAsia="en-GB"/>
        </w:rPr>
        <w:t>licensing agreements</w:t>
      </w:r>
      <w:r>
        <w:rPr>
          <w:noProof/>
        </w:rPr>
        <w:t>. Article 9 requires Member States to put in place a stakeholder dialogue on issues relating to Articles 7 and 8. Article 10 creates an obligation for Member States to put in place a negotiation mechanism to facilitate negotiations on the online exploitation of audiovisual works.</w:t>
      </w:r>
    </w:p>
    <w:p w:rsidR="007649C7" w:rsidRDefault="008969B7">
      <w:pPr>
        <w:spacing w:before="0" w:after="240"/>
        <w:rPr>
          <w:noProof/>
        </w:rPr>
      </w:pPr>
      <w:r>
        <w:rPr>
          <w:noProof/>
        </w:rPr>
        <w:t>The fourth title concerns measures to achieve a well-functioning marketplace for copyright. Articles 11 and 12 (i) extend the rights provided for in Articles 2 and 3(2) of Directive 2001/29/EC to publishers of press publications for the digital use of their publications and (ii) provide for the option for Member States to provide all publishers with the possibility to claim a share in the compensation for uses made under an exception. Article 13 creates an obligation on information society service providers storing and giving access to large amounts of works and other subject-matter uploaded by their users to take appropriate and proportionate measures to ensure the functioning of agreements concluded with rightholders and to prevent the availability on their services of content identified by rightholders in cooperation with the service providers. Article 14 requires Member States to include transparency obligations to the benefit of authors and performers. Article 15 requires Member States to establish a contract adjustment mechanism, in support of the obligation provided for in Article 14. Article 16 requires Member States to set up a dispute resolution mechanism for issues arising from the application of Articles 14 and 15.</w:t>
      </w:r>
    </w:p>
    <w:p w:rsidR="007649C7" w:rsidRDefault="008969B7">
      <w:pPr>
        <w:spacing w:before="0" w:after="240"/>
        <w:rPr>
          <w:rFonts w:eastAsia="Arial Unicode MS"/>
          <w:noProof/>
        </w:rPr>
      </w:pPr>
      <w:r>
        <w:rPr>
          <w:noProof/>
        </w:rPr>
        <w:t>The fifth title contains final provisions on amendments to other directives, the application in time, transitional provisions, the protection of personal data, the transposition, the review and the entry into force.</w:t>
      </w:r>
    </w:p>
    <w:p w:rsidR="007649C7" w:rsidRDefault="007649C7">
      <w:pPr>
        <w:spacing w:before="0" w:after="0"/>
        <w:jc w:val="left"/>
        <w:rPr>
          <w:noProof/>
        </w:rPr>
        <w:sectPr w:rsidR="007649C7" w:rsidSect="00EE57FA">
          <w:footerReference w:type="default" r:id="rId15"/>
          <w:footerReference w:type="first" r:id="rId16"/>
          <w:pgSz w:w="11907" w:h="16839"/>
          <w:pgMar w:top="1134" w:right="1417" w:bottom="1134" w:left="1417" w:header="709" w:footer="709" w:gutter="0"/>
          <w:cols w:space="708"/>
          <w:docGrid w:linePitch="360"/>
        </w:sectPr>
      </w:pPr>
    </w:p>
    <w:p w:rsidR="007649C7" w:rsidRDefault="00EE57FA" w:rsidP="00EE57FA">
      <w:pPr>
        <w:pStyle w:val="Rfrenceinterinstitutionnelle"/>
        <w:rPr>
          <w:noProof/>
        </w:rPr>
      </w:pPr>
      <w:r w:rsidRPr="00EE57FA">
        <w:t>2016/0280 (COD)</w:t>
      </w:r>
    </w:p>
    <w:p w:rsidR="007649C7" w:rsidRDefault="00EE57FA" w:rsidP="00EE57FA">
      <w:pPr>
        <w:pStyle w:val="Statut"/>
        <w:rPr>
          <w:noProof/>
        </w:rPr>
      </w:pPr>
      <w:r w:rsidRPr="00EE57FA">
        <w:t>Proposal for a</w:t>
      </w:r>
    </w:p>
    <w:p w:rsidR="007649C7" w:rsidRDefault="00EE57FA" w:rsidP="00EE57FA">
      <w:pPr>
        <w:pStyle w:val="Typedudocument"/>
        <w:rPr>
          <w:noProof/>
        </w:rPr>
      </w:pPr>
      <w:r w:rsidRPr="00EE57FA">
        <w:t>DIRECTIVE OF THE EUROPEAN PARLIAMENT AND OF THE COUNCIL</w:t>
      </w:r>
    </w:p>
    <w:p w:rsidR="007649C7" w:rsidRDefault="00EE57FA" w:rsidP="00EE57FA">
      <w:pPr>
        <w:pStyle w:val="Titreobjet"/>
        <w:rPr>
          <w:noProof/>
        </w:rPr>
      </w:pPr>
      <w:proofErr w:type="gramStart"/>
      <w:r w:rsidRPr="00EE57FA">
        <w:t>on</w:t>
      </w:r>
      <w:proofErr w:type="gramEnd"/>
      <w:r w:rsidRPr="00EE57FA">
        <w:t xml:space="preserve"> copyright in the Digital Single Market</w:t>
      </w:r>
    </w:p>
    <w:p w:rsidR="007649C7" w:rsidRDefault="00EE57FA" w:rsidP="00EE57FA">
      <w:pPr>
        <w:pStyle w:val="IntrtEEE"/>
        <w:rPr>
          <w:noProof/>
        </w:rPr>
      </w:pPr>
      <w:r w:rsidRPr="00EE57FA">
        <w:t>(Text with EEA relevance)</w:t>
      </w:r>
    </w:p>
    <w:p w:rsidR="007649C7" w:rsidRDefault="008969B7">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rsidR="007649C7" w:rsidRDefault="008969B7">
      <w:pPr>
        <w:rPr>
          <w:noProof/>
        </w:rPr>
      </w:pPr>
      <w:r>
        <w:rPr>
          <w:noProof/>
        </w:rPr>
        <w:t>Having regard to the Treaty on the Functioning of the European Union, and in particular Article 114 thereof,</w:t>
      </w:r>
    </w:p>
    <w:p w:rsidR="007649C7" w:rsidRDefault="008969B7">
      <w:pPr>
        <w:rPr>
          <w:noProof/>
        </w:rPr>
      </w:pPr>
      <w:r>
        <w:rPr>
          <w:noProof/>
        </w:rPr>
        <w:t>Having regard to the proposal from the European Commission,</w:t>
      </w:r>
    </w:p>
    <w:p w:rsidR="007649C7" w:rsidRDefault="008969B7">
      <w:pPr>
        <w:rPr>
          <w:noProof/>
        </w:rPr>
      </w:pPr>
      <w:r>
        <w:rPr>
          <w:noProof/>
        </w:rPr>
        <w:t>After transmission of the draft legislative act to the national parliaments,</w:t>
      </w:r>
    </w:p>
    <w:p w:rsidR="007649C7" w:rsidRDefault="008969B7">
      <w:pPr>
        <w:rPr>
          <w:noProof/>
        </w:rPr>
      </w:pPr>
      <w:r>
        <w:rPr>
          <w:noProof/>
        </w:rPr>
        <w:t>Having regard to the opinion of the European Economic and Social Committee</w:t>
      </w:r>
      <w:r>
        <w:rPr>
          <w:rStyle w:val="FootnoteReference"/>
          <w:noProof/>
        </w:rPr>
        <w:footnoteReference w:id="24"/>
      </w:r>
      <w:r>
        <w:rPr>
          <w:noProof/>
        </w:rPr>
        <w:t>,</w:t>
      </w:r>
    </w:p>
    <w:p w:rsidR="007649C7" w:rsidRDefault="008969B7">
      <w:pPr>
        <w:rPr>
          <w:noProof/>
        </w:rPr>
      </w:pPr>
      <w:r>
        <w:rPr>
          <w:noProof/>
        </w:rPr>
        <w:t>Having regard to the opinion of the Committee of the Regions</w:t>
      </w:r>
      <w:r>
        <w:rPr>
          <w:rStyle w:val="FootnoteReference"/>
          <w:noProof/>
        </w:rPr>
        <w:footnoteReference w:id="25"/>
      </w:r>
      <w:r>
        <w:rPr>
          <w:noProof/>
        </w:rPr>
        <w:t>,</w:t>
      </w:r>
    </w:p>
    <w:p w:rsidR="007649C7" w:rsidRDefault="008969B7">
      <w:pPr>
        <w:rPr>
          <w:noProof/>
        </w:rPr>
      </w:pPr>
      <w:r>
        <w:rPr>
          <w:noProof/>
        </w:rPr>
        <w:t>Acting in accordance with the ordinary legislative procedure,</w:t>
      </w:r>
    </w:p>
    <w:p w:rsidR="007649C7" w:rsidRDefault="008969B7">
      <w:pPr>
        <w:rPr>
          <w:noProof/>
        </w:rPr>
      </w:pPr>
      <w:r>
        <w:rPr>
          <w:noProof/>
        </w:rPr>
        <w:t>Whereas:</w:t>
      </w:r>
    </w:p>
    <w:p w:rsidR="007649C7" w:rsidRDefault="008969B7">
      <w:pPr>
        <w:pStyle w:val="ManualConsidrant"/>
        <w:rPr>
          <w:noProof/>
        </w:rPr>
      </w:pPr>
      <w:r>
        <w:t>(1)</w:t>
      </w:r>
      <w:r>
        <w:tab/>
      </w:r>
      <w:r>
        <w:rPr>
          <w:noProof/>
        </w:rPr>
        <w:t>The Treaty provides for the establishment of an internal market and the institution of a system ensuring that competition in the internal market is not distorted. Harmonisation of the laws of the Member States on copyright and related rights should contribute further to the achievement of those objectives.</w:t>
      </w:r>
    </w:p>
    <w:p w:rsidR="007649C7" w:rsidRDefault="008969B7">
      <w:pPr>
        <w:pStyle w:val="ManualConsidrant"/>
        <w:rPr>
          <w:noProof/>
        </w:rPr>
      </w:pPr>
      <w:r>
        <w:t>(2)</w:t>
      </w:r>
      <w:r>
        <w:tab/>
      </w:r>
      <w:r>
        <w:rPr>
          <w:noProof/>
        </w:rPr>
        <w:t>The directives which have been adopted in the area of copyright and related rights provide for a high level of protection for rightholders and create a framework wherein the exploitation of works and other protected subject-matter can take place. This harmonised legal framework contributes to the good functioning of the internal market; it stimulates innovation, creativity, investment and production of new content, also in the digital environment. The protection provided by this legal framework also contributes to 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p w:rsidR="007649C7" w:rsidRDefault="008969B7">
      <w:pPr>
        <w:pStyle w:val="ManualConsidrant"/>
        <w:rPr>
          <w:noProof/>
        </w:rPr>
      </w:pPr>
      <w:r>
        <w:t>(3)</w:t>
      </w:r>
      <w:r>
        <w:tab/>
      </w:r>
      <w:r>
        <w:rPr>
          <w:noProof/>
        </w:rPr>
        <w:t>Rapid technological developments continue to transform the way works and other subject-matter are created, produced, distributed and exploited. New business models and new actors continue to emerge. The objectives and the principles laid down by the Union copyright framework remain sound. However, legal uncertainty remains, for both rightholders and users, as regards certain uses, including cross-border uses, of works and other subject-matter in the digital environment. As set out in the Communication of the Commission entitled ‘Towards a modern, more European copyright framework’</w:t>
      </w:r>
      <w:r>
        <w:rPr>
          <w:rStyle w:val="FootnoteReference"/>
          <w:noProof/>
        </w:rPr>
        <w:footnoteReference w:id="26"/>
      </w:r>
      <w:r>
        <w:rPr>
          <w:noProof/>
        </w:rPr>
        <w:t>, in some areas it is necessary to adapt and supplement the current Union copyright framework. This Directive provides for rules to adapt certain exceptions and limitations to digital and cross-border environments, as well as measures to facilitate certain licensing practices as regards the dissemination of out-of-commerce works and the online availability of audiovisual works on video-on-demand platforms with a view to ensuring wider access to content. In order to achieve a well-functioning marketplace for copyright, there should also be rules on rights in publications, on the use of works and other subject-matter by online service providers storing and giving access to user uploaded content and on the transparency of authors' and performers' contracts.</w:t>
      </w:r>
    </w:p>
    <w:p w:rsidR="007649C7" w:rsidRDefault="008969B7">
      <w:pPr>
        <w:pStyle w:val="ManualConsidrant"/>
        <w:rPr>
          <w:noProof/>
        </w:rPr>
      </w:pPr>
      <w:r>
        <w:t>(4)</w:t>
      </w:r>
      <w:r>
        <w:tab/>
      </w:r>
      <w:r>
        <w:rPr>
          <w:noProof/>
        </w:rPr>
        <w:t>This Directive is based upon, and complements, the rules laid down in the Directives currently in force in this area, in particular Directive 96/9/EC of the European Parliament and of the Council</w:t>
      </w:r>
      <w:r>
        <w:rPr>
          <w:rStyle w:val="FootnoteReference"/>
          <w:noProof/>
        </w:rPr>
        <w:footnoteReference w:id="27"/>
      </w:r>
      <w:r>
        <w:rPr>
          <w:noProof/>
        </w:rPr>
        <w:t>, Directive 2001/29/EC of the European Parliament and of the Council</w:t>
      </w:r>
      <w:r>
        <w:rPr>
          <w:rStyle w:val="FootnoteReference"/>
          <w:noProof/>
        </w:rPr>
        <w:footnoteReference w:id="28"/>
      </w:r>
      <w:r>
        <w:rPr>
          <w:noProof/>
        </w:rPr>
        <w:t>, Directive 2006/115/EC of the European Parliament and of the Council</w:t>
      </w:r>
      <w:r>
        <w:rPr>
          <w:rStyle w:val="FootnoteReference"/>
          <w:noProof/>
        </w:rPr>
        <w:footnoteReference w:id="29"/>
      </w:r>
      <w:r>
        <w:rPr>
          <w:noProof/>
        </w:rPr>
        <w:t>, Directive 2009/24/EC of the European Parliament and of the Council</w:t>
      </w:r>
      <w:r>
        <w:rPr>
          <w:rStyle w:val="FootnoteReference"/>
          <w:noProof/>
        </w:rPr>
        <w:footnoteReference w:id="30"/>
      </w:r>
      <w:r>
        <w:rPr>
          <w:noProof/>
        </w:rPr>
        <w:t xml:space="preserve">, Directive </w:t>
      </w:r>
      <w:r>
        <w:rPr>
          <w:noProof/>
          <w:szCs w:val="24"/>
        </w:rPr>
        <w:t>2012/28/EU</w:t>
      </w:r>
      <w:r>
        <w:rPr>
          <w:noProof/>
        </w:rPr>
        <w:t xml:space="preserve"> of the European Parliament and of the Council</w:t>
      </w:r>
      <w:r>
        <w:rPr>
          <w:rStyle w:val="FootnoteReference"/>
          <w:noProof/>
        </w:rPr>
        <w:footnoteReference w:id="31"/>
      </w:r>
      <w:r>
        <w:rPr>
          <w:noProof/>
        </w:rPr>
        <w:t xml:space="preserve"> and Directive 2014/26/EU of the European Parliament and of the Council</w:t>
      </w:r>
      <w:r>
        <w:rPr>
          <w:rStyle w:val="FootnoteReference"/>
          <w:noProof/>
        </w:rPr>
        <w:footnoteReference w:id="32"/>
      </w:r>
      <w:r>
        <w:rPr>
          <w:noProof/>
        </w:rPr>
        <w:t>.</w:t>
      </w:r>
    </w:p>
    <w:p w:rsidR="007649C7" w:rsidRDefault="008969B7">
      <w:pPr>
        <w:pStyle w:val="ManualConsidrant"/>
        <w:rPr>
          <w:noProof/>
        </w:rPr>
      </w:pPr>
      <w:r>
        <w:t>(5)</w:t>
      </w:r>
      <w:r>
        <w:tab/>
      </w:r>
      <w:r>
        <w:rPr>
          <w:noProof/>
        </w:rPr>
        <w:t>In the fields of research,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uses, which are becoming increasingly important in the digital environment. Therefore, the existing exceptions and limitations in Union law that are relevant for scientific research, teaching and preservation of cultural heritage should be reassessed in the light of those new uses. Mandatory exceptions or limitations for uses of text and data mining technologies in the field of scientific research, illustration for teaching in the digital environment and for preservation of cultural heritage should be introduced. For uses not covered by the exceptions or the limitation provided for in this Directive, the exceptions and limitations existing in Union law should continue to apply. Directives 96/9/EC and 2001/29/EC should be adapted.</w:t>
      </w:r>
    </w:p>
    <w:p w:rsidR="007649C7" w:rsidRDefault="008969B7">
      <w:pPr>
        <w:pStyle w:val="ManualConsidrant"/>
        <w:rPr>
          <w:noProof/>
        </w:rPr>
      </w:pPr>
      <w:r>
        <w:t>(6)</w:t>
      </w:r>
      <w:r>
        <w:tab/>
      </w:r>
      <w:r>
        <w:rPr>
          <w:noProof/>
        </w:rPr>
        <w:t>The exceptions and the limitation set out in this Directive seek to achieve a fair balance between the rights and interests of authors and other rightholders on the one hand, and of users on the other. They can be applied only in certain special cases which do not conflict with the normal exploitation of the works or other subject-matter and do not unreasonably prejudice the legitimate interests of the rightholders.</w:t>
      </w:r>
    </w:p>
    <w:p w:rsidR="007649C7" w:rsidRDefault="008969B7">
      <w:pPr>
        <w:pStyle w:val="ManualConsidrant"/>
        <w:rPr>
          <w:noProof/>
        </w:rPr>
      </w:pPr>
      <w:r>
        <w:t>(7)</w:t>
      </w:r>
      <w:r>
        <w:tab/>
      </w:r>
      <w:r>
        <w:rPr>
          <w:noProof/>
        </w:rPr>
        <w:t>The protection of technological measures established in Directive 2001/29/EC remains essential to ensure the protection and the effective exercise of the rights granted to authors and to other rightholders under Union law. This protection should be maintained while ensuring that the use of technological measures does not prevent the enjoyment of the exceptions and the limitation established in this Directive, which are particularly relevant in the online environment. Rightholders should have the opportunity to ensure this through voluntary measures. They should remain free to choose the format and the modalities to provide the beneficiaries of the exceptions and the limitation established in this Directive with the means to benefit from them provided that such means are appropriate. In the absence of voluntary measures, Member States should take appropriate measures in accordance with the first subparagraph of Article 6(4) of Directive 2001/29/EC.</w:t>
      </w:r>
    </w:p>
    <w:p w:rsidR="007649C7" w:rsidRDefault="008969B7">
      <w:pPr>
        <w:pStyle w:val="ManualConsidrant"/>
        <w:rPr>
          <w:noProof/>
        </w:rPr>
      </w:pPr>
      <w:r>
        <w:t>(8)</w:t>
      </w:r>
      <w:r>
        <w:tab/>
      </w:r>
      <w:r>
        <w:rPr>
          <w:noProof/>
        </w:rPr>
        <w:t xml:space="preserve">New technologies enable the automated computational analysis of information in digital form, such as text, sounds, images or data, generally known as text and data mining. Those technologies allow researchers to process large amounts of information to gain new knowledge and discover new trends. Whilst text and data mining technologies are prevalent across the digital economy, there is widespread acknowledgment that text and data mining can in particular benefit the research community and in so doing encourage innovation. However, in the Union, research organisations such as universities and research institutes are confronted with legal uncertainty as to the extent to which they can perform text and data mining of content. In certain instances, text and data mining may involve acts protected by copyright and/or by the </w:t>
      </w:r>
      <w:r>
        <w:rPr>
          <w:i/>
          <w:noProof/>
        </w:rPr>
        <w:t>sui generis</w:t>
      </w:r>
      <w:r>
        <w:rPr>
          <w:noProof/>
        </w:rPr>
        <w:t xml:space="preserve"> database right, notably the reproduction of works or other subject-matter and/or the extraction of contents from a database. Where there is no exception or limitation which applies, an authorisation to undertake such acts would be required from rightholders. Text and data mining may also be carried out in relation to mere facts or data which are not protected by copyright and in such instances no authorisation would be required.</w:t>
      </w:r>
    </w:p>
    <w:p w:rsidR="007649C7" w:rsidRDefault="008969B7">
      <w:pPr>
        <w:pStyle w:val="ManualConsidrant"/>
        <w:rPr>
          <w:noProof/>
        </w:rPr>
      </w:pPr>
      <w:r>
        <w:t>(9)</w:t>
      </w:r>
      <w:r>
        <w:tab/>
      </w:r>
      <w:r>
        <w:rPr>
          <w:noProof/>
        </w:rPr>
        <w:t>Union law already provides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lawful access to content,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will suffer unless steps are taken to address the legal uncertainty for text and data mining.</w:t>
      </w:r>
    </w:p>
    <w:p w:rsidR="007649C7" w:rsidRDefault="008969B7">
      <w:pPr>
        <w:pStyle w:val="ManualConsidrant"/>
        <w:rPr>
          <w:noProof/>
        </w:rPr>
      </w:pPr>
      <w:r>
        <w:t>(10)</w:t>
      </w:r>
      <w:r>
        <w:tab/>
      </w:r>
      <w:r>
        <w:rPr>
          <w:noProof/>
        </w:rPr>
        <w:t>This legal uncertainty should be addressed by providing for a mandatory exception to the right of reproduction and also to the right to prevent extraction from 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Research organisations should also benefit from the exception when they engage into public-private partnerships.</w:t>
      </w:r>
    </w:p>
    <w:p w:rsidR="007649C7" w:rsidRDefault="008969B7">
      <w:pPr>
        <w:pStyle w:val="ManualConsidrant"/>
        <w:rPr>
          <w:noProof/>
        </w:rPr>
      </w:pPr>
      <w:r>
        <w:t>(11)</w:t>
      </w:r>
      <w:r>
        <w:tab/>
      </w:r>
      <w:r>
        <w:rPr>
          <w:noProof/>
        </w:rPr>
        <w:t>Research organisations across the Union encompass a wide variety of entities the primary goal of which is to conduct scientific research or to do so together with the provision of educational services. Due to the diversity of such entities, it is important to have a common understanding of the beneficiaries of the exception. Despite different legal forms and structures, research organisations across Member States generally have in common that they act either on a not for profit basis or in the context of a public-interest mission recognised by the State. Such a public-interest mission may, for example, be reflected through public funding or through provisions in national laws or public contracts. At the same time, organisations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organisations for the purposes of this Directive.</w:t>
      </w:r>
    </w:p>
    <w:p w:rsidR="007649C7" w:rsidRDefault="008969B7">
      <w:pPr>
        <w:pStyle w:val="ManualConsidrant"/>
        <w:rPr>
          <w:noProof/>
        </w:rPr>
      </w:pPr>
      <w:r>
        <w:t>(12)</w:t>
      </w:r>
      <w:r>
        <w:tab/>
      </w:r>
      <w:r>
        <w:rPr>
          <w:noProof/>
        </w:rPr>
        <w:t>In view of a potentially high number of access requests to and downloads of their works or other subject-matter, rightholders should be allowed to apply measures where there is risk that the security and integrity of the system or databases where the works or other subject-matter are hosted would be jeopardised. Those measures should not exceed what is necessary to pursue the objective of ensuring the security and integrity of the system and should not undermine the effective application of the exception.</w:t>
      </w:r>
    </w:p>
    <w:p w:rsidR="007649C7" w:rsidRDefault="008969B7">
      <w:pPr>
        <w:pStyle w:val="ManualConsidrant"/>
        <w:rPr>
          <w:noProof/>
        </w:rPr>
      </w:pPr>
      <w:r>
        <w:t>(13)</w:t>
      </w:r>
      <w:r>
        <w:tab/>
      </w:r>
      <w:r>
        <w:rPr>
          <w:noProof/>
        </w:rPr>
        <w:t>There is no need to provide for compensation for rightholders as regards uses under the text and data mining exception introduced by this Directive given that in view of the nature and scope of the exception the harm should be minimal.</w:t>
      </w:r>
    </w:p>
    <w:p w:rsidR="007649C7" w:rsidRDefault="008969B7">
      <w:pPr>
        <w:pStyle w:val="ManualConsidrant"/>
        <w:rPr>
          <w:noProof/>
        </w:rPr>
      </w:pPr>
      <w:r>
        <w:t>(14)</w:t>
      </w:r>
      <w:r>
        <w:tab/>
      </w:r>
      <w:r>
        <w:rPr>
          <w:noProof/>
        </w:rPr>
        <w:t>Article 5(3)(a) of Directive 2001/29/EC allows Member States to introduce an exception or limitation to the rights of reproduction, communication to the public and  making available to the public for the sole purpose of, among others, illustration for teaching. In addition, Articles 6(2)(b) and 9(b) of Directive 96/9/EC permit the use of a database and the extraction or re-utilization of a substantial part of its contents for the purpose of illustration for teaching. The scope of those exceptions or limitations as they apply to digital uses is unclear. In addition, there is a lack of clarity as to whether those exceptions or limitations would apply where teaching is provided online and thereby at a distance. Moreover, the existing framework does not provide for a cross-border effect. This situation may hamper the development of digitally-supported teaching activities and distance learning. Therefore, the introduction of a new mandatory exception or limitation is necessary to ensure that educational establishments benefit from full legal certainty when using works or other subject-matter in digital teaching activities, including online and across borders.</w:t>
      </w:r>
    </w:p>
    <w:p w:rsidR="007649C7" w:rsidRDefault="008969B7">
      <w:pPr>
        <w:pStyle w:val="ManualConsidrant"/>
        <w:rPr>
          <w:noProof/>
        </w:rPr>
      </w:pPr>
      <w:r>
        <w:t>(15)</w:t>
      </w:r>
      <w:r>
        <w:tab/>
      </w:r>
      <w:r>
        <w:rPr>
          <w:noProof/>
        </w:rPr>
        <w:t>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to determine the non-commercial nature of the activity.</w:t>
      </w:r>
    </w:p>
    <w:p w:rsidR="007649C7" w:rsidRDefault="008969B7">
      <w:pPr>
        <w:pStyle w:val="ManualConsidrant"/>
        <w:rPr>
          <w:noProof/>
        </w:rPr>
      </w:pPr>
      <w:r>
        <w:t>(16)</w:t>
      </w:r>
      <w:r>
        <w:tab/>
      </w:r>
      <w:r>
        <w:rPr>
          <w:noProof/>
        </w:rPr>
        <w:t>The exception or limitation should cover digital uses of works and other subject-matter such as the use of parts or extracts of works to support, enrich or complement the teaching, including the related learning activities. The use of the works or other subject-matter under the exception or limitation should be only in the context of teaching and learning activities carried out under the responsibility of educational establishments, including during examinations, and be limited to what is necessary for the purpose of such activities. The exception or limitation should cover both uses through digital means in the classroom and online uses through the educational establishment's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p w:rsidR="007649C7" w:rsidRDefault="008969B7">
      <w:pPr>
        <w:pStyle w:val="ManualConsidrant"/>
        <w:rPr>
          <w:noProof/>
        </w:rPr>
      </w:pPr>
      <w:r>
        <w:t>(17)</w:t>
      </w:r>
      <w:r>
        <w:tab/>
      </w:r>
      <w:r>
        <w:rPr>
          <w:noProof/>
        </w:rPr>
        <w:t>Different arrangements, based on the implementation of the exception provided for in Directive 2001/29/EC or on licensing agreements covering further uses, are in place in a number of Member States in order to facilitate educational uses of works and other subject-matter. Such arrangements have 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cross-border uses. This should allow Member States to build on the existing arrangements concluded at national level. In particular, Member States could decide to subject the application of the exception or limitation, fully or partially, to the availability of adequate licences, covering at least the same uses as those allowed under the exception. This mechanism would, for example, allow giving precedence to licences for materials which are primarily intended for the educational market. In order to avoid that such mechanism results in legal uncertainty or administrative burden for educational establishments, Member States adopting this approach should take concrete measures to ensure that licensing schemes allowing digital uses of works or other subject-matter for the purpose of illustration for teaching are easily available and that educational establishments are aware of the existence of such licensing schemes.</w:t>
      </w:r>
    </w:p>
    <w:p w:rsidR="007649C7" w:rsidRDefault="008969B7">
      <w:pPr>
        <w:pStyle w:val="ManualConsidrant"/>
        <w:rPr>
          <w:noProof/>
        </w:rPr>
      </w:pPr>
      <w:r>
        <w:t>(18)</w:t>
      </w:r>
      <w:r>
        <w:tab/>
      </w:r>
      <w:r>
        <w:rPr>
          <w:noProof/>
        </w:rPr>
        <w:t>An act of preservation may require a reproduction of a work or other subject-matter in the collection of a cultural heritage institution and consequently the authorisation of the relevant rightholders. Cultural heritage institutions are engaged in the preservation of their collections for future generations. Digital technologies offer new ways to preserve the heritage contained in those collections but they also create new challenges. In view of these new challenges, it is necessary to adapt the current legal framework by providing a mandatory exception to the right of reproduction in order to allow those acts of preservation.</w:t>
      </w:r>
    </w:p>
    <w:p w:rsidR="007649C7" w:rsidRDefault="008969B7">
      <w:pPr>
        <w:pStyle w:val="ManualConsidrant"/>
        <w:rPr>
          <w:noProof/>
        </w:rPr>
      </w:pPr>
      <w:r>
        <w:t>(19)</w:t>
      </w:r>
      <w:r>
        <w:tab/>
      </w:r>
      <w:r>
        <w:rPr>
          <w:noProof/>
        </w:rPr>
        <w:t>Different approaches in the Member States for acts of preservation by cultural heritage institutions hamper cross-border cooperation and the sharing of means of preservation by cultural heritage institutions in the internal market, leading to an inefficient use of resources.</w:t>
      </w:r>
    </w:p>
    <w:p w:rsidR="007649C7" w:rsidRDefault="008969B7">
      <w:pPr>
        <w:pStyle w:val="ManualConsidrant"/>
        <w:rPr>
          <w:noProof/>
        </w:rPr>
      </w:pPr>
      <w:r>
        <w:t>(20)</w:t>
      </w:r>
      <w:r>
        <w:tab/>
      </w:r>
      <w:r>
        <w:rPr>
          <w:noProof/>
        </w:rPr>
        <w:t>Member States should therefore be required to provide for an exception to permit cultural heritage institutions to reproduce works and other subject-matter permanently in their collections for preservation purposes, for example to address technological obsolescence or the degradation of original supports. Such an exception should allow for the making of copies by the appropriate preservation tool, means or technology, in the required number and at any point in the life of a work or other subject-matter to the extent required in order to produce a copy for preservation purposes only.</w:t>
      </w:r>
    </w:p>
    <w:p w:rsidR="007649C7" w:rsidRDefault="008969B7">
      <w:pPr>
        <w:pStyle w:val="ManualConsidrant"/>
        <w:rPr>
          <w:noProof/>
        </w:rPr>
      </w:pPr>
      <w:r>
        <w:t>(21)</w:t>
      </w:r>
      <w:r>
        <w:tab/>
      </w:r>
      <w:r>
        <w:rPr>
          <w:noProof/>
        </w:rPr>
        <w:t>For the purposes of this Directive, works and other subject-matter should be considered to be permanently in the collection of a cultural heritage institution when copies are owned or permanently held by the cultural heritage institution, for example as a result of a transfer of ownership or licence agreements.</w:t>
      </w:r>
    </w:p>
    <w:p w:rsidR="007649C7" w:rsidRDefault="008969B7">
      <w:pPr>
        <w:pStyle w:val="ManualConsidrant"/>
        <w:rPr>
          <w:noProof/>
        </w:rPr>
      </w:pPr>
      <w:r>
        <w:t>(22)</w:t>
      </w:r>
      <w:r>
        <w:tab/>
      </w:r>
      <w:r>
        <w:rPr>
          <w:noProof/>
        </w:rPr>
        <w:t>Cultural heritage institutions should benefit from a clear framework for the digitisation and dissemination, including across borders, of out-of-commerce works or other subject-matter. However, the particular characteristics of the collections of out-of-commerce works mean that obtaining the prior consent of the individual rightholders may be very difficult. This can be due, for example, to the age of the works or other subject-matter, their limited commercial value or the fact that they were never intended for commercial use. It is therefore necessary to provide for measures to facilitate the licensing of rights in out-of-commerce works that are in the collections of cultural heritage institutions and thereby to allow the conclusion of agreements with cross-border effect in the internal market.</w:t>
      </w:r>
    </w:p>
    <w:p w:rsidR="007649C7" w:rsidRDefault="008969B7">
      <w:pPr>
        <w:pStyle w:val="ManualConsidrant"/>
        <w:rPr>
          <w:noProof/>
        </w:rPr>
      </w:pPr>
      <w:r>
        <w:t>(23)</w:t>
      </w:r>
      <w:r>
        <w:tab/>
      </w:r>
      <w:r>
        <w:rPr>
          <w:noProof/>
        </w:rPr>
        <w:t>Member States should, within the framework provided for in this Directive, have flexibility in choosing the specific type of mechanism allowing for licences for out-of-commerce works to extend to the rights of rightholders that are not represented by the collective management organisation, in accordance to their legal traditions, practices or circumstances. Such mechanisms can include extended collective licensing and presumptions of representation.</w:t>
      </w:r>
    </w:p>
    <w:p w:rsidR="007649C7" w:rsidRDefault="008969B7">
      <w:pPr>
        <w:pStyle w:val="ManualConsidrant"/>
        <w:rPr>
          <w:noProof/>
        </w:rPr>
      </w:pPr>
      <w:r>
        <w:t>(24)</w:t>
      </w:r>
      <w:r>
        <w:tab/>
      </w:r>
      <w:r>
        <w:rPr>
          <w:noProof/>
        </w:rPr>
        <w:t>For the purpose of those licensing mechanisms, a rigorous and well-functioning collective management system is important. That system includes in particular rules of good governance, transparency and reporting, as well as the regular, diligent and accurate distribution and payment of amounts due to individual rightholders, as provided for by Directive 2014/26/EU. Additional appropriate safeguards should be available for all rightholders, who should be given the opportunity to exclude the application of such mechanisms to their works or other subject-matter. Conditions attached to those mechanisms should not affect their practical relevance for cultural heritage institutions.</w:t>
      </w:r>
    </w:p>
    <w:p w:rsidR="007649C7" w:rsidRDefault="008969B7">
      <w:pPr>
        <w:pStyle w:val="ManualConsidrant"/>
        <w:rPr>
          <w:noProof/>
        </w:rPr>
      </w:pPr>
      <w:r>
        <w:t>(25)</w:t>
      </w:r>
      <w:r>
        <w:tab/>
      </w:r>
      <w:r>
        <w:rPr>
          <w:noProof/>
        </w:rPr>
        <w:t>Considering the variety of works and other subject-matter in the collections of cultural heritage institutions, it is important that the licensing mechanisms introduced by this Directive are available and can be used in practice for different types of works and other subject-matter, including photographs, sound recordings and audiovisual works. In order to reflect the specificities of different categories of works and other subject-matter as regards modes of publication and distribution and to facilitate the usability of those mechanisms, specific requirements and procedures may have to be established by Member States for the practical application of those licensing mechanisms. It is appropriate that Member States consult rightholders, users and collective management organisations when doing so.</w:t>
      </w:r>
    </w:p>
    <w:p w:rsidR="007649C7" w:rsidRDefault="008969B7">
      <w:pPr>
        <w:pStyle w:val="ManualConsidrant"/>
        <w:rPr>
          <w:noProof/>
        </w:rPr>
      </w:pPr>
      <w:r>
        <w:t>(26)</w:t>
      </w:r>
      <w:r>
        <w:tab/>
      </w:r>
      <w:r>
        <w:rPr>
          <w:noProof/>
        </w:rPr>
        <w:t>For reasons of international comity, the licensing mechanisms for the digitisation and dissemination of out-of-commerce works provided for in this Directive should not apply to works or other subject-matter that are first published or, in the absence of publication, first broadcast in a third country or, in the case of cinematographic or audiovisual works, to works the producer of which has his headquarters or habitual residence in a third country. Those mechanisms should also not apply to works or other subject-matter of third country nationals except when they are first published or, in the absence of publication, first broadcast in the territory of a Member State or, in the case of cinematographic or audiovisual works, to works of which the producer's headquarters or habitual residence is in a Member State.</w:t>
      </w:r>
    </w:p>
    <w:p w:rsidR="007649C7" w:rsidRDefault="008969B7">
      <w:pPr>
        <w:pStyle w:val="ManualConsidrant"/>
        <w:rPr>
          <w:noProof/>
        </w:rPr>
      </w:pPr>
      <w:r>
        <w:t>(27)</w:t>
      </w:r>
      <w:r>
        <w:tab/>
      </w:r>
      <w:r>
        <w:rPr>
          <w:noProof/>
        </w:rPr>
        <w:t>As mass digitisation projects can entail significant investments by cultural heritage institutions, any licences granted under the mechanisms provided for in this Directive should not prevent them from generating reasonable revenues in order to cover the costs of the licence and the costs of digitising and disseminating the works and other subject-matter covered by the licence.</w:t>
      </w:r>
    </w:p>
    <w:p w:rsidR="007649C7" w:rsidRDefault="008969B7">
      <w:pPr>
        <w:pStyle w:val="ManualConsidrant"/>
        <w:rPr>
          <w:noProof/>
        </w:rPr>
      </w:pPr>
      <w:r>
        <w:t>(28)</w:t>
      </w:r>
      <w:r>
        <w:tab/>
      </w:r>
      <w:r>
        <w:rPr>
          <w:noProof/>
        </w:rPr>
        <w:t>Information regarding the future and ongoing use of out-of-commerce works and other subject-matter by cultural heritage institutions on the basis of the licensing mechanisms provided for in this Directive and the arrangements in place for all rightholders to exclude the application of licences to their works or other subject-matter should be adequately publicised. This is particularly important when uses take place across borders in the internal market. It is therefore appropriate to make provision for the creation of a single publicly accessible online portal for the Union to make such information available to the public for a reasonable period of time before the cross-border use takes place. Under Regulation (EU) No 386/2012 of the European Parliament and of the Council</w:t>
      </w:r>
      <w:r>
        <w:rPr>
          <w:rStyle w:val="FootnoteReference"/>
          <w:noProof/>
        </w:rPr>
        <w:footnoteReference w:id="33"/>
      </w:r>
      <w:r>
        <w:rPr>
          <w:noProof/>
        </w:rPr>
        <w:t>, the European Union Intellectual Property Office is entrusted with certain tasks and activities, financed by making use of its own budgetary measures, aiming at facilitating and supporting the activities of national authorities, the private sector and Union institutions in the fight against, including the prevention of, infringement of intellectual property rights. It is therefore appropriate to rely on that Office to establish and manage the European portal making such information available.</w:t>
      </w:r>
    </w:p>
    <w:p w:rsidR="007649C7" w:rsidRDefault="008969B7">
      <w:pPr>
        <w:pStyle w:val="ManualConsidrant"/>
        <w:rPr>
          <w:noProof/>
        </w:rPr>
      </w:pPr>
      <w:r>
        <w:t>(29)</w:t>
      </w:r>
      <w:r>
        <w:tab/>
      </w:r>
      <w:r>
        <w:rPr>
          <w:noProof/>
        </w:rPr>
        <w:t>On-demand services have the potential to play a decisive role in the dissemination of European works across the European Union. However, agreements on the online exploitation of such works may face difficulties related to the licensing of rights. Such issues may, for instance, appear when the holder of the rights for a given territory is not interested in the online exploitation of the work or where there are issues linked to the windows of exploitation.</w:t>
      </w:r>
    </w:p>
    <w:p w:rsidR="007649C7" w:rsidRDefault="008969B7">
      <w:pPr>
        <w:pStyle w:val="ManualConsidrant"/>
        <w:rPr>
          <w:noProof/>
        </w:rPr>
      </w:pPr>
      <w:r>
        <w:t>(30)</w:t>
      </w:r>
      <w:r>
        <w:tab/>
      </w:r>
      <w:r>
        <w:rPr>
          <w:noProof/>
        </w:rPr>
        <w:t>To facilitate the licensing of rights in audiovisual works to video-on-demand platforms, this Directive requires Member States to set up a negotiation mechanism allowing parties willing to conclude an agreement to rely on the assistance of an impartial body. The body should meet with the parties and help with the negotiations by providing professional and external advice. Against that background, Member States should decide on the conditions of the functioning of the negotiation mechanism, including the timing and duration of the assistance to negotiations and the bearing of the costs. Member States should ensure that administrative and financial burdens remain proportionate to guarantee the efficiency of the negotiation forum.</w:t>
      </w:r>
    </w:p>
    <w:p w:rsidR="007649C7" w:rsidRDefault="008969B7">
      <w:pPr>
        <w:pStyle w:val="ManualConsidrant"/>
        <w:rPr>
          <w:noProof/>
        </w:rPr>
      </w:pPr>
      <w:r>
        <w:t>(31)</w:t>
      </w:r>
      <w:r>
        <w:tab/>
      </w:r>
      <w:r>
        <w:rPr>
          <w:noProof/>
        </w:rPr>
        <w:t>A free and pluralist press is essential to ensure quality journalism and citizens' access to information. It provides a fundamental contribution to public debate and the proper functioning of a democratic society. In the transition from print to digital, publishers of press publications are facing problems in licensing the online use of their publications and recouping their investments. In the absence of recognition of publishers of press publications as rightholders, licensing and enforcement in the digital environment is often complex and inefficient.</w:t>
      </w:r>
    </w:p>
    <w:p w:rsidR="007649C7" w:rsidRDefault="008969B7">
      <w:pPr>
        <w:pStyle w:val="ManualConsidrant"/>
        <w:rPr>
          <w:noProof/>
        </w:rPr>
      </w:pPr>
      <w:r>
        <w:t>(32)</w:t>
      </w:r>
      <w:r>
        <w:tab/>
      </w:r>
      <w:r>
        <w:rPr>
          <w:noProof/>
        </w:rPr>
        <w:t>The organisational and financial contribution of publishers in producing press publications needs to be recognised and further encouraged to ensure the sustainability of the publishing industry. It is therefore necessary to provide at Union level a harmonised legal protection for press publications in respect of digital uses. Such protection should be effectively guaranteed through the introduction, in Union law, of rights related to copyright for the reproduction and making available to the public of press publications in respect of digital uses.</w:t>
      </w:r>
    </w:p>
    <w:p w:rsidR="007649C7" w:rsidRDefault="008969B7">
      <w:pPr>
        <w:pStyle w:val="ManualConsidrant"/>
        <w:rPr>
          <w:noProof/>
        </w:rPr>
      </w:pPr>
      <w:r>
        <w:t>(33)</w:t>
      </w:r>
      <w:r>
        <w:tab/>
      </w:r>
      <w:r>
        <w:rPr>
          <w:noProof/>
        </w:rPr>
        <w:t>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which do not constitute communication to the public.</w:t>
      </w:r>
    </w:p>
    <w:p w:rsidR="007649C7" w:rsidRDefault="008969B7">
      <w:pPr>
        <w:pStyle w:val="ManualConsidrant"/>
        <w:rPr>
          <w:noProof/>
        </w:rPr>
      </w:pPr>
      <w:r>
        <w:t>(34)</w:t>
      </w:r>
      <w:r>
        <w:tab/>
      </w:r>
      <w:r>
        <w:rPr>
          <w:noProof/>
        </w:rPr>
        <w:t>The rights granted to the publishers of press publications under this Directive should have the same scope as the rights of reproduction and making available to the public provided for in Directive 2001/29/EC, insofar as digital uses are concerned. They should also be subject to the same provisions on exceptions and limitations as those applicable to the rights provided for in Directive 2001/29/EC including the exception on quotation for purposes such as criticism or review laid down in Article 5(3)(d) of that Directive.</w:t>
      </w:r>
    </w:p>
    <w:p w:rsidR="007649C7" w:rsidRDefault="008969B7">
      <w:pPr>
        <w:pStyle w:val="ManualConsidrant"/>
        <w:rPr>
          <w:noProof/>
        </w:rPr>
      </w:pPr>
      <w:r>
        <w:t>(35)</w:t>
      </w:r>
      <w:r>
        <w:tab/>
      </w:r>
      <w:r>
        <w:rPr>
          <w:noProof/>
        </w:rPr>
        <w:t>The protection granted to publishers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w:t>
      </w:r>
    </w:p>
    <w:p w:rsidR="007649C7" w:rsidRDefault="008969B7">
      <w:pPr>
        <w:pStyle w:val="ManualConsidrant"/>
        <w:rPr>
          <w:noProof/>
        </w:rPr>
      </w:pPr>
      <w:r>
        <w:t>(36)</w:t>
      </w:r>
      <w:r>
        <w:tab/>
      </w:r>
      <w:r>
        <w:rPr>
          <w:noProof/>
        </w:rPr>
        <w:t>Publishers, including those of press publications, books or scientific publications, often operate on the basis of the transfer of authors' rights by means of contractual agreements or statutory provisions. In this context, publishers make an investment with a view to the exploitation of the works contained in their publications and may in some instances be deprived of revenues where such works are used under exceptions or limitations such as the ones for private copying and reprography. In a number of Member States compensation for uses under those exceptions is shared between authors and publishers. In order to take account of this situation and improve legal certainty for all concerned parties, Member States should be allowed to 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 whereas the burden on the publisher to substantiate his claim should not exceed what is required under the system in place.</w:t>
      </w:r>
    </w:p>
    <w:p w:rsidR="007649C7" w:rsidRDefault="008969B7">
      <w:pPr>
        <w:pStyle w:val="ManualConsidrant"/>
        <w:rPr>
          <w:noProof/>
        </w:rPr>
      </w:pPr>
      <w:r>
        <w:t>(37)</w:t>
      </w:r>
      <w:r>
        <w:tab/>
      </w:r>
      <w:r>
        <w:rPr>
          <w:noProof/>
        </w:rPr>
        <w:t>Over the last years, the functioning of the online content marketplace has gained in complexity. Online services providing access to copyright protected content uploaded by their users without the involvement of right holders have flourished and have become main sources of access to content online. This affects rightholders' possibilities to determine whether, and under which conditions, their work and other subject-matter are used as well as their possibilities to get an appropriate remuneration for it.</w:t>
      </w:r>
    </w:p>
    <w:p w:rsidR="007649C7" w:rsidRDefault="008969B7">
      <w:pPr>
        <w:pStyle w:val="ManualConsidrant"/>
        <w:rPr>
          <w:noProof/>
        </w:rPr>
      </w:pPr>
      <w:r>
        <w:t>(38)</w:t>
      </w:r>
      <w:r>
        <w:tab/>
      </w:r>
      <w:r>
        <w:rPr>
          <w:noProof/>
        </w:rPr>
        <w:t>Where information society service providers store and provide access to the public to copyright protected works or other subject-matter uploaded by their users, thereby going beyond the mere provision of physical facilities and performing an act of communication to the public, they are obliged to conclude licensing agreements with rightholders, unless they are eligible for the liability exemption provided in Article 14 of Directive 2000/31/EC of the European Parliament and of the Council</w:t>
      </w:r>
      <w:r>
        <w:rPr>
          <w:rStyle w:val="FootnoteReference"/>
          <w:noProof/>
        </w:rPr>
        <w:footnoteReference w:id="34"/>
      </w:r>
      <w:r>
        <w:rPr>
          <w:noProof/>
        </w:rPr>
        <w:t>.</w:t>
      </w:r>
    </w:p>
    <w:p w:rsidR="007649C7" w:rsidRDefault="008969B7">
      <w:pPr>
        <w:pStyle w:val="ManualConsidrant"/>
        <w:ind w:firstLine="0"/>
        <w:rPr>
          <w:noProof/>
        </w:rPr>
      </w:pPr>
      <w:r>
        <w:rPr>
          <w:noProof/>
        </w:rPr>
        <w:t>In respect of Article 14, it is necessary to verify whether the service provider plays an active role, including by optimising the presentation of the uploaded works or subject-matter or promoting them, irrespective of the nature of the means used therefor.</w:t>
      </w:r>
    </w:p>
    <w:p w:rsidR="007649C7" w:rsidRDefault="008969B7">
      <w:pPr>
        <w:pStyle w:val="ManualConsidrant"/>
        <w:ind w:firstLine="0"/>
        <w:rPr>
          <w:noProof/>
        </w:rPr>
      </w:pPr>
      <w:r>
        <w:rPr>
          <w:noProof/>
        </w:rPr>
        <w:t>In order to ensure the functioning of any licensing agreement, information society service providers storing and providing access to the public to large amounts of copyright protected works or other subject-matter uploaded by their users should take appropriate and proportionate measures to ensure protection of works or other subject-matter, such as implementing effective technologies. This obligation should also apply when the information society service providers are eligible for the liability exemption provided in Article 14 of Directive 2000/31/EC.</w:t>
      </w:r>
    </w:p>
    <w:p w:rsidR="007649C7" w:rsidRDefault="008969B7">
      <w:pPr>
        <w:pStyle w:val="ManualConsidrant"/>
        <w:rPr>
          <w:noProof/>
        </w:rPr>
      </w:pPr>
      <w:r>
        <w:t>(39)</w:t>
      </w:r>
      <w:r>
        <w:tab/>
      </w:r>
      <w:r>
        <w:rPr>
          <w:noProof/>
        </w:rPr>
        <w:t>Collaboration between information society service providers storing and providing access to the public to large amounts of copyright protected works or other subject-matter uploaded by their users and rightholders is essential for the functioning of technologies, such as content recognition technologies. In such cases, rightholders should provide the necessary data to allow the services to identify their content and the services should be transparent towards rightholders with regard to the deployed technologies, to allow the assessment of their appropriateness. The services should in particular provide rightholders with information on the type of technologies used, the way they are operated and their success rate for the recognition of rightholders' content. Those technologies should also allow rightholders to get information from the information society service providers on the use of their content covered by an agreement.</w:t>
      </w:r>
    </w:p>
    <w:p w:rsidR="007649C7" w:rsidRDefault="008969B7">
      <w:pPr>
        <w:pStyle w:val="ManualConsidrant"/>
        <w:rPr>
          <w:noProof/>
        </w:rPr>
      </w:pPr>
      <w:r>
        <w:t>(40)</w:t>
      </w:r>
      <w:r>
        <w:tab/>
      </w:r>
      <w:r>
        <w:rPr>
          <w:noProof/>
        </w:rPr>
        <w:t>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tend to be in a weaker contractual position when they grant licences or transfer their rights, they need information to assess the continued economic value of their rights, compared to the remuneration received for their licence or transfer, but they often face a lack of transparency. Therefore, the sharing of adequate information by their contractual counterparts or their successors in title is important for the transparency and balance in the system that governs the remuneration of authors and performers.</w:t>
      </w:r>
    </w:p>
    <w:p w:rsidR="007649C7" w:rsidRDefault="008969B7">
      <w:pPr>
        <w:pStyle w:val="ManualConsidrant"/>
        <w:rPr>
          <w:noProof/>
        </w:rPr>
      </w:pPr>
      <w:r>
        <w:t>(41)</w:t>
      </w:r>
      <w:r>
        <w:tab/>
      </w:r>
      <w:r>
        <w:rPr>
          <w:noProof/>
        </w:rPr>
        <w:t>When implementing transparency obligations, the specificities of different content sectors and of the rights of the authors and performers in each sector should be considered. Member States should consult all relevant stakeholders as that should help determine sector-specific requirements.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those are already subject to transparency obligations under Directive 2014/26/EU.</w:t>
      </w:r>
    </w:p>
    <w:p w:rsidR="007649C7" w:rsidRDefault="008969B7">
      <w:pPr>
        <w:pStyle w:val="ManualConsidrant"/>
        <w:rPr>
          <w:noProof/>
        </w:rPr>
      </w:pPr>
      <w:r>
        <w:t>(42)</w:t>
      </w:r>
      <w:r>
        <w:tab/>
      </w:r>
      <w:r>
        <w:rPr>
          <w:noProof/>
        </w:rPr>
        <w:t>Certain contracts for the exploitation of rights harmonised at Union level are of long duration, offering few possibilities for authors and performers to renegotiate them with their contractual counterparts or their successors in title. Therefore, without prejudice to the law applicable to contracts in Member States, there should be a remuneration adjustment mechanism for cases where the remuneration originally agreed under a licence or a transfer of rights is disproportionately low compared to the relevant revenues and the benefits derived from the exploitation of the work or the fixation of the performance, including in light of the transparency ensured by this Directive. The assessment of the situation should take account of the specific circumstances of each case as well as of the specificities and practices of the different content sectors. Where the parties do not agree on the adjustment of the remuneration, the author or performer should be entitled to bring a claim before a court or other competent authority.</w:t>
      </w:r>
    </w:p>
    <w:p w:rsidR="007649C7" w:rsidRDefault="008969B7">
      <w:pPr>
        <w:pStyle w:val="ManualConsidrant"/>
        <w:rPr>
          <w:noProof/>
        </w:rPr>
      </w:pPr>
      <w:r>
        <w:t>(43)</w:t>
      </w:r>
      <w:r>
        <w:tab/>
      </w:r>
      <w:r>
        <w:rPr>
          <w:noProof/>
        </w:rPr>
        <w:t>Authors and performers are often reluctant to enforce their rights against their contractual partners before a court or tribunal. Member States should therefore provide for an alternative dispute resolution procedure that addresses claims related to obligations of transparency and the contract adjustment mechanism.</w:t>
      </w:r>
    </w:p>
    <w:p w:rsidR="007649C7" w:rsidRDefault="008969B7">
      <w:pPr>
        <w:pStyle w:val="ManualConsidrant"/>
        <w:rPr>
          <w:noProof/>
        </w:rPr>
      </w:pPr>
      <w:r>
        <w:t>(44)</w:t>
      </w:r>
      <w:r>
        <w:tab/>
      </w:r>
      <w:r>
        <w:rPr>
          <w:noProof/>
        </w:rPr>
        <w:t>The objectives of this Directive, namely the modernisation of certain aspects of the Union copyright framework to take account of technological developments and new channels of distribution of protected content in the internal market, cannot be sufficiently achieved by Member States but can rather, by reason of their scale, effects and cross-border dimension, be better achieved at Union level. Therefore,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w:t>
      </w:r>
    </w:p>
    <w:p w:rsidR="007649C7" w:rsidRDefault="008969B7">
      <w:pPr>
        <w:pStyle w:val="ManualConsidrant"/>
        <w:rPr>
          <w:noProof/>
        </w:rPr>
      </w:pPr>
      <w:r>
        <w:t>(45)</w:t>
      </w:r>
      <w:r>
        <w:tab/>
      </w:r>
      <w:r>
        <w:rPr>
          <w:noProof/>
        </w:rPr>
        <w:t>This Directive respects the fundamental rights and observes the principles recognised in particular by the Charter of Fundamental Rights of the European Union. Accordingly, this Directive should be interpreted and applied in accordance with those rights and principles.</w:t>
      </w:r>
    </w:p>
    <w:p w:rsidR="007649C7" w:rsidRDefault="008969B7">
      <w:pPr>
        <w:pStyle w:val="ManualConsidrant"/>
        <w:rPr>
          <w:noProof/>
        </w:rPr>
      </w:pPr>
      <w:r>
        <w:t>(46)</w:t>
      </w:r>
      <w:r>
        <w:tab/>
      </w:r>
      <w:r>
        <w:rPr>
          <w:noProof/>
        </w:rPr>
        <w:t>Any processing of personal data under this Directive should respect fundamental rights, including the right to respect for private and family life and the right to protection of personal data under Articles 7 and 8 of the Charter of Fundamental Rights of the European Union and must be in compliance with Directive 95/46/EC of the European Parliament and of the Council</w:t>
      </w:r>
      <w:r>
        <w:rPr>
          <w:rStyle w:val="FootnoteReference"/>
          <w:noProof/>
        </w:rPr>
        <w:footnoteReference w:id="35"/>
      </w:r>
      <w:r>
        <w:rPr>
          <w:rStyle w:val="FootnoteReference"/>
          <w:noProof/>
        </w:rPr>
        <w:t xml:space="preserve"> </w:t>
      </w:r>
      <w:r>
        <w:rPr>
          <w:noProof/>
        </w:rPr>
        <w:t>and Directive 2002/58/EC of the European Parliament and of the Council</w:t>
      </w:r>
      <w:r>
        <w:rPr>
          <w:rStyle w:val="FootnoteReference"/>
          <w:noProof/>
        </w:rPr>
        <w:footnoteReference w:id="36"/>
      </w:r>
      <w:r>
        <w:rPr>
          <w:noProof/>
        </w:rPr>
        <w:t>.</w:t>
      </w:r>
    </w:p>
    <w:p w:rsidR="007649C7" w:rsidRDefault="008969B7">
      <w:pPr>
        <w:pStyle w:val="ManualConsidrant"/>
        <w:rPr>
          <w:noProof/>
        </w:rPr>
      </w:pPr>
      <w:r>
        <w:t>(47)</w:t>
      </w:r>
      <w:r>
        <w:tab/>
      </w:r>
      <w:r>
        <w:rPr>
          <w:noProof/>
        </w:rPr>
        <w:t>In accordance with the Joint Political Declaration of 28 September 2011 of Member States and the Commission on explanatory documents</w:t>
      </w:r>
      <w:r>
        <w:rPr>
          <w:rStyle w:val="FootnoteReference"/>
          <w:noProof/>
        </w:rPr>
        <w:footnoteReference w:id="37"/>
      </w:r>
      <w:r>
        <w:rPr>
          <w:noProof/>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rsidR="007649C7" w:rsidRDefault="008969B7">
      <w:pPr>
        <w:pStyle w:val="Formuledadoption"/>
        <w:rPr>
          <w:noProof/>
        </w:rPr>
      </w:pPr>
      <w:r>
        <w:rPr>
          <w:noProof/>
        </w:rPr>
        <w:t>HAVE ADOPTED THIS DIRECTIVE:</w:t>
      </w:r>
    </w:p>
    <w:p w:rsidR="007649C7" w:rsidRDefault="008969B7">
      <w:pPr>
        <w:pStyle w:val="PartTitle"/>
        <w:rPr>
          <w:noProof/>
          <w:sz w:val="28"/>
        </w:rPr>
      </w:pPr>
      <w:r>
        <w:rPr>
          <w:noProof/>
          <w:sz w:val="28"/>
        </w:rPr>
        <w:t>TITLE I</w:t>
      </w:r>
      <w:r>
        <w:rPr>
          <w:noProof/>
          <w:sz w:val="28"/>
        </w:rPr>
        <w:br/>
        <w:t>GENERAL PROVISIONS</w:t>
      </w:r>
    </w:p>
    <w:p w:rsidR="007649C7" w:rsidRDefault="008969B7">
      <w:pPr>
        <w:pStyle w:val="Titrearticle"/>
        <w:spacing w:before="120"/>
        <w:rPr>
          <w:noProof/>
        </w:rPr>
      </w:pPr>
      <w:r>
        <w:rPr>
          <w:noProof/>
        </w:rPr>
        <w:t>Article 1</w:t>
      </w:r>
      <w:r>
        <w:rPr>
          <w:noProof/>
        </w:rPr>
        <w:br/>
        <w:t>Subject matter and scope</w:t>
      </w:r>
    </w:p>
    <w:p w:rsidR="007649C7" w:rsidRDefault="008969B7">
      <w:pPr>
        <w:pStyle w:val="ManualNumPar1"/>
        <w:rPr>
          <w:noProof/>
        </w:rPr>
      </w:pPr>
      <w:r>
        <w:t>1.</w:t>
      </w:r>
      <w:r>
        <w:tab/>
      </w:r>
      <w:r>
        <w:rPr>
          <w:noProof/>
        </w:rPr>
        <w:t>This Directive lays down rules which aim at further harmonising the Union law applicable to copyright and 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p w:rsidR="007649C7" w:rsidRDefault="008969B7">
      <w:pPr>
        <w:pStyle w:val="ManualNumPar1"/>
        <w:rPr>
          <w:noProof/>
        </w:rPr>
      </w:pPr>
      <w:r>
        <w:t>2.</w:t>
      </w:r>
      <w:r>
        <w:tab/>
      </w:r>
      <w:r>
        <w:rPr>
          <w:noProof/>
        </w:rPr>
        <w:t>Except in the cases referred to in Article 6, this Directive shall leave intact and shall in no way affect existing rules laid down in the Directives currently in force in this area, in particular Directives 96/9/EC, 2001/29/EC, 2006/115/EC, 2009/24/EC, 2012/28/EU and 2014/26/EU.</w:t>
      </w:r>
    </w:p>
    <w:p w:rsidR="007649C7" w:rsidRDefault="008969B7">
      <w:pPr>
        <w:pStyle w:val="Titrearticle"/>
        <w:spacing w:before="120"/>
        <w:rPr>
          <w:noProof/>
        </w:rPr>
      </w:pPr>
      <w:r>
        <w:rPr>
          <w:noProof/>
        </w:rPr>
        <w:t>Article 2</w:t>
      </w:r>
      <w:r>
        <w:rPr>
          <w:noProof/>
        </w:rPr>
        <w:br/>
        <w:t>Definitions</w:t>
      </w:r>
    </w:p>
    <w:p w:rsidR="007649C7" w:rsidRDefault="008969B7">
      <w:pPr>
        <w:rPr>
          <w:noProof/>
        </w:rPr>
      </w:pPr>
      <w:r>
        <w:rPr>
          <w:noProof/>
        </w:rPr>
        <w:t>For the purposes of this Directive, the following definitions shall apply:</w:t>
      </w:r>
    </w:p>
    <w:p w:rsidR="007649C7" w:rsidRDefault="008969B7">
      <w:pPr>
        <w:pStyle w:val="Point1number"/>
        <w:numPr>
          <w:ilvl w:val="2"/>
          <w:numId w:val="8"/>
        </w:numPr>
        <w:tabs>
          <w:tab w:val="clear" w:pos="1417"/>
          <w:tab w:val="num" w:pos="851"/>
        </w:tabs>
        <w:ind w:left="851" w:hanging="851"/>
        <w:rPr>
          <w:noProof/>
        </w:rPr>
      </w:pPr>
      <w:r>
        <w:rPr>
          <w:noProof/>
        </w:rPr>
        <w:t>‘research organisation’ means a university, a research institute or any other organisation the primary goal of which is to conduct scientific research or to conduct scientific research and provide educational services:</w:t>
      </w:r>
    </w:p>
    <w:p w:rsidR="007649C7" w:rsidRDefault="008969B7">
      <w:pPr>
        <w:pStyle w:val="Point1letter"/>
        <w:rPr>
          <w:noProof/>
        </w:rPr>
      </w:pPr>
      <w:r>
        <w:rPr>
          <w:noProof/>
        </w:rPr>
        <w:t>on a non-for-profit basis or by reinvesting all the profits in its scientific research; or</w:t>
      </w:r>
    </w:p>
    <w:p w:rsidR="007649C7" w:rsidRDefault="008969B7">
      <w:pPr>
        <w:pStyle w:val="Point1letter"/>
        <w:rPr>
          <w:noProof/>
        </w:rPr>
      </w:pPr>
      <w:r>
        <w:rPr>
          <w:noProof/>
        </w:rPr>
        <w:t>pursuant to a public interest mission recognised by a Member State;</w:t>
      </w:r>
    </w:p>
    <w:p w:rsidR="007649C7" w:rsidRDefault="008969B7">
      <w:pPr>
        <w:pStyle w:val="Text1"/>
        <w:tabs>
          <w:tab w:val="num" w:pos="993"/>
        </w:tabs>
        <w:ind w:left="851" w:hanging="851"/>
        <w:rPr>
          <w:noProof/>
        </w:rPr>
      </w:pPr>
      <w:r>
        <w:rPr>
          <w:noProof/>
        </w:rPr>
        <w:tab/>
        <w:t>in such a way that the access to the results generated by the scientific research cannot be enjoyed on a preferential basis by an undertaking exercising a decisive influence upon such organisation;</w:t>
      </w:r>
    </w:p>
    <w:p w:rsidR="007649C7" w:rsidRDefault="008969B7">
      <w:pPr>
        <w:pStyle w:val="Point1number"/>
        <w:numPr>
          <w:ilvl w:val="2"/>
          <w:numId w:val="8"/>
        </w:numPr>
        <w:tabs>
          <w:tab w:val="clear" w:pos="1417"/>
          <w:tab w:val="num" w:pos="851"/>
        </w:tabs>
        <w:ind w:left="851" w:hanging="851"/>
        <w:rPr>
          <w:noProof/>
        </w:rPr>
      </w:pPr>
      <w:r>
        <w:rPr>
          <w:noProof/>
        </w:rPr>
        <w:t>‘text and data mining’ means any automated analytical technique aiming to analyse text and data in digital form in order to generate information such as patterns, trends and correlations;</w:t>
      </w:r>
    </w:p>
    <w:p w:rsidR="007649C7" w:rsidRDefault="008969B7">
      <w:pPr>
        <w:pStyle w:val="Point1number"/>
        <w:numPr>
          <w:ilvl w:val="2"/>
          <w:numId w:val="8"/>
        </w:numPr>
        <w:tabs>
          <w:tab w:val="clear" w:pos="1417"/>
          <w:tab w:val="num" w:pos="851"/>
        </w:tabs>
        <w:ind w:left="851" w:hanging="851"/>
        <w:rPr>
          <w:noProof/>
        </w:rPr>
      </w:pPr>
      <w:r>
        <w:rPr>
          <w:noProof/>
        </w:rPr>
        <w:t>‘cultural heritage institution’ means a publicly accessible library or museum, an archive or a film or audio heritage institution;</w:t>
      </w:r>
    </w:p>
    <w:p w:rsidR="007649C7" w:rsidRDefault="008969B7">
      <w:pPr>
        <w:pStyle w:val="Point1number"/>
        <w:numPr>
          <w:ilvl w:val="2"/>
          <w:numId w:val="8"/>
        </w:numPr>
        <w:tabs>
          <w:tab w:val="clear" w:pos="1417"/>
          <w:tab w:val="num" w:pos="851"/>
        </w:tabs>
        <w:ind w:left="851" w:hanging="851"/>
        <w:rPr>
          <w:noProof/>
        </w:rPr>
      </w:pPr>
      <w:r>
        <w:rPr>
          <w:noProof/>
        </w:rPr>
        <w:t xml:space="preserve">‘press publication’ means a fixation of a collection of literary works of a journalistic nature, which may also comprise other works or subject-matter and constitutes an individual item within a periodical or regularly-updated publication under a single title, such as a newspaper or a general or special interest magazine, having the purpose of providing information related to news or other topics and published in any </w:t>
      </w:r>
      <w:r>
        <w:rPr>
          <w:rFonts w:eastAsia="Times New Roman"/>
          <w:noProof/>
        </w:rPr>
        <w:t>media</w:t>
      </w:r>
      <w:r>
        <w:rPr>
          <w:noProof/>
        </w:rPr>
        <w:t xml:space="preserve"> under the initiative, editorial responsibility and control of a service provider.</w:t>
      </w:r>
    </w:p>
    <w:p w:rsidR="007649C7" w:rsidRDefault="008969B7">
      <w:pPr>
        <w:pStyle w:val="PartTitle"/>
        <w:rPr>
          <w:noProof/>
          <w:sz w:val="28"/>
        </w:rPr>
      </w:pPr>
      <w:r>
        <w:rPr>
          <w:noProof/>
          <w:sz w:val="28"/>
        </w:rPr>
        <w:t>TITLE II</w:t>
      </w:r>
      <w:r>
        <w:rPr>
          <w:noProof/>
          <w:sz w:val="28"/>
        </w:rPr>
        <w:br/>
        <w:t>MEASURES TO ADAPT EXCEPTIONS AND LIMITATIONS TO THE DIGITAL AND CROSS-BORDER ENVIRONMENT</w:t>
      </w:r>
    </w:p>
    <w:p w:rsidR="007649C7" w:rsidRDefault="008969B7">
      <w:pPr>
        <w:pStyle w:val="Titrearticle"/>
        <w:spacing w:before="120"/>
        <w:rPr>
          <w:noProof/>
        </w:rPr>
      </w:pPr>
      <w:r>
        <w:rPr>
          <w:noProof/>
        </w:rPr>
        <w:t>Article 3</w:t>
      </w:r>
      <w:r>
        <w:rPr>
          <w:noProof/>
        </w:rPr>
        <w:br/>
        <w:t>Text and data mining</w:t>
      </w:r>
    </w:p>
    <w:p w:rsidR="007649C7" w:rsidRDefault="008969B7">
      <w:pPr>
        <w:pStyle w:val="ManualNumPar1"/>
        <w:rPr>
          <w:noProof/>
        </w:rPr>
      </w:pPr>
      <w:r>
        <w:t>1.</w:t>
      </w:r>
      <w:r>
        <w:tab/>
      </w:r>
      <w:r>
        <w:rPr>
          <w:noProof/>
        </w:rPr>
        <w:t>Member States shall provide for an exception to the rights provided for in Article 2 of Directive 2001/29/EC, Articles 5(a) and 7(1) of Directive 96/9/EC and Article 11(1) of this Directive for reproductions and extractions made by research organisations in order to carry out text and data mining of works or other subject-matter to which they have lawful access for the purposes of scientific research.</w:t>
      </w:r>
    </w:p>
    <w:p w:rsidR="007649C7" w:rsidRDefault="008969B7">
      <w:pPr>
        <w:pStyle w:val="ManualNumPar1"/>
        <w:rPr>
          <w:noProof/>
        </w:rPr>
      </w:pPr>
      <w:r>
        <w:t>2.</w:t>
      </w:r>
      <w:r>
        <w:tab/>
      </w:r>
      <w:r>
        <w:rPr>
          <w:noProof/>
        </w:rPr>
        <w:t>Any contractual provision contrary to the exception provided for in paragraph 1 shall be unenforceable.</w:t>
      </w:r>
    </w:p>
    <w:p w:rsidR="007649C7" w:rsidRDefault="008969B7">
      <w:pPr>
        <w:pStyle w:val="ManualNumPar1"/>
        <w:rPr>
          <w:noProof/>
        </w:rPr>
      </w:pPr>
      <w:r>
        <w:t>3.</w:t>
      </w:r>
      <w:r>
        <w:tab/>
      </w:r>
      <w:r>
        <w:rPr>
          <w:noProof/>
        </w:rPr>
        <w:t>Rightholders shall be allowed to apply measures to ensure the security and integrity of the networks and databases where the works or other subject-matter are hosted. Such measures shall not go beyond what is necessary to achieve that objective.</w:t>
      </w:r>
    </w:p>
    <w:p w:rsidR="007649C7" w:rsidRDefault="008969B7">
      <w:pPr>
        <w:pStyle w:val="ManualNumPar1"/>
        <w:rPr>
          <w:noProof/>
        </w:rPr>
      </w:pPr>
      <w:r>
        <w:t>4.</w:t>
      </w:r>
      <w:r>
        <w:tab/>
      </w:r>
      <w:r>
        <w:rPr>
          <w:noProof/>
        </w:rPr>
        <w:t>Member States shall encourage rightholders and research organisations to define commonly-agreed best practices concerning the application of the measures referred to in paragraph 3.</w:t>
      </w:r>
    </w:p>
    <w:p w:rsidR="007649C7" w:rsidRDefault="008969B7">
      <w:pPr>
        <w:pStyle w:val="Titrearticle"/>
        <w:spacing w:before="120"/>
        <w:rPr>
          <w:noProof/>
        </w:rPr>
      </w:pPr>
      <w:r>
        <w:rPr>
          <w:noProof/>
        </w:rPr>
        <w:t>Article 4</w:t>
      </w:r>
      <w:r>
        <w:rPr>
          <w:noProof/>
        </w:rPr>
        <w:br/>
        <w:t>Use of works and other subject-matter in digital and cross-border teaching activities</w:t>
      </w:r>
    </w:p>
    <w:p w:rsidR="007649C7" w:rsidRDefault="008969B7">
      <w:pPr>
        <w:pStyle w:val="ManualNumPar1"/>
        <w:rPr>
          <w:noProof/>
        </w:rPr>
      </w:pPr>
      <w:r>
        <w:t>1.</w:t>
      </w:r>
      <w:r>
        <w:tab/>
      </w:r>
      <w:r>
        <w:rPr>
          <w:noProof/>
        </w:rPr>
        <w:t>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to the extent justified by the non-commercial purpose to be achieved, provided that the use:</w:t>
      </w:r>
    </w:p>
    <w:p w:rsidR="007649C7" w:rsidRDefault="008969B7">
      <w:pPr>
        <w:pStyle w:val="Point1letter"/>
        <w:numPr>
          <w:ilvl w:val="3"/>
          <w:numId w:val="8"/>
        </w:numPr>
        <w:pBdr>
          <w:top w:val="nil"/>
          <w:left w:val="nil"/>
          <w:bottom w:val="nil"/>
          <w:right w:val="nil"/>
          <w:between w:val="nil"/>
          <w:bar w:val="nil"/>
        </w:pBdr>
        <w:tabs>
          <w:tab w:val="left" w:pos="1417"/>
        </w:tabs>
        <w:rPr>
          <w:noProof/>
        </w:rPr>
      </w:pPr>
      <w:r>
        <w:rPr>
          <w:noProof/>
        </w:rPr>
        <w:t>takes place on the premises of an educational establishment or through a secure electronic network accessible only by the educational establishment's pupils or students and teaching staff;</w:t>
      </w:r>
    </w:p>
    <w:p w:rsidR="007649C7" w:rsidRDefault="008969B7">
      <w:pPr>
        <w:pStyle w:val="Point1letter"/>
        <w:numPr>
          <w:ilvl w:val="3"/>
          <w:numId w:val="8"/>
        </w:numPr>
        <w:pBdr>
          <w:top w:val="nil"/>
          <w:left w:val="nil"/>
          <w:bottom w:val="nil"/>
          <w:right w:val="nil"/>
          <w:between w:val="nil"/>
          <w:bar w:val="nil"/>
        </w:pBdr>
        <w:tabs>
          <w:tab w:val="left" w:pos="1417"/>
        </w:tabs>
        <w:rPr>
          <w:noProof/>
        </w:rPr>
      </w:pPr>
      <w:r>
        <w:rPr>
          <w:noProof/>
        </w:rPr>
        <w:t>is accompanied by the indication of the source, including the author's name, unless this turns out to be impossible.</w:t>
      </w:r>
    </w:p>
    <w:p w:rsidR="007649C7" w:rsidRDefault="008969B7">
      <w:pPr>
        <w:pStyle w:val="ManualNumPar1"/>
        <w:rPr>
          <w:noProof/>
        </w:rPr>
      </w:pPr>
      <w:r>
        <w:t>2.</w:t>
      </w:r>
      <w:r>
        <w:tab/>
      </w:r>
      <w:r>
        <w:rPr>
          <w:noProof/>
        </w:rPr>
        <w:t>Member States may provide that the exception adopted pursuant to paragraph 1 does not apply generally or as regards specific types of works or other subject-matter, to the extent that adequate licences authorising the acts described in paragraph 1 are easily available in the market.</w:t>
      </w:r>
    </w:p>
    <w:p w:rsidR="007649C7" w:rsidRDefault="008969B7">
      <w:pPr>
        <w:pStyle w:val="Text1"/>
        <w:rPr>
          <w:noProof/>
        </w:rPr>
      </w:pPr>
      <w:r>
        <w:rPr>
          <w:noProof/>
        </w:rPr>
        <w:t>Member States availing themselves of the provision of the first subparagraph shall take the necessary measures to ensure appropriate availability and visibility of the licences authorising the acts described in paragraph 1 for educational establishments.</w:t>
      </w:r>
    </w:p>
    <w:p w:rsidR="007649C7" w:rsidRDefault="008969B7">
      <w:pPr>
        <w:pStyle w:val="ManualNumPar1"/>
        <w:rPr>
          <w:noProof/>
        </w:rPr>
      </w:pPr>
      <w:r>
        <w:t>3.</w:t>
      </w:r>
      <w:r>
        <w:tab/>
      </w:r>
      <w:r>
        <w:rPr>
          <w:noProof/>
        </w:rPr>
        <w:t>The use of works and other subject-matter for the sole purpose of illustration for teaching through secure electronic networks undertaken in compliance with the provisions of national law adopted pursuant to this Article shall be deemed to occur solely in the Member State where the educational establishment is established.</w:t>
      </w:r>
    </w:p>
    <w:p w:rsidR="007649C7" w:rsidRDefault="008969B7">
      <w:pPr>
        <w:pStyle w:val="ManualNumPar1"/>
        <w:rPr>
          <w:noProof/>
        </w:rPr>
      </w:pPr>
      <w:r>
        <w:t>4.</w:t>
      </w:r>
      <w:r>
        <w:tab/>
      </w:r>
      <w:r>
        <w:rPr>
          <w:noProof/>
        </w:rPr>
        <w:t>Member States may provide for fair compensation for the harm incurred by the rightholders due to the use of their works or other subject-matter pursuant to paragraph 1.</w:t>
      </w:r>
    </w:p>
    <w:p w:rsidR="007649C7" w:rsidRDefault="008969B7">
      <w:pPr>
        <w:pStyle w:val="Titrearticle"/>
        <w:spacing w:before="120"/>
        <w:rPr>
          <w:noProof/>
        </w:rPr>
      </w:pPr>
      <w:r>
        <w:rPr>
          <w:noProof/>
          <w:szCs w:val="24"/>
        </w:rPr>
        <w:t>Article 5</w:t>
      </w:r>
      <w:r>
        <w:rPr>
          <w:noProof/>
          <w:szCs w:val="24"/>
        </w:rPr>
        <w:br/>
      </w:r>
      <w:r>
        <w:rPr>
          <w:noProof/>
        </w:rPr>
        <w:t>Preservation of cultural heritage</w:t>
      </w:r>
    </w:p>
    <w:p w:rsidR="007649C7" w:rsidRDefault="008969B7">
      <w:pPr>
        <w:rPr>
          <w:noProof/>
          <w:szCs w:val="24"/>
        </w:rPr>
      </w:pPr>
      <w:r>
        <w:rPr>
          <w:noProof/>
          <w:szCs w:val="24"/>
        </w:rPr>
        <w:t xml:space="preserve">Member States shall provide for an exception to the rights provided for in Article 2 of Directive 2001/29/EC, Articles 5(a) and 7(1) of Directive 96/9/EC, Article 4(1)(a) of Directive 2009/24/EC </w:t>
      </w:r>
      <w:r>
        <w:rPr>
          <w:rFonts w:eastAsia="Times New Roman"/>
          <w:noProof/>
          <w:szCs w:val="24"/>
        </w:rPr>
        <w:t>and Article 11(1) of this Directive</w:t>
      </w:r>
      <w:r>
        <w:rPr>
          <w:noProof/>
          <w:szCs w:val="24"/>
        </w:rPr>
        <w:t>, permitting cultural heritage institutions, to make copies of any works or other subject-matter that are permanently in their collections, in any format or medium, for the sole purpose of the preservation of such works or other subject-matter and to the extent necessary for such preservation.</w:t>
      </w:r>
    </w:p>
    <w:p w:rsidR="007649C7" w:rsidRDefault="008969B7">
      <w:pPr>
        <w:pStyle w:val="Titrearticle"/>
        <w:spacing w:before="120"/>
        <w:rPr>
          <w:noProof/>
        </w:rPr>
      </w:pPr>
      <w:r>
        <w:rPr>
          <w:noProof/>
          <w:szCs w:val="24"/>
        </w:rPr>
        <w:t>Article 6</w:t>
      </w:r>
      <w:r>
        <w:rPr>
          <w:noProof/>
          <w:szCs w:val="24"/>
        </w:rPr>
        <w:br/>
        <w:t>Common provisions</w:t>
      </w:r>
    </w:p>
    <w:p w:rsidR="007649C7" w:rsidRDefault="008969B7">
      <w:pPr>
        <w:rPr>
          <w:noProof/>
          <w:szCs w:val="24"/>
        </w:rPr>
      </w:pPr>
      <w:r>
        <w:rPr>
          <w:noProof/>
          <w:szCs w:val="24"/>
        </w:rPr>
        <w:t>Article 5(5) and the first, third and fifth subparagraphs of Article 6(4) of Directive 2001/29/EC shall apply to the exceptions and the limitation provided for under this Title.</w:t>
      </w:r>
    </w:p>
    <w:p w:rsidR="007649C7" w:rsidRDefault="008969B7">
      <w:pPr>
        <w:pStyle w:val="PartTitle"/>
        <w:rPr>
          <w:noProof/>
          <w:sz w:val="28"/>
        </w:rPr>
      </w:pPr>
      <w:r>
        <w:rPr>
          <w:noProof/>
          <w:sz w:val="28"/>
        </w:rPr>
        <w:t>TITLE III</w:t>
      </w:r>
      <w:r>
        <w:rPr>
          <w:noProof/>
          <w:sz w:val="28"/>
        </w:rPr>
        <w:br/>
        <w:t>MEASURES TO IMPROVE LICENSING PRACTICES AND ENSURE WIDER ACCESS TO CONTENT</w:t>
      </w:r>
    </w:p>
    <w:p w:rsidR="007649C7" w:rsidRDefault="008969B7">
      <w:pPr>
        <w:pStyle w:val="ChapterTitle"/>
        <w:rPr>
          <w:noProof/>
          <w:sz w:val="28"/>
        </w:rPr>
      </w:pPr>
      <w:r>
        <w:rPr>
          <w:noProof/>
          <w:sz w:val="28"/>
        </w:rPr>
        <w:t>CHAPTER 1</w:t>
      </w:r>
      <w:r>
        <w:rPr>
          <w:noProof/>
          <w:sz w:val="28"/>
        </w:rPr>
        <w:br/>
        <w:t>Out-of-commerce works</w:t>
      </w:r>
    </w:p>
    <w:p w:rsidR="007649C7" w:rsidRDefault="008969B7">
      <w:pPr>
        <w:pStyle w:val="Titrearticle"/>
        <w:spacing w:before="120"/>
        <w:rPr>
          <w:noProof/>
        </w:rPr>
      </w:pPr>
      <w:r>
        <w:rPr>
          <w:noProof/>
        </w:rPr>
        <w:t>Article 7</w:t>
      </w:r>
      <w:r>
        <w:rPr>
          <w:noProof/>
        </w:rPr>
        <w:br/>
        <w:t>Use of out-of-commerce works by cultural heritage institutions</w:t>
      </w:r>
    </w:p>
    <w:p w:rsidR="007649C7" w:rsidRDefault="008969B7">
      <w:pPr>
        <w:pStyle w:val="ManualNumPar1"/>
        <w:rPr>
          <w:noProof/>
        </w:rPr>
      </w:pPr>
      <w:r>
        <w:t>1.</w:t>
      </w:r>
      <w:r>
        <w:tab/>
      </w:r>
      <w:r>
        <w:rPr>
          <w:noProof/>
        </w:rPr>
        <w:t>Member States shall provide that when a collective management organisation, on behalf of its members, concludes a non-exclusive licence for non-commercial purposes with a cultural heritage institution for the digitisation, distribution, communication to the public or making available of out-of-commerce works or other subject-matter permanently in the collection of the institution, such a non-exclusive licence may be extended or presumed to apply to rightholders of the same category as those covered by the licence who are not represented by the collective management organisation, provided that:</w:t>
      </w:r>
    </w:p>
    <w:p w:rsidR="007649C7" w:rsidRDefault="008969B7">
      <w:pPr>
        <w:pStyle w:val="Point1letter"/>
        <w:numPr>
          <w:ilvl w:val="3"/>
          <w:numId w:val="12"/>
        </w:numPr>
        <w:rPr>
          <w:noProof/>
        </w:rPr>
      </w:pPr>
      <w:r>
        <w:rPr>
          <w:noProof/>
        </w:rPr>
        <w:t>the collective management organisation is, on the basis of mandates from rightholders, broadly representative of rightholders in the category of works or other subject-matter and of the rights which are the subject of the licence;</w:t>
      </w:r>
    </w:p>
    <w:p w:rsidR="007649C7" w:rsidRDefault="008969B7">
      <w:pPr>
        <w:pStyle w:val="Point1letter"/>
        <w:numPr>
          <w:ilvl w:val="3"/>
          <w:numId w:val="8"/>
        </w:numPr>
        <w:rPr>
          <w:noProof/>
        </w:rPr>
      </w:pPr>
      <w:r>
        <w:rPr>
          <w:noProof/>
        </w:rPr>
        <w:t>equal treatment is guaranteed to all rightholders in relation to the terms of the licence;</w:t>
      </w:r>
    </w:p>
    <w:p w:rsidR="007649C7" w:rsidRDefault="008969B7">
      <w:pPr>
        <w:pStyle w:val="Point1letter"/>
        <w:numPr>
          <w:ilvl w:val="3"/>
          <w:numId w:val="8"/>
        </w:numPr>
        <w:rPr>
          <w:noProof/>
        </w:rPr>
      </w:pPr>
      <w:r>
        <w:rPr>
          <w:noProof/>
        </w:rPr>
        <w:t>all rightholders may at any time object to their works or other subject-matter being deemed to be out of commerce and exclude the application of the licence to their works or other subject-matter.</w:t>
      </w:r>
    </w:p>
    <w:p w:rsidR="007649C7" w:rsidRDefault="008969B7">
      <w:pPr>
        <w:pStyle w:val="ManualNumPar1"/>
        <w:rPr>
          <w:noProof/>
        </w:rPr>
      </w:pPr>
      <w:r>
        <w:t>2.</w:t>
      </w:r>
      <w:r>
        <w:tab/>
      </w:r>
      <w:r>
        <w:rPr>
          <w:noProof/>
        </w:rPr>
        <w:t xml:space="preserve">A work or other subject-matter shall be deemed to be out of commerce when the whole work or other subject-matter, in all its translations, versions and manifestations, is not available to the public through customary channels of commerce and cannot be reasonably expected to become so. </w:t>
      </w:r>
    </w:p>
    <w:p w:rsidR="007649C7" w:rsidRDefault="008969B7">
      <w:pPr>
        <w:pStyle w:val="Text1"/>
        <w:rPr>
          <w:noProof/>
        </w:rPr>
      </w:pPr>
      <w:r>
        <w:rPr>
          <w:noProof/>
        </w:rPr>
        <w:t>Member States shall, in consultation with rightholders, collective management organisations and cultural heritage institutions, ensure that the requirements used to determine whether works and other subject-matter can be licensed in accordance with paragraph 1 do not extend beyond what is necessary and reasonable and do not preclude the possibility to determine the out-of-commerce status of a collection as a whole, when it is reasonable to presume that all works or other subject-matter in the collection are out of commerce.</w:t>
      </w:r>
    </w:p>
    <w:p w:rsidR="007649C7" w:rsidRDefault="008969B7">
      <w:pPr>
        <w:pStyle w:val="ManualNumPar1"/>
        <w:rPr>
          <w:noProof/>
        </w:rPr>
      </w:pPr>
      <w:r>
        <w:t>3.</w:t>
      </w:r>
      <w:r>
        <w:tab/>
      </w:r>
      <w:r>
        <w:rPr>
          <w:noProof/>
        </w:rPr>
        <w:t>Member States shall provide that appropriate publicity measures are taken regarding:</w:t>
      </w:r>
    </w:p>
    <w:p w:rsidR="007649C7" w:rsidRDefault="008969B7">
      <w:pPr>
        <w:pStyle w:val="Point1letter"/>
        <w:numPr>
          <w:ilvl w:val="3"/>
          <w:numId w:val="13"/>
        </w:numPr>
        <w:rPr>
          <w:noProof/>
        </w:rPr>
      </w:pPr>
      <w:r>
        <w:rPr>
          <w:noProof/>
        </w:rPr>
        <w:t>the deeming of works or other subject-matter as out of commerce;</w:t>
      </w:r>
    </w:p>
    <w:p w:rsidR="007649C7" w:rsidRDefault="008969B7">
      <w:pPr>
        <w:pStyle w:val="Point1letter"/>
        <w:numPr>
          <w:ilvl w:val="3"/>
          <w:numId w:val="8"/>
        </w:numPr>
        <w:rPr>
          <w:noProof/>
        </w:rPr>
      </w:pPr>
      <w:r>
        <w:rPr>
          <w:noProof/>
        </w:rPr>
        <w:t>the licence, and in particular its application to unrepresented rightholders;</w:t>
      </w:r>
    </w:p>
    <w:p w:rsidR="007649C7" w:rsidRDefault="008969B7">
      <w:pPr>
        <w:pStyle w:val="Point1letter"/>
        <w:numPr>
          <w:ilvl w:val="3"/>
          <w:numId w:val="8"/>
        </w:numPr>
        <w:rPr>
          <w:noProof/>
        </w:rPr>
      </w:pPr>
      <w:r>
        <w:rPr>
          <w:noProof/>
        </w:rPr>
        <w:t>the possibility of rightholders to object, referred to in point (c) of paragraph 1;</w:t>
      </w:r>
    </w:p>
    <w:p w:rsidR="007649C7" w:rsidRDefault="008969B7">
      <w:pPr>
        <w:pStyle w:val="Text1"/>
        <w:rPr>
          <w:noProof/>
        </w:rPr>
      </w:pPr>
      <w:r>
        <w:rPr>
          <w:noProof/>
        </w:rPr>
        <w:t>including during a reasonable period of time before the works or other subject-matter are digitised, distributed, communicated to the public or made available.</w:t>
      </w:r>
    </w:p>
    <w:p w:rsidR="007649C7" w:rsidRDefault="008969B7">
      <w:pPr>
        <w:pStyle w:val="ManualNumPar1"/>
        <w:rPr>
          <w:noProof/>
        </w:rPr>
      </w:pPr>
      <w:r>
        <w:t>4.</w:t>
      </w:r>
      <w:r>
        <w:tab/>
      </w:r>
      <w:r>
        <w:rPr>
          <w:noProof/>
        </w:rPr>
        <w:t>Member States shall ensure that the licences referred to in paragraph 1 are sought from a collective management organisation that is representative for the Member State where:</w:t>
      </w:r>
    </w:p>
    <w:p w:rsidR="007649C7" w:rsidRDefault="008969B7">
      <w:pPr>
        <w:pStyle w:val="Point1letter"/>
        <w:numPr>
          <w:ilvl w:val="3"/>
          <w:numId w:val="14"/>
        </w:numPr>
        <w:rPr>
          <w:noProof/>
        </w:rPr>
      </w:pPr>
      <w:r>
        <w:rPr>
          <w:noProof/>
        </w:rPr>
        <w:t>the works or phonograms were first published or, in the absence of publication, where they were first broadcast, except for cinematographic and audiovisual works;</w:t>
      </w:r>
    </w:p>
    <w:p w:rsidR="007649C7" w:rsidRDefault="008969B7">
      <w:pPr>
        <w:pStyle w:val="Point1letter"/>
        <w:numPr>
          <w:ilvl w:val="3"/>
          <w:numId w:val="8"/>
        </w:numPr>
        <w:rPr>
          <w:noProof/>
        </w:rPr>
      </w:pPr>
      <w:r>
        <w:rPr>
          <w:noProof/>
        </w:rPr>
        <w:t>the producers of the works have their headquarters or habitual residence, for cinematographic and audiovisual works; or</w:t>
      </w:r>
    </w:p>
    <w:p w:rsidR="007649C7" w:rsidRDefault="008969B7">
      <w:pPr>
        <w:pStyle w:val="Point1letter"/>
        <w:numPr>
          <w:ilvl w:val="3"/>
          <w:numId w:val="8"/>
        </w:numPr>
        <w:rPr>
          <w:noProof/>
        </w:rPr>
      </w:pPr>
      <w:r>
        <w:rPr>
          <w:noProof/>
        </w:rPr>
        <w:t>the cultural heritage institution is established, when a Member State or a third country could not be determined, after reasonable efforts, according to points (a) and (b).</w:t>
      </w:r>
    </w:p>
    <w:p w:rsidR="007649C7" w:rsidRDefault="008969B7">
      <w:pPr>
        <w:pStyle w:val="ManualNumPar1"/>
        <w:rPr>
          <w:noProof/>
        </w:rPr>
      </w:pPr>
      <w:r>
        <w:t>5.</w:t>
      </w:r>
      <w:r>
        <w:tab/>
      </w:r>
      <w:r>
        <w:rPr>
          <w:noProof/>
        </w:rPr>
        <w:t>Paragraphs 1, 2 and 3 shall not apply to the works or other subject-matter of third country nationals except where points (a) and (b) of paragraph 4 apply.</w:t>
      </w:r>
    </w:p>
    <w:p w:rsidR="007649C7" w:rsidRDefault="008969B7">
      <w:pPr>
        <w:pStyle w:val="Titrearticle"/>
        <w:spacing w:before="120"/>
        <w:rPr>
          <w:noProof/>
        </w:rPr>
      </w:pPr>
      <w:r>
        <w:rPr>
          <w:noProof/>
        </w:rPr>
        <w:t>Article 8</w:t>
      </w:r>
      <w:r>
        <w:rPr>
          <w:noProof/>
        </w:rPr>
        <w:br/>
        <w:t>Cross-border uses</w:t>
      </w:r>
    </w:p>
    <w:p w:rsidR="007649C7" w:rsidRDefault="008969B7">
      <w:pPr>
        <w:pStyle w:val="ManualNumPar1"/>
        <w:rPr>
          <w:noProof/>
        </w:rPr>
      </w:pPr>
      <w:r>
        <w:t>1.</w:t>
      </w:r>
      <w:r>
        <w:tab/>
      </w:r>
      <w:r>
        <w:rPr>
          <w:noProof/>
        </w:rPr>
        <w:t>Works or other subject-matter covered by a licence granted in accordance with Article 7 may be used by the cultural heritage institution in accordance with the terms of the licence in all Member States.</w:t>
      </w:r>
    </w:p>
    <w:p w:rsidR="007649C7" w:rsidRDefault="008969B7">
      <w:pPr>
        <w:pStyle w:val="ManualNumPar1"/>
        <w:rPr>
          <w:noProof/>
        </w:rPr>
      </w:pPr>
      <w:r>
        <w:t>2.</w:t>
      </w:r>
      <w:r>
        <w:tab/>
      </w:r>
      <w:r>
        <w:rPr>
          <w:noProof/>
        </w:rPr>
        <w:t>Member States shall ensure that information that allows the identification of the works or other subject-matter covered by a licence granted in accordance with Article 7 and information about the possibility of rightholders to object referred to in Article 7(1)(c) are made publicly accessible in a single online portal for at least six months before the works or other subject-matter are digitised, distributed, communicated to the public or made available in Member States other than the one where the licence is granted, and for the whole duration of the licence.</w:t>
      </w:r>
    </w:p>
    <w:p w:rsidR="007649C7" w:rsidRDefault="008969B7">
      <w:pPr>
        <w:pStyle w:val="ManualNumPar1"/>
        <w:rPr>
          <w:noProof/>
        </w:rPr>
      </w:pPr>
      <w:r>
        <w:t>3.</w:t>
      </w:r>
      <w:r>
        <w:tab/>
      </w:r>
      <w:r>
        <w:rPr>
          <w:noProof/>
        </w:rPr>
        <w:t>The portal referred to in paragraph 2 shall be established and managed by the European Union Intellectual Property Office in accordance with Regulation (EU) No 386/2012.</w:t>
      </w:r>
    </w:p>
    <w:p w:rsidR="007649C7" w:rsidRDefault="008969B7">
      <w:pPr>
        <w:pStyle w:val="Titrearticle"/>
        <w:spacing w:before="120"/>
        <w:rPr>
          <w:noProof/>
        </w:rPr>
      </w:pPr>
      <w:r>
        <w:rPr>
          <w:noProof/>
        </w:rPr>
        <w:t>Article 9</w:t>
      </w:r>
      <w:r>
        <w:rPr>
          <w:noProof/>
        </w:rPr>
        <w:br/>
        <w:t>Stakeholder dialogue</w:t>
      </w:r>
    </w:p>
    <w:p w:rsidR="007649C7" w:rsidRDefault="008969B7">
      <w:pPr>
        <w:rPr>
          <w:noProof/>
        </w:rPr>
      </w:pPr>
      <w:r>
        <w:rPr>
          <w:noProof/>
        </w:rPr>
        <w:t>Member States shall ensure a regular dialogue between representative users' and rightholders' organisations, and any other relevant stakeholder organisations, to, on a sector-specific basis, foster the relevance and usability of the licensing mechanisms referred to in Article 7(1), ensure the effectiveness of the safeguards for rightholders referred to in this Chapter, notably as regards publicity measures, and, where applicable, assist in the establishment of the requirements referred to in the second subparagraph of Article 7(2).</w:t>
      </w:r>
    </w:p>
    <w:p w:rsidR="007649C7" w:rsidRDefault="008969B7">
      <w:pPr>
        <w:pStyle w:val="ChapterTitle"/>
        <w:rPr>
          <w:noProof/>
          <w:sz w:val="28"/>
        </w:rPr>
      </w:pPr>
      <w:r>
        <w:rPr>
          <w:noProof/>
          <w:sz w:val="28"/>
        </w:rPr>
        <w:t>CHAPTER 2</w:t>
      </w:r>
      <w:r>
        <w:rPr>
          <w:noProof/>
          <w:sz w:val="28"/>
        </w:rPr>
        <w:br/>
        <w:t>Access to and availability of audiovisual works on video-on-demand platforms</w:t>
      </w:r>
    </w:p>
    <w:p w:rsidR="007649C7" w:rsidRDefault="008969B7">
      <w:pPr>
        <w:pStyle w:val="Titrearticle"/>
        <w:spacing w:before="120"/>
        <w:rPr>
          <w:noProof/>
          <w:szCs w:val="24"/>
        </w:rPr>
      </w:pPr>
      <w:r>
        <w:rPr>
          <w:noProof/>
        </w:rPr>
        <w:t>Article 10</w:t>
      </w:r>
      <w:r>
        <w:rPr>
          <w:noProof/>
        </w:rPr>
        <w:br/>
        <w:t>Negotiation mechanism</w:t>
      </w:r>
    </w:p>
    <w:p w:rsidR="007649C7" w:rsidRDefault="008969B7">
      <w:pPr>
        <w:rPr>
          <w:noProof/>
          <w:szCs w:val="24"/>
        </w:rPr>
      </w:pPr>
      <w:r>
        <w:rPr>
          <w:noProof/>
          <w:szCs w:val="24"/>
        </w:rPr>
        <w:t>Member States shall ensure that where parties wishing to conclude an agreement for the purpose of making available audiovisual works on video-on-demand platforms face difficulties relating to the licensing of rights, they may rely on the assistance of an impartial body with relevant experience. That body shall provide assistance with negotiation and help reach agreements.</w:t>
      </w:r>
    </w:p>
    <w:p w:rsidR="007649C7" w:rsidRDefault="008969B7">
      <w:pPr>
        <w:rPr>
          <w:noProof/>
        </w:rPr>
      </w:pPr>
      <w:r>
        <w:rPr>
          <w:noProof/>
          <w:szCs w:val="24"/>
        </w:rPr>
        <w:t xml:space="preserve">No later than [date </w:t>
      </w:r>
      <w:r>
        <w:rPr>
          <w:noProof/>
        </w:rPr>
        <w:t>mentioned in Article 21(1)</w:t>
      </w:r>
      <w:r>
        <w:rPr>
          <w:noProof/>
          <w:szCs w:val="24"/>
        </w:rPr>
        <w:t>] Member States shall notify to the Commission the body referred to in paragraph 1.</w:t>
      </w:r>
    </w:p>
    <w:p w:rsidR="007649C7" w:rsidRDefault="008969B7">
      <w:pPr>
        <w:pStyle w:val="PartTitle"/>
        <w:rPr>
          <w:noProof/>
          <w:sz w:val="28"/>
        </w:rPr>
      </w:pPr>
      <w:r>
        <w:rPr>
          <w:noProof/>
          <w:sz w:val="28"/>
        </w:rPr>
        <w:t>TITLE IV</w:t>
      </w:r>
      <w:r>
        <w:rPr>
          <w:noProof/>
          <w:sz w:val="28"/>
        </w:rPr>
        <w:br/>
        <w:t>MEASURES TO ACHIEVE A WELL-FUNCTIONING MARKETPLACE FOR COPYRIGHT</w:t>
      </w:r>
    </w:p>
    <w:p w:rsidR="007649C7" w:rsidRDefault="008969B7">
      <w:pPr>
        <w:pStyle w:val="ChapterTitle"/>
        <w:rPr>
          <w:noProof/>
          <w:sz w:val="28"/>
        </w:rPr>
      </w:pPr>
      <w:r>
        <w:rPr>
          <w:noProof/>
          <w:sz w:val="28"/>
        </w:rPr>
        <w:t>CHAPTER 1</w:t>
      </w:r>
      <w:r>
        <w:rPr>
          <w:noProof/>
          <w:sz w:val="28"/>
        </w:rPr>
        <w:br/>
        <w:t>Rights in publications</w:t>
      </w:r>
    </w:p>
    <w:p w:rsidR="007649C7" w:rsidRDefault="008969B7">
      <w:pPr>
        <w:pStyle w:val="Titrearticle"/>
        <w:spacing w:before="120"/>
        <w:rPr>
          <w:noProof/>
        </w:rPr>
      </w:pPr>
      <w:r>
        <w:rPr>
          <w:noProof/>
        </w:rPr>
        <w:t>Article 11</w:t>
      </w:r>
      <w:r>
        <w:rPr>
          <w:noProof/>
        </w:rPr>
        <w:br/>
        <w:t>Protection of press publications concerning digital uses</w:t>
      </w:r>
    </w:p>
    <w:p w:rsidR="007649C7" w:rsidRDefault="008969B7">
      <w:pPr>
        <w:pStyle w:val="ManualNumPar1"/>
        <w:rPr>
          <w:noProof/>
        </w:rPr>
      </w:pPr>
      <w:r>
        <w:t>1.</w:t>
      </w:r>
      <w:r>
        <w:tab/>
      </w:r>
      <w:r>
        <w:rPr>
          <w:noProof/>
        </w:rPr>
        <w:t>Member States shall provide publishers of press publications with the rights provided for in Article 2 and Article 3(2) of Directive 2001/29/EC for the digital use of their press publications.</w:t>
      </w:r>
    </w:p>
    <w:p w:rsidR="007649C7" w:rsidRDefault="008969B7">
      <w:pPr>
        <w:pStyle w:val="ManualNumPar1"/>
        <w:rPr>
          <w:noProof/>
        </w:rPr>
      </w:pPr>
      <w:r>
        <w:t>2.</w:t>
      </w:r>
      <w:r>
        <w:tab/>
      </w:r>
      <w:r>
        <w:rPr>
          <w:noProof/>
        </w:rPr>
        <w:t>The rights referred to in paragraph 1 shall leave intact and shall in no way affect any rights provided for in Union law to authors and other rightholders, in respect of the works and other subject-matter incorporated in a press publication. Such rights may not be invoked against those authors and other rightholders and, in particular, may not deprive them of their right to exploit their works and other subject-matter independently from the press publication in which they are incorporated.</w:t>
      </w:r>
    </w:p>
    <w:p w:rsidR="007649C7" w:rsidRDefault="008969B7">
      <w:pPr>
        <w:pStyle w:val="ManualNumPar1"/>
        <w:rPr>
          <w:noProof/>
        </w:rPr>
      </w:pPr>
      <w:r>
        <w:t>3.</w:t>
      </w:r>
      <w:r>
        <w:tab/>
      </w:r>
      <w:r>
        <w:rPr>
          <w:noProof/>
        </w:rPr>
        <w:t xml:space="preserve">Articles 5 to 8 of Directive 2001/29/EC and Directive 2012/28/EU shall apply </w:t>
      </w:r>
      <w:r>
        <w:rPr>
          <w:i/>
          <w:noProof/>
        </w:rPr>
        <w:t>mutatis mutandis</w:t>
      </w:r>
      <w:r>
        <w:rPr>
          <w:noProof/>
        </w:rPr>
        <w:t xml:space="preserve"> in respect of the rights referred to in paragraph 1.</w:t>
      </w:r>
    </w:p>
    <w:p w:rsidR="007649C7" w:rsidRDefault="008969B7">
      <w:pPr>
        <w:pStyle w:val="ManualNumPar1"/>
        <w:rPr>
          <w:noProof/>
        </w:rPr>
      </w:pPr>
      <w:r>
        <w:t>4.</w:t>
      </w:r>
      <w:r>
        <w:tab/>
      </w:r>
      <w:r>
        <w:rPr>
          <w:noProof/>
        </w:rPr>
        <w:t>The rights referred to in paragraph 1 shall expire 20 years after the publication of the press publication. This term shall be calculated from the first day of January of the year following the date of publication.</w:t>
      </w:r>
    </w:p>
    <w:p w:rsidR="007649C7" w:rsidRDefault="008969B7">
      <w:pPr>
        <w:pStyle w:val="Titrearticle"/>
        <w:spacing w:before="120"/>
        <w:rPr>
          <w:noProof/>
        </w:rPr>
      </w:pPr>
      <w:r>
        <w:rPr>
          <w:noProof/>
        </w:rPr>
        <w:t>Article 12</w:t>
      </w:r>
      <w:r>
        <w:rPr>
          <w:noProof/>
        </w:rPr>
        <w:br/>
        <w:t>Claims to fair compensation</w:t>
      </w:r>
    </w:p>
    <w:p w:rsidR="007649C7" w:rsidRDefault="008969B7">
      <w:pPr>
        <w:rPr>
          <w:noProof/>
        </w:rPr>
      </w:pPr>
      <w:r>
        <w:rPr>
          <w:noProof/>
        </w:rPr>
        <w:t>Member States may provide that where an author has transferred or licensed a right to a publisher, such a transfer or a licence constitutes a sufficient legal basis for the publisher to claim a share of the compensation for the uses of the work made under an exception or limitation to the transferred or licensed right.</w:t>
      </w:r>
    </w:p>
    <w:p w:rsidR="007649C7" w:rsidRDefault="008969B7">
      <w:pPr>
        <w:pStyle w:val="ChapterTitle"/>
        <w:rPr>
          <w:noProof/>
          <w:sz w:val="28"/>
        </w:rPr>
      </w:pPr>
      <w:r>
        <w:rPr>
          <w:noProof/>
          <w:sz w:val="28"/>
        </w:rPr>
        <w:t>CHAPTER 2</w:t>
      </w:r>
      <w:r>
        <w:rPr>
          <w:noProof/>
          <w:sz w:val="28"/>
        </w:rPr>
        <w:br/>
        <w:t>Certain uses of protected content by online services</w:t>
      </w:r>
    </w:p>
    <w:p w:rsidR="007649C7" w:rsidRDefault="008969B7">
      <w:pPr>
        <w:pStyle w:val="Titrearticle"/>
        <w:spacing w:before="120"/>
        <w:rPr>
          <w:noProof/>
        </w:rPr>
      </w:pPr>
      <w:r>
        <w:rPr>
          <w:noProof/>
        </w:rPr>
        <w:t>Article 13</w:t>
      </w:r>
      <w:r>
        <w:rPr>
          <w:noProof/>
        </w:rPr>
        <w:br/>
        <w:t>Use of protected content by information society service providers storing and giving access to large amounts of works and other subject-matter uploaded by their users</w:t>
      </w:r>
    </w:p>
    <w:p w:rsidR="007649C7" w:rsidRDefault="008969B7">
      <w:pPr>
        <w:pStyle w:val="ManualNumPar1"/>
        <w:rPr>
          <w:noProof/>
        </w:rPr>
      </w:pPr>
      <w:r>
        <w:t>1.</w:t>
      </w:r>
      <w:r>
        <w:tab/>
      </w:r>
      <w:r>
        <w:rPr>
          <w:noProof/>
        </w:rPr>
        <w:t>Information society service providers that store and provide to the public access to large amounts of works or other subject-matter uploaded by their users shall, in cooperation with 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appropriate and proportionate. The service providers shall provide rightholders with adequate information on the functioning and the deployment of the measures, as well as, when relevant, adequate reporting on the recognition and use of the works and other subject-matter.</w:t>
      </w:r>
    </w:p>
    <w:p w:rsidR="007649C7" w:rsidRDefault="008969B7">
      <w:pPr>
        <w:pStyle w:val="ManualNumPar1"/>
        <w:rPr>
          <w:noProof/>
        </w:rPr>
      </w:pPr>
      <w:r>
        <w:t>2.</w:t>
      </w:r>
      <w:r>
        <w:tab/>
      </w:r>
      <w:r>
        <w:rPr>
          <w:noProof/>
        </w:rPr>
        <w:t>Member States shall ensure that the service providers referred to in paragraph 1 put in place complaints and redress mechanisms that are available to users in case of disputes over the application of the measures referred to in paragraph 1.</w:t>
      </w:r>
    </w:p>
    <w:p w:rsidR="007649C7" w:rsidRDefault="008969B7">
      <w:pPr>
        <w:pStyle w:val="ManualNumPar1"/>
        <w:rPr>
          <w:noProof/>
        </w:rPr>
      </w:pPr>
      <w:r>
        <w:t>3.</w:t>
      </w:r>
      <w:r>
        <w:tab/>
      </w:r>
      <w:r>
        <w:rPr>
          <w:noProof/>
        </w:rPr>
        <w:t>Member States shall facilitate, where appropriate, the cooperation between the information society service providers and rightholders through stakeholder dialogues to define best practices, such as appropriate and proportionate content recognition technologies, taking into account, among others, the nature of the services, the availability of the technologies and their effectiveness in light of technological developments.</w:t>
      </w:r>
    </w:p>
    <w:p w:rsidR="007649C7" w:rsidRDefault="008969B7">
      <w:pPr>
        <w:pStyle w:val="ChapterTitle"/>
        <w:rPr>
          <w:noProof/>
          <w:sz w:val="28"/>
        </w:rPr>
      </w:pPr>
      <w:r>
        <w:rPr>
          <w:noProof/>
          <w:sz w:val="28"/>
        </w:rPr>
        <w:t>CHAPTER 3</w:t>
      </w:r>
      <w:r>
        <w:rPr>
          <w:noProof/>
          <w:sz w:val="28"/>
        </w:rPr>
        <w:br/>
        <w:t>Fair remuneration in contracts of authors and performers</w:t>
      </w:r>
    </w:p>
    <w:p w:rsidR="007649C7" w:rsidRDefault="008969B7">
      <w:pPr>
        <w:pStyle w:val="Titrearticle"/>
        <w:spacing w:before="120"/>
        <w:rPr>
          <w:noProof/>
        </w:rPr>
      </w:pPr>
      <w:r>
        <w:rPr>
          <w:noProof/>
        </w:rPr>
        <w:t>Article 14</w:t>
      </w:r>
      <w:r>
        <w:rPr>
          <w:noProof/>
        </w:rPr>
        <w:br/>
        <w:t>Transparency obligation</w:t>
      </w:r>
    </w:p>
    <w:p w:rsidR="007649C7" w:rsidRDefault="008969B7">
      <w:pPr>
        <w:pStyle w:val="ManualNumPar1"/>
        <w:rPr>
          <w:noProof/>
        </w:rPr>
      </w:pPr>
      <w:r>
        <w:t>1.</w:t>
      </w:r>
      <w:r>
        <w:tab/>
      </w:r>
      <w:r>
        <w:rPr>
          <w:noProof/>
        </w:rPr>
        <w:t>Member States shall ensure that authors and performers receive on a regular basis and taking into account the specificities of each sector, timely, adequate and sufficient information on the exploitation of their works and performances from those to whom they have licensed or transferred their rights, notably as regards modes of exploitation, revenues generated and remuneration due.</w:t>
      </w:r>
    </w:p>
    <w:p w:rsidR="007649C7" w:rsidRDefault="008969B7">
      <w:pPr>
        <w:pStyle w:val="ManualNumPar1"/>
        <w:rPr>
          <w:noProof/>
        </w:rPr>
      </w:pPr>
      <w:r>
        <w:t>2.</w:t>
      </w:r>
      <w:r>
        <w:tab/>
      </w:r>
      <w:r>
        <w:rPr>
          <w:noProof/>
        </w:rPr>
        <w:t>The obligation in paragraph 1 shall be proportionate and effective and shall ensure an appropriate level of transparency in every sector.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 and ensures an appropriate level of transparency.</w:t>
      </w:r>
    </w:p>
    <w:p w:rsidR="007649C7" w:rsidRDefault="008969B7">
      <w:pPr>
        <w:pStyle w:val="ManualNumPar1"/>
        <w:rPr>
          <w:noProof/>
        </w:rPr>
      </w:pPr>
      <w:r>
        <w:t>3.</w:t>
      </w:r>
      <w:r>
        <w:tab/>
      </w:r>
      <w:r>
        <w:rPr>
          <w:noProof/>
        </w:rPr>
        <w:t>Member States may decide that the obligation in paragraph 1 does not apply when the contribution of the author or performer is not significant having regard to the overall work or performance.</w:t>
      </w:r>
    </w:p>
    <w:p w:rsidR="007649C7" w:rsidRDefault="008969B7">
      <w:pPr>
        <w:pStyle w:val="ManualNumPar1"/>
        <w:rPr>
          <w:noProof/>
        </w:rPr>
      </w:pPr>
      <w:r>
        <w:t>4.</w:t>
      </w:r>
      <w:r>
        <w:tab/>
      </w:r>
      <w:r>
        <w:rPr>
          <w:noProof/>
        </w:rPr>
        <w:t>Paragraph 1 shall not be applicable to entities subject to the transparency obligations established by Directive 2014/26/EU.</w:t>
      </w:r>
    </w:p>
    <w:p w:rsidR="007649C7" w:rsidRDefault="008969B7">
      <w:pPr>
        <w:pStyle w:val="Titrearticle"/>
        <w:spacing w:before="120"/>
        <w:rPr>
          <w:noProof/>
          <w:bdr w:val="nil"/>
        </w:rPr>
      </w:pPr>
      <w:r>
        <w:rPr>
          <w:noProof/>
          <w:bdr w:val="nil"/>
        </w:rPr>
        <w:t>Article 15</w:t>
      </w:r>
      <w:r>
        <w:rPr>
          <w:noProof/>
          <w:bdr w:val="nil"/>
        </w:rPr>
        <w:br/>
        <w:t>Contract adjustment mechanism</w:t>
      </w:r>
    </w:p>
    <w:p w:rsidR="007649C7" w:rsidRDefault="008969B7">
      <w:pPr>
        <w:rPr>
          <w:rFonts w:eastAsia="Times New Roman"/>
          <w:noProof/>
          <w:szCs w:val="24"/>
          <w:lang w:eastAsia="en-GB"/>
        </w:rPr>
      </w:pPr>
      <w:r>
        <w:rPr>
          <w:rFonts w:eastAsia="Arial Unicode MS"/>
          <w:noProof/>
          <w:szCs w:val="24"/>
          <w:bdr w:val="nil"/>
        </w:rPr>
        <w:t>Member States shall ensure that authors and performers are entitled to request additional, appropriate remuneration from the party with whom they entered into a contract for the exploitation of the rights when the remuneration originally agreed is disproportionately low compared to the subsequent relevant revenues and benefits derived from the exploitation of the works or performances.</w:t>
      </w:r>
    </w:p>
    <w:p w:rsidR="007649C7" w:rsidRDefault="008969B7">
      <w:pPr>
        <w:pStyle w:val="Titrearticle"/>
        <w:spacing w:before="120"/>
        <w:rPr>
          <w:noProof/>
          <w:bdr w:val="nil"/>
        </w:rPr>
      </w:pPr>
      <w:r>
        <w:rPr>
          <w:noProof/>
          <w:bdr w:val="nil"/>
        </w:rPr>
        <w:t>Article 16</w:t>
      </w:r>
      <w:r>
        <w:rPr>
          <w:noProof/>
          <w:bdr w:val="nil"/>
        </w:rPr>
        <w:br/>
        <w:t>Dispute resolution mechanism</w:t>
      </w:r>
    </w:p>
    <w:p w:rsidR="007649C7" w:rsidRDefault="008969B7">
      <w:pPr>
        <w:rPr>
          <w:noProof/>
        </w:rPr>
      </w:pPr>
      <w:r>
        <w:rPr>
          <w:rFonts w:eastAsia="Arial Unicode MS"/>
          <w:noProof/>
          <w:szCs w:val="24"/>
          <w:bdr w:val="nil"/>
        </w:rPr>
        <w:t>Member States shall provide that disputes concerning the transparency obligation under Article 14 and the contract adjustment mechanism under Article 15 may be submitted to a voluntary, alternative dispute resolution procedure.</w:t>
      </w:r>
    </w:p>
    <w:p w:rsidR="007649C7" w:rsidRDefault="008969B7">
      <w:pPr>
        <w:pStyle w:val="PartTitle"/>
        <w:rPr>
          <w:noProof/>
          <w:sz w:val="28"/>
        </w:rPr>
      </w:pPr>
      <w:r>
        <w:rPr>
          <w:noProof/>
          <w:sz w:val="28"/>
        </w:rPr>
        <w:t>TITLE V</w:t>
      </w:r>
      <w:r>
        <w:rPr>
          <w:noProof/>
          <w:sz w:val="28"/>
        </w:rPr>
        <w:br/>
        <w:t>FINAL PROVISIONS</w:t>
      </w:r>
    </w:p>
    <w:p w:rsidR="007649C7" w:rsidRDefault="008969B7">
      <w:pPr>
        <w:pStyle w:val="Titrearticle"/>
        <w:spacing w:before="120"/>
        <w:rPr>
          <w:noProof/>
        </w:rPr>
      </w:pPr>
      <w:r>
        <w:rPr>
          <w:noProof/>
        </w:rPr>
        <w:t>Article 17</w:t>
      </w:r>
      <w:r>
        <w:rPr>
          <w:noProof/>
        </w:rPr>
        <w:br/>
        <w:t>Amendments to other directives</w:t>
      </w:r>
    </w:p>
    <w:p w:rsidR="007649C7" w:rsidRDefault="008969B7">
      <w:pPr>
        <w:pStyle w:val="ManualNumPar1"/>
        <w:rPr>
          <w:noProof/>
        </w:rPr>
      </w:pPr>
      <w:r>
        <w:t>1.</w:t>
      </w:r>
      <w:r>
        <w:tab/>
      </w:r>
      <w:r>
        <w:rPr>
          <w:noProof/>
        </w:rPr>
        <w:t>Directive 96/9/EC is amended as follows:</w:t>
      </w:r>
    </w:p>
    <w:p w:rsidR="007649C7" w:rsidRDefault="008969B7">
      <w:pPr>
        <w:pStyle w:val="Point1letter"/>
        <w:numPr>
          <w:ilvl w:val="3"/>
          <w:numId w:val="20"/>
        </w:numPr>
        <w:rPr>
          <w:noProof/>
        </w:rPr>
      </w:pPr>
      <w:r>
        <w:rPr>
          <w:noProof/>
        </w:rPr>
        <w:t>In Article 6(2), point (b) is replaced by the following:</w:t>
      </w:r>
    </w:p>
    <w:p w:rsidR="007649C7" w:rsidRDefault="008969B7">
      <w:pPr>
        <w:pStyle w:val="Text2"/>
        <w:rPr>
          <w:noProof/>
        </w:rPr>
      </w:pPr>
      <w:r>
        <w:rPr>
          <w:noProof/>
        </w:rPr>
        <w:t>"(b) where there is use for the sole purpose of illustration for teaching or scientific research, as long as the source is indicated and to the extent justified by the non-commercial purpose to be achieved, without prejudice to the exceptions and the limitation provided for in Directive [this Directive];"</w:t>
      </w:r>
    </w:p>
    <w:p w:rsidR="007649C7" w:rsidRDefault="008969B7">
      <w:pPr>
        <w:pStyle w:val="Point1letter"/>
        <w:rPr>
          <w:noProof/>
        </w:rPr>
      </w:pPr>
      <w:r>
        <w:rPr>
          <w:noProof/>
        </w:rPr>
        <w:t>In Article 9, point (b) is replaced by the following:</w:t>
      </w:r>
    </w:p>
    <w:p w:rsidR="007649C7" w:rsidRDefault="008969B7">
      <w:pPr>
        <w:pStyle w:val="Text2"/>
        <w:rPr>
          <w:noProof/>
        </w:rPr>
      </w:pPr>
      <w:r>
        <w:rPr>
          <w:noProof/>
        </w:rPr>
        <w:t>"(b) in the case of extraction for the purposes of illustration for teaching or scientific research, as long as the source is indicated and to the extent justified by the non-commercial purpose to be achieved, without prejudice to the exceptions and the limitation provided for in Directive [this Directive];"</w:t>
      </w:r>
    </w:p>
    <w:p w:rsidR="007649C7" w:rsidRDefault="008969B7">
      <w:pPr>
        <w:pStyle w:val="ManualNumPar1"/>
        <w:rPr>
          <w:noProof/>
        </w:rPr>
      </w:pPr>
      <w:r>
        <w:t>2.</w:t>
      </w:r>
      <w:r>
        <w:tab/>
      </w:r>
      <w:r>
        <w:rPr>
          <w:noProof/>
        </w:rPr>
        <w:t>Directive 2001/29/EC is amended as follows:</w:t>
      </w:r>
    </w:p>
    <w:p w:rsidR="007649C7" w:rsidRDefault="008969B7">
      <w:pPr>
        <w:pStyle w:val="Point1letter"/>
        <w:numPr>
          <w:ilvl w:val="3"/>
          <w:numId w:val="21"/>
        </w:numPr>
        <w:rPr>
          <w:noProof/>
        </w:rPr>
      </w:pPr>
      <w:r>
        <w:rPr>
          <w:noProof/>
        </w:rPr>
        <w:t>In Article 5(2), point (c) is replaced by the following:</w:t>
      </w:r>
    </w:p>
    <w:p w:rsidR="007649C7" w:rsidRDefault="008969B7">
      <w:pPr>
        <w:pStyle w:val="Text2"/>
        <w:rPr>
          <w:noProof/>
        </w:rPr>
      </w:pPr>
      <w:r>
        <w:rPr>
          <w:noProof/>
        </w:rPr>
        <w:t>"(c) in respect of specific acts of reproduction made by publicly accessible libraries, educational establishments or museums, or by archives, which are not for direct or indirect economic or commercial advantage, without prejudice to the exceptions and the limitation provided for in Directive [this Directive];"</w:t>
      </w:r>
    </w:p>
    <w:p w:rsidR="007649C7" w:rsidRDefault="008969B7">
      <w:pPr>
        <w:pStyle w:val="Point1letter"/>
        <w:rPr>
          <w:noProof/>
        </w:rPr>
      </w:pPr>
      <w:r>
        <w:rPr>
          <w:noProof/>
        </w:rPr>
        <w:t>In Article 5(3), point (a) is replaced by the following:</w:t>
      </w:r>
    </w:p>
    <w:p w:rsidR="007649C7" w:rsidRDefault="008969B7">
      <w:pPr>
        <w:pStyle w:val="Text2"/>
        <w:rPr>
          <w:noProof/>
        </w:rPr>
      </w:pPr>
      <w:r>
        <w:rPr>
          <w:noProof/>
        </w:rPr>
        <w:t>"(a) use for the sole purpose of illustration for teaching or scientific research, as long as the source, including the author's name, is indicated, unless this turns out to be impossible and to the extent justified by the non-commercial purpose to be achieved, without prejudice to the exceptions and the limitation provided for in Directive [this Directive];"</w:t>
      </w:r>
    </w:p>
    <w:p w:rsidR="007649C7" w:rsidRDefault="008969B7">
      <w:pPr>
        <w:pStyle w:val="Point1letter"/>
        <w:rPr>
          <w:noProof/>
        </w:rPr>
      </w:pPr>
      <w:r>
        <w:rPr>
          <w:noProof/>
        </w:rPr>
        <w:t>In Article 12(4), the following points are added:</w:t>
      </w:r>
    </w:p>
    <w:p w:rsidR="007649C7" w:rsidRDefault="008969B7">
      <w:pPr>
        <w:pStyle w:val="Text2"/>
        <w:rPr>
          <w:noProof/>
        </w:rPr>
      </w:pPr>
      <w:r>
        <w:rPr>
          <w:noProof/>
        </w:rPr>
        <w:t>"(e) to examine the impact of the transposition of Directive [this Directive] on the functioning of the internal market and to highlight any transposition difficulties;</w:t>
      </w:r>
    </w:p>
    <w:p w:rsidR="007649C7" w:rsidRDefault="008969B7">
      <w:pPr>
        <w:pStyle w:val="Text2"/>
        <w:rPr>
          <w:noProof/>
        </w:rPr>
      </w:pPr>
      <w:r>
        <w:rPr>
          <w:noProof/>
        </w:rPr>
        <w:t>(f) to facilitate the exchange of information on the relevant developments in legislation and case law as well as on the practical application of the measures taken by Member States to implement Directive [this Directive];</w:t>
      </w:r>
    </w:p>
    <w:p w:rsidR="007649C7" w:rsidRDefault="008969B7">
      <w:pPr>
        <w:pStyle w:val="Text2"/>
        <w:rPr>
          <w:noProof/>
        </w:rPr>
      </w:pPr>
      <w:r>
        <w:rPr>
          <w:noProof/>
        </w:rPr>
        <w:t>(g) to discuss any other questions arising from the application of Directive [this Directive]."</w:t>
      </w:r>
    </w:p>
    <w:p w:rsidR="007649C7" w:rsidRDefault="008969B7">
      <w:pPr>
        <w:pStyle w:val="Titrearticle"/>
        <w:spacing w:before="120"/>
        <w:rPr>
          <w:noProof/>
        </w:rPr>
      </w:pPr>
      <w:r>
        <w:rPr>
          <w:noProof/>
        </w:rPr>
        <w:t>Article 18</w:t>
      </w:r>
      <w:r>
        <w:rPr>
          <w:noProof/>
        </w:rPr>
        <w:br/>
        <w:t>Application in time</w:t>
      </w:r>
    </w:p>
    <w:p w:rsidR="007649C7" w:rsidRDefault="008969B7">
      <w:pPr>
        <w:pStyle w:val="ManualNumPar1"/>
        <w:rPr>
          <w:noProof/>
        </w:rPr>
      </w:pPr>
      <w:r>
        <w:t>1.</w:t>
      </w:r>
      <w:r>
        <w:tab/>
      </w:r>
      <w:r>
        <w:rPr>
          <w:noProof/>
        </w:rPr>
        <w:t>This Directive shall apply in respect of all works and other subject-matter which are protected by the Member States' legislation in the field of copyright on or after [the date mentioned in Article 21(1)].</w:t>
      </w:r>
    </w:p>
    <w:p w:rsidR="007649C7" w:rsidRDefault="008969B7">
      <w:pPr>
        <w:pStyle w:val="ManualNumPar1"/>
        <w:rPr>
          <w:noProof/>
        </w:rPr>
      </w:pPr>
      <w:r>
        <w:t>2.</w:t>
      </w:r>
      <w:r>
        <w:tab/>
      </w:r>
      <w:r>
        <w:rPr>
          <w:noProof/>
        </w:rPr>
        <w:t>The provisions of Article 11 shall also apply to press publications published before [the date mentioned in Article 21(1)].</w:t>
      </w:r>
    </w:p>
    <w:p w:rsidR="007649C7" w:rsidRDefault="008969B7">
      <w:pPr>
        <w:pStyle w:val="ManualNumPar1"/>
        <w:rPr>
          <w:noProof/>
        </w:rPr>
      </w:pPr>
      <w:r>
        <w:t>3.</w:t>
      </w:r>
      <w:r>
        <w:tab/>
      </w:r>
      <w:r>
        <w:rPr>
          <w:noProof/>
        </w:rPr>
        <w:t>This Directive shall apply without prejudice to any acts concluded and rights acquired before [the date mentioned in Article 21(1)].</w:t>
      </w:r>
    </w:p>
    <w:p w:rsidR="007649C7" w:rsidRDefault="008969B7">
      <w:pPr>
        <w:pStyle w:val="Titrearticle"/>
        <w:spacing w:before="120"/>
        <w:rPr>
          <w:noProof/>
        </w:rPr>
      </w:pPr>
      <w:r>
        <w:rPr>
          <w:noProof/>
        </w:rPr>
        <w:t>Article 19</w:t>
      </w:r>
      <w:r>
        <w:rPr>
          <w:noProof/>
        </w:rPr>
        <w:br/>
        <w:t>Transitional provision</w:t>
      </w:r>
    </w:p>
    <w:p w:rsidR="007649C7" w:rsidRDefault="008969B7">
      <w:pPr>
        <w:rPr>
          <w:noProof/>
        </w:rPr>
      </w:pPr>
      <w:r>
        <w:rPr>
          <w:noProof/>
        </w:rPr>
        <w:t>Agreements for the licence or transfer of rights of authors and performers shall be subject to the transparency obligation in Article 14 as from [one year after the date mentioned in Article 21(1)].</w:t>
      </w:r>
    </w:p>
    <w:p w:rsidR="007649C7" w:rsidRDefault="008969B7">
      <w:pPr>
        <w:pStyle w:val="Titrearticle"/>
        <w:spacing w:before="120"/>
        <w:rPr>
          <w:noProof/>
        </w:rPr>
      </w:pPr>
      <w:r>
        <w:rPr>
          <w:noProof/>
        </w:rPr>
        <w:t>Article 20</w:t>
      </w:r>
      <w:r>
        <w:rPr>
          <w:noProof/>
        </w:rPr>
        <w:br/>
        <w:t>Protection of personal data</w:t>
      </w:r>
    </w:p>
    <w:p w:rsidR="007649C7" w:rsidRDefault="008969B7">
      <w:pPr>
        <w:rPr>
          <w:noProof/>
        </w:rPr>
      </w:pPr>
      <w:r>
        <w:rPr>
          <w:noProof/>
        </w:rPr>
        <w:t>The processing of personal data carried out within the framework of this Directive shall be carried out in compliance with Directives 95/46/EC and 2002/58/EC.</w:t>
      </w:r>
    </w:p>
    <w:p w:rsidR="007649C7" w:rsidRDefault="008969B7">
      <w:pPr>
        <w:pStyle w:val="Titrearticle"/>
        <w:spacing w:before="120"/>
        <w:rPr>
          <w:noProof/>
        </w:rPr>
      </w:pPr>
      <w:r>
        <w:rPr>
          <w:noProof/>
        </w:rPr>
        <w:t>Article 21</w:t>
      </w:r>
      <w:r>
        <w:rPr>
          <w:noProof/>
        </w:rPr>
        <w:br/>
        <w:t>Transposition</w:t>
      </w:r>
    </w:p>
    <w:p w:rsidR="007649C7" w:rsidRDefault="008969B7">
      <w:pPr>
        <w:pStyle w:val="ManualNumPar1"/>
        <w:rPr>
          <w:noProof/>
        </w:rPr>
      </w:pPr>
      <w:r>
        <w:t>1.</w:t>
      </w:r>
      <w:r>
        <w:tab/>
      </w:r>
      <w:r>
        <w:rPr>
          <w:noProof/>
        </w:rPr>
        <w:t>Member States shall bring into force the laws, regulations and administrative provisions necessary to comply with this Directive by [12 months after entry into force] at the latest. They shall forthwith communicate to the Commission the text of those provisions.</w:t>
      </w:r>
    </w:p>
    <w:p w:rsidR="007649C7" w:rsidRDefault="008969B7">
      <w:pPr>
        <w:pStyle w:val="Text1"/>
        <w:rPr>
          <w:noProof/>
        </w:rPr>
      </w:pPr>
      <w:r>
        <w:rPr>
          <w:noProof/>
        </w:rPr>
        <w:t>When Member States adopt those provisions, they shall contain a reference to this Directive or be accompanied by such a reference on the occasion of their official publication. Member States shall determine how such reference is to be made.</w:t>
      </w:r>
    </w:p>
    <w:p w:rsidR="007649C7" w:rsidRDefault="008969B7">
      <w:pPr>
        <w:pStyle w:val="ManualNumPar1"/>
        <w:rPr>
          <w:noProof/>
        </w:rPr>
      </w:pPr>
      <w:r>
        <w:t>2.</w:t>
      </w:r>
      <w:r>
        <w:tab/>
      </w:r>
      <w:r>
        <w:rPr>
          <w:noProof/>
        </w:rPr>
        <w:t>Member States shall communicate to the Commission the text of the main provisions of national law which they adopt in the field covered by this Directive.</w:t>
      </w:r>
    </w:p>
    <w:p w:rsidR="007649C7" w:rsidRDefault="008969B7">
      <w:pPr>
        <w:pStyle w:val="Titrearticle"/>
        <w:spacing w:before="120"/>
        <w:rPr>
          <w:noProof/>
        </w:rPr>
      </w:pPr>
      <w:r>
        <w:rPr>
          <w:noProof/>
        </w:rPr>
        <w:t>Article 22</w:t>
      </w:r>
      <w:r>
        <w:rPr>
          <w:noProof/>
        </w:rPr>
        <w:br/>
        <w:t>Review</w:t>
      </w:r>
    </w:p>
    <w:p w:rsidR="007649C7" w:rsidRDefault="008969B7">
      <w:pPr>
        <w:pStyle w:val="ManualNumPar1"/>
        <w:rPr>
          <w:noProof/>
        </w:rPr>
      </w:pPr>
      <w:r>
        <w:t>1.</w:t>
      </w:r>
      <w:r>
        <w:tab/>
      </w:r>
      <w:r>
        <w:rPr>
          <w:noProof/>
        </w:rPr>
        <w:t>No sooner than [five years after the date mentioned in Article 21(1)], the Commission shall carry out a review of this Directive and present a report on the main findings to the European Parliament, the Council and the European Economic and Social Committee.</w:t>
      </w:r>
    </w:p>
    <w:p w:rsidR="007649C7" w:rsidRDefault="008969B7">
      <w:pPr>
        <w:pStyle w:val="ManualNumPar1"/>
        <w:rPr>
          <w:noProof/>
        </w:rPr>
      </w:pPr>
      <w:r>
        <w:t>2.</w:t>
      </w:r>
      <w:r>
        <w:tab/>
      </w:r>
      <w:r>
        <w:rPr>
          <w:noProof/>
        </w:rPr>
        <w:t>Member States shall provide the Commission with the necessary information for the preparation of the report referred to in paragraph 1.</w:t>
      </w:r>
    </w:p>
    <w:p w:rsidR="007649C7" w:rsidRDefault="008969B7">
      <w:pPr>
        <w:pStyle w:val="Titrearticle"/>
        <w:spacing w:before="120"/>
        <w:rPr>
          <w:noProof/>
        </w:rPr>
      </w:pPr>
      <w:r>
        <w:rPr>
          <w:noProof/>
        </w:rPr>
        <w:t>Article 23</w:t>
      </w:r>
      <w:r>
        <w:rPr>
          <w:noProof/>
        </w:rPr>
        <w:br/>
        <w:t>Entry into force</w:t>
      </w:r>
    </w:p>
    <w:p w:rsidR="007649C7" w:rsidRDefault="008969B7">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rsidR="007649C7" w:rsidRDefault="008969B7">
      <w:pPr>
        <w:pStyle w:val="Titrearticle"/>
        <w:spacing w:before="120"/>
        <w:rPr>
          <w:noProof/>
        </w:rPr>
      </w:pPr>
      <w:r>
        <w:rPr>
          <w:noProof/>
        </w:rPr>
        <w:t>Article 24</w:t>
      </w:r>
      <w:r>
        <w:rPr>
          <w:noProof/>
        </w:rPr>
        <w:br/>
        <w:t>Addressees</w:t>
      </w:r>
    </w:p>
    <w:p w:rsidR="007649C7" w:rsidRDefault="008969B7">
      <w:pPr>
        <w:keepNext/>
        <w:keepLines/>
        <w:rPr>
          <w:noProof/>
        </w:rPr>
      </w:pPr>
      <w:r>
        <w:rPr>
          <w:noProof/>
        </w:rPr>
        <w:t>This Directive is addressed to the Member States.</w:t>
      </w:r>
    </w:p>
    <w:p w:rsidR="007649C7" w:rsidRDefault="00EE57FA" w:rsidP="00EE57FA">
      <w:pPr>
        <w:pStyle w:val="Fait"/>
        <w:rPr>
          <w:noProof/>
        </w:rPr>
      </w:pPr>
      <w:r w:rsidRPr="00EE57FA">
        <w:t>Done at Brussels,</w:t>
      </w:r>
    </w:p>
    <w:p w:rsidR="007649C7" w:rsidRDefault="008969B7">
      <w:pPr>
        <w:pStyle w:val="Institutionquisigne"/>
        <w:rPr>
          <w:noProof/>
        </w:rPr>
      </w:pPr>
      <w:r>
        <w:rPr>
          <w:noProof/>
        </w:rPr>
        <w:t>For the European Parliament</w:t>
      </w:r>
      <w:r>
        <w:rPr>
          <w:noProof/>
        </w:rPr>
        <w:tab/>
        <w:t>For the Council</w:t>
      </w:r>
    </w:p>
    <w:p w:rsidR="007649C7" w:rsidRDefault="008969B7">
      <w:pPr>
        <w:pStyle w:val="Personnequisigne"/>
        <w:rPr>
          <w:noProof/>
        </w:rPr>
      </w:pPr>
      <w:r>
        <w:rPr>
          <w:noProof/>
        </w:rPr>
        <w:t>The President</w:t>
      </w:r>
      <w:r>
        <w:rPr>
          <w:noProof/>
        </w:rPr>
        <w:tab/>
        <w:t>The President</w:t>
      </w:r>
    </w:p>
    <w:sectPr w:rsidR="007649C7" w:rsidSect="00EE57F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C7" w:rsidRDefault="008969B7">
      <w:pPr>
        <w:spacing w:before="0" w:after="0"/>
      </w:pPr>
      <w:r>
        <w:separator/>
      </w:r>
    </w:p>
  </w:endnote>
  <w:endnote w:type="continuationSeparator" w:id="0">
    <w:p w:rsidR="007649C7" w:rsidRDefault="008969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FA" w:rsidRPr="00EE57FA" w:rsidRDefault="00EE57FA" w:rsidP="00EE5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69" w:rsidRPr="00EE57FA" w:rsidRDefault="00EE57FA" w:rsidP="00EE57FA">
    <w:pPr>
      <w:pStyle w:val="Footer"/>
      <w:rPr>
        <w:rFonts w:ascii="Arial" w:hAnsi="Arial" w:cs="Arial"/>
        <w:b/>
        <w:sz w:val="48"/>
      </w:rPr>
    </w:pPr>
    <w:r w:rsidRPr="00EE57FA">
      <w:rPr>
        <w:rFonts w:ascii="Arial" w:hAnsi="Arial" w:cs="Arial"/>
        <w:b/>
        <w:sz w:val="48"/>
      </w:rPr>
      <w:t>EN</w:t>
    </w:r>
    <w:r w:rsidRPr="00EE57FA">
      <w:rPr>
        <w:rFonts w:ascii="Arial" w:hAnsi="Arial" w:cs="Arial"/>
        <w:b/>
        <w:sz w:val="48"/>
      </w:rPr>
      <w:tab/>
    </w:r>
    <w:r w:rsidRPr="00EE57FA">
      <w:rPr>
        <w:rFonts w:ascii="Arial" w:hAnsi="Arial" w:cs="Arial"/>
        <w:b/>
        <w:sz w:val="48"/>
      </w:rPr>
      <w:tab/>
    </w:r>
    <w:fldSimple w:instr=" DOCVARIABLE &quot;LW_Confidence&quot; \* MERGEFORMAT ">
      <w:r>
        <w:t xml:space="preserve"> </w:t>
      </w:r>
    </w:fldSimple>
    <w:r w:rsidRPr="00EE57FA">
      <w:tab/>
    </w:r>
    <w:proofErr w:type="spellStart"/>
    <w:r w:rsidRPr="00EE57FA">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FA" w:rsidRPr="00EE57FA" w:rsidRDefault="00EE57FA" w:rsidP="00EE57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FA" w:rsidRPr="00EE57FA" w:rsidRDefault="00EE57FA" w:rsidP="00EE57FA">
    <w:pPr>
      <w:pStyle w:val="Footer"/>
      <w:rPr>
        <w:rFonts w:ascii="Arial" w:hAnsi="Arial" w:cs="Arial"/>
        <w:b/>
        <w:sz w:val="48"/>
      </w:rPr>
    </w:pPr>
    <w:r w:rsidRPr="00EE57FA">
      <w:rPr>
        <w:rFonts w:ascii="Arial" w:hAnsi="Arial" w:cs="Arial"/>
        <w:b/>
        <w:sz w:val="48"/>
      </w:rPr>
      <w:t>EN</w:t>
    </w:r>
    <w:r w:rsidRPr="00EE57F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EE57FA">
      <w:tab/>
    </w:r>
    <w:r w:rsidRPr="00EE57FA">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FA" w:rsidRPr="00EE57FA" w:rsidRDefault="00EE57FA" w:rsidP="00EE5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C7" w:rsidRDefault="008969B7">
      <w:pPr>
        <w:spacing w:before="0" w:after="0"/>
      </w:pPr>
      <w:r>
        <w:separator/>
      </w:r>
    </w:p>
  </w:footnote>
  <w:footnote w:type="continuationSeparator" w:id="0">
    <w:p w:rsidR="007649C7" w:rsidRDefault="008969B7">
      <w:pPr>
        <w:spacing w:before="0" w:after="0"/>
      </w:pPr>
      <w:r>
        <w:continuationSeparator/>
      </w:r>
    </w:p>
  </w:footnote>
  <w:footnote w:id="1">
    <w:p w:rsidR="007649C7" w:rsidRDefault="008969B7">
      <w:pPr>
        <w:pStyle w:val="FootnoteText"/>
        <w:rPr>
          <w:lang w:val="pt-PT"/>
        </w:rPr>
      </w:pPr>
      <w:r>
        <w:rPr>
          <w:rStyle w:val="FootnoteReference"/>
        </w:rPr>
        <w:footnoteRef/>
      </w:r>
      <w:r>
        <w:rPr>
          <w:lang w:val="pt-PT"/>
        </w:rPr>
        <w:tab/>
      </w:r>
      <w:proofErr w:type="gramStart"/>
      <w:r>
        <w:rPr>
          <w:lang w:val="pt-PT"/>
        </w:rPr>
        <w:t>COM(2015</w:t>
      </w:r>
      <w:proofErr w:type="gramEnd"/>
      <w:r>
        <w:rPr>
          <w:lang w:val="pt-PT"/>
        </w:rPr>
        <w:t>) 192 final.</w:t>
      </w:r>
    </w:p>
  </w:footnote>
  <w:footnote w:id="2">
    <w:p w:rsidR="007649C7" w:rsidRDefault="008969B7">
      <w:pPr>
        <w:pStyle w:val="FootnoteText"/>
        <w:rPr>
          <w:lang w:val="pt-PT"/>
        </w:rPr>
      </w:pPr>
      <w:r>
        <w:rPr>
          <w:rStyle w:val="FootnoteReference"/>
        </w:rPr>
        <w:footnoteRef/>
      </w:r>
      <w:r>
        <w:rPr>
          <w:lang w:val="pt-PT"/>
        </w:rPr>
        <w:tab/>
      </w:r>
      <w:proofErr w:type="gramStart"/>
      <w:r>
        <w:rPr>
          <w:szCs w:val="24"/>
          <w:lang w:val="pt-PT"/>
        </w:rPr>
        <w:t>COM(2015</w:t>
      </w:r>
      <w:proofErr w:type="gramEnd"/>
      <w:r>
        <w:rPr>
          <w:szCs w:val="24"/>
          <w:lang w:val="pt-PT"/>
        </w:rPr>
        <w:t>) 626 final.</w:t>
      </w:r>
    </w:p>
  </w:footnote>
  <w:footnote w:id="3">
    <w:p w:rsidR="007649C7" w:rsidRDefault="008969B7">
      <w:pPr>
        <w:pStyle w:val="FootnoteText"/>
        <w:ind w:left="0" w:firstLine="0"/>
        <w:rPr>
          <w:lang w:val="pt-PT"/>
        </w:rPr>
      </w:pPr>
      <w:r>
        <w:rPr>
          <w:rStyle w:val="FootnoteReference"/>
        </w:rPr>
        <w:footnoteRef/>
      </w:r>
      <w:r>
        <w:rPr>
          <w:lang w:val="pt-PT"/>
        </w:rPr>
        <w:tab/>
      </w:r>
      <w:proofErr w:type="gramStart"/>
      <w:r>
        <w:rPr>
          <w:lang w:val="pt-PT"/>
        </w:rPr>
        <w:t>COM(2015</w:t>
      </w:r>
      <w:proofErr w:type="gramEnd"/>
      <w:r>
        <w:rPr>
          <w:lang w:val="pt-PT"/>
        </w:rPr>
        <w:t>) 627 final.</w:t>
      </w:r>
    </w:p>
  </w:footnote>
  <w:footnote w:id="4">
    <w:p w:rsidR="007649C7" w:rsidRDefault="008969B7">
      <w:pPr>
        <w:pStyle w:val="FootnoteText"/>
      </w:pPr>
      <w:r>
        <w:rPr>
          <w:rStyle w:val="FootnoteReference"/>
        </w:rPr>
        <w:footnoteRef/>
      </w:r>
      <w:r>
        <w:tab/>
        <w:t>[Reference to be included]</w:t>
      </w:r>
    </w:p>
  </w:footnote>
  <w:footnote w:id="5">
    <w:p w:rsidR="007649C7" w:rsidRDefault="008969B7">
      <w:pPr>
        <w:pStyle w:val="FootnoteText"/>
      </w:pPr>
      <w:r>
        <w:rPr>
          <w:rStyle w:val="FootnoteReference"/>
        </w:rPr>
        <w:footnoteRef/>
      </w:r>
      <w:r>
        <w:tab/>
        <w:t>[Reference to be included]</w:t>
      </w:r>
    </w:p>
  </w:footnote>
  <w:footnote w:id="6">
    <w:p w:rsidR="007649C7" w:rsidRDefault="008969B7">
      <w:pPr>
        <w:pStyle w:val="FootnoteText"/>
      </w:pPr>
      <w:r>
        <w:rPr>
          <w:rStyle w:val="FootnoteReference"/>
        </w:rPr>
        <w:footnoteRef/>
      </w:r>
      <w:r>
        <w:tab/>
        <w:t>[Reference to be included]</w:t>
      </w:r>
    </w:p>
  </w:footnote>
  <w:footnote w:id="7">
    <w:p w:rsidR="007649C7" w:rsidRDefault="008969B7">
      <w:pPr>
        <w:pStyle w:val="FootnoteText"/>
        <w:ind w:left="709" w:hanging="709"/>
      </w:pPr>
      <w:r>
        <w:rPr>
          <w:rStyle w:val="FootnoteReference"/>
        </w:rPr>
        <w:footnoteRef/>
      </w:r>
      <w:r>
        <w:tab/>
      </w:r>
      <w:proofErr w:type="gramStart"/>
      <w:r>
        <w:t>Directive 96/9/EC of the European Parliament and of the Council of 11 March 1996 on the legal protection of databases (OJ L 077, 27.03.1996, p. 20-28).</w:t>
      </w:r>
      <w:proofErr w:type="gramEnd"/>
    </w:p>
  </w:footnote>
  <w:footnote w:id="8">
    <w:p w:rsidR="007649C7" w:rsidRDefault="008969B7">
      <w:pPr>
        <w:pStyle w:val="FootnoteText"/>
        <w:ind w:left="709" w:hanging="709"/>
      </w:pPr>
      <w:r>
        <w:rPr>
          <w:rStyle w:val="FootnoteReference"/>
        </w:rPr>
        <w:footnoteRef/>
      </w:r>
      <w:r>
        <w:tab/>
      </w:r>
      <w:r>
        <w:rPr>
          <w:rFonts w:eastAsia="Arial Unicode MS"/>
        </w:rPr>
        <w:t>Directive 2001/29/EC of the European Parliament and of the Council of 22 May 2001 on the harmonisation of certain aspects of copyright and related rights in the information society (OJ L 167, 22.6.2001, p. 10–19).</w:t>
      </w:r>
    </w:p>
  </w:footnote>
  <w:footnote w:id="9">
    <w:p w:rsidR="007649C7" w:rsidRDefault="008969B7">
      <w:pPr>
        <w:pStyle w:val="FootnoteText"/>
        <w:ind w:left="709" w:hanging="709"/>
      </w:pPr>
      <w:r>
        <w:rPr>
          <w:rStyle w:val="FootnoteReference"/>
        </w:rPr>
        <w:footnoteRef/>
      </w:r>
      <w:r>
        <w:tab/>
      </w:r>
      <w:r>
        <w:rPr>
          <w:rFonts w:eastAsia="Arial Unicode MS"/>
        </w:rPr>
        <w:t>Directive 2006/115/EC of the European Parliament and of the Council of 12 December 2006 on rental right and lending right and on certain rights related to copyright in the field of intellectual property (OJ L 376, 27.12.2006, p. 28–35).</w:t>
      </w:r>
    </w:p>
  </w:footnote>
  <w:footnote w:id="10">
    <w:p w:rsidR="007649C7" w:rsidRDefault="008969B7">
      <w:pPr>
        <w:pStyle w:val="FootnoteText"/>
        <w:ind w:left="709" w:hanging="709"/>
      </w:pPr>
      <w:r>
        <w:rPr>
          <w:rStyle w:val="FootnoteReference"/>
        </w:rPr>
        <w:footnoteRef/>
      </w:r>
      <w:r>
        <w:tab/>
        <w:t>Directive 2009/24/EC of the European Parliament and of the Council of 23 April 2009 on the legal protection of computer programs (OJ L 111, 5.5.2009, p. 16–22).</w:t>
      </w:r>
    </w:p>
  </w:footnote>
  <w:footnote w:id="11">
    <w:p w:rsidR="007649C7" w:rsidRDefault="008969B7">
      <w:pPr>
        <w:pStyle w:val="FootnoteText"/>
      </w:pPr>
      <w:r>
        <w:rPr>
          <w:rStyle w:val="FootnoteReference"/>
        </w:rPr>
        <w:footnoteRef/>
      </w:r>
      <w:r>
        <w:tab/>
        <w:t>Directive 2012/28/EU of the European Parliament and of the Council of 25 October 2012 on certain permitted uses of orphan works (OJ L 299, 27.10.2012, p. 5–12).</w:t>
      </w:r>
    </w:p>
  </w:footnote>
  <w:footnote w:id="12">
    <w:p w:rsidR="007649C7" w:rsidRDefault="008969B7">
      <w:pPr>
        <w:pStyle w:val="doc-ti"/>
        <w:spacing w:before="0" w:after="0"/>
        <w:ind w:left="709" w:hanging="709"/>
        <w:jc w:val="both"/>
        <w:rPr>
          <w:b w:val="0"/>
          <w:sz w:val="20"/>
          <w:szCs w:val="20"/>
        </w:rPr>
      </w:pPr>
      <w:r>
        <w:rPr>
          <w:rStyle w:val="FootnoteReference"/>
          <w:rFonts w:eastAsiaTheme="majorEastAsia"/>
        </w:rPr>
        <w:footnoteRef/>
      </w:r>
      <w:r>
        <w:rPr>
          <w:b w:val="0"/>
          <w:sz w:val="20"/>
          <w:szCs w:val="20"/>
        </w:rPr>
        <w:tab/>
        <w:t>Directive 2014/26/EU of the European Parliament and of the Council of 26 February 2014 on collective management of copyright and related rights and multi-territorial licensing of rights in musical works for online use in the internal market (</w:t>
      </w:r>
      <w:r>
        <w:rPr>
          <w:b w:val="0"/>
          <w:iCs/>
          <w:sz w:val="20"/>
          <w:szCs w:val="20"/>
        </w:rPr>
        <w:t>OJ L 84, 20.3.2014, p. 72–98).</w:t>
      </w:r>
    </w:p>
  </w:footnote>
  <w:footnote w:id="13">
    <w:p w:rsidR="007649C7" w:rsidRDefault="008969B7">
      <w:pPr>
        <w:pStyle w:val="doc-ti"/>
        <w:spacing w:before="0" w:after="0"/>
        <w:ind w:left="709" w:hanging="709"/>
        <w:jc w:val="both"/>
      </w:pPr>
      <w:r>
        <w:rPr>
          <w:rStyle w:val="FootnoteReference"/>
          <w:rFonts w:eastAsiaTheme="majorEastAsia"/>
        </w:rPr>
        <w:footnoteRef/>
      </w:r>
      <w:r>
        <w:rPr>
          <w:b w:val="0"/>
          <w:sz w:val="20"/>
          <w:szCs w:val="20"/>
        </w:rPr>
        <w:tab/>
      </w:r>
      <w:r>
        <w:rPr>
          <w:rFonts w:eastAsia="Arial Unicode MS"/>
          <w:b w:val="0"/>
          <w:sz w:val="20"/>
          <w:szCs w:val="20"/>
        </w:rPr>
        <w:t xml:space="preserve">Directive </w:t>
      </w:r>
      <w:r>
        <w:rPr>
          <w:b w:val="0"/>
          <w:sz w:val="20"/>
          <w:szCs w:val="20"/>
        </w:rPr>
        <w:t xml:space="preserve">2010/13/EU </w:t>
      </w:r>
      <w:r>
        <w:rPr>
          <w:rFonts w:eastAsia="Arial Unicode MS"/>
          <w:b w:val="0"/>
          <w:sz w:val="20"/>
          <w:szCs w:val="20"/>
        </w:rPr>
        <w:t>of the European Parliament and of the Council of</w:t>
      </w:r>
      <w:r>
        <w:rPr>
          <w:b w:val="0"/>
          <w:sz w:val="20"/>
          <w:szCs w:val="20"/>
        </w:rPr>
        <w:t xml:space="preserve"> 10 March 2010 on the coordination of certain provisions </w:t>
      </w:r>
      <w:proofErr w:type="gramStart"/>
      <w:r>
        <w:rPr>
          <w:b w:val="0"/>
          <w:sz w:val="20"/>
          <w:szCs w:val="20"/>
        </w:rPr>
        <w:t>laid</w:t>
      </w:r>
      <w:proofErr w:type="gramEnd"/>
      <w:r>
        <w:rPr>
          <w:b w:val="0"/>
          <w:sz w:val="20"/>
          <w:szCs w:val="20"/>
        </w:rPr>
        <w:t xml:space="preserve"> down by law, regulation or administrative action in Member States concerning the provision of </w:t>
      </w:r>
      <w:proofErr w:type="spellStart"/>
      <w:r>
        <w:rPr>
          <w:b w:val="0"/>
          <w:sz w:val="20"/>
          <w:szCs w:val="20"/>
        </w:rPr>
        <w:t>audiovisual</w:t>
      </w:r>
      <w:proofErr w:type="spellEnd"/>
      <w:r>
        <w:rPr>
          <w:b w:val="0"/>
          <w:sz w:val="20"/>
          <w:szCs w:val="20"/>
        </w:rPr>
        <w:t xml:space="preserve"> media services (</w:t>
      </w:r>
      <w:proofErr w:type="spellStart"/>
      <w:r>
        <w:rPr>
          <w:b w:val="0"/>
          <w:sz w:val="20"/>
          <w:szCs w:val="20"/>
        </w:rPr>
        <w:t>Audiovisual</w:t>
      </w:r>
      <w:proofErr w:type="spellEnd"/>
      <w:r>
        <w:rPr>
          <w:b w:val="0"/>
          <w:sz w:val="20"/>
          <w:szCs w:val="20"/>
        </w:rPr>
        <w:t xml:space="preserve"> Media Services Directive)</w:t>
      </w:r>
      <w:r>
        <w:rPr>
          <w:b w:val="0"/>
          <w:iCs/>
          <w:sz w:val="20"/>
          <w:szCs w:val="20"/>
        </w:rPr>
        <w:t xml:space="preserve"> (OJ L 95, 15.4.2010, p. 1–24).</w:t>
      </w:r>
    </w:p>
  </w:footnote>
  <w:footnote w:id="14">
    <w:p w:rsidR="007649C7" w:rsidRDefault="008969B7">
      <w:pPr>
        <w:pStyle w:val="FootnoteText"/>
        <w:ind w:left="709" w:hanging="709"/>
        <w:rPr>
          <w:lang w:val="pt-PT"/>
        </w:rPr>
      </w:pPr>
      <w:r>
        <w:rPr>
          <w:rStyle w:val="FootnoteReference"/>
        </w:rPr>
        <w:footnoteRef/>
      </w:r>
      <w:r>
        <w:rPr>
          <w:lang w:val="pt-PT"/>
        </w:rPr>
        <w:tab/>
      </w:r>
      <w:proofErr w:type="gramStart"/>
      <w:r>
        <w:rPr>
          <w:lang w:val="pt-PT"/>
        </w:rPr>
        <w:t>COM(2016</w:t>
      </w:r>
      <w:proofErr w:type="gramEnd"/>
      <w:r>
        <w:rPr>
          <w:lang w:val="pt-PT"/>
        </w:rPr>
        <w:t>) 287 final.</w:t>
      </w:r>
    </w:p>
  </w:footnote>
  <w:footnote w:id="15">
    <w:p w:rsidR="007649C7" w:rsidRDefault="008969B7">
      <w:pPr>
        <w:pStyle w:val="FootnoteText"/>
        <w:ind w:left="709" w:hanging="709"/>
        <w:rPr>
          <w:lang w:val="pt-PT"/>
        </w:rPr>
      </w:pPr>
      <w:r>
        <w:rPr>
          <w:rStyle w:val="FootnoteReference"/>
        </w:rPr>
        <w:footnoteRef/>
      </w:r>
      <w:r>
        <w:rPr>
          <w:lang w:val="pt-PT"/>
        </w:rPr>
        <w:tab/>
      </w:r>
      <w:proofErr w:type="gramStart"/>
      <w:r>
        <w:rPr>
          <w:lang w:val="pt-PT"/>
        </w:rPr>
        <w:t>COM(2012</w:t>
      </w:r>
      <w:proofErr w:type="gramEnd"/>
      <w:r>
        <w:rPr>
          <w:lang w:val="pt-PT"/>
        </w:rPr>
        <w:t>) 789 final.</w:t>
      </w:r>
    </w:p>
  </w:footnote>
  <w:footnote w:id="16">
    <w:p w:rsidR="007649C7" w:rsidRDefault="008969B7">
      <w:pPr>
        <w:pStyle w:val="FootnoteText"/>
        <w:ind w:left="709" w:hanging="709"/>
        <w:rPr>
          <w:lang w:val="pt-PT"/>
        </w:rPr>
      </w:pPr>
      <w:r>
        <w:rPr>
          <w:rStyle w:val="FootnoteReference"/>
        </w:rPr>
        <w:footnoteRef/>
      </w:r>
      <w:r>
        <w:rPr>
          <w:lang w:val="pt-PT"/>
        </w:rPr>
        <w:tab/>
      </w:r>
      <w:proofErr w:type="gramStart"/>
      <w:r>
        <w:rPr>
          <w:lang w:val="pt-PT"/>
        </w:rPr>
        <w:t>COM(2015</w:t>
      </w:r>
      <w:proofErr w:type="gramEnd"/>
      <w:r>
        <w:rPr>
          <w:lang w:val="pt-PT"/>
        </w:rPr>
        <w:t>) 215 final.</w:t>
      </w:r>
    </w:p>
  </w:footnote>
  <w:footnote w:id="17">
    <w:p w:rsidR="007649C7" w:rsidRDefault="008969B7">
      <w:pPr>
        <w:pStyle w:val="FootnoteText"/>
        <w:ind w:left="709" w:hanging="709"/>
      </w:pPr>
      <w:r>
        <w:rPr>
          <w:rStyle w:val="FootnoteReference"/>
        </w:rPr>
        <w:footnoteRef/>
      </w:r>
      <w:r>
        <w:tab/>
        <w:t>Covering, respectively, the exception on illustration for teaching and research (as it relates to text and data mining) and on specific acts of reproduction (as it relates to preservation).</w:t>
      </w:r>
    </w:p>
  </w:footnote>
  <w:footnote w:id="18">
    <w:p w:rsidR="007649C7" w:rsidRDefault="008969B7">
      <w:pPr>
        <w:pStyle w:val="FootnoteText"/>
        <w:ind w:left="709" w:hanging="709"/>
      </w:pPr>
      <w:r>
        <w:rPr>
          <w:rStyle w:val="FootnoteReference"/>
        </w:rPr>
        <w:footnoteRef/>
      </w:r>
      <w:r>
        <w:tab/>
        <w:t>Reports on the responses to the consultation available on:</w:t>
      </w:r>
    </w:p>
    <w:p w:rsidR="007649C7" w:rsidRDefault="00EE57FA">
      <w:pPr>
        <w:pStyle w:val="FootnoteText"/>
        <w:ind w:left="709" w:firstLine="0"/>
      </w:pPr>
      <w:hyperlink r:id="rId1" w:history="1">
        <w:r w:rsidR="008969B7">
          <w:rPr>
            <w:rStyle w:val="Hyperlink"/>
          </w:rPr>
          <w:t>http://ec.europa.eu/internal_market/consultations/2013/copyright-rules/docs/contributions/consultation-report_en.pdf</w:t>
        </w:r>
      </w:hyperlink>
      <w:r w:rsidR="008969B7">
        <w:t xml:space="preserve"> </w:t>
      </w:r>
    </w:p>
  </w:footnote>
  <w:footnote w:id="19">
    <w:p w:rsidR="007649C7" w:rsidRDefault="008969B7">
      <w:pPr>
        <w:pStyle w:val="FootnoteText"/>
        <w:ind w:left="709" w:hanging="709"/>
      </w:pPr>
      <w:r>
        <w:rPr>
          <w:rStyle w:val="FootnoteReference"/>
        </w:rPr>
        <w:footnoteRef/>
      </w:r>
      <w:r>
        <w:tab/>
        <w:t xml:space="preserve">First results available on </w:t>
      </w:r>
      <w:hyperlink r:id="rId2" w:history="1">
        <w:r>
          <w:rPr>
            <w:rStyle w:val="Hyperlink"/>
          </w:rPr>
          <w:t>https://ec.europa.eu/digital-single-market/news/first-brief-results-public-consultation-regulatory-environment-platforms-online-intermediaries</w:t>
        </w:r>
      </w:hyperlink>
      <w:r>
        <w:t xml:space="preserve"> </w:t>
      </w:r>
    </w:p>
  </w:footnote>
  <w:footnote w:id="20">
    <w:p w:rsidR="007649C7" w:rsidRDefault="008969B7">
      <w:pPr>
        <w:pStyle w:val="FootnoteText"/>
        <w:ind w:left="709" w:hanging="709"/>
      </w:pPr>
      <w:r>
        <w:rPr>
          <w:rStyle w:val="FootnoteReference"/>
        </w:rPr>
        <w:footnoteRef/>
      </w:r>
      <w:r>
        <w:tab/>
        <w:t xml:space="preserve">Study on the application of Directive 2001/29/EC on copyright and related rights in the information society: </w:t>
      </w:r>
      <w:hyperlink r:id="rId3" w:history="1">
        <w:r>
          <w:rPr>
            <w:rStyle w:val="Hyperlink"/>
          </w:rPr>
          <w:t>http://ec.europa.eu/internal_market/copyright/studies/index_en.htm</w:t>
        </w:r>
      </w:hyperlink>
      <w:r>
        <w:t xml:space="preserve">; Study on the legal framework of text and data mining: </w:t>
      </w:r>
      <w:hyperlink r:id="rId4" w:history="1">
        <w:r>
          <w:rPr>
            <w:rStyle w:val="Hyperlink"/>
          </w:rPr>
          <w:t>http://ec.europa.eu/internal_market/copyright/docs/studies/1403_study2_en.pdf</w:t>
        </w:r>
      </w:hyperlink>
      <w:r>
        <w:t xml:space="preserve">; </w:t>
      </w:r>
      <w:r>
        <w:rPr>
          <w:color w:val="000000"/>
          <w:szCs w:val="24"/>
          <w:u w:color="000000"/>
          <w:bdr w:val="nil"/>
        </w:rPr>
        <w:t xml:space="preserve">Study on the making available right and its relationship with the reproduction right in cross-border digital transmissions: </w:t>
      </w:r>
      <w:hyperlink r:id="rId5" w:history="1">
        <w:r>
          <w:rPr>
            <w:rStyle w:val="Hyperlink"/>
          </w:rPr>
          <w:t>http://ec.europa.eu/internal_market/copyright/docs/studies/141219-study_en.pdf</w:t>
        </w:r>
      </w:hyperlink>
      <w:r>
        <w:rPr>
          <w:rStyle w:val="Hyperlink"/>
        </w:rPr>
        <w:t xml:space="preserve">; </w:t>
      </w:r>
      <w:r>
        <w:rPr>
          <w:color w:val="000000"/>
          <w:szCs w:val="24"/>
          <w:u w:color="000000"/>
          <w:bdr w:val="nil"/>
        </w:rPr>
        <w:t>Study on the remuneration of authors and performers for the use of their works and the fixation of their performances:</w:t>
      </w:r>
      <w:r>
        <w:rPr>
          <w:rStyle w:val="Hyperlink"/>
        </w:rPr>
        <w:t xml:space="preserve"> </w:t>
      </w:r>
      <w:hyperlink r:id="rId6" w:history="1">
        <w:r>
          <w:rPr>
            <w:rStyle w:val="Hyperlink"/>
          </w:rPr>
          <w:t>https://ec.europa.eu/digital-single-market/en/news/commission-gathers-evidence-remuneration-authors-and-performers-use-their-works-and-fixations</w:t>
        </w:r>
      </w:hyperlink>
      <w:r>
        <w:rPr>
          <w:rStyle w:val="Hyperlink"/>
        </w:rPr>
        <w:t>; Study on the remuneration of authors of books and scientific journals, translators, journalists and visual artists for the use of their works: [hyperlink to be included – publication pending]</w:t>
      </w:r>
    </w:p>
  </w:footnote>
  <w:footnote w:id="21">
    <w:p w:rsidR="007649C7" w:rsidRDefault="008969B7">
      <w:pPr>
        <w:pStyle w:val="FootnoteText"/>
        <w:ind w:left="709" w:hanging="709"/>
      </w:pPr>
      <w:r>
        <w:rPr>
          <w:rStyle w:val="FootnoteReference"/>
        </w:rPr>
        <w:footnoteRef/>
      </w:r>
      <w:r>
        <w:tab/>
      </w:r>
      <w:r>
        <w:rPr>
          <w:bCs/>
        </w:rPr>
        <w:t xml:space="preserve">Study “Assessing the economic impacts of adapting certain limitations and exceptions to copyright and related rights in the EU” : </w:t>
      </w:r>
      <w:hyperlink r:id="rId7" w:history="1">
        <w:r>
          <w:rPr>
            <w:rStyle w:val="Hyperlink"/>
            <w:bCs/>
          </w:rPr>
          <w:t>http://ec.europa.eu/internal_market/copyright/docs/studies/131001-study_en.pdf</w:t>
        </w:r>
      </w:hyperlink>
      <w:r>
        <w:rPr>
          <w:bCs/>
        </w:rPr>
        <w:t xml:space="preserve"> and “Assessing the economic impacts of adapting certain limitations and exceptions to copyright and related rights in the EU – Analysis of specific policy options”: </w:t>
      </w:r>
      <w:hyperlink r:id="rId8" w:history="1">
        <w:r>
          <w:rPr>
            <w:rStyle w:val="Hyperlink"/>
            <w:bCs/>
          </w:rPr>
          <w:t>http://ec.europa.eu/internal_market/copyright/docs/studies/140623-limitations-economic-impacts-study_en.pdf</w:t>
        </w:r>
      </w:hyperlink>
      <w:r>
        <w:rPr>
          <w:bCs/>
        </w:rPr>
        <w:t xml:space="preserve"> </w:t>
      </w:r>
    </w:p>
  </w:footnote>
  <w:footnote w:id="22">
    <w:p w:rsidR="007649C7" w:rsidRDefault="008969B7">
      <w:pPr>
        <w:pStyle w:val="FootnoteText"/>
        <w:ind w:left="709" w:hanging="709"/>
      </w:pPr>
      <w:r>
        <w:rPr>
          <w:rStyle w:val="FootnoteReference"/>
        </w:rPr>
        <w:footnoteRef/>
      </w:r>
      <w:r>
        <w:tab/>
        <w:t>Add link to IA and Executive Summary.</w:t>
      </w:r>
    </w:p>
  </w:footnote>
  <w:footnote w:id="23">
    <w:p w:rsidR="007649C7" w:rsidRDefault="008969B7">
      <w:pPr>
        <w:pStyle w:val="FootnoteText"/>
        <w:ind w:left="709" w:hanging="709"/>
      </w:pPr>
      <w:r>
        <w:rPr>
          <w:rStyle w:val="FootnoteReference"/>
        </w:rPr>
        <w:footnoteRef/>
      </w:r>
      <w:r>
        <w:tab/>
        <w:t>Add link to RSB opinion.</w:t>
      </w:r>
    </w:p>
  </w:footnote>
  <w:footnote w:id="24">
    <w:p w:rsidR="007649C7" w:rsidRDefault="008969B7">
      <w:pPr>
        <w:pStyle w:val="FootnoteText"/>
        <w:rPr>
          <w:lang w:val="pt-PT"/>
        </w:rPr>
      </w:pPr>
      <w:r>
        <w:rPr>
          <w:rStyle w:val="FootnoteReference"/>
        </w:rPr>
        <w:footnoteRef/>
      </w:r>
      <w:r>
        <w:rPr>
          <w:lang w:val="pt-PT"/>
        </w:rPr>
        <w:tab/>
        <w:t xml:space="preserve">OJ </w:t>
      </w:r>
      <w:proofErr w:type="gramStart"/>
      <w:r>
        <w:rPr>
          <w:lang w:val="pt-PT"/>
        </w:rPr>
        <w:t>C ,</w:t>
      </w:r>
      <w:proofErr w:type="gramEnd"/>
      <w:r>
        <w:rPr>
          <w:lang w:val="pt-PT"/>
        </w:rPr>
        <w:t xml:space="preserve"> , p. .</w:t>
      </w:r>
    </w:p>
  </w:footnote>
  <w:footnote w:id="25">
    <w:p w:rsidR="007649C7" w:rsidRDefault="008969B7">
      <w:pPr>
        <w:pStyle w:val="FootnoteText"/>
        <w:rPr>
          <w:lang w:val="pt-PT"/>
        </w:rPr>
      </w:pPr>
      <w:r>
        <w:rPr>
          <w:rStyle w:val="FootnoteReference"/>
        </w:rPr>
        <w:footnoteRef/>
      </w:r>
      <w:r>
        <w:rPr>
          <w:lang w:val="pt-PT"/>
        </w:rPr>
        <w:tab/>
        <w:t xml:space="preserve">OJ </w:t>
      </w:r>
      <w:proofErr w:type="gramStart"/>
      <w:r>
        <w:rPr>
          <w:lang w:val="pt-PT"/>
        </w:rPr>
        <w:t>C ,</w:t>
      </w:r>
      <w:proofErr w:type="gramEnd"/>
      <w:r>
        <w:rPr>
          <w:lang w:val="pt-PT"/>
        </w:rPr>
        <w:t xml:space="preserve"> , p. .</w:t>
      </w:r>
    </w:p>
  </w:footnote>
  <w:footnote w:id="26">
    <w:p w:rsidR="007649C7" w:rsidRDefault="008969B7">
      <w:pPr>
        <w:pStyle w:val="FootnoteText"/>
        <w:tabs>
          <w:tab w:val="left" w:pos="720"/>
          <w:tab w:val="left" w:pos="1440"/>
          <w:tab w:val="center" w:pos="4536"/>
        </w:tabs>
        <w:rPr>
          <w:lang w:val="pt-PT"/>
        </w:rPr>
      </w:pPr>
      <w:r>
        <w:rPr>
          <w:rStyle w:val="FootnoteReference"/>
        </w:rPr>
        <w:footnoteRef/>
      </w:r>
      <w:r>
        <w:rPr>
          <w:lang w:val="pt-PT"/>
        </w:rPr>
        <w:tab/>
      </w:r>
      <w:proofErr w:type="gramStart"/>
      <w:r>
        <w:rPr>
          <w:lang w:val="pt-PT"/>
        </w:rPr>
        <w:t>COM(2015</w:t>
      </w:r>
      <w:proofErr w:type="gramEnd"/>
      <w:r>
        <w:rPr>
          <w:lang w:val="pt-PT"/>
        </w:rPr>
        <w:t>) 626 final.</w:t>
      </w:r>
    </w:p>
  </w:footnote>
  <w:footnote w:id="27">
    <w:p w:rsidR="007649C7" w:rsidRDefault="008969B7">
      <w:pPr>
        <w:pStyle w:val="FootnoteText"/>
      </w:pPr>
      <w:r>
        <w:rPr>
          <w:rStyle w:val="FootnoteReference"/>
        </w:rPr>
        <w:footnoteRef/>
      </w:r>
      <w:r>
        <w:tab/>
      </w:r>
      <w:proofErr w:type="gramStart"/>
      <w:r>
        <w:t>Directive 96/9/EC of the European Parliament and of the Council of 11 March 1996 on the legal protection of databases (OJ L 77, 27.3.1996, p. 20–28).</w:t>
      </w:r>
      <w:proofErr w:type="gramEnd"/>
    </w:p>
  </w:footnote>
  <w:footnote w:id="28">
    <w:p w:rsidR="007649C7" w:rsidRDefault="008969B7">
      <w:pPr>
        <w:pStyle w:val="FootnoteText"/>
      </w:pPr>
      <w:r>
        <w:rPr>
          <w:rStyle w:val="FootnoteReference"/>
        </w:rPr>
        <w:footnoteRef/>
      </w:r>
      <w:r>
        <w:tab/>
        <w:t>Directive 2001/29/EC of the European Parliament and of the Council of 22 May 2001 on the harmonisation of certain aspects of copyright and related rights in the information society (OJ L 167, 22.6.2001, p. 10–19).</w:t>
      </w:r>
    </w:p>
  </w:footnote>
  <w:footnote w:id="29">
    <w:p w:rsidR="007649C7" w:rsidRDefault="008969B7">
      <w:pPr>
        <w:pStyle w:val="FootnoteText"/>
      </w:pPr>
      <w:r>
        <w:rPr>
          <w:rStyle w:val="FootnoteReference"/>
        </w:rPr>
        <w:footnoteRef/>
      </w:r>
      <w:r>
        <w:tab/>
        <w:t>Directive 2006/115/EC of the European Parliament and of the Council of 12 December 2006 on rental right and lending right and on certain rights related to copyright in the field of intellectual property (OJ L 376, 27.12.2006, p. 28–35).</w:t>
      </w:r>
    </w:p>
  </w:footnote>
  <w:footnote w:id="30">
    <w:p w:rsidR="007649C7" w:rsidRDefault="008969B7">
      <w:pPr>
        <w:pStyle w:val="FootnoteText"/>
      </w:pPr>
      <w:r>
        <w:rPr>
          <w:rStyle w:val="FootnoteReference"/>
        </w:rPr>
        <w:footnoteRef/>
      </w:r>
      <w:r>
        <w:tab/>
        <w:t>Directive 2009/24/EC of the European Parliament and of the Council of 23 April 2009 on the legal protection of computer programs (</w:t>
      </w:r>
      <w:r>
        <w:rPr>
          <w:iCs/>
        </w:rPr>
        <w:t>OJ L 111, 5.5.2009, p. 16–22).</w:t>
      </w:r>
    </w:p>
  </w:footnote>
  <w:footnote w:id="31">
    <w:p w:rsidR="007649C7" w:rsidRDefault="008969B7">
      <w:pPr>
        <w:pStyle w:val="FootnoteText"/>
      </w:pPr>
      <w:r>
        <w:rPr>
          <w:rStyle w:val="FootnoteReference"/>
        </w:rPr>
        <w:footnoteRef/>
      </w:r>
      <w:r>
        <w:tab/>
        <w:t>Directive 2012/28/EU of the European Parliament and of the Council of 25 October 2012 on certain permitted uses of orphan works (OJ L 299, 27.10.2012, p. 5–12).</w:t>
      </w:r>
    </w:p>
  </w:footnote>
  <w:footnote w:id="32">
    <w:p w:rsidR="007649C7" w:rsidRDefault="008969B7">
      <w:pPr>
        <w:pStyle w:val="FootnoteText"/>
      </w:pPr>
      <w:r>
        <w:rPr>
          <w:rStyle w:val="FootnoteReference"/>
        </w:rPr>
        <w:footnoteRef/>
      </w:r>
      <w:r>
        <w:tab/>
        <w:t>Directive 2014/26/EU of the European Parliament and of the Council of 26 February 2014 on collective management of copyright and related rights and multi-territorial licensing of rights in musical works for online use in the internal market (OJ L 84, 20.3.2014, p. 72–98).</w:t>
      </w:r>
    </w:p>
  </w:footnote>
  <w:footnote w:id="33">
    <w:p w:rsidR="007649C7" w:rsidRDefault="008969B7">
      <w:pPr>
        <w:pStyle w:val="FootnoteText"/>
      </w:pPr>
      <w:r>
        <w:rPr>
          <w:rStyle w:val="FootnoteReference"/>
        </w:rPr>
        <w:footnoteRef/>
      </w:r>
      <w:r>
        <w:tab/>
        <w:t>Regulation (EU) No 386/2012 of the European Parliament and of the Council of 19 April 2012 on entrusting the Office for Harmonization in the Internal Market (Trade Marks and Designs) with tasks related to the enforcement of intellectual property rights, including the assembling of public and private-sector representatives as a European Observatory on Infringements of Intellectual Property Rights (OJ L 129, 16.5.2012, p. 1–6).</w:t>
      </w:r>
    </w:p>
  </w:footnote>
  <w:footnote w:id="34">
    <w:p w:rsidR="007649C7" w:rsidRDefault="008969B7">
      <w:pPr>
        <w:pStyle w:val="FootnoteText"/>
      </w:pPr>
      <w:r>
        <w:rPr>
          <w:rStyle w:val="FootnoteReference"/>
        </w:rPr>
        <w:footnoteRef/>
      </w:r>
      <w:r>
        <w:tab/>
        <w:t>Directive 2000/31/EC of the European Parliament and of the Council of 8 June 2000 on certain legal aspects of information society services, in particular electronic commerce, in the Internal Market (OJ L 178, 17.7.2000, p. 1–16).</w:t>
      </w:r>
    </w:p>
  </w:footnote>
  <w:footnote w:id="35">
    <w:p w:rsidR="007649C7" w:rsidRDefault="008969B7">
      <w:pPr>
        <w:pStyle w:val="FootnoteText"/>
      </w:pPr>
      <w:r>
        <w:rPr>
          <w:rStyle w:val="FootnoteReference"/>
        </w:rPr>
        <w:footnoteRef/>
      </w:r>
      <w:r>
        <w:tab/>
        <w:t>Directive 95/46/EC of the European Parliament and of the Council of 24 October 1995 on the protection of individuals with regard to the processing of personal data and on the free movement of such data (OJ L 281, 23.11.1995, p. 31–50). This Directive is repealed with effect from 25 May 2018 and shall be replaced by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36">
    <w:p w:rsidR="007649C7" w:rsidRDefault="008969B7">
      <w:pPr>
        <w:pStyle w:val="FootnoteText"/>
      </w:pPr>
      <w:r>
        <w:rPr>
          <w:rStyle w:val="FootnoteReference"/>
        </w:rPr>
        <w:footnoteRef/>
      </w:r>
      <w:r>
        <w:tab/>
        <w:t>Directive 2002/58/EC of the European Parliament and of the Council of 12 July 2002 concerning the processing of personal data and the protection of privacy in the electronic communications sector (Directive on privacy and electronic communications) (OJ L 201, 31.7.2002, p. 37–47), called, as amended by Directives 2006/24/EC and 2009/136/EC, the “e-Privacy Directive”.</w:t>
      </w:r>
    </w:p>
  </w:footnote>
  <w:footnote w:id="37">
    <w:p w:rsidR="007649C7" w:rsidRDefault="008969B7">
      <w:pPr>
        <w:pStyle w:val="FootnoteText"/>
        <w:rPr>
          <w:lang w:val="pl-PL"/>
        </w:rPr>
      </w:pPr>
      <w:r>
        <w:rPr>
          <w:rStyle w:val="FootnoteReference"/>
        </w:rPr>
        <w:footnoteRef/>
      </w:r>
      <w:r>
        <w:tab/>
        <w:t>OJ C 369,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FA" w:rsidRPr="00EE57FA" w:rsidRDefault="00EE57FA" w:rsidP="00EE5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FA" w:rsidRPr="00EE57FA" w:rsidRDefault="00EE57FA" w:rsidP="00EE5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FA" w:rsidRPr="00EE57FA" w:rsidRDefault="00EE57FA" w:rsidP="00EE5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8 16:52: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D20991494E2A47F29C6ADA41E5168E7C"/>
    <w:docVar w:name="LW_CROSSREFERENCE" w:val="{SWD(2016) 301}_x000a_{SWD(2016) 302}"/>
    <w:docVar w:name="LW_DocType" w:val="COM"/>
    <w:docVar w:name="LW_EMISSION" w:val="14.9.2016"/>
    <w:docVar w:name="LW_EMISSION_ISODATE" w:val="2016-09-14"/>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Proposal for a"/>
    <w:docVar w:name="LW_SUPERTITRE" w:val="&lt;UNUSED&gt;"/>
    <w:docVar w:name="LW_TITRE.OBJ.CP" w:val="on copyright in the Digital Single Market"/>
    <w:docVar w:name="LW_TYPE.DOC.CP" w:val="DIRECTIVE OF THE EUROPEAN PARLIAMENT AND OF THE COUNCIL"/>
  </w:docVars>
  <w:rsids>
    <w:rsidRoot w:val="007649C7"/>
    <w:rsid w:val="00734569"/>
    <w:rsid w:val="007649C7"/>
    <w:rsid w:val="008969B7"/>
    <w:rsid w:val="00E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EE57FA"/>
    <w:pPr>
      <w:tabs>
        <w:tab w:val="center" w:pos="4535"/>
        <w:tab w:val="right" w:pos="9071"/>
      </w:tabs>
      <w:spacing w:before="0"/>
    </w:pPr>
  </w:style>
  <w:style w:type="character" w:customStyle="1" w:styleId="HeaderChar">
    <w:name w:val="Header Char"/>
    <w:basedOn w:val="DefaultParagraphFont"/>
    <w:link w:val="Header"/>
    <w:uiPriority w:val="99"/>
    <w:rsid w:val="00EE57F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E57F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EE57FA"/>
    <w:pPr>
      <w:tabs>
        <w:tab w:val="center" w:pos="4535"/>
        <w:tab w:val="right" w:pos="9071"/>
      </w:tabs>
      <w:spacing w:before="0"/>
    </w:pPr>
  </w:style>
  <w:style w:type="character" w:customStyle="1" w:styleId="HeaderChar">
    <w:name w:val="Header Char"/>
    <w:basedOn w:val="DefaultParagraphFont"/>
    <w:link w:val="Header"/>
    <w:uiPriority w:val="99"/>
    <w:rsid w:val="00EE57F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E57F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33</Pages>
  <Words>13046</Words>
  <Characters>73451</Characters>
  <Application>Microsoft Office Word</Application>
  <DocSecurity>0</DocSecurity>
  <Lines>1165</Lines>
  <Paragraphs>296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DOMINGUEZ AGUIRRE Ana (SG)</cp:lastModifiedBy>
  <cp:revision>4</cp:revision>
  <cp:lastPrinted>2016-09-08T14:59:00Z</cp:lastPrinted>
  <dcterms:created xsi:type="dcterms:W3CDTF">2016-09-08T14:59:00Z</dcterms:created>
  <dcterms:modified xsi:type="dcterms:W3CDTF">2016-09-13T18:12:00Z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