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3F73AF7045E4D628F094CC73C78DA1A" style="width:450.8pt;height:351.9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spacing w:line="276" w:lineRule="auto"/>
        <w:rPr>
          <w:noProof/>
        </w:rPr>
      </w:pPr>
      <w:r>
        <w:rPr>
          <w:noProof/>
        </w:rPr>
        <w:t>Ta predlog je del ambicioznega načrta za zunanje naložbe (v nadaljnjem besedilu: EIP), ki ga je Komisija napovedala v sporočilu z dne 7. junija 2016 o vzpostavitvi novega partnerskega okvira s tretjimi državami v okviru evropske agende o migracijah</w:t>
      </w:r>
      <w:r>
        <w:rPr>
          <w:rStyle w:val="FootnoteReference"/>
          <w:noProof/>
        </w:rPr>
        <w:footnoteReference w:id="1"/>
      </w:r>
      <w:r>
        <w:rPr>
          <w:noProof/>
        </w:rPr>
        <w:t xml:space="preserve">. Pobudo za EIP je 28. junija 2016 nato odobril Evropski svet. Njen cilj je obravnavati temeljne vzroke migracij ter hkrati prispevati k doseganju ciljev trajnostnega razvoja. Ta predlog uvaja dve spremembi Uredbe Sveta (ES, Euratom) št. 480/2009 z dne 25. maja 2009. Skupaj z ločenim zakonodajnim predlogom o spremembi Sklepa št. 466/2014/EU Evropskega parlamenta in Sveta z dne 16. aprila 2014 o odobritvi jamstva EU Evropski investicijski banki za izgube pri financiranju v podporo naložbenim projektom zunaj Unije bo predlog Evropski investicijski banki (v nadaljnjem besedilu: EIB) s kvantitativno in kvalitativno razširitvijo mandata EIB za zunanja posojila omogočil, da prispeva k EIP. EIB bo tako lahko hitro prispevala k ciljem EIP, zlasti z zagotavljanjem dodatnega financiranja upravičencem iz zasebnega sektorja. </w:t>
      </w:r>
    </w:p>
    <w:p>
      <w:pPr>
        <w:spacing w:before="0" w:after="240" w:line="276" w:lineRule="auto"/>
        <w:rPr>
          <w:noProof/>
        </w:rPr>
      </w:pPr>
      <w:r>
        <w:rPr>
          <w:noProof/>
        </w:rPr>
        <w:t>V okviru prizadevanj Komisije za odpravljanje temeljnih vzrokov migracij se predlaga, da se EIB podeli nov mandat za posojila zasebnemu sektorju. Unija bo znotraj tega mandata za posojila zasebnemu sektorju upravičena do prihodkov iz premij za tveganje, ustvarjenih v okviru financiranja, ki ga izvaja EIB. Te prihodke bi bilo treba prenesti v Jamstveni sklad za zunanje ukrepe, ki ga ureja Uredba Sveta (ES, Euratom) št. 480/2009 z dne 25. maja 2009.</w:t>
      </w:r>
    </w:p>
    <w:p>
      <w:pPr>
        <w:spacing w:before="0" w:after="240" w:line="276" w:lineRule="auto"/>
        <w:rPr>
          <w:noProof/>
        </w:rPr>
      </w:pPr>
      <w:r>
        <w:rPr>
          <w:noProof/>
        </w:rPr>
        <w:t>Znesek Jamstvenega sklada, ki bo za več kot 10 % presegal znesek skupnih neporavnanih posojil, bo vrnjen v proračun. Ta prilagoditev je namenjena boljši zaščiti proračuna pred morebitnim dodatnim tveganjem neizpolnjevanja obveznosti odplačila pri financiranju, ki ga izvaja EIB v zvezi z migracijsko krizo.</w:t>
      </w:r>
    </w:p>
    <w:p>
      <w:pPr>
        <w:spacing w:before="0" w:after="240" w:line="276" w:lineRule="auto"/>
        <w:rPr>
          <w:noProof/>
        </w:rPr>
      </w:pPr>
      <w:r>
        <w:rPr>
          <w:noProof/>
        </w:rPr>
        <w:t>Sredstva Jamstvenega sklada je doslej upravljala EIB. Komisija ima bogate izkušnje z upravljanjem podobnih finančnih dejavnosti. Dobro je pripravljena na neodvisno upravljanje Jamstvenega sklada, kar bi pomenilo prizadevanje za racionalizacijo in konsolidacijo dejavnosti upravljanja sredstev Komisije, pri čemer bi izhajala iz obstoječih struktur in dosedanjih dobrih rezultatov. Komisija je že pooblaščena za upravljanje Jamstvenega sklada za Evropski sklad za strateške naložbe (v nadaljnjem besedilu: EFSI). Zato bi bilo treba upravljanje sredstev Jamstvenega sklada prenesti na Evropsko komisijo.</w:t>
      </w:r>
    </w:p>
    <w:p>
      <w:pPr>
        <w:pStyle w:val="ManualHeading2"/>
        <w:rPr>
          <w:rFonts w:eastAsia="Arial Unicode MS"/>
          <w:noProof/>
          <w:color w:val="000000"/>
          <w:u w:color="000000"/>
          <w:bdr w:val="nil"/>
        </w:rPr>
      </w:pPr>
      <w:r>
        <w:rPr>
          <w:noProof/>
          <w:color w:val="000000"/>
          <w:u w:color="000000"/>
          <w:bdr w:val="nil"/>
        </w:rPr>
        <w:t>•</w:t>
      </w:r>
      <w:r>
        <w:rPr>
          <w:noProof/>
        </w:rPr>
        <w:tab/>
        <w:t>Skladnost z veljavnimi predpisi s področja zadevne politike in drugimi politikami Unije</w:t>
      </w:r>
    </w:p>
    <w:p>
      <w:pPr>
        <w:pBdr>
          <w:top w:val="nil"/>
          <w:left w:val="nil"/>
          <w:bottom w:val="nil"/>
          <w:right w:val="nil"/>
          <w:between w:val="nil"/>
          <w:bar w:val="nil"/>
        </w:pBdr>
        <w:spacing w:before="0" w:after="240" w:line="276" w:lineRule="auto"/>
        <w:rPr>
          <w:noProof/>
        </w:rPr>
      </w:pPr>
      <w:r>
        <w:rPr>
          <w:noProof/>
        </w:rPr>
        <w:t>Ta predlog je sestavni del EIP, ki je ključna politika na pobudo Unije. Vsebuje dopolnilne določbe, potrebne za delovanje EIP, zlasti novega mandata EIB za posojila zasebnemu sektorju.</w:t>
      </w:r>
    </w:p>
    <w:p>
      <w:pPr>
        <w:pBdr>
          <w:top w:val="nil"/>
          <w:left w:val="nil"/>
          <w:bottom w:val="nil"/>
          <w:right w:val="nil"/>
          <w:between w:val="nil"/>
          <w:bar w:val="nil"/>
        </w:pBdr>
        <w:spacing w:before="0" w:after="240" w:line="276" w:lineRule="auto"/>
        <w:rPr>
          <w:rFonts w:eastAsia="Arial Unicode MS"/>
          <w:noProof/>
        </w:rPr>
      </w:pPr>
      <w:r>
        <w:rPr>
          <w:noProof/>
        </w:rPr>
        <w:t>Komisija vzporedno s tem predlaga pregled Uredbe (EU, Euratom) št. 966/2012 Evropskega parlamenta in Sveta (v nadaljnjem besedilu: finančna uredba), kjer predlaga nov oddelek o proračunskih jamstvih, ki bo zagotovil skupen ureditveni okvir za jamstva Unije s pogojno obveznostjo, ter skupen sklad za oblikovanje rezervacij, ki ga bo upravljala Komisija. Določbe v tem predlogu so skladne s tistimi, ki so vključene v predlog za pregled finančne uredbe.</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rPr>
        <w:t>•</w:t>
      </w:r>
      <w:r>
        <w:rPr>
          <w:noProof/>
        </w:rPr>
        <w:tab/>
        <w:t>Pravna podlaga</w:t>
      </w:r>
    </w:p>
    <w:p>
      <w:pPr>
        <w:spacing w:line="276" w:lineRule="auto"/>
        <w:rPr>
          <w:rFonts w:eastAsia="Arial Unicode MS"/>
          <w:noProof/>
        </w:rPr>
      </w:pPr>
      <w:r>
        <w:rPr>
          <w:noProof/>
        </w:rPr>
        <w:t xml:space="preserve">Člena 209 in 212 Pogodbe o delovanju Evropske unije. </w:t>
      </w:r>
    </w:p>
    <w:p>
      <w:pPr>
        <w:pStyle w:val="ManualHeading2"/>
        <w:rPr>
          <w:rFonts w:eastAsia="Arial Unicode MS"/>
          <w:noProof/>
          <w:u w:color="000000"/>
          <w:bdr w:val="nil"/>
        </w:rPr>
      </w:pPr>
      <w:r>
        <w:rPr>
          <w:noProof/>
        </w:rPr>
        <w:t>•</w:t>
      </w:r>
      <w:r>
        <w:rPr>
          <w:noProof/>
        </w:rPr>
        <w:tab/>
        <w:t>Sorazmernost</w:t>
      </w:r>
    </w:p>
    <w:p>
      <w:pPr>
        <w:pBdr>
          <w:top w:val="nil"/>
          <w:left w:val="nil"/>
          <w:bottom w:val="nil"/>
          <w:right w:val="nil"/>
          <w:between w:val="nil"/>
          <w:bar w:val="nil"/>
        </w:pBdr>
        <w:spacing w:before="0" w:after="240"/>
        <w:rPr>
          <w:noProof/>
        </w:rPr>
      </w:pPr>
      <w:r>
        <w:rPr>
          <w:noProof/>
        </w:rPr>
        <w:t>Predlog vsebuje dopolnilne določbe in je zato potreben za delovanje EIP, zlasti novega mandata EIB za posojila zasebnemu sektorju.</w:t>
      </w:r>
    </w:p>
    <w:p>
      <w:pPr>
        <w:pStyle w:val="ManualHeading2"/>
        <w:rPr>
          <w:rFonts w:eastAsia="Arial Unicode MS"/>
          <w:noProof/>
          <w:u w:color="000000"/>
          <w:bdr w:val="nil"/>
        </w:rPr>
      </w:pPr>
      <w:r>
        <w:rPr>
          <w:noProof/>
        </w:rPr>
        <w:t>•</w:t>
      </w:r>
      <w:r>
        <w:rPr>
          <w:noProof/>
        </w:rPr>
        <w:tab/>
        <w:t>Subsidiarnost (za neizključno pristojnost)</w:t>
      </w:r>
    </w:p>
    <w:p>
      <w:pPr>
        <w:pBdr>
          <w:top w:val="nil"/>
          <w:left w:val="nil"/>
          <w:bottom w:val="nil"/>
          <w:right w:val="nil"/>
          <w:between w:val="nil"/>
          <w:bar w:val="nil"/>
        </w:pBdr>
        <w:spacing w:before="0" w:after="240"/>
        <w:rPr>
          <w:rFonts w:eastAsia="Arial Unicode MS"/>
          <w:noProof/>
        </w:rPr>
      </w:pPr>
      <w:r>
        <w:rPr>
          <w:noProof/>
        </w:rPr>
        <w:t>V skladu z načeloma subsidiarnosti in sorazmernosti, ki sta določena v členu 5 PEU, posamezne države članice ne morejo ustrezno uresničiti ciljev predlaganih ukrepov, zato jih lahko bolje uresniči EU. Ker imajo finančne institucije držav članic različne zmogljivosti za ukrepanje, se ti cilji zaradi obsega in učinkov zadevnih ukrepov lahko bolje dosežejo z ukrepanjem na ravni Unije.</w:t>
      </w:r>
    </w:p>
    <w:p>
      <w:pPr>
        <w:pStyle w:val="ManualHeading1"/>
        <w:rPr>
          <w:noProof/>
        </w:rPr>
      </w:pPr>
      <w:r>
        <w:rPr>
          <w:noProof/>
        </w:rPr>
        <w:t>3.</w:t>
      </w:r>
      <w:r>
        <w:rPr>
          <w:noProof/>
        </w:rPr>
        <w:tab/>
        <w:t>REZULTATI NAKNADNIH OCEN, POSVETOVANJ Z ZAINTERESIRANIMI STRANMI IN OCEN UČINKA</w:t>
      </w:r>
    </w:p>
    <w:p>
      <w:pPr>
        <w:pBdr>
          <w:top w:val="nil"/>
          <w:left w:val="nil"/>
          <w:bottom w:val="nil"/>
          <w:right w:val="nil"/>
          <w:between w:val="nil"/>
          <w:bar w:val="nil"/>
        </w:pBdr>
        <w:spacing w:before="0" w:after="240"/>
        <w:rPr>
          <w:rFonts w:eastAsia="Arial Unicode MS"/>
          <w:noProof/>
        </w:rPr>
      </w:pPr>
      <w:r>
        <w:rPr>
          <w:noProof/>
        </w:rPr>
        <w:t xml:space="preserve">Leta 2016 je svetovalec izvedel zunanjo študijo, katere glavni namen je bil oceniti poglavitne parametre, ki urejajo Jamstveni sklad. V poročilu je bilo ugotovljeno, da se zdi ciljna stopnja v višini 9 %, določena v uredbi Komisije (ES, Euratom) št. 480/2009, še vedno primerna za sedanjo stopnjo tveganja pri portfelju posojil. Naslednji zunanji pregled ciljne stopnje bo najverjetneje izveden leta 2019. Poleg tega so se mehanizmi Jamstvenega sklada izkazali za učinkovite pri zaščiti proračuna EU in omogočanju dosežkov zunanjih posredovanj EU. </w:t>
      </w:r>
    </w:p>
    <w:p>
      <w:pPr>
        <w:pStyle w:val="ManualHeading2"/>
        <w:rPr>
          <w:noProof/>
        </w:rPr>
      </w:pPr>
      <w:r>
        <w:rPr>
          <w:noProof/>
        </w:rPr>
        <w:t>4.</w:t>
      </w:r>
      <w:r>
        <w:rPr>
          <w:noProof/>
        </w:rPr>
        <w:tab/>
        <w:t>PRORAČUNSKE POSLEDICE</w:t>
      </w:r>
    </w:p>
    <w:p>
      <w:pPr>
        <w:pBdr>
          <w:top w:val="nil"/>
          <w:left w:val="nil"/>
          <w:bottom w:val="nil"/>
          <w:right w:val="nil"/>
          <w:between w:val="nil"/>
          <w:bar w:val="nil"/>
        </w:pBdr>
        <w:spacing w:before="0" w:after="240"/>
        <w:rPr>
          <w:noProof/>
        </w:rPr>
      </w:pPr>
      <w:r>
        <w:rPr>
          <w:noProof/>
        </w:rPr>
        <w:t xml:space="preserve">Unija bo v okviru novega mandata za posojila zasebnemu sektorju, uvedenega z ločenim zakonodajnim aktom, upravičena do prihodkov iz premij za tveganje, ustvarjenih v okviru financiranja, ki ga izvaja EIB. Prihodki iz premij za tveganje bodo nadomestili višje tveganje in v času trajanja instrumenta prispevali k financiranju dodatnih potreb Jamstvenega sklada po zagotavljanju sredstev. Predlog po pričakovanjih ne bo imel nobenih neto proračunskih posledic, saj so premije za tveganje prilivi v Jamstveni sklad. Zaračunane bodo EIB v zameno za tveganja za proračun Unije. </w:t>
      </w:r>
    </w:p>
    <w:p>
      <w:pPr>
        <w:pBdr>
          <w:top w:val="nil"/>
          <w:left w:val="nil"/>
          <w:bottom w:val="nil"/>
          <w:right w:val="nil"/>
          <w:between w:val="nil"/>
          <w:bar w:val="nil"/>
        </w:pBdr>
        <w:spacing w:before="0" w:after="240"/>
        <w:rPr>
          <w:rFonts w:eastAsia="Arial Unicode MS"/>
          <w:noProof/>
        </w:rPr>
      </w:pPr>
      <w:r>
        <w:rPr>
          <w:noProof/>
        </w:rPr>
        <w:t>Zaradi boljše zaščite proračuna pred morebitnim dodatnim tveganjem neizpolnjevanja obveznosti odplačila pri financiranju, ki ga izvaja EIB v zvezi z migracijsko krizo, bo znesek Jamstvenega sklada, ki bo presegel 10 % namesto 9 % neodplačanih posojil, vrnjen v proračun.</w:t>
      </w:r>
    </w:p>
    <w:p>
      <w:pPr>
        <w:pStyle w:val="ManualHeading1"/>
        <w:rPr>
          <w:noProof/>
        </w:rPr>
      </w:pPr>
      <w:r>
        <w:rPr>
          <w:noProof/>
        </w:rPr>
        <w:t>5.</w:t>
      </w:r>
      <w:r>
        <w:rPr>
          <w:noProof/>
        </w:rPr>
        <w:tab/>
        <w:t>DRUGI ELEMENTI</w:t>
      </w:r>
    </w:p>
    <w:p>
      <w:pPr>
        <w:pStyle w:val="ManualHeading2"/>
        <w:rPr>
          <w:rFonts w:eastAsia="Arial Unicode MS"/>
          <w:noProof/>
          <w:u w:color="000000"/>
          <w:bdr w:val="nil"/>
        </w:rPr>
      </w:pPr>
      <w:r>
        <w:rPr>
          <w:noProof/>
        </w:rPr>
        <w:t>•</w:t>
      </w:r>
      <w:r>
        <w:rPr>
          <w:noProof/>
        </w:rPr>
        <w:tab/>
        <w:t>Načrti za izvedbo ter ureditev spremljanja, ocenjevanja in poročanja</w:t>
      </w:r>
    </w:p>
    <w:p>
      <w:pPr>
        <w:pBdr>
          <w:top w:val="nil"/>
          <w:left w:val="nil"/>
          <w:bottom w:val="nil"/>
          <w:right w:val="nil"/>
          <w:between w:val="nil"/>
          <w:bar w:val="nil"/>
        </w:pBdr>
        <w:spacing w:after="240"/>
        <w:rPr>
          <w:rFonts w:eastAsia="Arial Unicode MS"/>
          <w:noProof/>
        </w:rPr>
      </w:pPr>
      <w:r>
        <w:rPr>
          <w:noProof/>
        </w:rPr>
        <w:t>V skladu z Uredbo (ES, Euratom) št. 480/2009, Komisija vsako leto do 31. maja Evropskemu parlamentu, Svetu in Računskemu sodišču poroča o položaju Jamstvenega sklada in njegovem vodenju. Zdaj se predlaga, da Komisije o položaju Jamstvenega sklada poroča do 31. marca v okviru svojih računovodskih izkazov. Poročilo o upravljanju Jamstvenega sklada se pošlje Evropskemu parlamentu, Svetu in Računskemu sodišču vsako leto do 31 maja.</w:t>
      </w:r>
    </w:p>
    <w:p>
      <w:pPr>
        <w:pBdr>
          <w:top w:val="nil"/>
          <w:left w:val="nil"/>
          <w:bottom w:val="nil"/>
          <w:right w:val="nil"/>
          <w:between w:val="nil"/>
          <w:bar w:val="nil"/>
        </w:pBdr>
        <w:spacing w:after="240"/>
        <w:rPr>
          <w:rFonts w:eastAsia="Arial Unicode MS"/>
          <w:noProof/>
        </w:rPr>
      </w:pPr>
      <w:r>
        <w:rPr>
          <w:noProof/>
        </w:rPr>
        <w:t xml:space="preserve"> Financiranje EIB v sklopu jamstva EU EIB upravlja in spremlja v skladu s svojimi pravili in postopki, vključno z ustreznimi ukrepi za revizijo, nadzor in spremljanje. Poleg tega upravni odbor EIB, v katerem Komisijo zastopata direktor in namestnik direktorja, odobri vsako financiranje EIB in spremlja, ali upravljanje EIB poteka v skladu s statutom in splošnimi navodili, ki jih določi svet guvernerjev.</w:t>
      </w:r>
    </w:p>
    <w:p>
      <w:pPr>
        <w:spacing w:after="240"/>
        <w:rPr>
          <w:rFonts w:eastAsia="Arial Unicode MS"/>
          <w:noProof/>
        </w:rPr>
      </w:pPr>
      <w:r>
        <w:rPr>
          <w:noProof/>
        </w:rPr>
        <w:t>Tristranski sporazum med Komisijo, Računskim sodiščem in EIB določa pravila, v skladu s katerimi mora Računsko sodišče izvajati revizije financiranja EIB na podlagi jamstva EU.</w:t>
      </w:r>
    </w:p>
    <w:p>
      <w:pPr>
        <w:spacing w:after="240"/>
        <w:rPr>
          <w:rFonts w:eastAsia="Arial Unicode MS"/>
          <w:noProof/>
        </w:rPr>
      </w:pPr>
      <w:r>
        <w:rPr>
          <w:noProof/>
        </w:rPr>
        <w:t>Redna poročila se pripravijo v skladu s Sklepom št. 466/2014/EU. Komisija vsako leto poroča Evropskemu parlamentu in Svetu o izvajanju mandata EIB.</w:t>
      </w:r>
    </w:p>
    <w:p>
      <w:pPr>
        <w:spacing w:after="240"/>
        <w:rPr>
          <w:rFonts w:eastAsia="Arial Unicode MS"/>
          <w:noProof/>
        </w:rPr>
      </w:pPr>
      <w:r>
        <w:rPr>
          <w:noProof/>
        </w:rPr>
        <w:t xml:space="preserve">Poročanje o rezultatih bo temeljilo na ustreznem združevanju kazalnikov za celotni portfelj, če je to mogoče, ali za določen sektor. Ti kazalniki se bodo v kontekstu okvira za merjenje rezultatov merili v celotnem projektnem ciklu na ravni ocene ter med spremljanjem, dokler izvajanje projekta ni povsem zaključeno. Kazalnike je treba meriti takoj, ko so na voljo prvi razvojni rezultati, kar je običajno do tri leta po zaključku projekta. Kolikor bo mogoče, bodo uporabljeni tudi pri pripravi končnega poročila v skladu s Sklepom št. 466/2014/EU. </w:t>
      </w:r>
    </w:p>
    <w:p>
      <w:pPr>
        <w:spacing w:after="240"/>
        <w:rPr>
          <w:rFonts w:eastAsia="Arial Unicode MS"/>
          <w:noProof/>
        </w:rPr>
      </w:pPr>
      <w:r>
        <w:rPr>
          <w:noProof/>
        </w:rPr>
        <w:t>EIB poleg tega Komisiji zagotavlja tudi statistične, finančne in računovodske podatke o posameznih financiranjih EIB, ki jih krije jamstvo EU, ki jih Komisija potrebuje za izpolnjevanje svojih poročevalskih dolžnosti ali zahtev Računskega sodišča, in revizijsko potrdilo o neporavnanih zneskih za financiranja EIB, ki jih krije jamstvo EU.</w:t>
      </w:r>
    </w:p>
    <w:p>
      <w:pPr>
        <w:pStyle w:val="ManualHeading2"/>
        <w:spacing w:line="276" w:lineRule="auto"/>
        <w:rPr>
          <w:rFonts w:eastAsia="Arial Unicode MS"/>
          <w:noProof/>
          <w:u w:color="000000"/>
        </w:rPr>
      </w:pPr>
      <w:r>
        <w:rPr>
          <w:noProof/>
        </w:rPr>
        <w:t>•</w:t>
      </w:r>
      <w:r>
        <w:rPr>
          <w:noProof/>
        </w:rPr>
        <w:tab/>
        <w:t>Natančnejša pojasnitev posameznih določb predloga</w:t>
      </w:r>
    </w:p>
    <w:p>
      <w:pPr>
        <w:spacing w:before="0" w:after="240"/>
        <w:rPr>
          <w:noProof/>
        </w:rPr>
      </w:pPr>
      <w:r>
        <w:rPr>
          <w:noProof/>
        </w:rPr>
        <w:t xml:space="preserve">Jamstveni sklad se trenutno financira z: (1) enim letnim plačilom iz splošnega proračuna Unije, (2) obrestmi na vložena sredstva Jamstvenega sklada in (3) zneski, izterjanimi od dolžnikov, ki niso izpolnili obveznosti odplačila. Prihodki iz premij za tveganje, ustvarjeni v okviru novega mandata EIB za posojanje zasebnemu sektorju, bodo predstavljali četrti vir dohodka za Jamstveni sklad. V skladu s tem se predlaga sprememba člena 2 Uredbe (ES, Euratom) št. 480/2009. </w:t>
      </w:r>
    </w:p>
    <w:p>
      <w:pPr>
        <w:spacing w:before="0" w:after="240"/>
        <w:rPr>
          <w:noProof/>
        </w:rPr>
      </w:pPr>
      <w:r>
        <w:rPr>
          <w:noProof/>
        </w:rPr>
        <w:t>Sredstva Jamstvenega sklada je doslej upravljala EIB. Komisija ima bogate izkušnje z upravljanjem podobnih finančnih dejavnosti. Dobro je pripravljena na neodvisno upravljanje Jamstvenega sklada, kar bi pomenilo prizadevanje za racionalizacijo in konsolidacijo dejavnosti upravljanja sredstev Komisije, pri čemer bi izhajala iz obstoječih struktur in dosedanjih dobrih rezultatov. Komisija je že pooblaščena za upravljanje Jamstvenega sklada za EFSI. Zato bi bilo treba upravljanje sredstev Jamstvenega sklada prenesti na Evropsko komisijo.</w:t>
      </w:r>
    </w:p>
    <w:p>
      <w:pPr>
        <w:spacing w:before="0" w:after="240"/>
        <w:rPr>
          <w:noProof/>
        </w:rPr>
      </w:pPr>
      <w:r>
        <w:rPr>
          <w:noProof/>
        </w:rPr>
        <w:t>V skladu s tem se predlaga sprememba člena 7 Uredbe (ES, Euratom) št. 480/2009.</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2016/0274 (COD)</w:t>
      </w:r>
    </w:p>
    <w:p>
      <w:pPr>
        <w:pStyle w:val="Statut"/>
        <w:rPr>
          <w:noProof/>
        </w:rPr>
      </w:pPr>
      <w:r>
        <w:rPr>
          <w:noProof/>
        </w:rPr>
        <w:t>Predlog</w:t>
      </w:r>
    </w:p>
    <w:p>
      <w:pPr>
        <w:pStyle w:val="Typedudocument"/>
        <w:rPr>
          <w:noProof/>
        </w:rPr>
      </w:pPr>
      <w:r>
        <w:rPr>
          <w:noProof/>
        </w:rPr>
        <w:t>UREDBA EVROPSKEGA PARLAMENTA IN SVETA</w:t>
      </w:r>
    </w:p>
    <w:p>
      <w:pPr>
        <w:pStyle w:val="Titreobjet"/>
        <w:rPr>
          <w:noProof/>
        </w:rPr>
      </w:pPr>
      <w:r>
        <w:rPr>
          <w:noProof/>
        </w:rPr>
        <w:t>o spremembi Uredbe (ES, Euratom) št. 480/2009 o ustanovitvi Jamstvenega sklada za zunanje ukrepe</w:t>
      </w:r>
    </w:p>
    <w:p>
      <w:pPr>
        <w:pStyle w:val="Institutionquiagit"/>
        <w:rPr>
          <w:noProof/>
        </w:rPr>
      </w:pPr>
      <w:r>
        <w:rPr>
          <w:noProof/>
        </w:rPr>
        <w:t>EVROPSKI PARLAMENT IN SVET EVROPSKE UNIJE STA –</w:t>
      </w:r>
    </w:p>
    <w:p>
      <w:pPr>
        <w:rPr>
          <w:noProof/>
        </w:rPr>
      </w:pPr>
      <w:r>
        <w:rPr>
          <w:noProof/>
        </w:rPr>
        <w:t>ob upoštevanju Pogodbe o delovanju Evropske unije ter zlasti členov 209 in 212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 xml:space="preserve">v skladu z rednim zakonodajnim postopkom, </w:t>
      </w:r>
    </w:p>
    <w:p>
      <w:pPr>
        <w:rPr>
          <w:noProof/>
        </w:rPr>
      </w:pPr>
      <w:r>
        <w:rPr>
          <w:noProof/>
        </w:rPr>
        <w:t>ob upoštevanju naslednjega:</w:t>
      </w:r>
    </w:p>
    <w:p>
      <w:pPr>
        <w:pStyle w:val="ManualConsidrant"/>
        <w:rPr>
          <w:noProof/>
        </w:rPr>
      </w:pPr>
      <w:r>
        <w:t>(1)</w:t>
      </w:r>
      <w:r>
        <w:tab/>
      </w:r>
      <w:r>
        <w:rPr>
          <w:noProof/>
        </w:rPr>
        <w:t>Jamstveni sklad za zunanje ukrepe ureja Uredba Sveta (ES, Euratom) št. 480/2009</w:t>
      </w:r>
      <w:r>
        <w:rPr>
          <w:rStyle w:val="FootnoteReference"/>
          <w:noProof/>
        </w:rPr>
        <w:footnoteReference w:id="2"/>
      </w:r>
      <w:r>
        <w:rPr>
          <w:noProof/>
        </w:rPr>
        <w:t>.</w:t>
      </w:r>
    </w:p>
    <w:p>
      <w:pPr>
        <w:pStyle w:val="ManualConsidrant"/>
        <w:rPr>
          <w:noProof/>
        </w:rPr>
      </w:pPr>
      <w:r>
        <w:t>(2)</w:t>
      </w:r>
      <w:r>
        <w:tab/>
      </w:r>
      <w:r>
        <w:rPr>
          <w:noProof/>
        </w:rPr>
        <w:t>Jamstveni sklad se financira z enim letnim plačilom iz splošnega proračuna Unije, obrestmi na investirana sredstva Jamstvenega sklada in zneski, izterjanimi od dolžnikov, ki niso izpolnili obveznosti odplačila.</w:t>
      </w:r>
    </w:p>
    <w:p>
      <w:pPr>
        <w:pStyle w:val="ManualConsidrant"/>
        <w:rPr>
          <w:noProof/>
        </w:rPr>
      </w:pPr>
      <w:r>
        <w:t>(3)</w:t>
      </w:r>
      <w:r>
        <w:tab/>
      </w:r>
      <w:r>
        <w:rPr>
          <w:noProof/>
        </w:rPr>
        <w:t>Prihodki iz premij za tveganje, ustvarjeni v okviru financiranj Evropske investicijske banke (v nadaljnjem besedilu: EIB), ki imajo jamstvo proračuna Unije, bi morali biti plačani v Jamstveni sklad.</w:t>
      </w:r>
    </w:p>
    <w:p>
      <w:pPr>
        <w:pStyle w:val="ManualConsidrant"/>
        <w:rPr>
          <w:noProof/>
        </w:rPr>
      </w:pPr>
      <w:r>
        <w:t>(4)</w:t>
      </w:r>
      <w:r>
        <w:tab/>
      </w:r>
      <w:r>
        <w:rPr>
          <w:noProof/>
        </w:rPr>
        <w:t>Znesek Jamstvenega sklada, ki presega 10 % skupnih neplačanih obveznosti Unije do virov sredstev, bi bilo treba vrniti v splošni proračun Unije zaradi boljše zaščite proračuna Unije pred morebitnim dodatnim tveganjem neizpolnjevanja obveznosti odplačila pri financiranjih EIB, namenjenih odpravljanju temeljnih vzrokov migracij.</w:t>
      </w:r>
    </w:p>
    <w:p>
      <w:pPr>
        <w:pStyle w:val="ManualConsidrant"/>
        <w:rPr>
          <w:noProof/>
        </w:rPr>
      </w:pPr>
      <w:r>
        <w:t>(5)</w:t>
      </w:r>
      <w:r>
        <w:tab/>
      </w:r>
      <w:r>
        <w:rPr>
          <w:noProof/>
        </w:rPr>
        <w:t>Finančno upravljanje Jamstvenega sklada bi bilo treba prenesti z EIB na Komisijo, ki ima ustaljeno prakso za upravljanje podobnih naložb. Prevzem upravljanja sredstev Jamstvenega sklada bi moral Komisiji omogočiti, da racionalizira in konsolidira svoje dejavnosti upravljanja sredstev, in sicer na podlagi obstoječih struktur in dosedanjih dobrih rezultatov.</w:t>
      </w:r>
    </w:p>
    <w:p>
      <w:pPr>
        <w:pStyle w:val="ManualConsidrant"/>
        <w:rPr>
          <w:noProof/>
        </w:rPr>
      </w:pPr>
      <w:r>
        <w:t>(6)</w:t>
      </w:r>
      <w:r>
        <w:tab/>
      </w:r>
      <w:r>
        <w:rPr>
          <w:noProof/>
        </w:rPr>
        <w:t>Uredbo (ES, Euratom) št. 480/2009 bi bilo zato treba ustrezno spremeniti –</w:t>
      </w:r>
    </w:p>
    <w:p>
      <w:pPr>
        <w:rPr>
          <w:noProof/>
        </w:rPr>
      </w:pPr>
    </w:p>
    <w:p>
      <w:pPr>
        <w:pStyle w:val="Formuledadoption"/>
        <w:rPr>
          <w:noProof/>
        </w:rPr>
      </w:pPr>
      <w:r>
        <w:rPr>
          <w:noProof/>
        </w:rPr>
        <w:t>SPREJELA NASLEDNJO UREDBO:</w:t>
      </w:r>
    </w:p>
    <w:p>
      <w:pPr>
        <w:pStyle w:val="Titrearticle"/>
        <w:rPr>
          <w:noProof/>
        </w:rPr>
      </w:pPr>
      <w:r>
        <w:rPr>
          <w:noProof/>
        </w:rPr>
        <w:t>Člen 1</w:t>
      </w:r>
    </w:p>
    <w:p>
      <w:pPr>
        <w:spacing w:before="0" w:after="200" w:line="276" w:lineRule="auto"/>
        <w:rPr>
          <w:noProof/>
          <w:szCs w:val="24"/>
        </w:rPr>
      </w:pPr>
      <w:r>
        <w:rPr>
          <w:noProof/>
        </w:rPr>
        <w:t>Uredba (ES, Euratom) št. 480/2009 se spremeni:</w:t>
      </w:r>
    </w:p>
    <w:p>
      <w:pPr>
        <w:spacing w:before="0" w:after="200" w:line="276" w:lineRule="auto"/>
        <w:rPr>
          <w:noProof/>
          <w:szCs w:val="24"/>
        </w:rPr>
      </w:pPr>
      <w:r>
        <w:rPr>
          <w:noProof/>
        </w:rPr>
        <w:t>(1)</w:t>
      </w:r>
      <w:r>
        <w:rPr>
          <w:noProof/>
        </w:rPr>
        <w:tab/>
        <w:t>v členu 2 se doda naslednja četrta alinea:</w:t>
      </w:r>
    </w:p>
    <w:p>
      <w:pPr>
        <w:rPr>
          <w:noProof/>
        </w:rPr>
      </w:pPr>
      <w:r>
        <w:rPr>
          <w:noProof/>
        </w:rPr>
        <w:t>„— prihodkov iz premij za tveganje, ustvarjenih iz financiranj EIB, za katera Unija zagotovi jamstvo.“;</w:t>
      </w:r>
    </w:p>
    <w:p>
      <w:pPr>
        <w:rPr>
          <w:noProof/>
        </w:rPr>
      </w:pPr>
    </w:p>
    <w:p>
      <w:pPr>
        <w:rPr>
          <w:noProof/>
        </w:rPr>
      </w:pPr>
      <w:r>
        <w:rPr>
          <w:noProof/>
        </w:rPr>
        <w:t xml:space="preserve">(2) </w:t>
      </w:r>
      <w:r>
        <w:rPr>
          <w:noProof/>
        </w:rPr>
        <w:tab/>
        <w:t xml:space="preserve">v členu 3 se tretji odstavek nadomesti z naslednjim: </w:t>
      </w:r>
    </w:p>
    <w:p>
      <w:pPr>
        <w:rPr>
          <w:noProof/>
        </w:rPr>
      </w:pPr>
      <w:r>
        <w:rPr>
          <w:noProof/>
        </w:rPr>
        <w:t>„Če znesek Jamstvenega sklada presega 10 % skupnih neplačanih obveznosti Unije do virov sredstev, se presežek plača nazaj v splošni proračun Evropske unije. Ta presežek se plača v enem prenosu v posebno postavko izkaza prihodkov v splošni proračun Evropske unije za leto n+1 na osnovi razlike ob koncu leta n–1 med 10 % skupnih neplačanih obveznosti do virov sredstev in vrednostjo neto premoženja Sklada, kot je izračunana na začetku leta n.“;</w:t>
      </w:r>
    </w:p>
    <w:p>
      <w:pPr>
        <w:rPr>
          <w:noProof/>
        </w:rPr>
      </w:pPr>
    </w:p>
    <w:p>
      <w:pPr>
        <w:rPr>
          <w:noProof/>
        </w:rPr>
      </w:pPr>
      <w:r>
        <w:rPr>
          <w:noProof/>
        </w:rPr>
        <w:t>(3)</w:t>
      </w:r>
      <w:r>
        <w:rPr>
          <w:noProof/>
        </w:rPr>
        <w:tab/>
        <w:t>člen 7 se nadomesti z naslednjim:</w:t>
      </w:r>
    </w:p>
    <w:p>
      <w:pPr>
        <w:jc w:val="center"/>
        <w:rPr>
          <w:noProof/>
        </w:rPr>
      </w:pPr>
      <w:r>
        <w:rPr>
          <w:noProof/>
        </w:rPr>
        <w:t>„</w:t>
      </w:r>
      <w:r>
        <w:rPr>
          <w:i/>
          <w:noProof/>
        </w:rPr>
        <w:t>Člen 7</w:t>
      </w:r>
    </w:p>
    <w:p>
      <w:pPr>
        <w:rPr>
          <w:noProof/>
        </w:rPr>
      </w:pPr>
      <w:r>
        <w:rPr>
          <w:noProof/>
        </w:rPr>
        <w:t>Komisija zagotovi finančno poslovodenje Sklada. Komisija sredstva Jamstvenega sklada upravlja in vlaga v skladu z načelom dobrega finančnega poslovodenja in upošteva ustrezna bonitetna pravila.“;</w:t>
      </w:r>
    </w:p>
    <w:p>
      <w:pPr>
        <w:rPr>
          <w:noProof/>
        </w:rPr>
      </w:pPr>
    </w:p>
    <w:p>
      <w:pPr>
        <w:rPr>
          <w:noProof/>
        </w:rPr>
      </w:pPr>
      <w:r>
        <w:rPr>
          <w:noProof/>
        </w:rPr>
        <w:t xml:space="preserve">(4) </w:t>
      </w:r>
      <w:r>
        <w:rPr>
          <w:noProof/>
        </w:rPr>
        <w:tab/>
        <w:t>člen 8 se nadomesti z naslednjim:</w:t>
      </w:r>
    </w:p>
    <w:p>
      <w:pPr>
        <w:jc w:val="center"/>
        <w:rPr>
          <w:noProof/>
        </w:rPr>
      </w:pPr>
      <w:r>
        <w:rPr>
          <w:noProof/>
        </w:rPr>
        <w:t>„</w:t>
      </w:r>
      <w:r>
        <w:rPr>
          <w:i/>
          <w:noProof/>
        </w:rPr>
        <w:t>Člen 8</w:t>
      </w:r>
    </w:p>
    <w:p>
      <w:pPr>
        <w:rPr>
          <w:noProof/>
        </w:rPr>
      </w:pPr>
      <w:r>
        <w:rPr>
          <w:noProof/>
        </w:rPr>
        <w:t xml:space="preserve">Komisija vsako leto do 31. marca v okviru svojih računovodskih izkazov predloži Evropskemu parlamentu, Svetu in Računskemu sodišču potrebne informacije o stanju Jamstvenega sklada. </w:t>
      </w:r>
    </w:p>
    <w:p>
      <w:pPr>
        <w:rPr>
          <w:noProof/>
        </w:rPr>
      </w:pPr>
      <w:r>
        <w:rPr>
          <w:noProof/>
        </w:rPr>
        <w:t>Poleg vsako leto do 31. maja predloži Evropskemu parlamentu, Svetu in Računskemu sodišču letno poročilo o upravljanju Jamstvenega sklada v preteklem koledarskem letu. Letno poročilo vsebuje predstavitev finančnega stanja Jamstvenega sklada na koncu preteklega koledarskega leta, finančnih tokov v preteklem koledarskem letu, pa tudi pomembne transakcije in vse relevantne informacije o finančnih računih. Vsebuje tudi informacije o finančnem poslovodenju, uspešnosti in tveganju Jamstvenega sklada na koncu preteklega koledarskega leta.“</w:t>
      </w:r>
    </w:p>
    <w:p>
      <w:pPr>
        <w:rPr>
          <w:noProof/>
        </w:rPr>
      </w:pPr>
    </w:p>
    <w:p>
      <w:pPr>
        <w:pStyle w:val="Titrearticle"/>
        <w:rPr>
          <w:noProof/>
        </w:rPr>
      </w:pPr>
      <w:r>
        <w:rPr>
          <w:noProof/>
        </w:rPr>
        <w:t>Člen 2</w:t>
      </w:r>
    </w:p>
    <w:p>
      <w:pPr>
        <w:rPr>
          <w:noProof/>
        </w:rPr>
      </w:pPr>
      <w:r>
        <w:rPr>
          <w:noProof/>
        </w:rPr>
        <w:t xml:space="preserve">Ta uredba začne veljati dvajseti dan po objavi v </w:t>
      </w:r>
      <w:r>
        <w:rPr>
          <w:i/>
          <w:noProof/>
        </w:rPr>
        <w:t>Uradnem listu Evropske unije</w:t>
      </w:r>
      <w:r>
        <w:rPr>
          <w:noProof/>
        </w:rPr>
        <w:t>.</w:t>
      </w:r>
    </w:p>
    <w:p>
      <w:pPr>
        <w:pStyle w:val="Applicationdirecte"/>
        <w:keepNext/>
        <w:keepLines/>
        <w:rPr>
          <w:noProof/>
        </w:rPr>
      </w:pPr>
      <w:r>
        <w:rPr>
          <w:noProof/>
        </w:rPr>
        <w:t>Ta uredba je v celoti zavezujoča in se neposredno uporablja v vseh državah članicah.</w:t>
      </w:r>
    </w:p>
    <w:p>
      <w:pPr>
        <w:pStyle w:val="Fait"/>
        <w:rPr>
          <w:noProof/>
        </w:rPr>
      </w:pPr>
      <w:r>
        <w:rPr>
          <w:noProof/>
        </w:rPr>
        <w:t>V Bruslju,</w:t>
      </w:r>
    </w:p>
    <w:p>
      <w:pPr>
        <w:pStyle w:val="Institutionquisigne"/>
        <w:rPr>
          <w:noProof/>
        </w:rPr>
      </w:pPr>
      <w:r>
        <w:rPr>
          <w:noProof/>
        </w:rPr>
        <w:t>Za Evropski parlament</w:t>
      </w:r>
      <w:r>
        <w:rPr>
          <w:noProof/>
        </w:rPr>
        <w:tab/>
        <w:t>Za Svet</w:t>
      </w:r>
    </w:p>
    <w:p>
      <w:pPr>
        <w:pStyle w:val="Personnequisigne"/>
        <w:rPr>
          <w:noProof/>
        </w:rPr>
      </w:pPr>
      <w:r>
        <w:rPr>
          <w:noProof/>
        </w:rPr>
        <w:t>Predsednik</w:t>
      </w:r>
      <w:r>
        <w:rPr>
          <w:noProof/>
        </w:rPr>
        <w:tab/>
        <w:t>Predsednik</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t>OCENA FINANČNIH POSLEDIC ZAKONODAJNEGA PREDLOGA</w:t>
      </w:r>
    </w:p>
    <w:p>
      <w:pPr>
        <w:pStyle w:val="ManualHeading1"/>
        <w:rPr>
          <w:noProof/>
        </w:rPr>
      </w:pPr>
      <w:r>
        <w:rPr>
          <w:noProof/>
        </w:rPr>
        <w:t>1.</w:t>
      </w:r>
      <w:r>
        <w:rPr>
          <w:noProof/>
        </w:rPr>
        <w:tab/>
        <w:t xml:space="preserve">OKVIR PREDLOGA/POBUDE </w:t>
      </w:r>
    </w:p>
    <w:p>
      <w:pPr>
        <w:pStyle w:val="ManualHeading2"/>
        <w:rPr>
          <w:b w:val="0"/>
          <w:noProof/>
        </w:rPr>
      </w:pPr>
      <w:r>
        <w:rPr>
          <w:noProof/>
        </w:rPr>
        <w:tab/>
      </w:r>
      <w:r>
        <w:rPr>
          <w:b w:val="0"/>
          <w:noProof/>
        </w:rPr>
        <w:t>1.1.</w:t>
      </w:r>
      <w:r>
        <w:rPr>
          <w:noProof/>
        </w:rPr>
        <w:tab/>
      </w:r>
      <w:r>
        <w:rPr>
          <w:b w:val="0"/>
          <w:noProof/>
        </w:rPr>
        <w:t xml:space="preserve">Naslov predloga/pobude </w:t>
      </w:r>
    </w:p>
    <w:p>
      <w:pPr>
        <w:pStyle w:val="ManualHeading2"/>
        <w:rPr>
          <w:b w:val="0"/>
          <w:noProof/>
        </w:rPr>
      </w:pPr>
      <w:r>
        <w:rPr>
          <w:noProof/>
        </w:rPr>
        <w:tab/>
      </w:r>
      <w:r>
        <w:rPr>
          <w:b w:val="0"/>
          <w:noProof/>
        </w:rPr>
        <w:t>1.2.</w:t>
      </w:r>
      <w:r>
        <w:rPr>
          <w:noProof/>
        </w:rPr>
        <w:tab/>
      </w:r>
      <w:r>
        <w:rPr>
          <w:b w:val="0"/>
          <w:noProof/>
        </w:rPr>
        <w:t>Zadevna področja v strukturi ABM/ABB</w:t>
      </w:r>
    </w:p>
    <w:p>
      <w:pPr>
        <w:pStyle w:val="ManualHeading2"/>
        <w:rPr>
          <w:b w:val="0"/>
          <w:noProof/>
        </w:rPr>
      </w:pPr>
      <w:r>
        <w:rPr>
          <w:noProof/>
        </w:rPr>
        <w:tab/>
      </w:r>
      <w:r>
        <w:rPr>
          <w:b w:val="0"/>
          <w:noProof/>
        </w:rPr>
        <w:t>1.3.</w:t>
      </w:r>
      <w:r>
        <w:rPr>
          <w:noProof/>
        </w:rPr>
        <w:tab/>
      </w:r>
      <w:r>
        <w:rPr>
          <w:b w:val="0"/>
          <w:noProof/>
        </w:rPr>
        <w:t xml:space="preserve">Vrsta predloga/pobude </w:t>
      </w:r>
    </w:p>
    <w:p>
      <w:pPr>
        <w:pStyle w:val="ManualHeading2"/>
        <w:rPr>
          <w:b w:val="0"/>
          <w:noProof/>
        </w:rPr>
      </w:pPr>
      <w:r>
        <w:rPr>
          <w:noProof/>
        </w:rPr>
        <w:tab/>
      </w:r>
      <w:r>
        <w:rPr>
          <w:b w:val="0"/>
          <w:noProof/>
        </w:rPr>
        <w:t>1.4.</w:t>
      </w:r>
      <w:r>
        <w:rPr>
          <w:noProof/>
        </w:rPr>
        <w:tab/>
      </w:r>
      <w:r>
        <w:rPr>
          <w:b w:val="0"/>
          <w:noProof/>
        </w:rPr>
        <w:t xml:space="preserve">Cilji </w:t>
      </w:r>
    </w:p>
    <w:p>
      <w:pPr>
        <w:pStyle w:val="ManualHeading2"/>
        <w:rPr>
          <w:b w:val="0"/>
          <w:noProof/>
        </w:rPr>
      </w:pPr>
      <w:r>
        <w:rPr>
          <w:noProof/>
        </w:rPr>
        <w:tab/>
      </w:r>
      <w:r>
        <w:rPr>
          <w:b w:val="0"/>
          <w:noProof/>
        </w:rPr>
        <w:t>1.5.</w:t>
      </w:r>
      <w:r>
        <w:rPr>
          <w:noProof/>
        </w:rPr>
        <w:tab/>
      </w:r>
      <w:r>
        <w:rPr>
          <w:b w:val="0"/>
          <w:noProof/>
        </w:rPr>
        <w:t xml:space="preserve">Utemeljitev predloga/pobude </w:t>
      </w:r>
    </w:p>
    <w:p>
      <w:pPr>
        <w:pStyle w:val="ManualHeading2"/>
        <w:rPr>
          <w:b w:val="0"/>
          <w:noProof/>
        </w:rPr>
      </w:pPr>
      <w:r>
        <w:rPr>
          <w:noProof/>
        </w:rPr>
        <w:tab/>
      </w:r>
      <w:r>
        <w:rPr>
          <w:b w:val="0"/>
          <w:noProof/>
        </w:rPr>
        <w:t>1.6.</w:t>
      </w:r>
      <w:r>
        <w:rPr>
          <w:noProof/>
        </w:rPr>
        <w:tab/>
      </w:r>
      <w:r>
        <w:rPr>
          <w:b w:val="0"/>
          <w:noProof/>
        </w:rPr>
        <w:t xml:space="preserve">Trajanje ukrepa in finančnih posledic </w:t>
      </w:r>
    </w:p>
    <w:p>
      <w:pPr>
        <w:pStyle w:val="ManualHeading2"/>
        <w:rPr>
          <w:b w:val="0"/>
          <w:noProof/>
        </w:rPr>
      </w:pPr>
      <w:r>
        <w:rPr>
          <w:noProof/>
        </w:rPr>
        <w:tab/>
      </w:r>
      <w:r>
        <w:rPr>
          <w:b w:val="0"/>
          <w:noProof/>
        </w:rPr>
        <w:t>1.7.</w:t>
      </w:r>
      <w:r>
        <w:rPr>
          <w:noProof/>
        </w:rPr>
        <w:tab/>
      </w:r>
      <w:r>
        <w:rPr>
          <w:b w:val="0"/>
          <w:noProof/>
        </w:rPr>
        <w:t xml:space="preserve">Načrtovani načini upravljanja </w:t>
      </w:r>
    </w:p>
    <w:p>
      <w:pPr>
        <w:pStyle w:val="ManualHeading1"/>
        <w:rPr>
          <w:noProof/>
        </w:rPr>
      </w:pPr>
      <w:r>
        <w:rPr>
          <w:noProof/>
        </w:rPr>
        <w:t>2.</w:t>
      </w:r>
      <w:r>
        <w:rPr>
          <w:noProof/>
        </w:rPr>
        <w:tab/>
        <w:t xml:space="preserve">UKREPI UPRAVLJANJA </w:t>
      </w:r>
    </w:p>
    <w:p>
      <w:pPr>
        <w:pStyle w:val="ManualHeading2"/>
        <w:rPr>
          <w:b w:val="0"/>
          <w:noProof/>
        </w:rPr>
      </w:pPr>
      <w:r>
        <w:rPr>
          <w:noProof/>
        </w:rPr>
        <w:tab/>
      </w:r>
      <w:r>
        <w:rPr>
          <w:b w:val="0"/>
          <w:noProof/>
        </w:rPr>
        <w:t>2.1.</w:t>
      </w:r>
      <w:r>
        <w:rPr>
          <w:noProof/>
        </w:rPr>
        <w:tab/>
      </w:r>
      <w:r>
        <w:rPr>
          <w:b w:val="0"/>
          <w:noProof/>
        </w:rPr>
        <w:t xml:space="preserve">Pravila o spremljanju in poročanju </w:t>
      </w:r>
    </w:p>
    <w:p>
      <w:pPr>
        <w:pStyle w:val="ManualHeading2"/>
        <w:rPr>
          <w:b w:val="0"/>
          <w:noProof/>
        </w:rPr>
      </w:pPr>
      <w:r>
        <w:rPr>
          <w:noProof/>
        </w:rPr>
        <w:tab/>
      </w:r>
      <w:r>
        <w:rPr>
          <w:b w:val="0"/>
          <w:noProof/>
        </w:rPr>
        <w:t>2.2.</w:t>
      </w:r>
      <w:r>
        <w:rPr>
          <w:noProof/>
        </w:rPr>
        <w:tab/>
      </w:r>
      <w:r>
        <w:rPr>
          <w:b w:val="0"/>
          <w:noProof/>
        </w:rPr>
        <w:t xml:space="preserve">Upravljavski in kontrolni sistem </w:t>
      </w:r>
    </w:p>
    <w:p>
      <w:pPr>
        <w:pStyle w:val="ManualHeading2"/>
        <w:rPr>
          <w:b w:val="0"/>
          <w:noProof/>
        </w:rPr>
      </w:pPr>
      <w:r>
        <w:rPr>
          <w:noProof/>
        </w:rPr>
        <w:tab/>
      </w:r>
      <w:r>
        <w:rPr>
          <w:b w:val="0"/>
          <w:noProof/>
        </w:rPr>
        <w:t>2.3.</w:t>
      </w:r>
      <w:r>
        <w:rPr>
          <w:noProof/>
        </w:rPr>
        <w:tab/>
      </w:r>
      <w:r>
        <w:rPr>
          <w:b w:val="0"/>
          <w:noProof/>
        </w:rPr>
        <w:t xml:space="preserve">Ukrepi za preprečevanje goljufij in nepravilnosti </w:t>
      </w:r>
    </w:p>
    <w:p>
      <w:pPr>
        <w:pStyle w:val="ManualHeading1"/>
        <w:rPr>
          <w:noProof/>
        </w:rPr>
      </w:pPr>
      <w:r>
        <w:rPr>
          <w:noProof/>
        </w:rPr>
        <w:t>3.</w:t>
      </w:r>
      <w:r>
        <w:rPr>
          <w:noProof/>
        </w:rPr>
        <w:tab/>
        <w:t xml:space="preserve">OCENA FINANČNIH POSLEDIC PREDLOGA/POBUDE </w:t>
      </w:r>
    </w:p>
    <w:p>
      <w:pPr>
        <w:pStyle w:val="ManualHeading2"/>
        <w:rPr>
          <w:b w:val="0"/>
          <w:noProof/>
        </w:rPr>
      </w:pPr>
      <w:r>
        <w:rPr>
          <w:noProof/>
        </w:rPr>
        <w:tab/>
      </w:r>
      <w:r>
        <w:rPr>
          <w:b w:val="0"/>
          <w:noProof/>
        </w:rPr>
        <w:t>3.1.</w:t>
      </w:r>
      <w:r>
        <w:rPr>
          <w:noProof/>
        </w:rPr>
        <w:tab/>
      </w:r>
      <w:r>
        <w:rPr>
          <w:b w:val="0"/>
          <w:noProof/>
        </w:rPr>
        <w:t xml:space="preserve">Zadevni razdelki večletnega finančnega okvira in odhodkovne proračunske vrstice </w:t>
      </w:r>
    </w:p>
    <w:p>
      <w:pPr>
        <w:pStyle w:val="ManualHeading2"/>
        <w:rPr>
          <w:noProof/>
        </w:rPr>
      </w:pPr>
      <w:r>
        <w:rPr>
          <w:noProof/>
        </w:rPr>
        <w:tab/>
      </w:r>
      <w:r>
        <w:rPr>
          <w:b w:val="0"/>
          <w:noProof/>
        </w:rPr>
        <w:t>3.2.</w:t>
      </w:r>
      <w:r>
        <w:rPr>
          <w:noProof/>
        </w:rPr>
        <w:tab/>
      </w:r>
      <w:r>
        <w:rPr>
          <w:b w:val="0"/>
          <w:noProof/>
        </w:rPr>
        <w:t>Ocenjene posledice za odhodke</w:t>
      </w:r>
      <w:r>
        <w:rPr>
          <w:noProof/>
        </w:rPr>
        <w:t xml:space="preserve"> </w:t>
      </w:r>
    </w:p>
    <w:p>
      <w:pPr>
        <w:pStyle w:val="ManualHeading3"/>
        <w:rPr>
          <w:noProof/>
        </w:rPr>
      </w:pPr>
      <w:r>
        <w:rPr>
          <w:noProof/>
        </w:rPr>
        <w:tab/>
        <w:t>3.2.1.</w:t>
      </w:r>
      <w:r>
        <w:rPr>
          <w:noProof/>
        </w:rPr>
        <w:tab/>
        <w:t xml:space="preserve">Povzetek ocenjenih posledic za odhodke </w:t>
      </w:r>
    </w:p>
    <w:p>
      <w:pPr>
        <w:pStyle w:val="ManualHeading3"/>
        <w:rPr>
          <w:noProof/>
        </w:rPr>
      </w:pPr>
      <w:r>
        <w:rPr>
          <w:noProof/>
        </w:rPr>
        <w:tab/>
        <w:t>3.2.2.</w:t>
      </w:r>
      <w:r>
        <w:rPr>
          <w:noProof/>
        </w:rPr>
        <w:tab/>
        <w:t xml:space="preserve">Ocenjene posledice za odobritve za poslovanje </w:t>
      </w:r>
    </w:p>
    <w:p>
      <w:pPr>
        <w:pStyle w:val="ManualHeading3"/>
        <w:rPr>
          <w:noProof/>
        </w:rPr>
      </w:pPr>
      <w:r>
        <w:rPr>
          <w:noProof/>
        </w:rPr>
        <w:tab/>
        <w:t>3.2.3.</w:t>
      </w:r>
      <w:r>
        <w:rPr>
          <w:noProof/>
        </w:rPr>
        <w:tab/>
        <w:t>Ocenjene posledice za odobritve za upravne zadeve</w:t>
      </w:r>
    </w:p>
    <w:p>
      <w:pPr>
        <w:pStyle w:val="ManualHeading3"/>
        <w:rPr>
          <w:noProof/>
        </w:rPr>
      </w:pPr>
      <w:r>
        <w:rPr>
          <w:noProof/>
        </w:rPr>
        <w:tab/>
        <w:t>3.2.4.</w:t>
      </w:r>
      <w:r>
        <w:rPr>
          <w:noProof/>
        </w:rPr>
        <w:tab/>
        <w:t>Skladnost z veljavnim večletnim finančnim okvirom</w:t>
      </w:r>
    </w:p>
    <w:p>
      <w:pPr>
        <w:pStyle w:val="ManualHeading3"/>
        <w:rPr>
          <w:noProof/>
        </w:rPr>
      </w:pPr>
      <w:r>
        <w:rPr>
          <w:noProof/>
        </w:rPr>
        <w:tab/>
        <w:t>3.2.5.</w:t>
      </w:r>
      <w:r>
        <w:rPr>
          <w:noProof/>
        </w:rPr>
        <w:tab/>
        <w:t xml:space="preserve">Udeležba tretjih oseb pri financiranju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Ocenjene posledice za prihodke</w:t>
      </w:r>
    </w:p>
    <w:p>
      <w:pPr>
        <w:jc w:val="center"/>
        <w:rPr>
          <w:noProof/>
        </w:rPr>
      </w:pPr>
      <w:r>
        <w:rPr>
          <w:b/>
          <w:noProof/>
          <w:u w:val="single"/>
        </w:rPr>
        <w:t>OCENA FINANČNIH POSLEDIC ZAKONODAJNEGA PREDLOGA</w:t>
      </w:r>
    </w:p>
    <w:p>
      <w:pPr>
        <w:pStyle w:val="ManualHeading1"/>
        <w:rPr>
          <w:noProof/>
        </w:rPr>
      </w:pPr>
      <w:r>
        <w:t>1.</w:t>
      </w:r>
      <w:r>
        <w:tab/>
      </w:r>
      <w:r>
        <w:rPr>
          <w:noProof/>
        </w:rPr>
        <w:t xml:space="preserve">OKVIR PREDLOGA/POBUDE </w:t>
      </w:r>
    </w:p>
    <w:p>
      <w:pPr>
        <w:pStyle w:val="ManualHeading2"/>
        <w:rPr>
          <w:noProof/>
        </w:rPr>
      </w:pPr>
      <w:r>
        <w:t>1.1.</w:t>
      </w:r>
      <w:r>
        <w:tab/>
      </w:r>
      <w:r>
        <w:rPr>
          <w:noProof/>
        </w:rPr>
        <w:t xml:space="preserve">Naslov predloga/pobude </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Uredba Sveta o spremembi Uredbe Sveta (ES, Euratom) št. 480/2009 z dne 25. maja 2009 o ustanovitvi Jamstvenega sklada za zunanje ukrepe</w:t>
      </w:r>
    </w:p>
    <w:p>
      <w:pPr>
        <w:pStyle w:val="ManualHeading2"/>
        <w:rPr>
          <w:noProof/>
          <w:szCs w:val="24"/>
        </w:rPr>
      </w:pPr>
      <w:r>
        <w:t>1.2.</w:t>
      </w:r>
      <w:r>
        <w:tab/>
      </w:r>
      <w:r>
        <w:rPr>
          <w:noProof/>
        </w:rPr>
        <w:t>Zadevna področja v strukturi ABM/ABB</w:t>
      </w:r>
      <w:r>
        <w:rPr>
          <w:rStyle w:val="FootnoteReference"/>
          <w:noProof/>
        </w:rPr>
        <w:footnoteReference w:id="3"/>
      </w:r>
      <w:r>
        <w:rPr>
          <w:i/>
          <w:noProof/>
        </w:rPr>
        <w:t xml:space="preserve"> </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Naslov 01 – Gospodarske in finančne zadeve</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Dejavnost v okviru ABB: „Spodbujanje blaginje zunaj meja EU“ in</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Dejavnost v okviru ABB: „Finančni posli in instrumenti“</w:t>
      </w:r>
    </w:p>
    <w:p>
      <w:pPr>
        <w:pStyle w:val="Text1"/>
        <w:pBdr>
          <w:top w:val="single" w:sz="4" w:space="1" w:color="auto"/>
          <w:left w:val="single" w:sz="4" w:space="4" w:color="auto"/>
          <w:bottom w:val="single" w:sz="4" w:space="1" w:color="auto"/>
          <w:right w:val="single" w:sz="4" w:space="4" w:color="auto"/>
        </w:pBdr>
        <w:spacing w:line="276" w:lineRule="auto"/>
        <w:rPr>
          <w:noProof/>
        </w:rPr>
      </w:pPr>
    </w:p>
    <w:p>
      <w:pPr>
        <w:pStyle w:val="ManualHeading2"/>
        <w:rPr>
          <w:bCs/>
          <w:noProof/>
          <w:szCs w:val="24"/>
        </w:rPr>
      </w:pPr>
      <w:r>
        <w:t>1.3.</w:t>
      </w:r>
      <w:r>
        <w:tab/>
      </w:r>
      <w:r>
        <w:rPr>
          <w:noProof/>
        </w:rPr>
        <w:t xml:space="preserve">Vrsta predloga/pobude </w:t>
      </w:r>
    </w:p>
    <w:p>
      <w:pPr>
        <w:pStyle w:val="Text1"/>
        <w:spacing w:line="276" w:lineRule="auto"/>
        <w:rPr>
          <w:b/>
          <w:noProof/>
          <w:sz w:val="22"/>
        </w:rPr>
      </w:pPr>
      <w:r>
        <w:rPr>
          <w:noProof/>
          <w:sz w:val="22"/>
        </w:rPr>
        <w:sym w:font="Wingdings" w:char="F0A8"/>
      </w:r>
      <w:r>
        <w:rPr>
          <w:b/>
          <w:i/>
          <w:noProof/>
          <w:sz w:val="22"/>
        </w:rPr>
        <w:t xml:space="preserve"> </w:t>
      </w:r>
      <w:r>
        <w:rPr>
          <w:noProof/>
        </w:rPr>
        <w:t xml:space="preserve">Predlog/pobuda se nanaša na </w:t>
      </w:r>
      <w:r>
        <w:rPr>
          <w:b/>
          <w:noProof/>
        </w:rPr>
        <w:t>nov ukrep</w:t>
      </w:r>
      <w:r>
        <w:rPr>
          <w:noProof/>
        </w:rPr>
        <w:t>.</w:t>
      </w:r>
      <w:r>
        <w:rPr>
          <w:b/>
          <w:noProof/>
          <w:sz w:val="22"/>
        </w:rPr>
        <w:t xml:space="preserve"> </w:t>
      </w:r>
    </w:p>
    <w:p>
      <w:pPr>
        <w:pStyle w:val="Text1"/>
        <w:spacing w:line="276" w:lineRule="auto"/>
        <w:rPr>
          <w:noProof/>
          <w:sz w:val="22"/>
        </w:rPr>
      </w:pPr>
      <w:r>
        <w:rPr>
          <w:noProof/>
          <w:sz w:val="22"/>
        </w:rPr>
        <w:sym w:font="Wingdings" w:char="F0A8"/>
      </w:r>
      <w:r>
        <w:rPr>
          <w:i/>
          <w:noProof/>
          <w:sz w:val="22"/>
        </w:rPr>
        <w:t xml:space="preserve"> </w:t>
      </w:r>
      <w:r>
        <w:rPr>
          <w:noProof/>
        </w:rPr>
        <w:t xml:space="preserve">Predlog/pobuda se nanaša na </w:t>
      </w:r>
      <w:r>
        <w:rPr>
          <w:b/>
          <w:noProof/>
        </w:rPr>
        <w:t>nov ukrep na podlagi pilotnega projekta / pripravljalnega ukrepa</w:t>
      </w:r>
      <w:r>
        <w:rPr>
          <w:rStyle w:val="FootnoteReference"/>
          <w:b/>
          <w:noProof/>
        </w:rPr>
        <w:footnoteReference w:id="4"/>
      </w:r>
      <w:r>
        <w:rPr>
          <w:noProof/>
        </w:rPr>
        <w:t>.</w:t>
      </w:r>
      <w:r>
        <w:rPr>
          <w:noProof/>
          <w:sz w:val="22"/>
        </w:rPr>
        <w:t xml:space="preserve"> </w:t>
      </w:r>
    </w:p>
    <w:p>
      <w:pPr>
        <w:pStyle w:val="Text1"/>
        <w:spacing w:line="276" w:lineRule="auto"/>
        <w:rPr>
          <w:noProof/>
          <w:sz w:val="22"/>
        </w:rPr>
      </w:pPr>
      <w:r>
        <w:rPr>
          <w:noProof/>
          <w:sz w:val="22"/>
        </w:rPr>
        <w:t>X</w:t>
      </w:r>
      <w:r>
        <w:rPr>
          <w:i/>
          <w:noProof/>
          <w:sz w:val="22"/>
        </w:rPr>
        <w:t xml:space="preserve"> </w:t>
      </w:r>
      <w:r>
        <w:rPr>
          <w:noProof/>
        </w:rPr>
        <w:t>Predlog/pobuda se nanaša na</w:t>
      </w:r>
      <w:r>
        <w:rPr>
          <w:b/>
          <w:noProof/>
        </w:rPr>
        <w:t xml:space="preserve"> podaljšanje obstoječega ukrepa</w:t>
      </w:r>
      <w:r>
        <w:rPr>
          <w:noProof/>
        </w:rPr>
        <w:t>.</w:t>
      </w:r>
      <w:r>
        <w:rPr>
          <w:noProof/>
          <w:sz w:val="22"/>
        </w:rPr>
        <w:t xml:space="preserve"> </w:t>
      </w:r>
    </w:p>
    <w:p>
      <w:pPr>
        <w:pStyle w:val="Text1"/>
        <w:spacing w:line="276" w:lineRule="auto"/>
        <w:rPr>
          <w:noProof/>
        </w:rPr>
      </w:pPr>
      <w:r>
        <w:rPr>
          <w:noProof/>
          <w:sz w:val="22"/>
        </w:rPr>
        <w:sym w:font="Wingdings" w:char="F0A8"/>
      </w:r>
      <w:r>
        <w:rPr>
          <w:i/>
          <w:noProof/>
          <w:sz w:val="22"/>
        </w:rPr>
        <w:t xml:space="preserve"> </w:t>
      </w:r>
      <w:r>
        <w:rPr>
          <w:noProof/>
        </w:rPr>
        <w:t xml:space="preserve">Predlog/pobuda se nanaša na </w:t>
      </w:r>
      <w:r>
        <w:rPr>
          <w:b/>
          <w:noProof/>
        </w:rPr>
        <w:t>obstoječ ukrep, preusmerjen v nov ukrep</w:t>
      </w:r>
      <w:r>
        <w:rPr>
          <w:noProof/>
        </w:rPr>
        <w:t xml:space="preserve">. </w:t>
      </w:r>
    </w:p>
    <w:p>
      <w:pPr>
        <w:pStyle w:val="ManualHeading2"/>
        <w:rPr>
          <w:bCs/>
          <w:noProof/>
          <w:szCs w:val="24"/>
        </w:rPr>
      </w:pPr>
      <w:r>
        <w:t>1.4.</w:t>
      </w:r>
      <w:r>
        <w:tab/>
      </w:r>
      <w:r>
        <w:rPr>
          <w:noProof/>
        </w:rPr>
        <w:t>Cilji</w:t>
      </w:r>
    </w:p>
    <w:p>
      <w:pPr>
        <w:pStyle w:val="ManualHeading3"/>
        <w:rPr>
          <w:noProof/>
        </w:rPr>
      </w:pPr>
      <w:r>
        <w:t>1.4.1.</w:t>
      </w:r>
      <w:r>
        <w:tab/>
      </w:r>
      <w:r>
        <w:rPr>
          <w:noProof/>
        </w:rPr>
        <w:t xml:space="preserve">Večletni strateški cilji Komisije, ki naj bi bili doseženi s predlogom/pobudo </w:t>
      </w:r>
    </w:p>
    <w:p>
      <w:pPr>
        <w:spacing w:before="0" w:after="240" w:line="276" w:lineRule="auto"/>
        <w:ind w:left="840"/>
        <w:rPr>
          <w:rFonts w:eastAsia="Arial Unicode MS"/>
          <w:noProof/>
        </w:rPr>
      </w:pPr>
      <w:r>
        <w:rPr>
          <w:noProof/>
        </w:rPr>
        <w:t>Ta predlog je del ambicioznega načrta za zunanje naložbe (v nadaljnjem besedilu: EIP), ki ga je Komisija napovedala v sporočilu z dne 7. junija 2016 o vzpostavitvi novega partnerskega okvira s tretjimi državami v okviru evropske agende o migracijah. Pobudo za EIP je 28. junija 2016 nato odobril Evropski svet. Njen cilj je obravnavati temeljne vzroke migracij ter hkrati prispevati k doseganju drugih razvojnih ciljev.  Ta predlog je sestavni del načrta za zunanje naložbe (EIP), ki je ključna politika na pobudo Unije. Vsebuje dopolnilne določbe, potrebne za delovanje EIP, zlasti novega mandata EIB za posojila zasebnemu sektorju, kakor je predvideno v predlogu Komisije za sklep Evropskega parlamenta in Sveta o spremembi Sklepa št. 466/2014/EU.</w:t>
      </w:r>
    </w:p>
    <w:p>
      <w:pPr>
        <w:pStyle w:val="ManualHeading3"/>
        <w:rPr>
          <w:bCs/>
          <w:noProof/>
          <w:szCs w:val="24"/>
        </w:rPr>
      </w:pPr>
      <w:r>
        <w:t>1.4.2.</w:t>
      </w:r>
      <w:r>
        <w:tab/>
      </w:r>
      <w:r>
        <w:rPr>
          <w:noProof/>
        </w:rPr>
        <w:t xml:space="preserve">Specifični cilji in zadevne dejavnosti v strukturi ABM/ABB </w:t>
      </w:r>
    </w:p>
    <w:p>
      <w:pPr>
        <w:pStyle w:val="Text1"/>
        <w:pBdr>
          <w:top w:val="single" w:sz="4" w:space="1" w:color="auto"/>
          <w:left w:val="single" w:sz="4" w:space="4" w:color="auto"/>
          <w:bottom w:val="single" w:sz="4" w:space="1" w:color="auto"/>
          <w:right w:val="single" w:sz="4" w:space="4" w:color="auto"/>
        </w:pBdr>
        <w:spacing w:line="276" w:lineRule="auto"/>
        <w:rPr>
          <w:noProof/>
          <w:u w:val="single"/>
        </w:rPr>
      </w:pPr>
      <w:r>
        <w:rPr>
          <w:noProof/>
          <w:u w:val="single"/>
        </w:rPr>
        <w:t>Specifični cilj št.</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Specifični cilj ABM št. 2: „Izboljšati profil EU, njeno zastopanost v tujini ter sodelovanje z EIB, EBRD in drugimi mednarodnimi finančnimi institucijami, vključno z izboljšanjem ugleda EU na zadevnih gospodarskih forumih za okrepitev zbliževanja njihovih strategij in dejavnosti ter zunanjih prednostnih nalog EU“.</w:t>
      </w:r>
    </w:p>
    <w:p>
      <w:pPr>
        <w:pStyle w:val="Text1"/>
        <w:pBdr>
          <w:top w:val="single" w:sz="4" w:space="1" w:color="auto"/>
          <w:left w:val="single" w:sz="4" w:space="4" w:color="auto"/>
          <w:bottom w:val="single" w:sz="4" w:space="1" w:color="auto"/>
          <w:right w:val="single" w:sz="4" w:space="4" w:color="auto"/>
        </w:pBdr>
        <w:spacing w:line="276" w:lineRule="auto"/>
        <w:rPr>
          <w:noProof/>
          <w:u w:val="single"/>
        </w:rPr>
      </w:pPr>
      <w:r>
        <w:rPr>
          <w:noProof/>
          <w:u w:val="single"/>
        </w:rPr>
        <w:t>Zadevne dejavnosti v strukturi ABM/ABB</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Naslov 01.03 – Mednarodne gospodarske in finančne zadeve</w:t>
      </w:r>
    </w:p>
    <w:p>
      <w:pPr>
        <w:pStyle w:val="ManualHeading3"/>
        <w:rPr>
          <w:bCs/>
          <w:noProof/>
          <w:szCs w:val="24"/>
        </w:rPr>
      </w:pPr>
      <w:r>
        <w:rPr>
          <w:noProof/>
        </w:rPr>
        <w:br w:type="page"/>
      </w:r>
      <w:r>
        <w:t>1.4.3.</w:t>
      </w:r>
      <w:r>
        <w:tab/>
      </w:r>
      <w:r>
        <w:rPr>
          <w:noProof/>
        </w:rPr>
        <w:t>Pričakovani rezultati in posledice</w:t>
      </w:r>
    </w:p>
    <w:p>
      <w:pPr>
        <w:pStyle w:val="Text1"/>
        <w:spacing w:line="276" w:lineRule="auto"/>
        <w:rPr>
          <w:i/>
          <w:noProof/>
          <w:sz w:val="20"/>
        </w:rPr>
      </w:pPr>
      <w:r>
        <w:rPr>
          <w:i/>
          <w:noProof/>
          <w:sz w:val="20"/>
        </w:rPr>
        <w:t>Navedite, kakšne posledice naj bi imel(-a) predlog/pobuda za upravičence/ciljne skupine.</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 xml:space="preserve">Predlagana sprememba Uredbe (ES, Euratom) št. 480/2009 naj bi vzpostavila potrebne predpogoje, da bi Jamstveni sklad za zunanje ukrepe prejemal premije za tveganje, ki izvirajo iz poslov EIB v okviru mandata za financiranje zasebnega sektorja, namenjenega projektom v podporo beguncem in/ali gostiteljskim skupnostim. Poleg tega bi moral prevzem upravljanja sredstev Jamstvenega sklada za zunanje ukrepe omogočiti racionalizacijo in konsolidacijo dejavnosti upravljanja sredstev Komisije, in sicer na podlagi obstoječih struktur in dosedanjih dobrih rezultatov. Učinek na upravičence, ki so jim namenjeni posli EIB v zasebnem sektorju, bo ocenila EIB v kontekstu svojega okvira za merjenje rezultatov (REM), za katerega bo EIB razvila nove kazalnike za projekte, ki zagotavljajo strateški odziv na migracijsko krizo. </w:t>
      </w:r>
    </w:p>
    <w:p>
      <w:pPr>
        <w:pStyle w:val="Text1"/>
        <w:pBdr>
          <w:top w:val="single" w:sz="4" w:space="1" w:color="auto"/>
          <w:left w:val="single" w:sz="4" w:space="4" w:color="auto"/>
          <w:bottom w:val="single" w:sz="4" w:space="1" w:color="auto"/>
          <w:right w:val="single" w:sz="4" w:space="4" w:color="auto"/>
        </w:pBdr>
        <w:spacing w:line="276" w:lineRule="auto"/>
        <w:rPr>
          <w:noProof/>
        </w:rPr>
      </w:pPr>
    </w:p>
    <w:p>
      <w:pPr>
        <w:pStyle w:val="ManualHeading3"/>
        <w:rPr>
          <w:bCs/>
          <w:noProof/>
          <w:szCs w:val="24"/>
        </w:rPr>
      </w:pPr>
      <w:r>
        <w:t>1.4.4.</w:t>
      </w:r>
      <w:r>
        <w:tab/>
      </w:r>
      <w:r>
        <w:rPr>
          <w:noProof/>
        </w:rPr>
        <w:t xml:space="preserve">Kazalniki rezultatov in posledic </w:t>
      </w:r>
    </w:p>
    <w:p>
      <w:pPr>
        <w:pStyle w:val="Text1"/>
        <w:spacing w:line="276" w:lineRule="auto"/>
        <w:rPr>
          <w:i/>
          <w:noProof/>
          <w:sz w:val="20"/>
        </w:rPr>
      </w:pPr>
      <w:r>
        <w:rPr>
          <w:i/>
          <w:noProof/>
          <w:sz w:val="20"/>
        </w:rPr>
        <w:t>Navedite, s katerimi kazalniki se bo spremljalo izvajanje predloga/pobude.</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V zvezi s premijami za tveganje bi bil kazalnik redno plačevanje prihodkov v Jamstveni sklad.</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 xml:space="preserve">V zvezi s prevzemom upravljanja Jamstvenega sklada bi bila kazalnika ta, da prenos upravljanja poteka tekoče in da se bo nato Sklad upravljal v skladu z načeli dobrega finančnega poslovodenja. </w:t>
      </w:r>
    </w:p>
    <w:p>
      <w:pPr>
        <w:pStyle w:val="Text1"/>
        <w:pBdr>
          <w:top w:val="single" w:sz="4" w:space="1" w:color="auto"/>
          <w:left w:val="single" w:sz="4" w:space="4" w:color="auto"/>
          <w:bottom w:val="single" w:sz="4" w:space="1" w:color="auto"/>
          <w:right w:val="single" w:sz="4" w:space="4" w:color="auto"/>
        </w:pBdr>
        <w:spacing w:line="276" w:lineRule="auto"/>
        <w:rPr>
          <w:noProof/>
        </w:rPr>
      </w:pPr>
    </w:p>
    <w:p>
      <w:pPr>
        <w:pStyle w:val="ManualHeading2"/>
        <w:rPr>
          <w:bCs/>
          <w:noProof/>
          <w:szCs w:val="24"/>
        </w:rPr>
      </w:pPr>
      <w:r>
        <w:t>1.5.</w:t>
      </w:r>
      <w:r>
        <w:tab/>
      </w:r>
      <w:r>
        <w:rPr>
          <w:noProof/>
        </w:rPr>
        <w:t xml:space="preserve">Utemeljitev predloga/pobude </w:t>
      </w:r>
    </w:p>
    <w:p>
      <w:pPr>
        <w:pStyle w:val="ManualHeading3"/>
        <w:rPr>
          <w:noProof/>
        </w:rPr>
      </w:pPr>
      <w:r>
        <w:t>1.5.1.</w:t>
      </w:r>
      <w:r>
        <w:tab/>
      </w:r>
      <w:r>
        <w:rPr>
          <w:noProof/>
        </w:rPr>
        <w:t xml:space="preserve">Potrebe, ki jih je treba zadovoljiti kratkoročno ali dolgoročno </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Sprejetje predloga Komisije za sklep Evropskega parlamenta in Sveta o spremembi Sklepa št. 466/2014/EU o odobritvi jamstva EU Evropski investicijski banki za izgube pri financiranju v podporo naložbenim projektom zunaj Unije.</w:t>
      </w:r>
    </w:p>
    <w:p>
      <w:pPr>
        <w:pStyle w:val="ManualHeading3"/>
        <w:rPr>
          <w:bCs/>
          <w:noProof/>
          <w:szCs w:val="24"/>
        </w:rPr>
      </w:pPr>
      <w:r>
        <w:t>1.5.2.</w:t>
      </w:r>
      <w:r>
        <w:tab/>
      </w:r>
      <w:r>
        <w:rPr>
          <w:noProof/>
        </w:rPr>
        <w:t>Dodana vrednost ukrepanja EU</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Dodana vrednost jamstva EU, ki ga krije Jamstveni sklad, je opisana v oceni finančnih posledic zakonodajnega predloga, povezani s predlogom Komisije o spremembi Sklepa št. 466/2014/EU. Mandat za zunanja posojila je politična in finančna podpora EU za posojila EIB v državah in za naložbene projekte, ki sicer ne bi izpolnjevali standardnih smernic in meril EIB zaradi visokega tveganja.</w:t>
      </w:r>
    </w:p>
    <w:p>
      <w:pPr>
        <w:pStyle w:val="Text1"/>
        <w:pBdr>
          <w:top w:val="single" w:sz="4" w:space="1" w:color="auto"/>
          <w:left w:val="single" w:sz="4" w:space="4" w:color="auto"/>
          <w:bottom w:val="single" w:sz="4" w:space="1" w:color="auto"/>
          <w:right w:val="single" w:sz="4" w:space="4" w:color="auto"/>
        </w:pBdr>
        <w:spacing w:line="276" w:lineRule="auto"/>
        <w:rPr>
          <w:noProof/>
        </w:rPr>
      </w:pPr>
    </w:p>
    <w:p>
      <w:pPr>
        <w:pStyle w:val="ManualHeading3"/>
        <w:rPr>
          <w:bCs/>
          <w:noProof/>
          <w:szCs w:val="24"/>
        </w:rPr>
      </w:pPr>
      <w:r>
        <w:t>1.5.3.</w:t>
      </w:r>
      <w:r>
        <w:tab/>
      </w:r>
      <w:r>
        <w:rPr>
          <w:noProof/>
        </w:rPr>
        <w:t>Spoznanja iz podobnih izkušenj v preteklosti</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 xml:space="preserve"> ni relevantno</w:t>
      </w:r>
    </w:p>
    <w:p>
      <w:pPr>
        <w:pStyle w:val="ManualHeading3"/>
        <w:rPr>
          <w:noProof/>
        </w:rPr>
      </w:pPr>
      <w:r>
        <w:t>1.5.4.</w:t>
      </w:r>
      <w:r>
        <w:tab/>
      </w:r>
      <w:r>
        <w:rPr>
          <w:noProof/>
        </w:rPr>
        <w:t>Skladnost in možnosti sinergij z drugimi ustreznimi instrumenti</w:t>
      </w:r>
    </w:p>
    <w:p>
      <w:pPr>
        <w:pStyle w:val="Text1"/>
        <w:spacing w:line="276" w:lineRule="auto"/>
        <w:rPr>
          <w:noProof/>
        </w:rPr>
      </w:pPr>
      <w:r>
        <w:rPr>
          <w:noProof/>
        </w:rPr>
        <w:t xml:space="preserve">Sinergija s predlogom Komisije za sklep o spremembi Sklepa št. 466/2014/EU Evropskega parlamenta in Sveta o odobritvi jamstva EU Evropski investicijski banki za izgube pri financiranju v podporo naložbenim projektom zunaj Unije. </w:t>
      </w:r>
    </w:p>
    <w:p>
      <w:pPr>
        <w:pStyle w:val="Text1"/>
        <w:spacing w:line="276" w:lineRule="auto"/>
        <w:rPr>
          <w:noProof/>
        </w:rPr>
      </w:pPr>
      <w:r>
        <w:rPr>
          <w:noProof/>
        </w:rPr>
        <w:t>Posli financiranja, pri katerih tveganje krije Jamstveni sklad, dopolnjuje dejavnosti, ki se izvajajo v okviru instrumentov EU za zunanjo pomoč.</w:t>
      </w:r>
    </w:p>
    <w:p>
      <w:pPr>
        <w:pStyle w:val="ManualHeading2"/>
        <w:rPr>
          <w:bCs/>
          <w:noProof/>
          <w:szCs w:val="24"/>
        </w:rPr>
      </w:pPr>
      <w:r>
        <w:rPr>
          <w:noProof/>
        </w:rPr>
        <w:br w:type="page"/>
      </w:r>
      <w:r>
        <w:t>1.6.</w:t>
      </w:r>
      <w:r>
        <w:tab/>
      </w:r>
      <w:r>
        <w:rPr>
          <w:noProof/>
        </w:rPr>
        <w:t xml:space="preserve">Trajanje ukrepa in finančnih posledic </w:t>
      </w:r>
    </w:p>
    <w:p>
      <w:pPr>
        <w:pStyle w:val="Text1"/>
        <w:spacing w:line="276" w:lineRule="auto"/>
        <w:rPr>
          <w:noProof/>
        </w:rPr>
      </w:pPr>
      <w:r>
        <w:rPr>
          <w:noProof/>
          <w:szCs w:val="24"/>
        </w:rPr>
        <w:sym w:font="Wingdings" w:char="F0A8"/>
      </w:r>
      <w:r>
        <w:rPr>
          <w:b/>
          <w:i/>
          <w:noProof/>
        </w:rPr>
        <w:t xml:space="preserve"> </w:t>
      </w:r>
      <w:r>
        <w:rPr>
          <w:b/>
          <w:noProof/>
        </w:rPr>
        <w:t>Časovno omejen(-a)</w:t>
      </w:r>
      <w:r>
        <w:rPr>
          <w:noProof/>
        </w:rPr>
        <w:t xml:space="preserve"> predlog/pobuda:</w:t>
      </w:r>
      <w:r>
        <w:rPr>
          <w:b/>
          <w:noProof/>
        </w:rPr>
        <w:t xml:space="preserve"> </w:t>
      </w:r>
    </w:p>
    <w:p>
      <w:pPr>
        <w:pStyle w:val="ListDash2"/>
        <w:spacing w:line="276" w:lineRule="auto"/>
        <w:rPr>
          <w:noProof/>
        </w:rPr>
      </w:pPr>
      <w:r>
        <w:rPr>
          <w:noProof/>
        </w:rPr>
        <w:sym w:font="Wingdings" w:char="F0A8"/>
      </w:r>
      <w:r>
        <w:rPr>
          <w:noProof/>
        </w:rPr>
        <w:t xml:space="preserve"> </w:t>
      </w:r>
    </w:p>
    <w:p>
      <w:pPr>
        <w:pStyle w:val="ListDash2"/>
        <w:spacing w:line="276" w:lineRule="auto"/>
        <w:rPr>
          <w:noProof/>
        </w:rPr>
      </w:pPr>
      <w:r>
        <w:rPr>
          <w:noProof/>
          <w:szCs w:val="24"/>
        </w:rPr>
        <w:sym w:font="Wingdings" w:char="F0A8"/>
      </w:r>
      <w:r>
        <w:rPr>
          <w:noProof/>
        </w:rPr>
        <w:tab/>
      </w:r>
      <w:r>
        <w:rPr>
          <w:noProof/>
          <w:szCs w:val="24"/>
        </w:rPr>
        <w:sym w:font="Wingdings" w:char="F0A8"/>
      </w:r>
      <w:r>
        <w:rPr>
          <w:noProof/>
        </w:rPr>
        <w:t xml:space="preserve">finančne posledice med letoma LLLL in YYYY. </w:t>
      </w:r>
    </w:p>
    <w:p>
      <w:pPr>
        <w:pStyle w:val="Text1"/>
        <w:spacing w:line="276" w:lineRule="auto"/>
        <w:rPr>
          <w:noProof/>
        </w:rPr>
      </w:pPr>
      <w:r>
        <w:rPr>
          <w:noProof/>
          <w:szCs w:val="24"/>
        </w:rPr>
        <w:sym w:font="Wingdings" w:char="F0A8"/>
      </w:r>
      <w:r>
        <w:rPr>
          <w:noProof/>
        </w:rPr>
        <w:t>X</w:t>
      </w:r>
      <w:r>
        <w:rPr>
          <w:b/>
          <w:i/>
          <w:noProof/>
        </w:rPr>
        <w:t xml:space="preserve"> </w:t>
      </w:r>
      <w:r>
        <w:rPr>
          <w:b/>
          <w:noProof/>
        </w:rPr>
        <w:t>Časovno neomejen(-a)</w:t>
      </w:r>
      <w:r>
        <w:rPr>
          <w:noProof/>
        </w:rPr>
        <w:t xml:space="preserve"> predlog/pobuda:</w:t>
      </w:r>
    </w:p>
    <w:p>
      <w:pPr>
        <w:pStyle w:val="ListDash1"/>
        <w:spacing w:line="276" w:lineRule="auto"/>
        <w:rPr>
          <w:noProof/>
        </w:rPr>
      </w:pPr>
      <w:r>
        <w:rPr>
          <w:noProof/>
        </w:rPr>
        <w:t>v zvezi s prenosom upravljanja Jamstvenega sklada za zunanje ukrepe na Komisijo izvedba s prevzemom v letu 2017/2018,</w:t>
      </w:r>
    </w:p>
    <w:p>
      <w:pPr>
        <w:pStyle w:val="ListDash1"/>
        <w:spacing w:line="276" w:lineRule="auto"/>
        <w:rPr>
          <w:noProof/>
        </w:rPr>
      </w:pPr>
      <w:r>
        <w:rPr>
          <w:noProof/>
        </w:rPr>
        <w:t>ki mu sledi izvajanje predloga/pobude v celoti.</w:t>
      </w:r>
    </w:p>
    <w:p>
      <w:pPr>
        <w:pStyle w:val="ManualHeading2"/>
        <w:rPr>
          <w:bCs/>
          <w:noProof/>
          <w:szCs w:val="24"/>
        </w:rPr>
      </w:pPr>
      <w:r>
        <w:t>1.7.</w:t>
      </w:r>
      <w:r>
        <w:tab/>
      </w:r>
      <w:r>
        <w:rPr>
          <w:noProof/>
        </w:rPr>
        <w:t>Načrtovani načini upravljanja</w:t>
      </w:r>
      <w:r>
        <w:rPr>
          <w:rStyle w:val="FootnoteReference"/>
          <w:noProof/>
        </w:rPr>
        <w:footnoteReference w:id="5"/>
      </w:r>
      <w:r>
        <w:rPr>
          <w:rStyle w:val="FootnoteReference"/>
          <w:noProof/>
        </w:rPr>
        <w:t xml:space="preserve"> </w:t>
      </w:r>
    </w:p>
    <w:p>
      <w:pPr>
        <w:pStyle w:val="Text1"/>
        <w:spacing w:line="276" w:lineRule="auto"/>
        <w:rPr>
          <w:noProof/>
        </w:rPr>
      </w:pPr>
      <w:r>
        <w:rPr>
          <w:noProof/>
          <w:szCs w:val="24"/>
        </w:rPr>
        <w:sym w:font="Wingdings" w:char="F0A8"/>
      </w:r>
      <w:r>
        <w:rPr>
          <w:noProof/>
        </w:rPr>
        <w:t>x</w:t>
      </w:r>
      <w:r>
        <w:rPr>
          <w:i/>
          <w:noProof/>
        </w:rPr>
        <w:t xml:space="preserve"> </w:t>
      </w:r>
      <w:r>
        <w:rPr>
          <w:b/>
          <w:noProof/>
        </w:rPr>
        <w:t>Neposredno upravljanje</w:t>
      </w:r>
      <w:r>
        <w:rPr>
          <w:noProof/>
        </w:rPr>
        <w:t xml:space="preserve"> – Komisija</w:t>
      </w:r>
    </w:p>
    <w:p>
      <w:pPr>
        <w:pStyle w:val="ListDash2"/>
        <w:spacing w:line="276" w:lineRule="auto"/>
        <w:rPr>
          <w:rFonts w:cs="EUAlbertina"/>
          <w:noProof/>
        </w:rPr>
      </w:pPr>
      <w:r>
        <w:rPr>
          <w:noProof/>
          <w:szCs w:val="24"/>
        </w:rPr>
        <w:sym w:font="Wingdings" w:char="F0A8"/>
      </w:r>
      <w:r>
        <w:rPr>
          <w:noProof/>
        </w:rPr>
        <w:t xml:space="preserve">x z lastnimi službami, vključno z zaposlenimi v delegacijah Unije, </w:t>
      </w:r>
    </w:p>
    <w:p>
      <w:pPr>
        <w:pStyle w:val="ListDash2"/>
        <w:spacing w:line="276" w:lineRule="auto"/>
        <w:rPr>
          <w:noProof/>
        </w:rPr>
      </w:pPr>
      <w:r>
        <w:rPr>
          <w:noProof/>
          <w:szCs w:val="24"/>
        </w:rPr>
        <w:sym w:font="Wingdings" w:char="F0A8"/>
      </w:r>
      <w:r>
        <w:rPr>
          <w:noProof/>
        </w:rPr>
        <w:t xml:space="preserve"> prek izvajalskih agencij. </w:t>
      </w:r>
    </w:p>
    <w:p>
      <w:pPr>
        <w:pStyle w:val="Text1"/>
        <w:spacing w:line="276" w:lineRule="auto"/>
        <w:rPr>
          <w:noProof/>
        </w:rPr>
      </w:pPr>
      <w:r>
        <w:rPr>
          <w:noProof/>
          <w:szCs w:val="24"/>
        </w:rPr>
        <w:sym w:font="Wingdings" w:char="F0A8"/>
      </w:r>
      <w:r>
        <w:rPr>
          <w:b/>
          <w:i/>
          <w:noProof/>
        </w:rPr>
        <w:t xml:space="preserve"> </w:t>
      </w:r>
      <w:r>
        <w:rPr>
          <w:b/>
          <w:noProof/>
        </w:rPr>
        <w:t>Deljeno upravljanje</w:t>
      </w:r>
      <w:r>
        <w:rPr>
          <w:noProof/>
        </w:rPr>
        <w:t xml:space="preserve"> z državami članicami. </w:t>
      </w:r>
    </w:p>
    <w:p>
      <w:pPr>
        <w:pStyle w:val="Text1"/>
        <w:spacing w:line="276" w:lineRule="auto"/>
        <w:rPr>
          <w:noProof/>
        </w:rPr>
      </w:pPr>
      <w:r>
        <w:rPr>
          <w:noProof/>
          <w:szCs w:val="24"/>
        </w:rPr>
        <w:sym w:font="Wingdings" w:char="F0A8"/>
      </w:r>
      <w:r>
        <w:rPr>
          <w:i/>
          <w:noProof/>
        </w:rPr>
        <w:t xml:space="preserve"> </w:t>
      </w:r>
      <w:r>
        <w:rPr>
          <w:b/>
          <w:noProof/>
        </w:rPr>
        <w:t>Posredno upravljanje</w:t>
      </w:r>
      <w:r>
        <w:rPr>
          <w:noProof/>
        </w:rPr>
        <w:t xml:space="preserve"> s poverjanjem nalog izvrševanja proračuna:</w:t>
      </w:r>
    </w:p>
    <w:p>
      <w:pPr>
        <w:pStyle w:val="ListDash2"/>
        <w:spacing w:line="276" w:lineRule="auto"/>
        <w:rPr>
          <w:noProof/>
        </w:rPr>
      </w:pPr>
      <w:r>
        <w:rPr>
          <w:noProof/>
          <w:szCs w:val="24"/>
        </w:rPr>
        <w:sym w:font="Wingdings" w:char="F0A8"/>
      </w:r>
      <w:r>
        <w:rPr>
          <w:noProof/>
        </w:rPr>
        <w:t xml:space="preserve"> tretjim državam ali organom, ki jih te imenujejo,</w:t>
      </w:r>
    </w:p>
    <w:p>
      <w:pPr>
        <w:pStyle w:val="ListDash2"/>
        <w:spacing w:line="276" w:lineRule="auto"/>
        <w:rPr>
          <w:noProof/>
        </w:rPr>
      </w:pPr>
      <w:r>
        <w:rPr>
          <w:noProof/>
          <w:szCs w:val="24"/>
        </w:rPr>
        <w:sym w:font="Wingdings" w:char="F0A8"/>
      </w:r>
      <w:r>
        <w:rPr>
          <w:noProof/>
        </w:rPr>
        <w:t xml:space="preserve"> mednarodnim organizacijam in njihovim agencijam (navedite),</w:t>
      </w:r>
    </w:p>
    <w:p>
      <w:pPr>
        <w:pStyle w:val="ListDash2"/>
        <w:spacing w:line="276" w:lineRule="auto"/>
        <w:rPr>
          <w:noProof/>
        </w:rPr>
      </w:pPr>
      <w:r>
        <w:rPr>
          <w:noProof/>
          <w:szCs w:val="24"/>
        </w:rPr>
        <w:sym w:font="Wingdings" w:char="F0A8"/>
      </w:r>
      <w:r>
        <w:rPr>
          <w:noProof/>
          <w:szCs w:val="24"/>
        </w:rPr>
        <w:t xml:space="preserve"> </w:t>
      </w:r>
      <w:r>
        <w:rPr>
          <w:noProof/>
        </w:rPr>
        <w:t>EIB in Evropskemu investicijskemu skladu,</w:t>
      </w:r>
    </w:p>
    <w:p>
      <w:pPr>
        <w:pStyle w:val="ListDash2"/>
        <w:spacing w:line="276" w:lineRule="auto"/>
        <w:rPr>
          <w:noProof/>
        </w:rPr>
      </w:pPr>
      <w:r>
        <w:rPr>
          <w:noProof/>
          <w:szCs w:val="24"/>
        </w:rPr>
        <w:sym w:font="Wingdings" w:char="F0A8"/>
      </w:r>
      <w:r>
        <w:rPr>
          <w:noProof/>
        </w:rPr>
        <w:t xml:space="preserve"> organom iz členov 208 in 209 finančne uredbe,</w:t>
      </w:r>
    </w:p>
    <w:p>
      <w:pPr>
        <w:pStyle w:val="ListDash2"/>
        <w:spacing w:line="276" w:lineRule="auto"/>
        <w:rPr>
          <w:noProof/>
        </w:rPr>
      </w:pPr>
      <w:r>
        <w:rPr>
          <w:noProof/>
          <w:szCs w:val="24"/>
        </w:rPr>
        <w:sym w:font="Wingdings" w:char="F0A8"/>
      </w:r>
      <w:r>
        <w:rPr>
          <w:noProof/>
        </w:rPr>
        <w:t xml:space="preserve"> subjektom javnega prava,</w:t>
      </w:r>
    </w:p>
    <w:p>
      <w:pPr>
        <w:pStyle w:val="ListDash2"/>
        <w:spacing w:line="276" w:lineRule="auto"/>
        <w:rPr>
          <w:noProof/>
        </w:rPr>
      </w:pPr>
      <w:r>
        <w:rPr>
          <w:noProof/>
          <w:szCs w:val="24"/>
        </w:rPr>
        <w:sym w:font="Wingdings" w:char="F0A8"/>
      </w:r>
      <w:r>
        <w:rPr>
          <w:noProof/>
        </w:rPr>
        <w:t xml:space="preserve"> subjektom zasebnega prava, ki opravljajo javne storitve, kolikor ti subjekti zagotavljajo ustrezna finančna jamstva,</w:t>
      </w:r>
    </w:p>
    <w:p>
      <w:pPr>
        <w:pStyle w:val="ListDash2"/>
        <w:spacing w:line="276" w:lineRule="auto"/>
        <w:rPr>
          <w:noProof/>
        </w:rPr>
      </w:pPr>
      <w:r>
        <w:rPr>
          <w:noProof/>
          <w:szCs w:val="24"/>
        </w:rPr>
        <w:sym w:font="Wingdings" w:char="F0A8"/>
      </w:r>
      <w:r>
        <w:rPr>
          <w:noProof/>
        </w:rPr>
        <w:t xml:space="preserve"> subjektom zasebnega prava države članice, ki so pooblaščeni za izvajanje javno-zasebnih partnerstev in zagotavljajo ustrezna finančna jamstva,</w:t>
      </w:r>
    </w:p>
    <w:p>
      <w:pPr>
        <w:pStyle w:val="ListDash2"/>
        <w:spacing w:line="276" w:lineRule="auto"/>
        <w:rPr>
          <w:noProof/>
        </w:rPr>
      </w:pPr>
      <w:r>
        <w:rPr>
          <w:noProof/>
          <w:szCs w:val="24"/>
        </w:rPr>
        <w:sym w:font="Wingdings" w:char="F0A8"/>
      </w:r>
      <w:r>
        <w:rPr>
          <w:noProof/>
        </w:rPr>
        <w:t xml:space="preserve"> osebam, pooblaščenim za izvajanje določenih ukrepov SZVP v skladu z naslovom V PEU in opredeljenim v zadevnem temeljnem aktu.</w:t>
      </w:r>
    </w:p>
    <w:p>
      <w:pPr>
        <w:pStyle w:val="ListDash2"/>
        <w:spacing w:line="276" w:lineRule="auto"/>
        <w:rPr>
          <w:i/>
          <w:noProof/>
          <w:sz w:val="18"/>
          <w:u w:val="single"/>
        </w:rPr>
      </w:pPr>
      <w:r>
        <w:rPr>
          <w:i/>
          <w:noProof/>
          <w:sz w:val="18"/>
        </w:rPr>
        <w:t>Pri navedbi več kot enega načina upravljanja je treba to natančneje obrazložiti v oddelku „opombe“.</w:t>
      </w:r>
    </w:p>
    <w:p>
      <w:pPr>
        <w:spacing w:line="276" w:lineRule="auto"/>
        <w:rPr>
          <w:noProof/>
        </w:rPr>
      </w:pPr>
      <w:r>
        <w:rPr>
          <w:noProof/>
        </w:rPr>
        <w:t xml:space="preserve">Opombe </w:t>
      </w:r>
    </w:p>
    <w:p>
      <w:pPr>
        <w:spacing w:line="276" w:lineRule="auto"/>
        <w:rPr>
          <w:noProof/>
        </w:rPr>
        <w:sectPr>
          <w:pgSz w:w="11907" w:h="16840" w:code="9"/>
          <w:pgMar w:top="1134" w:right="1418" w:bottom="1134" w:left="1418" w:header="709" w:footer="709" w:gutter="0"/>
          <w:cols w:space="708"/>
          <w:docGrid w:linePitch="360"/>
        </w:sectPr>
      </w:pPr>
      <w:r>
        <w:rPr>
          <w:noProof/>
        </w:rPr>
        <w:t xml:space="preserve"> </w:t>
      </w:r>
    </w:p>
    <w:p>
      <w:pPr>
        <w:pStyle w:val="ManualHeading1"/>
        <w:rPr>
          <w:bCs/>
          <w:noProof/>
          <w:szCs w:val="24"/>
        </w:rPr>
      </w:pPr>
      <w:r>
        <w:t>2.</w:t>
      </w:r>
      <w:r>
        <w:tab/>
      </w:r>
      <w:r>
        <w:rPr>
          <w:noProof/>
        </w:rPr>
        <w:t xml:space="preserve">UKREPI UPRAVLJANJA </w:t>
      </w:r>
    </w:p>
    <w:p>
      <w:pPr>
        <w:pStyle w:val="ManualHeading2"/>
        <w:rPr>
          <w:noProof/>
        </w:rPr>
      </w:pPr>
      <w:r>
        <w:t>2.1.</w:t>
      </w:r>
      <w:r>
        <w:tab/>
      </w:r>
      <w:r>
        <w:rPr>
          <w:noProof/>
        </w:rPr>
        <w:t xml:space="preserve">Pravila o spremljanju in poročanju </w:t>
      </w:r>
    </w:p>
    <w:p>
      <w:pPr>
        <w:pStyle w:val="Text1"/>
        <w:spacing w:line="276" w:lineRule="auto"/>
        <w:rPr>
          <w:i/>
          <w:noProof/>
          <w:sz w:val="20"/>
          <w:u w:val="single"/>
        </w:rPr>
      </w:pPr>
      <w:r>
        <w:rPr>
          <w:i/>
          <w:noProof/>
          <w:sz w:val="20"/>
        </w:rPr>
        <w:t>Navedite pogostost in pogoje.</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Kot določa člen 8 Uredbe Sveta (ES, Euratom) št. 480/2009, Komisija do 31. maja naslednjega proračunskega leta pošlje Evropskemu parlamentu, Svetu in Računskemu sodišču letno poročilo o položaju Jamstvenega sklada in njegovem vodenju v preteklem letu. Člen 9 Uredbe določa, da se bilanca prihodkov in odhodkov ter bilanca stanja sklada priložita k bilanci prihodkov in odhodkov ter bilanci stanja Skupnosti.</w:t>
      </w:r>
    </w:p>
    <w:p>
      <w:pPr>
        <w:pStyle w:val="Text1"/>
        <w:pBdr>
          <w:top w:val="single" w:sz="4" w:space="1" w:color="auto"/>
          <w:left w:val="single" w:sz="4" w:space="4" w:color="auto"/>
          <w:bottom w:val="single" w:sz="4" w:space="1" w:color="auto"/>
          <w:right w:val="single" w:sz="4" w:space="4" w:color="auto"/>
        </w:pBdr>
        <w:spacing w:line="276" w:lineRule="auto"/>
        <w:rPr>
          <w:noProof/>
        </w:rPr>
      </w:pPr>
    </w:p>
    <w:p>
      <w:pPr>
        <w:pStyle w:val="ManualHeading2"/>
        <w:rPr>
          <w:bCs/>
          <w:noProof/>
          <w:szCs w:val="24"/>
        </w:rPr>
      </w:pPr>
      <w:r>
        <w:t>2.2.</w:t>
      </w:r>
      <w:r>
        <w:tab/>
      </w:r>
      <w:r>
        <w:rPr>
          <w:noProof/>
        </w:rPr>
        <w:t xml:space="preserve">Upravljavski in kontrolni sistem </w:t>
      </w:r>
    </w:p>
    <w:p>
      <w:pPr>
        <w:pStyle w:val="ManualHeading3"/>
        <w:rPr>
          <w:noProof/>
        </w:rPr>
      </w:pPr>
      <w:r>
        <w:t>2.2.1.</w:t>
      </w:r>
      <w:r>
        <w:tab/>
      </w:r>
      <w:r>
        <w:rPr>
          <w:noProof/>
        </w:rPr>
        <w:t xml:space="preserve">Ugotovljena tveganja </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V skladu s členom (1) Uredbe št. 480/2009 se sredstva Jamstvenega sklada investirajo. Pri teh investicijah bo prisotno naložbeno tveganje (npr. tržno in kreditno tveganje) ter določeno operativno tveganje.</w:t>
      </w:r>
    </w:p>
    <w:p>
      <w:pPr>
        <w:pStyle w:val="Text1"/>
        <w:pBdr>
          <w:top w:val="single" w:sz="4" w:space="1" w:color="auto"/>
          <w:left w:val="single" w:sz="4" w:space="4" w:color="auto"/>
          <w:bottom w:val="single" w:sz="4" w:space="1" w:color="auto"/>
          <w:right w:val="single" w:sz="4" w:space="4" w:color="auto"/>
        </w:pBdr>
        <w:spacing w:line="276" w:lineRule="auto"/>
        <w:rPr>
          <w:noProof/>
        </w:rPr>
      </w:pPr>
    </w:p>
    <w:p>
      <w:pPr>
        <w:pStyle w:val="ManualHeading3"/>
        <w:rPr>
          <w:bCs/>
          <w:noProof/>
          <w:szCs w:val="24"/>
        </w:rPr>
      </w:pPr>
      <w:r>
        <w:t>2.2.2.</w:t>
      </w:r>
      <w:r>
        <w:tab/>
      </w:r>
      <w:r>
        <w:rPr>
          <w:noProof/>
        </w:rPr>
        <w:t>Podatki o vzpostavljenem sistemu notranje kontrole</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Komisija bo upravljala sredstva Jamstvenega sklada v skladu z Uredbo št. 480/2009 in svojimi veljavnimi pravili in postopki. Izvajale se bodo redne zunanje revizije.</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Prihodki bodo obravnavani v skladu s finančno uredbo.</w:t>
      </w:r>
    </w:p>
    <w:p>
      <w:pPr>
        <w:pStyle w:val="ManualHeading3"/>
        <w:rPr>
          <w:noProof/>
        </w:rPr>
      </w:pPr>
      <w:r>
        <w:t>2.2.3.</w:t>
      </w:r>
      <w:r>
        <w:tab/>
      </w:r>
      <w:r>
        <w:rPr>
          <w:noProof/>
        </w:rPr>
        <w:t xml:space="preserve">Ocena stroškov in koristi kontrol ter ocena pričakovane stopnje tveganja napak </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Komisija na podlagi skupne stroškovne učinkovitosti kontrol pri dejavnostih upravljanja sredstev v letu 2015, kakor je merjena z deležem skupnega stroška kontrol (na podlagi ekvivalenta polnega delovnega časa pri vseh sredstvih zakladnice, ki jih upravlja), meni, da so kontrole dovolj uspešne in stroškovno učinkovite. Isti kontrolni sistemi bodo uporabljeni za dodatna sredstva v upravljanju.</w:t>
      </w:r>
    </w:p>
    <w:p>
      <w:pPr>
        <w:pStyle w:val="Text1"/>
        <w:spacing w:line="276" w:lineRule="auto"/>
        <w:ind w:left="0"/>
        <w:rPr>
          <w:noProof/>
        </w:rPr>
      </w:pPr>
    </w:p>
    <w:p>
      <w:pPr>
        <w:pStyle w:val="ManualHeading2"/>
        <w:rPr>
          <w:bCs/>
          <w:noProof/>
          <w:szCs w:val="24"/>
        </w:rPr>
      </w:pPr>
      <w:r>
        <w:t>2.3.</w:t>
      </w:r>
      <w:r>
        <w:tab/>
      </w:r>
      <w:r>
        <w:rPr>
          <w:noProof/>
        </w:rPr>
        <w:t xml:space="preserve">Ukrepi za preprečevanje goljufij in nepravilnosti </w:t>
      </w:r>
    </w:p>
    <w:p>
      <w:pPr>
        <w:pStyle w:val="Text1"/>
        <w:spacing w:line="276" w:lineRule="auto"/>
        <w:rPr>
          <w:i/>
          <w:noProof/>
          <w:sz w:val="20"/>
        </w:rPr>
      </w:pPr>
      <w:r>
        <w:rPr>
          <w:i/>
          <w:noProof/>
          <w:sz w:val="20"/>
        </w:rPr>
        <w:t>Navedite obstoječe ali načrtovane preprečevalne in zaščitne ukrepe.</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 xml:space="preserve">EIB ima glavno odgovornost za sprejetje ukrepov za preprečevanje goljufij, zlasti z izvajanjem „politike EIB za preprečevanje in odvračanje od korupcije, goljufij, dogovarjanja, izsiljevanja, pranja denarja in financiranja terorizma pri dejavnostih Evropske investicijske banke“ za financiranje. EIB je sprejela politiko do pomanjkljivo reguliranih, nepreglednih in nesodelujočih jurisdikcij. </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EIB je zavezana ohranjanju stroge politike boja proti davčnim goljufijam, davčnim utajam in škodljivim davčnim praksam pri vseh svojih dejavnostih, tudi pri posojilih prek finančnih posrednikov. Stalno spremlja napredek pri mednarodnih standardih za ohranitev svoje vodilne vloge med mednarodnimi finančnimi institucijami v boju proti tem škodljivim davčnim praksam ter za zagotavljanje, da njena politika do pomanjkljivo reguliranih, nepreglednih in nekooperativnih jurisdikcij upošteva vse pomembne dogodke.</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Okvir skupine EIB za preprečevanje pranja denarja in financiranja terorizma, ki je bil posodobljen leta 2014 in objavljen na spletišču EIB, določa glavna načela, ki urejajo preprečevanje pranja denarja in financiranja terorizma ter s tem povezane vidike integritete pri dejavnostih skupine EIB, njegov namen pa je preprečevati skupini EIB, njenim upravnim organom, uslužbencem in nasprotnim strankam, da bi bili povezani s pranjem denarja, financiranjem terorizma ali drugimi kriminalnimi dejavnostmi ali da bi bili uporabljeni za take namene.</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V zvezi s prevzemom upravljanja Jamstvenega sklada se uporabljajo notranja pravila Komisije, vključno s posebnimi postopki, določenimi za upravljanje finančnih sredstev.</w:t>
      </w:r>
    </w:p>
    <w:p>
      <w:pPr>
        <w:pStyle w:val="Text1"/>
        <w:ind w:left="0"/>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OCENA FINANČNIH POSLEDIC PREDLOGA/POBUDE </w:t>
      </w:r>
    </w:p>
    <w:p>
      <w:pPr>
        <w:pStyle w:val="ManualHeading2"/>
        <w:rPr>
          <w:noProof/>
        </w:rPr>
      </w:pPr>
      <w:r>
        <w:t>3.1.</w:t>
      </w:r>
      <w:r>
        <w:tab/>
      </w:r>
      <w:r>
        <w:rPr>
          <w:noProof/>
        </w:rPr>
        <w:t xml:space="preserve">Zadevni razdelki večletnega finančnega okvira in odhodkovne proračunske vrstice </w:t>
      </w:r>
    </w:p>
    <w:p>
      <w:pPr>
        <w:pStyle w:val="ListBullet1"/>
        <w:rPr>
          <w:noProof/>
        </w:rPr>
      </w:pPr>
      <w:r>
        <w:rPr>
          <w:noProof/>
        </w:rPr>
        <w:t xml:space="preserve">Obstoječe proračunske vrstice </w:t>
      </w:r>
    </w:p>
    <w:p>
      <w:pPr>
        <w:pStyle w:val="Text1"/>
        <w:rPr>
          <w:noProof/>
        </w:rPr>
      </w:pPr>
      <w:r>
        <w:rPr>
          <w:noProof/>
          <w:u w:val="single"/>
        </w:rPr>
        <w:t>Po vrstnem redu</w:t>
      </w:r>
      <w:r>
        <w:rPr>
          <w:noProof/>
        </w:rPr>
        <w:t xml:space="preserve"> razdelkov večletnega finančnega okvira in proračunskih vrstic.</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Razdelek večletnega finančnega okvira</w:t>
            </w:r>
          </w:p>
        </w:tc>
        <w:tc>
          <w:tcPr>
            <w:tcW w:w="3960" w:type="dxa"/>
            <w:vAlign w:val="center"/>
          </w:tcPr>
          <w:p>
            <w:pPr>
              <w:spacing w:before="60" w:after="60"/>
              <w:jc w:val="center"/>
              <w:rPr>
                <w:noProof/>
                <w:sz w:val="22"/>
              </w:rPr>
            </w:pPr>
            <w:r>
              <w:rPr>
                <w:noProof/>
                <w:sz w:val="20"/>
              </w:rPr>
              <w:t>Proračunska vrstica</w:t>
            </w:r>
          </w:p>
        </w:tc>
        <w:tc>
          <w:tcPr>
            <w:tcW w:w="1080" w:type="dxa"/>
            <w:vAlign w:val="center"/>
          </w:tcPr>
          <w:p>
            <w:pPr>
              <w:spacing w:before="60" w:after="60"/>
              <w:jc w:val="center"/>
              <w:rPr>
                <w:noProof/>
                <w:sz w:val="22"/>
              </w:rPr>
            </w:pPr>
            <w:r>
              <w:rPr>
                <w:noProof/>
                <w:sz w:val="18"/>
              </w:rPr>
              <w:t xml:space="preserve">Vrsta </w:t>
            </w:r>
            <w:r>
              <w:rPr>
                <w:noProof/>
                <w:sz w:val="22"/>
              </w:rPr>
              <w:br/>
            </w:r>
            <w:r>
              <w:rPr>
                <w:noProof/>
                <w:sz w:val="18"/>
              </w:rPr>
              <w:t>odhodkov</w:t>
            </w:r>
          </w:p>
        </w:tc>
        <w:tc>
          <w:tcPr>
            <w:tcW w:w="4440" w:type="dxa"/>
            <w:gridSpan w:val="4"/>
            <w:vAlign w:val="center"/>
          </w:tcPr>
          <w:p>
            <w:pPr>
              <w:spacing w:before="60" w:after="60"/>
              <w:jc w:val="center"/>
              <w:rPr>
                <w:noProof/>
                <w:sz w:val="22"/>
              </w:rPr>
            </w:pPr>
            <w:r>
              <w:rPr>
                <w:noProof/>
                <w:sz w:val="20"/>
              </w:rPr>
              <w:t xml:space="preserve">Prispevek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številka </w:t>
            </w:r>
            <w:r>
              <w:rPr>
                <w:noProof/>
                <w:sz w:val="22"/>
              </w:rPr>
              <w:br/>
            </w:r>
            <w:r>
              <w:rPr>
                <w:noProof/>
              </w:rPr>
              <w:t>[…][poimenovanje……………..……………]</w:t>
            </w:r>
          </w:p>
        </w:tc>
        <w:tc>
          <w:tcPr>
            <w:tcW w:w="1080" w:type="dxa"/>
            <w:vAlign w:val="center"/>
          </w:tcPr>
          <w:p>
            <w:pPr>
              <w:jc w:val="center"/>
              <w:rPr>
                <w:noProof/>
                <w:sz w:val="22"/>
              </w:rPr>
            </w:pPr>
            <w:r>
              <w:rPr>
                <w:noProof/>
              </w:rPr>
              <w:t>dif./nedif</w:t>
            </w:r>
            <w:r>
              <w:rPr>
                <w:rStyle w:val="FootnoteReference"/>
                <w:noProof/>
              </w:rPr>
              <w:footnoteReference w:id="6"/>
            </w:r>
            <w:r>
              <w:rPr>
                <w:noProof/>
              </w:rPr>
              <w:t>.</w:t>
            </w:r>
          </w:p>
        </w:tc>
        <w:tc>
          <w:tcPr>
            <w:tcW w:w="956" w:type="dxa"/>
            <w:vAlign w:val="center"/>
          </w:tcPr>
          <w:p>
            <w:pPr>
              <w:jc w:val="center"/>
              <w:rPr>
                <w:noProof/>
                <w:sz w:val="22"/>
              </w:rPr>
            </w:pPr>
            <w:r>
              <w:rPr>
                <w:noProof/>
                <w:sz w:val="18"/>
              </w:rPr>
              <w:t>držav Efte</w:t>
            </w:r>
            <w:r>
              <w:rPr>
                <w:rStyle w:val="FootnoteReference"/>
                <w:noProof/>
                <w:sz w:val="18"/>
              </w:rPr>
              <w:footnoteReference w:id="7"/>
            </w:r>
          </w:p>
          <w:p>
            <w:pPr>
              <w:spacing w:before="0" w:after="0"/>
              <w:jc w:val="center"/>
              <w:rPr>
                <w:b/>
                <w:noProof/>
                <w:sz w:val="18"/>
              </w:rPr>
            </w:pPr>
          </w:p>
        </w:tc>
        <w:tc>
          <w:tcPr>
            <w:tcW w:w="1080" w:type="dxa"/>
            <w:vAlign w:val="center"/>
          </w:tcPr>
          <w:p>
            <w:pPr>
              <w:jc w:val="center"/>
              <w:rPr>
                <w:noProof/>
                <w:sz w:val="22"/>
              </w:rPr>
            </w:pPr>
            <w:r>
              <w:rPr>
                <w:noProof/>
                <w:sz w:val="18"/>
              </w:rPr>
              <w:t>držav kandidatk</w:t>
            </w:r>
            <w:r>
              <w:rPr>
                <w:rStyle w:val="FootnoteReference"/>
                <w:noProof/>
                <w:sz w:val="18"/>
              </w:rPr>
              <w:footnoteReference w:id="8"/>
            </w:r>
          </w:p>
          <w:p>
            <w:pPr>
              <w:spacing w:before="0" w:after="0"/>
              <w:jc w:val="center"/>
              <w:rPr>
                <w:noProof/>
                <w:sz w:val="18"/>
              </w:rPr>
            </w:pPr>
          </w:p>
        </w:tc>
        <w:tc>
          <w:tcPr>
            <w:tcW w:w="956" w:type="dxa"/>
            <w:vAlign w:val="center"/>
          </w:tcPr>
          <w:p>
            <w:pPr>
              <w:jc w:val="center"/>
              <w:rPr>
                <w:noProof/>
                <w:sz w:val="18"/>
              </w:rPr>
            </w:pPr>
            <w:r>
              <w:rPr>
                <w:noProof/>
                <w:sz w:val="18"/>
              </w:rPr>
              <w:t>tretjih držav</w:t>
            </w:r>
          </w:p>
        </w:tc>
        <w:tc>
          <w:tcPr>
            <w:tcW w:w="1448" w:type="dxa"/>
            <w:vAlign w:val="center"/>
          </w:tcPr>
          <w:p>
            <w:pPr>
              <w:jc w:val="center"/>
              <w:rPr>
                <w:noProof/>
                <w:sz w:val="22"/>
              </w:rPr>
            </w:pPr>
            <w:r>
              <w:rPr>
                <w:noProof/>
                <w:sz w:val="16"/>
              </w:rPr>
              <w:t xml:space="preserve">po členu 21(2)(b) finančne uredbe </w:t>
            </w:r>
          </w:p>
        </w:tc>
      </w:tr>
      <w:tr>
        <w:tc>
          <w:tcPr>
            <w:tcW w:w="1080" w:type="dxa"/>
            <w:vAlign w:val="center"/>
          </w:tcPr>
          <w:p>
            <w:pPr>
              <w:jc w:val="center"/>
              <w:rPr>
                <w:noProof/>
                <w:sz w:val="22"/>
              </w:rPr>
            </w:pPr>
          </w:p>
        </w:tc>
        <w:tc>
          <w:tcPr>
            <w:tcW w:w="3960" w:type="dxa"/>
            <w:vAlign w:val="center"/>
          </w:tcPr>
          <w:p>
            <w:pPr>
              <w:spacing w:before="60"/>
              <w:rPr>
                <w:noProof/>
              </w:rPr>
            </w:pPr>
            <w:r>
              <w:rPr>
                <w:noProof/>
              </w:rPr>
              <w:t>01.0305 Jamstvo EU za posojila EIB</w:t>
            </w:r>
          </w:p>
          <w:p>
            <w:pPr>
              <w:spacing w:before="60"/>
              <w:rPr>
                <w:noProof/>
              </w:rPr>
            </w:pPr>
            <w:r>
              <w:rPr>
                <w:noProof/>
              </w:rPr>
              <w:t>in jamstva za posojila za financiranje v</w:t>
            </w:r>
          </w:p>
          <w:p>
            <w:pPr>
              <w:spacing w:before="60"/>
            </w:pPr>
            <w:r>
              <w:rPr>
                <w:noProof/>
              </w:rPr>
              <w:t>tretjih državah</w:t>
            </w:r>
          </w:p>
        </w:tc>
        <w:tc>
          <w:tcPr>
            <w:tcW w:w="1080" w:type="dxa"/>
            <w:vAlign w:val="center"/>
          </w:tcPr>
          <w:p>
            <w:pPr>
              <w:jc w:val="center"/>
              <w:rPr>
                <w:noProof/>
                <w:sz w:val="22"/>
              </w:rPr>
            </w:pPr>
          </w:p>
        </w:tc>
        <w:tc>
          <w:tcPr>
            <w:tcW w:w="956" w:type="dxa"/>
            <w:vAlign w:val="center"/>
          </w:tcPr>
          <w:p>
            <w:pPr>
              <w:jc w:val="center"/>
              <w:rPr>
                <w:noProof/>
                <w:sz w:val="22"/>
              </w:rPr>
            </w:pPr>
            <w:r>
              <w:rPr>
                <w:noProof/>
                <w:sz w:val="22"/>
              </w:rPr>
              <w:t>NE</w:t>
            </w:r>
          </w:p>
        </w:tc>
        <w:tc>
          <w:tcPr>
            <w:tcW w:w="1080" w:type="dxa"/>
            <w:vAlign w:val="center"/>
          </w:tcPr>
          <w:p>
            <w:pPr>
              <w:jc w:val="center"/>
              <w:rPr>
                <w:noProof/>
                <w:sz w:val="22"/>
              </w:rPr>
            </w:pPr>
            <w:r>
              <w:rPr>
                <w:noProof/>
                <w:sz w:val="22"/>
              </w:rPr>
              <w:t>NE</w:t>
            </w:r>
          </w:p>
        </w:tc>
        <w:tc>
          <w:tcPr>
            <w:tcW w:w="956"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r>
        <w:tc>
          <w:tcPr>
            <w:tcW w:w="1080" w:type="dxa"/>
            <w:vAlign w:val="center"/>
          </w:tcPr>
          <w:p>
            <w:pPr>
              <w:jc w:val="center"/>
              <w:rPr>
                <w:noProof/>
                <w:sz w:val="22"/>
              </w:rPr>
            </w:pPr>
          </w:p>
        </w:tc>
        <w:tc>
          <w:tcPr>
            <w:tcW w:w="3960" w:type="dxa"/>
            <w:vAlign w:val="center"/>
          </w:tcPr>
          <w:p>
            <w:pPr>
              <w:spacing w:before="60"/>
              <w:rPr>
                <w:noProof/>
                <w:sz w:val="22"/>
              </w:rPr>
            </w:pPr>
            <w:r>
              <w:rPr>
                <w:noProof/>
              </w:rPr>
              <w:t>[…][XX.YY.YY.YY]</w:t>
            </w:r>
          </w:p>
          <w:p>
            <w:pPr>
              <w:spacing w:after="60"/>
              <w:rPr>
                <w:noProof/>
                <w:sz w:val="22"/>
              </w:rPr>
            </w:pPr>
            <w:r>
              <w:rPr>
                <w:noProof/>
                <w:sz w:val="22"/>
              </w:rPr>
              <w:t>01.0306 Oblikovanje rezervacij Jamstvenega</w:t>
            </w:r>
          </w:p>
          <w:p>
            <w:pPr>
              <w:spacing w:after="60"/>
              <w:rPr>
                <w:noProof/>
                <w:sz w:val="22"/>
              </w:rPr>
            </w:pPr>
            <w:r>
              <w:rPr>
                <w:noProof/>
                <w:sz w:val="22"/>
              </w:rPr>
              <w:t>sklada</w:t>
            </w:r>
          </w:p>
        </w:tc>
        <w:tc>
          <w:tcPr>
            <w:tcW w:w="1080" w:type="dxa"/>
            <w:vAlign w:val="center"/>
          </w:tcPr>
          <w:p>
            <w:pPr>
              <w:jc w:val="center"/>
              <w:rPr>
                <w:noProof/>
                <w:sz w:val="22"/>
              </w:rPr>
            </w:pPr>
            <w:r>
              <w:rPr>
                <w:noProof/>
                <w:sz w:val="22"/>
              </w:rPr>
              <w:t>dif./nedif.</w:t>
            </w:r>
          </w:p>
        </w:tc>
        <w:tc>
          <w:tcPr>
            <w:tcW w:w="956" w:type="dxa"/>
            <w:vAlign w:val="center"/>
          </w:tcPr>
          <w:p>
            <w:pPr>
              <w:jc w:val="center"/>
              <w:rPr>
                <w:noProof/>
                <w:sz w:val="22"/>
              </w:rPr>
            </w:pPr>
            <w:r>
              <w:rPr>
                <w:noProof/>
                <w:sz w:val="22"/>
              </w:rPr>
              <w:t>NE</w:t>
            </w:r>
          </w:p>
        </w:tc>
        <w:tc>
          <w:tcPr>
            <w:tcW w:w="1080" w:type="dxa"/>
            <w:vAlign w:val="center"/>
          </w:tcPr>
          <w:p>
            <w:pPr>
              <w:jc w:val="center"/>
              <w:rPr>
                <w:noProof/>
                <w:sz w:val="22"/>
              </w:rPr>
            </w:pPr>
            <w:r>
              <w:rPr>
                <w:noProof/>
                <w:sz w:val="22"/>
              </w:rPr>
              <w:t>NE</w:t>
            </w:r>
          </w:p>
        </w:tc>
        <w:tc>
          <w:tcPr>
            <w:tcW w:w="956"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bl>
    <w:p>
      <w:pPr>
        <w:pStyle w:val="ListBullet1"/>
        <w:rPr>
          <w:noProof/>
        </w:rPr>
      </w:pPr>
      <w:r>
        <w:rPr>
          <w:noProof/>
        </w:rPr>
        <w:t xml:space="preserve">Zahtevane nove proračunske vrstice </w:t>
      </w:r>
    </w:p>
    <w:p>
      <w:pPr>
        <w:pStyle w:val="Text1"/>
        <w:rPr>
          <w:i/>
          <w:noProof/>
          <w:sz w:val="20"/>
        </w:rPr>
      </w:pPr>
      <w:r>
        <w:rPr>
          <w:i/>
          <w:noProof/>
          <w:u w:val="single"/>
        </w:rPr>
        <w:t>Po vrstnem redu</w:t>
      </w:r>
      <w:r>
        <w:rPr>
          <w:i/>
          <w:noProof/>
        </w:rPr>
        <w:t xml:space="preserve"> razdelkov večletnega finančnega okvira in proračunskih vrstic.</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Razdelek večletnega finančnega okvira</w:t>
            </w:r>
          </w:p>
        </w:tc>
        <w:tc>
          <w:tcPr>
            <w:tcW w:w="3960" w:type="dxa"/>
            <w:vAlign w:val="center"/>
          </w:tcPr>
          <w:p>
            <w:pPr>
              <w:spacing w:before="60" w:after="60"/>
              <w:jc w:val="center"/>
              <w:rPr>
                <w:noProof/>
                <w:sz w:val="22"/>
              </w:rPr>
            </w:pPr>
            <w:r>
              <w:rPr>
                <w:noProof/>
                <w:sz w:val="20"/>
              </w:rPr>
              <w:t>Proračunska vrstica</w:t>
            </w:r>
          </w:p>
        </w:tc>
        <w:tc>
          <w:tcPr>
            <w:tcW w:w="1080" w:type="dxa"/>
            <w:vAlign w:val="center"/>
          </w:tcPr>
          <w:p>
            <w:pPr>
              <w:spacing w:before="60" w:after="60"/>
              <w:jc w:val="center"/>
              <w:rPr>
                <w:noProof/>
                <w:sz w:val="22"/>
              </w:rPr>
            </w:pPr>
            <w:r>
              <w:rPr>
                <w:noProof/>
                <w:sz w:val="18"/>
              </w:rPr>
              <w:t xml:space="preserve">Vrsta </w:t>
            </w:r>
            <w:r>
              <w:rPr>
                <w:noProof/>
                <w:sz w:val="22"/>
              </w:rPr>
              <w:br/>
            </w:r>
            <w:r>
              <w:rPr>
                <w:noProof/>
                <w:sz w:val="18"/>
              </w:rPr>
              <w:t>odhodkov</w:t>
            </w:r>
          </w:p>
        </w:tc>
        <w:tc>
          <w:tcPr>
            <w:tcW w:w="4440" w:type="dxa"/>
            <w:gridSpan w:val="4"/>
            <w:vAlign w:val="center"/>
          </w:tcPr>
          <w:p>
            <w:pPr>
              <w:spacing w:before="60" w:after="60"/>
              <w:jc w:val="center"/>
              <w:rPr>
                <w:noProof/>
                <w:sz w:val="22"/>
              </w:rPr>
            </w:pPr>
            <w:r>
              <w:rPr>
                <w:noProof/>
                <w:sz w:val="20"/>
              </w:rPr>
              <w:t xml:space="preserve">Prispevek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številka </w:t>
            </w:r>
            <w:r>
              <w:rPr>
                <w:noProof/>
                <w:sz w:val="22"/>
              </w:rPr>
              <w:br/>
            </w:r>
            <w:r>
              <w:rPr>
                <w:noProof/>
              </w:rPr>
              <w:t>[…][poimenovanje…………………………]</w:t>
            </w:r>
          </w:p>
        </w:tc>
        <w:tc>
          <w:tcPr>
            <w:tcW w:w="1080" w:type="dxa"/>
            <w:vAlign w:val="center"/>
          </w:tcPr>
          <w:p>
            <w:pPr>
              <w:jc w:val="center"/>
              <w:rPr>
                <w:noProof/>
                <w:sz w:val="22"/>
              </w:rPr>
            </w:pPr>
            <w:r>
              <w:rPr>
                <w:noProof/>
                <w:sz w:val="18"/>
              </w:rPr>
              <w:t>dif./nedif.</w:t>
            </w:r>
          </w:p>
        </w:tc>
        <w:tc>
          <w:tcPr>
            <w:tcW w:w="956" w:type="dxa"/>
            <w:vAlign w:val="center"/>
          </w:tcPr>
          <w:p>
            <w:pPr>
              <w:jc w:val="center"/>
              <w:rPr>
                <w:noProof/>
                <w:sz w:val="18"/>
              </w:rPr>
            </w:pPr>
            <w:r>
              <w:rPr>
                <w:noProof/>
                <w:sz w:val="18"/>
              </w:rPr>
              <w:t>držav Efte</w:t>
            </w:r>
          </w:p>
        </w:tc>
        <w:tc>
          <w:tcPr>
            <w:tcW w:w="1080" w:type="dxa"/>
            <w:vAlign w:val="center"/>
          </w:tcPr>
          <w:p>
            <w:pPr>
              <w:jc w:val="center"/>
              <w:rPr>
                <w:noProof/>
                <w:sz w:val="18"/>
              </w:rPr>
            </w:pPr>
            <w:r>
              <w:rPr>
                <w:noProof/>
                <w:sz w:val="18"/>
              </w:rPr>
              <w:t>držav kandidatk</w:t>
            </w:r>
          </w:p>
        </w:tc>
        <w:tc>
          <w:tcPr>
            <w:tcW w:w="956" w:type="dxa"/>
            <w:vAlign w:val="center"/>
          </w:tcPr>
          <w:p>
            <w:pPr>
              <w:jc w:val="center"/>
              <w:rPr>
                <w:noProof/>
                <w:sz w:val="18"/>
              </w:rPr>
            </w:pPr>
            <w:r>
              <w:rPr>
                <w:noProof/>
                <w:sz w:val="18"/>
              </w:rPr>
              <w:t>tretjih držav</w:t>
            </w:r>
          </w:p>
        </w:tc>
        <w:tc>
          <w:tcPr>
            <w:tcW w:w="1448" w:type="dxa"/>
            <w:vAlign w:val="center"/>
          </w:tcPr>
          <w:p>
            <w:pPr>
              <w:jc w:val="center"/>
              <w:rPr>
                <w:noProof/>
                <w:sz w:val="22"/>
              </w:rPr>
            </w:pPr>
            <w:r>
              <w:rPr>
                <w:noProof/>
                <w:sz w:val="16"/>
              </w:rPr>
              <w:t xml:space="preserve">po členu 21(2)(b) finančne uredbe </w:t>
            </w:r>
          </w:p>
        </w:tc>
      </w:tr>
      <w:tr>
        <w:tc>
          <w:tcPr>
            <w:tcW w:w="1080" w:type="dxa"/>
            <w:vAlign w:val="center"/>
          </w:tcPr>
          <w:p>
            <w:pPr>
              <w:jc w:val="center"/>
              <w:rPr>
                <w:noProof/>
                <w:sz w:val="22"/>
              </w:rPr>
            </w:pPr>
          </w:p>
        </w:tc>
        <w:tc>
          <w:tcPr>
            <w:tcW w:w="3960" w:type="dxa"/>
            <w:vAlign w:val="center"/>
          </w:tcPr>
          <w:p>
            <w:pPr>
              <w:spacing w:before="60"/>
              <w:rPr>
                <w:noProof/>
                <w:sz w:val="22"/>
              </w:rPr>
            </w:pPr>
            <w:r>
              <w:rPr>
                <w:noProof/>
              </w:rPr>
              <w:t>[…][XX.YY.YY.YY]</w:t>
            </w:r>
          </w:p>
          <w:p>
            <w:pPr>
              <w:spacing w:after="60"/>
              <w:rPr>
                <w:noProof/>
                <w:sz w:val="22"/>
              </w:rPr>
            </w:pPr>
          </w:p>
        </w:tc>
        <w:tc>
          <w:tcPr>
            <w:tcW w:w="1080" w:type="dxa"/>
            <w:vAlign w:val="center"/>
          </w:tcPr>
          <w:p>
            <w:pPr>
              <w:jc w:val="center"/>
              <w:rPr>
                <w:noProof/>
                <w:sz w:val="22"/>
              </w:rPr>
            </w:pPr>
          </w:p>
        </w:tc>
        <w:tc>
          <w:tcPr>
            <w:tcW w:w="956" w:type="dxa"/>
            <w:vAlign w:val="center"/>
          </w:tcPr>
          <w:p>
            <w:pPr>
              <w:jc w:val="center"/>
              <w:rPr>
                <w:noProof/>
                <w:sz w:val="22"/>
              </w:rPr>
            </w:pPr>
            <w:r>
              <w:rPr>
                <w:noProof/>
                <w:sz w:val="22"/>
              </w:rPr>
              <w:t>DA/NE</w:t>
            </w:r>
          </w:p>
        </w:tc>
        <w:tc>
          <w:tcPr>
            <w:tcW w:w="1080" w:type="dxa"/>
            <w:vAlign w:val="center"/>
          </w:tcPr>
          <w:p>
            <w:pPr>
              <w:jc w:val="center"/>
              <w:rPr>
                <w:noProof/>
                <w:sz w:val="18"/>
              </w:rPr>
            </w:pPr>
            <w:r>
              <w:rPr>
                <w:noProof/>
                <w:sz w:val="22"/>
              </w:rPr>
              <w:t>DA/NE</w:t>
            </w:r>
          </w:p>
        </w:tc>
        <w:tc>
          <w:tcPr>
            <w:tcW w:w="956" w:type="dxa"/>
            <w:vAlign w:val="center"/>
          </w:tcPr>
          <w:p>
            <w:pPr>
              <w:jc w:val="center"/>
              <w:rPr>
                <w:noProof/>
                <w:sz w:val="18"/>
              </w:rPr>
            </w:pPr>
            <w:r>
              <w:rPr>
                <w:noProof/>
                <w:sz w:val="22"/>
              </w:rPr>
              <w:t>DA/NE</w:t>
            </w:r>
          </w:p>
        </w:tc>
        <w:tc>
          <w:tcPr>
            <w:tcW w:w="1448" w:type="dxa"/>
            <w:vAlign w:val="center"/>
          </w:tcPr>
          <w:p>
            <w:pPr>
              <w:jc w:val="center"/>
              <w:rPr>
                <w:noProof/>
                <w:sz w:val="22"/>
              </w:rPr>
            </w:pPr>
            <w:r>
              <w:rPr>
                <w:noProof/>
                <w:sz w:val="22"/>
              </w:rPr>
              <w:t>DA/NE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Ocenjene posledice za odhodke </w:t>
      </w:r>
    </w:p>
    <w:p>
      <w:pPr>
        <w:pStyle w:val="ManualHeading3"/>
        <w:rPr>
          <w:noProof/>
          <w:u w:val="single"/>
        </w:rPr>
      </w:pPr>
      <w:r>
        <w:t>3.2.1.</w:t>
      </w:r>
      <w:r>
        <w:tab/>
      </w:r>
      <w:r>
        <w:rPr>
          <w:noProof/>
        </w:rPr>
        <w:t xml:space="preserve">Povzetek ocenjenih posledic za odhodke </w:t>
      </w:r>
    </w:p>
    <w:p>
      <w:pPr>
        <w:jc w:val="right"/>
        <w:rPr>
          <w:noProof/>
          <w:sz w:val="20"/>
        </w:rPr>
      </w:pPr>
      <w:r>
        <w:rPr>
          <w:noProof/>
          <w:sz w:val="20"/>
        </w:rPr>
        <w:t>v mio. EUR (na tri decimalna mesta natančno)</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Razdelek večletnega finančnega</w:t>
            </w:r>
            <w:r>
              <w:rPr>
                <w:noProof/>
                <w:sz w:val="22"/>
              </w:rPr>
              <w:br/>
            </w:r>
            <w:r>
              <w:rPr>
                <w:b/>
                <w:noProof/>
                <w:sz w:val="22"/>
              </w:rPr>
              <w:t xml:space="preserve">okvira </w:t>
            </w:r>
          </w:p>
        </w:tc>
        <w:tc>
          <w:tcPr>
            <w:tcW w:w="1080" w:type="dxa"/>
            <w:vAlign w:val="center"/>
          </w:tcPr>
          <w:p>
            <w:pPr>
              <w:spacing w:before="60" w:after="60"/>
              <w:jc w:val="center"/>
              <w:rPr>
                <w:noProof/>
                <w:sz w:val="22"/>
              </w:rPr>
            </w:pPr>
            <w:r>
              <w:rPr>
                <w:noProof/>
                <w:sz w:val="22"/>
              </w:rPr>
              <w:t>Številka</w:t>
            </w:r>
          </w:p>
        </w:tc>
        <w:tc>
          <w:tcPr>
            <w:tcW w:w="7817" w:type="dxa"/>
            <w:vAlign w:val="center"/>
          </w:tcPr>
          <w:p>
            <w:pPr>
              <w:spacing w:before="60" w:after="60"/>
              <w:rPr>
                <w:noProof/>
                <w:sz w:val="22"/>
              </w:rPr>
            </w:pPr>
            <w:r>
              <w:rPr>
                <w:noProof/>
                <w:sz w:val="22"/>
              </w:rPr>
              <w:t>[poimenovanje………...……………………………………………………………….]</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GD &lt;…….&gt;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Leto</w:t>
            </w:r>
            <w:r>
              <w:rPr>
                <w:noProof/>
                <w:sz w:val="22"/>
              </w:rPr>
              <w:br/>
            </w:r>
            <w:r>
              <w:rPr>
                <w:b/>
                <w:noProof/>
                <w:sz w:val="20"/>
              </w:rPr>
              <w:t>N</w:t>
            </w:r>
            <w:r>
              <w:rPr>
                <w:rStyle w:val="FootnoteReference"/>
                <w:b/>
                <w:noProof/>
                <w:sz w:val="20"/>
              </w:rPr>
              <w:footnoteReference w:id="9"/>
            </w:r>
          </w:p>
        </w:tc>
        <w:tc>
          <w:tcPr>
            <w:tcW w:w="868" w:type="dxa"/>
            <w:vAlign w:val="center"/>
          </w:tcPr>
          <w:p>
            <w:pPr>
              <w:jc w:val="center"/>
              <w:rPr>
                <w:noProof/>
                <w:sz w:val="20"/>
              </w:rPr>
            </w:pPr>
            <w:r>
              <w:rPr>
                <w:noProof/>
                <w:sz w:val="20"/>
              </w:rPr>
              <w:t>Leto</w:t>
            </w:r>
            <w:r>
              <w:rPr>
                <w:noProof/>
                <w:sz w:val="22"/>
              </w:rPr>
              <w:br/>
            </w:r>
            <w:r>
              <w:rPr>
                <w:b/>
                <w:noProof/>
                <w:sz w:val="20"/>
              </w:rPr>
              <w:t>N+1</w:t>
            </w:r>
          </w:p>
        </w:tc>
        <w:tc>
          <w:tcPr>
            <w:tcW w:w="868" w:type="dxa"/>
            <w:vAlign w:val="center"/>
          </w:tcPr>
          <w:p>
            <w:pPr>
              <w:jc w:val="center"/>
              <w:rPr>
                <w:noProof/>
                <w:sz w:val="20"/>
              </w:rPr>
            </w:pPr>
            <w:r>
              <w:rPr>
                <w:noProof/>
                <w:sz w:val="20"/>
              </w:rPr>
              <w:t>Leto</w:t>
            </w:r>
            <w:r>
              <w:rPr>
                <w:noProof/>
                <w:sz w:val="22"/>
              </w:rPr>
              <w:br/>
            </w:r>
            <w:r>
              <w:rPr>
                <w:b/>
                <w:noProof/>
                <w:sz w:val="20"/>
              </w:rPr>
              <w:t>N+2</w:t>
            </w:r>
          </w:p>
        </w:tc>
        <w:tc>
          <w:tcPr>
            <w:tcW w:w="868" w:type="dxa"/>
            <w:vAlign w:val="center"/>
          </w:tcPr>
          <w:p>
            <w:pPr>
              <w:jc w:val="center"/>
              <w:rPr>
                <w:noProof/>
                <w:sz w:val="20"/>
              </w:rPr>
            </w:pPr>
            <w:r>
              <w:rPr>
                <w:noProof/>
                <w:sz w:val="20"/>
              </w:rPr>
              <w:t>Leto</w:t>
            </w:r>
            <w:r>
              <w:rPr>
                <w:noProof/>
                <w:sz w:val="22"/>
              </w:rPr>
              <w:br/>
            </w:r>
            <w:r>
              <w:rPr>
                <w:b/>
                <w:noProof/>
                <w:sz w:val="20"/>
              </w:rPr>
              <w:t>N+3</w:t>
            </w:r>
          </w:p>
        </w:tc>
        <w:tc>
          <w:tcPr>
            <w:tcW w:w="2604" w:type="dxa"/>
            <w:gridSpan w:val="3"/>
            <w:vAlign w:val="center"/>
          </w:tcPr>
          <w:p>
            <w:pPr>
              <w:jc w:val="center"/>
              <w:rPr>
                <w:b/>
                <w:noProof/>
                <w:sz w:val="18"/>
              </w:rPr>
            </w:pPr>
            <w:r>
              <w:rPr>
                <w:noProof/>
                <w:sz w:val="18"/>
              </w:rPr>
              <w:t>Vstavite ustrezno število let glede na trajanje posledic (gl. točko 1.6)</w:t>
            </w:r>
          </w:p>
        </w:tc>
        <w:tc>
          <w:tcPr>
            <w:tcW w:w="1777" w:type="dxa"/>
            <w:vAlign w:val="center"/>
          </w:tcPr>
          <w:p>
            <w:pPr>
              <w:jc w:val="center"/>
              <w:rPr>
                <w:b/>
                <w:noProof/>
                <w:sz w:val="20"/>
              </w:rPr>
            </w:pPr>
            <w:r>
              <w:rPr>
                <w:b/>
                <w:noProof/>
                <w:sz w:val="20"/>
              </w:rPr>
              <w:t>SKUPAJ</w:t>
            </w:r>
          </w:p>
        </w:tc>
      </w:tr>
      <w:tr>
        <w:trPr>
          <w:trHeight w:val="213"/>
        </w:trPr>
        <w:tc>
          <w:tcPr>
            <w:tcW w:w="6054" w:type="dxa"/>
            <w:gridSpan w:val="4"/>
            <w:vAlign w:val="center"/>
          </w:tcPr>
          <w:p>
            <w:pPr>
              <w:spacing w:before="20" w:after="20"/>
              <w:rPr>
                <w:noProof/>
                <w:sz w:val="21"/>
              </w:rPr>
            </w:pPr>
            <w:r>
              <w:rPr>
                <w:noProof/>
                <w:sz w:val="21"/>
                <w:szCs w:val="20"/>
              </w:rPr>
              <w:sym w:font="Wingdings" w:char="F09F"/>
            </w:r>
            <w:r>
              <w:rPr>
                <w:noProof/>
                <w:sz w:val="21"/>
              </w:rPr>
              <w:t xml:space="preserve"> Odobritve za poslovanje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Številka proračunske vrstice</w:t>
            </w:r>
          </w:p>
        </w:tc>
        <w:tc>
          <w:tcPr>
            <w:tcW w:w="1440" w:type="dxa"/>
            <w:vAlign w:val="center"/>
          </w:tcPr>
          <w:p>
            <w:pPr>
              <w:spacing w:before="20" w:after="20"/>
              <w:rPr>
                <w:noProof/>
                <w:sz w:val="18"/>
              </w:rPr>
            </w:pPr>
            <w:r>
              <w:rPr>
                <w:noProof/>
                <w:sz w:val="18"/>
              </w:rPr>
              <w:t>obveznosti</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plačila</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vAlign w:val="center"/>
          </w:tcPr>
          <w:p>
            <w:pPr>
              <w:rPr>
                <w:noProof/>
                <w:sz w:val="22"/>
              </w:rPr>
            </w:pPr>
            <w:r>
              <w:rPr>
                <w:noProof/>
                <w:sz w:val="20"/>
              </w:rPr>
              <w:t>Številka proračunske vrstice</w:t>
            </w:r>
          </w:p>
        </w:tc>
        <w:tc>
          <w:tcPr>
            <w:tcW w:w="1440" w:type="dxa"/>
            <w:vAlign w:val="center"/>
          </w:tcPr>
          <w:p>
            <w:pPr>
              <w:spacing w:before="20" w:after="20"/>
              <w:rPr>
                <w:noProof/>
                <w:sz w:val="18"/>
              </w:rPr>
            </w:pPr>
            <w:r>
              <w:rPr>
                <w:noProof/>
                <w:sz w:val="18"/>
              </w:rPr>
              <w:t>obveznosti</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plačila</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Odobritve za upravne zadeve, ki se financirajo iz sredstev določenih programov</w:t>
            </w:r>
            <w:r>
              <w:rPr>
                <w:rStyle w:val="FootnoteReference"/>
                <w:noProof/>
                <w:sz w:val="21"/>
              </w:rPr>
              <w:footnoteReference w:id="10"/>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Številka proračunske vrstice</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Odobritve za GD</w:t>
            </w:r>
            <w:r>
              <w:rPr>
                <w:noProof/>
                <w:sz w:val="22"/>
              </w:rPr>
              <w:br/>
              <w:t>&lt;…….&gt;</w:t>
            </w:r>
            <w:r>
              <w:rPr>
                <w:b/>
                <w:noProof/>
                <w:sz w:val="22"/>
              </w:rPr>
              <w:t xml:space="preserve"> SKUPAJ</w:t>
            </w:r>
          </w:p>
        </w:tc>
        <w:tc>
          <w:tcPr>
            <w:tcW w:w="1440" w:type="dxa"/>
            <w:vAlign w:val="center"/>
          </w:tcPr>
          <w:p>
            <w:pPr>
              <w:rPr>
                <w:noProof/>
                <w:sz w:val="18"/>
              </w:rPr>
            </w:pPr>
            <w:r>
              <w:rPr>
                <w:noProof/>
                <w:sz w:val="18"/>
              </w:rPr>
              <w:t>obveznosti</w:t>
            </w:r>
          </w:p>
        </w:tc>
        <w:tc>
          <w:tcPr>
            <w:tcW w:w="654" w:type="dxa"/>
            <w:gridSpan w:val="2"/>
            <w:vAlign w:val="center"/>
          </w:tcPr>
          <w:p>
            <w:pPr>
              <w:jc w:val="center"/>
              <w:rPr>
                <w:noProof/>
                <w:sz w:val="14"/>
              </w:rPr>
            </w:pPr>
            <w:r>
              <w:rPr>
                <w:noProof/>
                <w:sz w:val="14"/>
              </w:rPr>
              <w:t>=1+1a+3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rPr>
                <w:noProof/>
                <w:sz w:val="20"/>
              </w:rPr>
            </w:pPr>
          </w:p>
        </w:tc>
        <w:tc>
          <w:tcPr>
            <w:tcW w:w="1440" w:type="dxa"/>
            <w:vAlign w:val="center"/>
          </w:tcPr>
          <w:p>
            <w:pPr>
              <w:rPr>
                <w:noProof/>
                <w:sz w:val="18"/>
              </w:rPr>
            </w:pPr>
            <w:r>
              <w:rPr>
                <w:noProof/>
                <w:sz w:val="18"/>
              </w:rPr>
              <w:t>plačila</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szCs w:val="20"/>
              </w:rPr>
              <w:sym w:font="Wingdings" w:char="F09F"/>
            </w:r>
            <w:r>
              <w:rPr>
                <w:noProof/>
                <w:sz w:val="21"/>
              </w:rPr>
              <w:t xml:space="preserve"> Odobritve za poslovanje SKUPAJ </w:t>
            </w:r>
          </w:p>
        </w:tc>
        <w:tc>
          <w:tcPr>
            <w:tcW w:w="1440" w:type="dxa"/>
            <w:vAlign w:val="center"/>
          </w:tcPr>
          <w:p>
            <w:pPr>
              <w:spacing w:beforeLines="20" w:before="48" w:afterLines="20" w:after="48"/>
              <w:rPr>
                <w:noProof/>
                <w:sz w:val="18"/>
              </w:rPr>
            </w:pPr>
            <w:r>
              <w:rPr>
                <w:noProof/>
                <w:sz w:val="18"/>
              </w:rPr>
              <w:t>obveznosti</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plačila</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sz w:val="22"/>
              </w:rPr>
            </w:pPr>
            <w:r>
              <w:rPr>
                <w:noProof/>
                <w:sz w:val="21"/>
                <w:szCs w:val="20"/>
              </w:rPr>
              <w:sym w:font="Wingdings" w:char="F09F"/>
            </w:r>
            <w:r>
              <w:rPr>
                <w:noProof/>
                <w:sz w:val="21"/>
              </w:rPr>
              <w:t>Odobritve za upravne zadeve, ki se financirajo iz sredstev določenih programov, SKUPAJ</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sz w:val="22"/>
              </w:rPr>
              <w:t>Odobritve</w:t>
            </w:r>
            <w:r>
              <w:rPr>
                <w:noProof/>
                <w:sz w:val="22"/>
              </w:rPr>
              <w:br/>
            </w:r>
            <w:r>
              <w:rPr>
                <w:b/>
                <w:noProof/>
                <w:sz w:val="22"/>
              </w:rPr>
              <w:t>iz RAZDELKA &lt;….&gt;</w:t>
            </w:r>
            <w:r>
              <w:rPr>
                <w:noProof/>
                <w:sz w:val="22"/>
              </w:rPr>
              <w:br/>
              <w:t xml:space="preserve">večletnega finančnega okvira </w:t>
            </w:r>
            <w:r>
              <w:rPr>
                <w:b/>
                <w:noProof/>
                <w:sz w:val="22"/>
              </w:rPr>
              <w:t>SKUPAJ</w:t>
            </w:r>
          </w:p>
        </w:tc>
        <w:tc>
          <w:tcPr>
            <w:tcW w:w="1440" w:type="dxa"/>
            <w:vAlign w:val="center"/>
          </w:tcPr>
          <w:p>
            <w:pPr>
              <w:rPr>
                <w:noProof/>
                <w:sz w:val="18"/>
              </w:rPr>
            </w:pPr>
            <w:r>
              <w:rPr>
                <w:noProof/>
                <w:sz w:val="18"/>
              </w:rPr>
              <w:t>obveznosti</w:t>
            </w:r>
          </w:p>
        </w:tc>
        <w:tc>
          <w:tcPr>
            <w:tcW w:w="654" w:type="dxa"/>
            <w:vAlign w:val="center"/>
          </w:tcPr>
          <w:p>
            <w:pPr>
              <w:jc w:val="center"/>
              <w:rPr>
                <w:noProof/>
                <w:sz w:val="14"/>
              </w:rPr>
            </w:pPr>
            <w:r>
              <w:rPr>
                <w:noProof/>
                <w:sz w:val="14"/>
              </w:rPr>
              <w:t>=4+6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plačila</w:t>
            </w:r>
          </w:p>
        </w:tc>
        <w:tc>
          <w:tcPr>
            <w:tcW w:w="654" w:type="dxa"/>
            <w:vAlign w:val="center"/>
          </w:tcPr>
          <w:p>
            <w:pPr>
              <w:jc w:val="center"/>
              <w:rPr>
                <w:noProof/>
                <w:sz w:val="14"/>
              </w:rPr>
            </w:pPr>
            <w:r>
              <w:rPr>
                <w:noProof/>
                <w:sz w:val="14"/>
              </w:rPr>
              <w:t>=5+6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spacing w:after="40"/>
        <w:rPr>
          <w:b/>
          <w:noProof/>
          <w:sz w:val="22"/>
          <w:u w:val="single"/>
        </w:rPr>
      </w:pPr>
      <w:r>
        <w:rPr>
          <w:b/>
          <w:noProof/>
          <w:sz w:val="22"/>
          <w:u w:val="single"/>
        </w:rPr>
        <w:t>Če ima predlog/pobuda posledice za več razdelkov:</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szCs w:val="20"/>
              </w:rPr>
              <w:sym w:font="Wingdings" w:char="F09F"/>
            </w:r>
            <w:r>
              <w:rPr>
                <w:noProof/>
                <w:sz w:val="21"/>
              </w:rPr>
              <w:t xml:space="preserve"> Odobritve za poslovanje SKUPAJ </w:t>
            </w:r>
          </w:p>
        </w:tc>
        <w:tc>
          <w:tcPr>
            <w:tcW w:w="1440" w:type="dxa"/>
            <w:tcBorders>
              <w:top w:val="single" w:sz="4" w:space="0" w:color="FF0000"/>
            </w:tcBorders>
            <w:vAlign w:val="center"/>
          </w:tcPr>
          <w:p>
            <w:pPr>
              <w:spacing w:beforeLines="20" w:before="48" w:afterLines="20" w:after="48"/>
              <w:rPr>
                <w:noProof/>
                <w:sz w:val="18"/>
              </w:rPr>
            </w:pPr>
            <w:r>
              <w:rPr>
                <w:noProof/>
                <w:sz w:val="18"/>
              </w:rPr>
              <w:t>obveznosti</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plačila</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szCs w:val="20"/>
              </w:rPr>
              <w:sym w:font="Wingdings" w:char="F09F"/>
            </w:r>
            <w:r>
              <w:rPr>
                <w:noProof/>
                <w:sz w:val="21"/>
              </w:rPr>
              <w:t>Odobritve za upravne zadeve, ki se financirajo iz sredstev določenih programov, SKUPAJ</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Odobritve iz</w:t>
            </w:r>
            <w:r>
              <w:rPr>
                <w:noProof/>
                <w:sz w:val="22"/>
              </w:rPr>
              <w:br/>
            </w:r>
            <w:r>
              <w:rPr>
                <w:b/>
                <w:noProof/>
                <w:sz w:val="22"/>
              </w:rPr>
              <w:t>RAZDELKOV od 1 do 4</w:t>
            </w:r>
            <w:r>
              <w:rPr>
                <w:noProof/>
                <w:sz w:val="22"/>
              </w:rPr>
              <w:br/>
              <w:t xml:space="preserve">večletnega finančnega okvira </w:t>
            </w:r>
            <w:r>
              <w:rPr>
                <w:b/>
                <w:noProof/>
                <w:sz w:val="22"/>
              </w:rPr>
              <w:t>SKUPAJ</w:t>
            </w:r>
            <w:r>
              <w:rPr>
                <w:noProof/>
                <w:sz w:val="22"/>
              </w:rPr>
              <w:br/>
            </w:r>
            <w:r>
              <w:rPr>
                <w:noProof/>
                <w:sz w:val="20"/>
              </w:rPr>
              <w:t>(referenčni znesek)</w:t>
            </w:r>
          </w:p>
        </w:tc>
        <w:tc>
          <w:tcPr>
            <w:tcW w:w="1440" w:type="dxa"/>
            <w:vAlign w:val="center"/>
          </w:tcPr>
          <w:p>
            <w:pPr>
              <w:rPr>
                <w:noProof/>
                <w:sz w:val="18"/>
              </w:rPr>
            </w:pPr>
            <w:r>
              <w:rPr>
                <w:noProof/>
                <w:sz w:val="18"/>
              </w:rPr>
              <w:t>obveznosti</w:t>
            </w:r>
          </w:p>
        </w:tc>
        <w:tc>
          <w:tcPr>
            <w:tcW w:w="654" w:type="dxa"/>
            <w:vAlign w:val="center"/>
          </w:tcPr>
          <w:p>
            <w:pPr>
              <w:jc w:val="center"/>
              <w:rPr>
                <w:noProof/>
                <w:sz w:val="14"/>
              </w:rPr>
            </w:pPr>
            <w:r>
              <w:rPr>
                <w:noProof/>
                <w:sz w:val="14"/>
              </w:rPr>
              <w:t>=4+6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plačila</w:t>
            </w:r>
          </w:p>
        </w:tc>
        <w:tc>
          <w:tcPr>
            <w:tcW w:w="654" w:type="dxa"/>
            <w:tcBorders>
              <w:bottom w:val="single" w:sz="4" w:space="0" w:color="FF0000"/>
            </w:tcBorders>
            <w:vAlign w:val="center"/>
          </w:tcPr>
          <w:p>
            <w:pPr>
              <w:jc w:val="center"/>
              <w:rPr>
                <w:noProof/>
                <w:sz w:val="14"/>
              </w:rPr>
            </w:pPr>
            <w:r>
              <w:rPr>
                <w:noProof/>
                <w:sz w:val="14"/>
              </w:rPr>
              <w:t>=5+6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Razdelek večletnega finančnega</w:t>
            </w:r>
            <w:r>
              <w:rPr>
                <w:noProof/>
                <w:sz w:val="22"/>
              </w:rPr>
              <w:br/>
            </w:r>
            <w:r>
              <w:rPr>
                <w:b/>
                <w:noProof/>
                <w:sz w:val="22"/>
              </w:rPr>
              <w:t xml:space="preserve">okvira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„Upravni odhodki“</w:t>
            </w:r>
          </w:p>
        </w:tc>
      </w:tr>
    </w:tbl>
    <w:p>
      <w:pPr>
        <w:jc w:val="right"/>
        <w:rPr>
          <w:noProof/>
          <w:sz w:val="20"/>
        </w:rPr>
      </w:pPr>
      <w:r>
        <w:rPr>
          <w:noProof/>
          <w:sz w:val="20"/>
        </w:rPr>
        <w:t>v mio. EUR (na tri decimalna mesta natančno)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Leto</w:t>
            </w:r>
            <w:r>
              <w:rPr>
                <w:noProof/>
                <w:sz w:val="22"/>
              </w:rPr>
              <w:br/>
            </w:r>
            <w:r>
              <w:rPr>
                <w:b/>
                <w:noProof/>
                <w:sz w:val="20"/>
              </w:rPr>
              <w:t>N</w:t>
            </w:r>
          </w:p>
        </w:tc>
        <w:tc>
          <w:tcPr>
            <w:tcW w:w="868" w:type="dxa"/>
            <w:vAlign w:val="center"/>
          </w:tcPr>
          <w:p>
            <w:pPr>
              <w:jc w:val="center"/>
              <w:rPr>
                <w:noProof/>
                <w:sz w:val="20"/>
              </w:rPr>
            </w:pPr>
            <w:r>
              <w:rPr>
                <w:noProof/>
                <w:sz w:val="20"/>
              </w:rPr>
              <w:t>Leto</w:t>
            </w:r>
            <w:r>
              <w:rPr>
                <w:noProof/>
                <w:sz w:val="22"/>
              </w:rPr>
              <w:br/>
            </w:r>
            <w:r>
              <w:rPr>
                <w:b/>
                <w:noProof/>
                <w:sz w:val="20"/>
              </w:rPr>
              <w:t>N+1</w:t>
            </w:r>
          </w:p>
        </w:tc>
        <w:tc>
          <w:tcPr>
            <w:tcW w:w="868" w:type="dxa"/>
            <w:vAlign w:val="center"/>
          </w:tcPr>
          <w:p>
            <w:pPr>
              <w:jc w:val="center"/>
              <w:rPr>
                <w:noProof/>
                <w:sz w:val="20"/>
              </w:rPr>
            </w:pPr>
            <w:r>
              <w:rPr>
                <w:noProof/>
                <w:sz w:val="20"/>
              </w:rPr>
              <w:t>Leto</w:t>
            </w:r>
            <w:r>
              <w:rPr>
                <w:noProof/>
                <w:sz w:val="22"/>
              </w:rPr>
              <w:br/>
            </w:r>
            <w:r>
              <w:rPr>
                <w:b/>
                <w:noProof/>
                <w:sz w:val="20"/>
              </w:rPr>
              <w:t>N+2</w:t>
            </w:r>
          </w:p>
        </w:tc>
        <w:tc>
          <w:tcPr>
            <w:tcW w:w="868" w:type="dxa"/>
            <w:vAlign w:val="center"/>
          </w:tcPr>
          <w:p>
            <w:pPr>
              <w:jc w:val="center"/>
              <w:rPr>
                <w:noProof/>
                <w:sz w:val="20"/>
              </w:rPr>
            </w:pPr>
            <w:r>
              <w:rPr>
                <w:noProof/>
                <w:sz w:val="20"/>
              </w:rPr>
              <w:t>Leto</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Vstavite ustrezno število let glede na trajanje posledic (gl. točko 1.6) </w:t>
            </w:r>
          </w:p>
        </w:tc>
        <w:tc>
          <w:tcPr>
            <w:tcW w:w="1777" w:type="dxa"/>
            <w:vAlign w:val="center"/>
          </w:tcPr>
          <w:p>
            <w:pPr>
              <w:jc w:val="center"/>
              <w:rPr>
                <w:b/>
                <w:noProof/>
                <w:sz w:val="20"/>
              </w:rPr>
            </w:pPr>
            <w:r>
              <w:rPr>
                <w:b/>
                <w:noProof/>
                <w:sz w:val="20"/>
              </w:rPr>
              <w:t>SKUPAJ</w:t>
            </w:r>
          </w:p>
        </w:tc>
      </w:tr>
      <w:tr>
        <w:trPr>
          <w:gridAfter w:val="10"/>
          <w:wAfter w:w="9947" w:type="dxa"/>
        </w:trPr>
        <w:tc>
          <w:tcPr>
            <w:tcW w:w="3960" w:type="dxa"/>
            <w:vAlign w:val="center"/>
          </w:tcPr>
          <w:p>
            <w:pPr>
              <w:spacing w:before="60" w:after="60"/>
              <w:jc w:val="center"/>
              <w:rPr>
                <w:noProof/>
                <w:sz w:val="22"/>
              </w:rPr>
            </w:pPr>
            <w:r>
              <w:rPr>
                <w:noProof/>
                <w:sz w:val="22"/>
              </w:rPr>
              <w:t>GD &lt;…….&gt;</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Človeški viri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Drugi upravni odhodki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sz w:val="22"/>
              </w:rPr>
            </w:pPr>
            <w:r>
              <w:rPr>
                <w:b/>
                <w:noProof/>
                <w:sz w:val="22"/>
              </w:rPr>
              <w:t>GD &lt;…….&gt; SKUPAJ</w:t>
            </w:r>
          </w:p>
        </w:tc>
        <w:tc>
          <w:tcPr>
            <w:tcW w:w="2094" w:type="dxa"/>
            <w:gridSpan w:val="2"/>
            <w:vAlign w:val="center"/>
          </w:tcPr>
          <w:p>
            <w:pPr>
              <w:rPr>
                <w:noProof/>
                <w:sz w:val="14"/>
              </w:rPr>
            </w:pPr>
            <w:r>
              <w:rPr>
                <w:noProof/>
                <w:sz w:val="18"/>
              </w:rPr>
              <w:t xml:space="preserve">odobritve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Odobritve iz</w:t>
            </w:r>
            <w:r>
              <w:rPr>
                <w:noProof/>
                <w:sz w:val="22"/>
              </w:rPr>
              <w:br/>
            </w:r>
            <w:r>
              <w:rPr>
                <w:b/>
                <w:noProof/>
                <w:sz w:val="22"/>
              </w:rPr>
              <w:t>RAZDELKA 5</w:t>
            </w:r>
            <w:r>
              <w:rPr>
                <w:noProof/>
                <w:sz w:val="22"/>
              </w:rPr>
              <w:br/>
              <w:t xml:space="preserve">večletnega finančnega okvira </w:t>
            </w:r>
            <w:r>
              <w:rPr>
                <w:b/>
                <w:noProof/>
                <w:sz w:val="22"/>
              </w:rPr>
              <w:t xml:space="preserve">SKUPAJ </w:t>
            </w:r>
          </w:p>
        </w:tc>
        <w:tc>
          <w:tcPr>
            <w:tcW w:w="2094" w:type="dxa"/>
            <w:vAlign w:val="center"/>
          </w:tcPr>
          <w:p>
            <w:pPr>
              <w:spacing w:before="40" w:after="40"/>
              <w:rPr>
                <w:noProof/>
                <w:sz w:val="22"/>
              </w:rPr>
            </w:pPr>
            <w:r>
              <w:rPr>
                <w:noProof/>
                <w:sz w:val="18"/>
              </w:rPr>
              <w:t>(obveznosti skupaj = plačila skupaj)</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v mio. EUR (na tri decimalna mesta natančno)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Leto</w:t>
            </w:r>
            <w:r>
              <w:rPr>
                <w:noProof/>
                <w:sz w:val="22"/>
              </w:rPr>
              <w:br/>
            </w:r>
            <w:r>
              <w:rPr>
                <w:b/>
                <w:noProof/>
                <w:sz w:val="20"/>
              </w:rPr>
              <w:t>N</w:t>
            </w:r>
            <w:r>
              <w:rPr>
                <w:rStyle w:val="FootnoteReference"/>
                <w:b/>
                <w:noProof/>
                <w:sz w:val="20"/>
              </w:rPr>
              <w:footnoteReference w:id="11"/>
            </w:r>
          </w:p>
        </w:tc>
        <w:tc>
          <w:tcPr>
            <w:tcW w:w="868" w:type="dxa"/>
            <w:vAlign w:val="center"/>
          </w:tcPr>
          <w:p>
            <w:pPr>
              <w:jc w:val="center"/>
              <w:rPr>
                <w:noProof/>
                <w:sz w:val="20"/>
              </w:rPr>
            </w:pPr>
            <w:r>
              <w:rPr>
                <w:noProof/>
                <w:sz w:val="20"/>
              </w:rPr>
              <w:t>Leto</w:t>
            </w:r>
            <w:r>
              <w:rPr>
                <w:noProof/>
                <w:sz w:val="22"/>
              </w:rPr>
              <w:br/>
            </w:r>
            <w:r>
              <w:rPr>
                <w:b/>
                <w:noProof/>
                <w:sz w:val="20"/>
              </w:rPr>
              <w:t>N+1</w:t>
            </w:r>
          </w:p>
        </w:tc>
        <w:tc>
          <w:tcPr>
            <w:tcW w:w="868" w:type="dxa"/>
            <w:vAlign w:val="center"/>
          </w:tcPr>
          <w:p>
            <w:pPr>
              <w:jc w:val="center"/>
              <w:rPr>
                <w:noProof/>
                <w:sz w:val="20"/>
              </w:rPr>
            </w:pPr>
            <w:r>
              <w:rPr>
                <w:noProof/>
                <w:sz w:val="20"/>
              </w:rPr>
              <w:t>Leto</w:t>
            </w:r>
            <w:r>
              <w:rPr>
                <w:noProof/>
                <w:sz w:val="22"/>
              </w:rPr>
              <w:br/>
            </w:r>
            <w:r>
              <w:rPr>
                <w:b/>
                <w:noProof/>
                <w:sz w:val="20"/>
              </w:rPr>
              <w:t>N+2</w:t>
            </w:r>
          </w:p>
        </w:tc>
        <w:tc>
          <w:tcPr>
            <w:tcW w:w="868" w:type="dxa"/>
            <w:vAlign w:val="center"/>
          </w:tcPr>
          <w:p>
            <w:pPr>
              <w:jc w:val="center"/>
              <w:rPr>
                <w:noProof/>
                <w:sz w:val="20"/>
              </w:rPr>
            </w:pPr>
            <w:r>
              <w:rPr>
                <w:noProof/>
                <w:sz w:val="20"/>
              </w:rPr>
              <w:t>Leto</w:t>
            </w:r>
            <w:r>
              <w:rPr>
                <w:noProof/>
                <w:sz w:val="22"/>
              </w:rPr>
              <w:br/>
            </w:r>
            <w:r>
              <w:rPr>
                <w:b/>
                <w:noProof/>
                <w:sz w:val="20"/>
              </w:rPr>
              <w:t>N+3</w:t>
            </w:r>
          </w:p>
        </w:tc>
        <w:tc>
          <w:tcPr>
            <w:tcW w:w="2604" w:type="dxa"/>
            <w:gridSpan w:val="3"/>
            <w:vAlign w:val="center"/>
          </w:tcPr>
          <w:p>
            <w:pPr>
              <w:jc w:val="center"/>
              <w:rPr>
                <w:b/>
                <w:noProof/>
                <w:sz w:val="18"/>
              </w:rPr>
            </w:pPr>
            <w:r>
              <w:rPr>
                <w:noProof/>
                <w:sz w:val="18"/>
              </w:rPr>
              <w:t>Vstavite ustrezno število let glede na trajanje posledic (gl. točko 1.6)</w:t>
            </w:r>
          </w:p>
        </w:tc>
        <w:tc>
          <w:tcPr>
            <w:tcW w:w="1777" w:type="dxa"/>
            <w:vAlign w:val="center"/>
          </w:tcPr>
          <w:p>
            <w:pPr>
              <w:jc w:val="center"/>
              <w:rPr>
                <w:b/>
                <w:noProof/>
                <w:sz w:val="20"/>
              </w:rPr>
            </w:pPr>
            <w:r>
              <w:rPr>
                <w:b/>
                <w:noProof/>
                <w:sz w:val="20"/>
              </w:rPr>
              <w:t>SKUPAJ</w:t>
            </w:r>
          </w:p>
        </w:tc>
      </w:tr>
      <w:tr>
        <w:tc>
          <w:tcPr>
            <w:tcW w:w="3960" w:type="dxa"/>
            <w:vMerge w:val="restart"/>
            <w:shd w:val="clear" w:color="auto" w:fill="C0C0C0"/>
            <w:vAlign w:val="center"/>
          </w:tcPr>
          <w:p>
            <w:pPr>
              <w:jc w:val="center"/>
              <w:rPr>
                <w:b/>
                <w:noProof/>
                <w:sz w:val="22"/>
              </w:rPr>
            </w:pPr>
            <w:r>
              <w:rPr>
                <w:b/>
                <w:noProof/>
                <w:sz w:val="22"/>
              </w:rPr>
              <w:t>Odobritve iz</w:t>
            </w:r>
            <w:r>
              <w:rPr>
                <w:noProof/>
                <w:sz w:val="22"/>
              </w:rPr>
              <w:br/>
            </w:r>
            <w:r>
              <w:rPr>
                <w:b/>
                <w:noProof/>
                <w:sz w:val="22"/>
              </w:rPr>
              <w:t>RAZDELKOV od 1 do 5</w:t>
            </w:r>
            <w:r>
              <w:rPr>
                <w:noProof/>
                <w:sz w:val="22"/>
              </w:rPr>
              <w:br/>
              <w:t xml:space="preserve">večletnega finančnega okvira </w:t>
            </w:r>
            <w:r>
              <w:rPr>
                <w:b/>
                <w:noProof/>
                <w:sz w:val="22"/>
              </w:rPr>
              <w:t xml:space="preserve">SKUPAJ </w:t>
            </w:r>
          </w:p>
        </w:tc>
        <w:tc>
          <w:tcPr>
            <w:tcW w:w="2094" w:type="dxa"/>
            <w:gridSpan w:val="2"/>
            <w:vAlign w:val="center"/>
          </w:tcPr>
          <w:p>
            <w:pPr>
              <w:rPr>
                <w:noProof/>
                <w:sz w:val="14"/>
              </w:rPr>
            </w:pPr>
            <w:r>
              <w:rPr>
                <w:noProof/>
                <w:sz w:val="18"/>
              </w:rPr>
              <w:t>obveznosti</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plačila</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pPr>
      <w:r>
        <w:rPr>
          <w:noProof/>
        </w:rPr>
        <w:t xml:space="preserve">Za informacijo, upravni stroški, povezani z upravljanjem portfelja, bodo odtegnjeni od prejemkov Jamstvenega sklada in ne iz proračuna. Ti stroški so operativni stroški (vključene so bančne provizije ter pristojbine za Swift, Clearstream): ocena za leto 2017, 200 000 EUR, do leta 2020 naj bi narasli na 250 000 EUR. </w:t>
      </w:r>
    </w:p>
    <w:p>
      <w:pPr>
        <w:rPr>
          <w:noProof/>
        </w:rPr>
      </w:pPr>
      <w:r>
        <w:rPr>
          <w:noProof/>
        </w:rPr>
        <w:t xml:space="preserve">Revizijske pristojbine: 10 000 EUR </w:t>
      </w:r>
    </w:p>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Ocenjene posledice za odobritve za poslovanje </w:t>
      </w:r>
    </w:p>
    <w:p>
      <w:pPr>
        <w:pStyle w:val="ListDash1"/>
        <w:rPr>
          <w:noProof/>
        </w:rPr>
      </w:pPr>
      <w:r>
        <w:rPr>
          <w:noProof/>
        </w:rPr>
        <w:t>X</w:t>
      </w:r>
      <w:r>
        <w:rPr>
          <w:noProof/>
        </w:rPr>
        <w:tab/>
        <w:t xml:space="preserve">Za predlog/pobudo niso potrebne odobritve za poslovanje. </w:t>
      </w:r>
    </w:p>
    <w:p>
      <w:pPr>
        <w:pStyle w:val="ListDash1"/>
        <w:rPr>
          <w:noProof/>
        </w:rPr>
      </w:pPr>
      <w:r>
        <w:rPr>
          <w:noProof/>
          <w:szCs w:val="24"/>
        </w:rPr>
        <w:sym w:font="Wingdings" w:char="F0A8"/>
      </w:r>
      <w:r>
        <w:rPr>
          <w:noProof/>
        </w:rPr>
        <w:t xml:space="preserve"> Za predlog/pobudo so potrebne odobritve za poslovanje, kot je pojasnjeno v nadaljevanju:</w:t>
      </w:r>
    </w:p>
    <w:p>
      <w:pPr>
        <w:jc w:val="right"/>
        <w:rPr>
          <w:noProof/>
          <w:sz w:val="20"/>
        </w:rPr>
      </w:pPr>
      <w:r>
        <w:rPr>
          <w:noProof/>
          <w:sz w:val="20"/>
        </w:rPr>
        <w:t>odobritve za prevzem obveznosti v mio. EUR (na tri decimalna mesta natančno)</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Cilji in realizacije </w:t>
            </w:r>
          </w:p>
          <w:p>
            <w:pPr>
              <w:ind w:right="-29"/>
              <w:jc w:val="center"/>
              <w:rPr>
                <w:b/>
                <w:noProof/>
                <w:sz w:val="18"/>
                <w:szCs w:val="18"/>
              </w:rPr>
            </w:pPr>
          </w:p>
          <w:p>
            <w:pPr>
              <w:ind w:right="-29"/>
              <w:jc w:val="center"/>
              <w:rPr>
                <w:noProof/>
                <w:sz w:val="18"/>
                <w:szCs w:val="18"/>
              </w:rPr>
            </w:pPr>
            <w:r>
              <w:rPr>
                <w:noProof/>
                <w:sz w:val="18"/>
                <w:szCs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Leto</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rPr>
              <w:t>Leto</w:t>
            </w:r>
            <w:r>
              <w:rPr>
                <w:noProof/>
                <w:sz w:val="22"/>
              </w:rPr>
              <w:br/>
            </w:r>
            <w:r>
              <w:rPr>
                <w:b/>
                <w:noProof/>
                <w:sz w:val="18"/>
              </w:rPr>
              <w:t>N+1</w:t>
            </w:r>
          </w:p>
        </w:tc>
        <w:tc>
          <w:tcPr>
            <w:tcW w:w="1440" w:type="dxa"/>
            <w:gridSpan w:val="2"/>
            <w:vAlign w:val="center"/>
          </w:tcPr>
          <w:p>
            <w:pPr>
              <w:ind w:right="-29"/>
              <w:jc w:val="center"/>
              <w:rPr>
                <w:noProof/>
                <w:sz w:val="18"/>
                <w:szCs w:val="18"/>
              </w:rPr>
            </w:pPr>
            <w:r>
              <w:rPr>
                <w:noProof/>
                <w:sz w:val="18"/>
              </w:rPr>
              <w:t>Leto</w:t>
            </w:r>
            <w:r>
              <w:rPr>
                <w:noProof/>
                <w:sz w:val="22"/>
              </w:rPr>
              <w:br/>
            </w:r>
            <w:r>
              <w:rPr>
                <w:b/>
                <w:noProof/>
                <w:sz w:val="18"/>
              </w:rPr>
              <w:t>N+2</w:t>
            </w:r>
          </w:p>
        </w:tc>
        <w:tc>
          <w:tcPr>
            <w:tcW w:w="1620" w:type="dxa"/>
            <w:gridSpan w:val="3"/>
            <w:vAlign w:val="center"/>
          </w:tcPr>
          <w:p>
            <w:pPr>
              <w:ind w:right="-29"/>
              <w:jc w:val="center"/>
              <w:rPr>
                <w:noProof/>
                <w:sz w:val="18"/>
                <w:szCs w:val="18"/>
              </w:rPr>
            </w:pPr>
            <w:r>
              <w:rPr>
                <w:noProof/>
                <w:sz w:val="18"/>
              </w:rPr>
              <w:t>Leto</w:t>
            </w:r>
            <w:r>
              <w:rPr>
                <w:noProof/>
                <w:sz w:val="22"/>
              </w:rPr>
              <w:br/>
            </w:r>
            <w:r>
              <w:rPr>
                <w:b/>
                <w:noProof/>
                <w:sz w:val="18"/>
              </w:rPr>
              <w:t>N+3</w:t>
            </w:r>
          </w:p>
        </w:tc>
        <w:tc>
          <w:tcPr>
            <w:tcW w:w="3600" w:type="dxa"/>
            <w:gridSpan w:val="6"/>
            <w:vAlign w:val="center"/>
          </w:tcPr>
          <w:p>
            <w:pPr>
              <w:jc w:val="center"/>
              <w:rPr>
                <w:noProof/>
                <w:sz w:val="18"/>
                <w:szCs w:val="18"/>
              </w:rPr>
            </w:pPr>
            <w:r>
              <w:rPr>
                <w:noProof/>
                <w:sz w:val="18"/>
              </w:rPr>
              <w:t>Vstavite ustrezno število let glede na trajanje posledic (gl. točko 1.6)</w:t>
            </w:r>
          </w:p>
        </w:tc>
        <w:tc>
          <w:tcPr>
            <w:tcW w:w="1620" w:type="dxa"/>
            <w:gridSpan w:val="2"/>
            <w:tcBorders>
              <w:left w:val="nil"/>
              <w:bottom w:val="nil"/>
            </w:tcBorders>
            <w:vAlign w:val="center"/>
          </w:tcPr>
          <w:p>
            <w:pPr>
              <w:ind w:right="-29"/>
              <w:jc w:val="center"/>
              <w:rPr>
                <w:noProof/>
                <w:sz w:val="18"/>
                <w:szCs w:val="18"/>
              </w:rPr>
            </w:pPr>
            <w:r>
              <w:rPr>
                <w:b/>
                <w:noProof/>
                <w:sz w:val="18"/>
              </w:rPr>
              <w:t>SKUPAJ</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REALIZACIJE</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vrsta</w:t>
            </w:r>
            <w:r>
              <w:rPr>
                <w:rStyle w:val="FootnoteReference"/>
                <w:noProof/>
                <w:sz w:val="18"/>
              </w:rPr>
              <w:footnoteReference w:id="12"/>
            </w:r>
          </w:p>
          <w:p>
            <w:pPr>
              <w:spacing w:before="0" w:after="0"/>
              <w:jc w:val="center"/>
              <w:rPr>
                <w:noProof/>
                <w:sz w:val="18"/>
                <w:szCs w:val="18"/>
              </w:rPr>
            </w:pPr>
          </w:p>
        </w:tc>
        <w:tc>
          <w:tcPr>
            <w:tcW w:w="701" w:type="dxa"/>
            <w:vAlign w:val="center"/>
          </w:tcPr>
          <w:p>
            <w:pPr>
              <w:jc w:val="center"/>
              <w:rPr>
                <w:noProof/>
                <w:sz w:val="18"/>
                <w:szCs w:val="18"/>
              </w:rPr>
            </w:pPr>
            <w:r>
              <w:rPr>
                <w:noProof/>
                <w:sz w:val="18"/>
              </w:rPr>
              <w:t>povprečni stroški</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stroški</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stroški</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stroški</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število</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stroški</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število</w:t>
            </w:r>
          </w:p>
        </w:tc>
        <w:tc>
          <w:tcPr>
            <w:tcW w:w="648" w:type="dxa"/>
            <w:tcBorders>
              <w:left w:val="dashSmallGap" w:sz="4" w:space="0" w:color="auto"/>
            </w:tcBorders>
            <w:shd w:val="pct10" w:color="auto" w:fill="auto"/>
            <w:vAlign w:val="center"/>
          </w:tcPr>
          <w:p>
            <w:pPr>
              <w:jc w:val="center"/>
              <w:rPr>
                <w:noProof/>
                <w:sz w:val="18"/>
                <w:szCs w:val="18"/>
              </w:rPr>
            </w:pPr>
            <w:r>
              <w:rPr>
                <w:noProof/>
                <w:sz w:val="18"/>
              </w:rPr>
              <w:t>stroški</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stroški</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stroški</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število realizacij skupaj</w:t>
            </w:r>
          </w:p>
        </w:tc>
        <w:tc>
          <w:tcPr>
            <w:tcW w:w="900" w:type="dxa"/>
            <w:tcBorders>
              <w:left w:val="dashSmallGap" w:sz="4" w:space="0" w:color="auto"/>
            </w:tcBorders>
            <w:shd w:val="pct10" w:color="auto" w:fill="auto"/>
            <w:vAlign w:val="center"/>
          </w:tcPr>
          <w:p>
            <w:pPr>
              <w:jc w:val="center"/>
              <w:rPr>
                <w:noProof/>
                <w:sz w:val="18"/>
                <w:szCs w:val="18"/>
              </w:rPr>
            </w:pPr>
            <w:r>
              <w:rPr>
                <w:noProof/>
                <w:sz w:val="18"/>
              </w:rPr>
              <w:t>stroški realizacij skupaj</w:t>
            </w:r>
          </w:p>
        </w:tc>
      </w:tr>
      <w:tr>
        <w:trPr>
          <w:jc w:val="center"/>
        </w:trPr>
        <w:tc>
          <w:tcPr>
            <w:tcW w:w="2844" w:type="dxa"/>
            <w:gridSpan w:val="3"/>
            <w:vAlign w:val="center"/>
          </w:tcPr>
          <w:p>
            <w:pPr>
              <w:spacing w:before="60" w:after="60"/>
              <w:ind w:right="-29"/>
              <w:jc w:val="center"/>
              <w:rPr>
                <w:noProof/>
                <w:sz w:val="18"/>
                <w:szCs w:val="18"/>
              </w:rPr>
            </w:pPr>
            <w:r>
              <w:rPr>
                <w:noProof/>
                <w:sz w:val="18"/>
              </w:rPr>
              <w:t>SPECIFIČNI CILJ št. 1</w:t>
            </w:r>
            <w:r>
              <w:rPr>
                <w:rStyle w:val="FootnoteReference"/>
                <w:noProof/>
                <w:sz w:val="18"/>
              </w:rPr>
              <w:footnoteReference w:id="13"/>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realizacija</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realizacija</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realizacija</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Seštevek za specifični cilj št.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SPECIFIČNI CILJ št.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realizacija</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Seštevek za specifični cilj št.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STROŠKI SKUPAJ</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Ocenjene posledice za odobritve za upravne zadeve</w:t>
      </w:r>
    </w:p>
    <w:p>
      <w:pPr>
        <w:pStyle w:val="ManualHeading4"/>
        <w:rPr>
          <w:noProof/>
        </w:rPr>
      </w:pPr>
      <w:r>
        <w:t>3.2.3.1.</w:t>
      </w:r>
      <w:r>
        <w:tab/>
      </w:r>
      <w:r>
        <w:rPr>
          <w:noProof/>
        </w:rPr>
        <w:t xml:space="preserve">Povzetek </w:t>
      </w:r>
    </w:p>
    <w:p>
      <w:pPr>
        <w:pStyle w:val="ListDash1"/>
        <w:rPr>
          <w:noProof/>
        </w:rPr>
      </w:pPr>
      <w:r>
        <w:rPr>
          <w:noProof/>
        </w:rPr>
        <w:t>X</w:t>
      </w:r>
      <w:r>
        <w:rPr>
          <w:noProof/>
        </w:rPr>
        <w:tab/>
        <w:t xml:space="preserve">Za predlog/pobudo niso potrebne odobritve za upravne zadeve. </w:t>
      </w:r>
    </w:p>
    <w:p>
      <w:pPr>
        <w:pStyle w:val="ListDash1"/>
        <w:rPr>
          <w:noProof/>
        </w:rPr>
      </w:pPr>
      <w:r>
        <w:rPr>
          <w:noProof/>
          <w:szCs w:val="24"/>
        </w:rPr>
        <w:sym w:font="Wingdings" w:char="F0A8"/>
      </w:r>
      <w:r>
        <w:rPr>
          <w:noProof/>
        </w:rPr>
        <w:t xml:space="preserve"> Za predlog/pobudo so potrebne odobritve za upravne zadeve, kot je pojasnjeno v nadaljevanju:</w:t>
      </w:r>
    </w:p>
    <w:p>
      <w:pPr>
        <w:rPr>
          <w:noProof/>
          <w:sz w:val="20"/>
        </w:rPr>
      </w:pPr>
      <w:r>
        <w:rPr>
          <w:noProof/>
          <w:sz w:val="20"/>
        </w:rPr>
        <w:t>v mio. EUR (na tri decimalna mesta natančno)</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Leto</w:t>
            </w:r>
            <w:r>
              <w:rPr>
                <w:noProof/>
                <w:sz w:val="22"/>
              </w:rPr>
              <w:br/>
            </w:r>
            <w:r>
              <w:rPr>
                <w:b/>
                <w:noProof/>
                <w:sz w:val="16"/>
              </w:rPr>
              <w:t>N</w:t>
            </w:r>
            <w:r>
              <w:rPr>
                <w:rStyle w:val="FootnoteReference"/>
                <w:b/>
                <w:noProof/>
                <w:sz w:val="16"/>
              </w:rPr>
              <w:footnoteReference w:id="14"/>
            </w:r>
          </w:p>
        </w:tc>
        <w:tc>
          <w:tcPr>
            <w:tcW w:w="1080" w:type="dxa"/>
            <w:vAlign w:val="center"/>
          </w:tcPr>
          <w:p>
            <w:pPr>
              <w:spacing w:before="60" w:after="60" w:line="200" w:lineRule="exact"/>
              <w:jc w:val="center"/>
              <w:rPr>
                <w:noProof/>
                <w:sz w:val="16"/>
                <w:szCs w:val="16"/>
              </w:rPr>
            </w:pPr>
            <w:r>
              <w:rPr>
                <w:noProof/>
                <w:sz w:val="16"/>
              </w:rPr>
              <w:t>Leto</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Leto</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Leto</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Vstavite ustrezno število let glede na trajanje posledic (gl. točko 1.6)</w:t>
            </w:r>
          </w:p>
        </w:tc>
        <w:tc>
          <w:tcPr>
            <w:tcW w:w="1080" w:type="dxa"/>
            <w:vAlign w:val="center"/>
          </w:tcPr>
          <w:p>
            <w:pPr>
              <w:spacing w:before="60" w:after="60" w:line="200" w:lineRule="exact"/>
              <w:jc w:val="center"/>
              <w:rPr>
                <w:b/>
                <w:noProof/>
                <w:sz w:val="16"/>
                <w:szCs w:val="16"/>
              </w:rPr>
            </w:pPr>
            <w:r>
              <w:rPr>
                <w:b/>
                <w:noProof/>
                <w:sz w:val="16"/>
              </w:rPr>
              <w:t>SKUPAJ</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RAZDELEK 5</w:t>
            </w:r>
            <w:r>
              <w:rPr>
                <w:noProof/>
                <w:sz w:val="22"/>
              </w:rPr>
              <w:br/>
            </w:r>
            <w:r>
              <w:rPr>
                <w:b/>
                <w:noProof/>
                <w:sz w:val="16"/>
              </w:rPr>
              <w:t>večletnega finančnega okvira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Človeški viri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Drugi upravni odhodki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Seštevek za RAZDELEK 5</w:t>
            </w:r>
            <w:r>
              <w:rPr>
                <w:noProof/>
                <w:sz w:val="22"/>
              </w:rPr>
              <w:br/>
            </w:r>
            <w:r>
              <w:rPr>
                <w:b/>
                <w:noProof/>
                <w:sz w:val="16"/>
              </w:rPr>
              <w:t xml:space="preserve">večletnega finančnega okvira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Odobritve zunaj RAZDELKA 5</w:t>
            </w:r>
            <w:r>
              <w:rPr>
                <w:rStyle w:val="FootnoteReference"/>
                <w:b/>
                <w:noProof/>
                <w:sz w:val="16"/>
              </w:rPr>
              <w:footnoteReference w:id="15"/>
            </w:r>
            <w:r>
              <w:rPr>
                <w:noProof/>
                <w:sz w:val="22"/>
              </w:rPr>
              <w:br/>
            </w:r>
            <w:r>
              <w:rPr>
                <w:b/>
                <w:noProof/>
                <w:sz w:val="16"/>
              </w:rPr>
              <w:t xml:space="preserve">večletnega finančnega okvira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Človeški viri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Drugi </w:t>
            </w:r>
            <w:r>
              <w:rPr>
                <w:noProof/>
                <w:sz w:val="22"/>
              </w:rPr>
              <w:br/>
            </w:r>
            <w:r>
              <w:rPr>
                <w:noProof/>
                <w:sz w:val="16"/>
              </w:rPr>
              <w:t>upravni odhodki</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Seštevek za odobritve</w:t>
            </w:r>
            <w:r>
              <w:rPr>
                <w:noProof/>
                <w:sz w:val="22"/>
              </w:rPr>
              <w:br/>
            </w:r>
            <w:r>
              <w:rPr>
                <w:b/>
                <w:noProof/>
                <w:sz w:val="16"/>
              </w:rPr>
              <w:t>zunaj RAZDELKA 5</w:t>
            </w:r>
            <w:r>
              <w:rPr>
                <w:noProof/>
                <w:sz w:val="22"/>
              </w:rPr>
              <w:br/>
            </w:r>
            <w:r>
              <w:rPr>
                <w:b/>
                <w:noProof/>
                <w:sz w:val="16"/>
              </w:rPr>
              <w:t xml:space="preserve">večletnega finančnega okvira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SKUPAJ</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sz w:val="18"/>
        </w:rPr>
        <w:t>Potrebe po odobritvah za človeške vire in druge upravne odhodke se krijejo z odobritvami GD, ki so že dodeljene za upravljanje ukrepa in/ali so bile prerazporejene znotraj GD, po potrebi skupaj z dodatnimi viri, ki se lahko pristojnemu GD dodelijo v okviru postopka letne dodelitve virov glede na proračunske omejitve.</w:t>
      </w:r>
    </w:p>
    <w:p>
      <w:pPr>
        <w:pStyle w:val="ManualHeading4"/>
        <w:rPr>
          <w:bCs/>
          <w:noProof/>
          <w:szCs w:val="24"/>
        </w:rPr>
      </w:pPr>
      <w:r>
        <w:t>3.2.3.2.</w:t>
      </w:r>
      <w:r>
        <w:tab/>
      </w:r>
      <w:r>
        <w:rPr>
          <w:noProof/>
        </w:rPr>
        <w:t>Ocenjene potrebe po človeških virih</w:t>
      </w:r>
    </w:p>
    <w:p>
      <w:pPr>
        <w:pStyle w:val="ListDash1"/>
        <w:rPr>
          <w:noProof/>
        </w:rPr>
      </w:pPr>
      <w:r>
        <w:rPr>
          <w:noProof/>
        </w:rPr>
        <w:t>X</w:t>
      </w:r>
      <w:r>
        <w:rPr>
          <w:noProof/>
        </w:rPr>
        <w:tab/>
        <w:t xml:space="preserve">Za predlog/pobudo niso potrebni človeški viri. </w:t>
      </w:r>
    </w:p>
    <w:p>
      <w:pPr>
        <w:pStyle w:val="ListDash1"/>
        <w:rPr>
          <w:noProof/>
        </w:rPr>
      </w:pPr>
      <w:r>
        <w:rPr>
          <w:noProof/>
          <w:szCs w:val="24"/>
        </w:rPr>
        <w:sym w:font="Wingdings" w:char="F0A8"/>
      </w:r>
      <w:r>
        <w:rPr>
          <w:noProof/>
        </w:rPr>
        <w:t xml:space="preserve"> Za predlog/pobudo so potrebni človeški viri, kot je pojasnjeno v nadaljevanju:</w:t>
      </w:r>
    </w:p>
    <w:p>
      <w:pPr>
        <w:spacing w:after="60"/>
        <w:jc w:val="right"/>
        <w:rPr>
          <w:i/>
          <w:noProof/>
          <w:sz w:val="20"/>
        </w:rPr>
      </w:pPr>
      <w:r>
        <w:rPr>
          <w:i/>
          <w:noProof/>
          <w:sz w:val="20"/>
        </w:rPr>
        <w:t>ocena, izražena v ekvivalentu polnega delovnega časa</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Leto</w:t>
            </w:r>
            <w:r>
              <w:rPr>
                <w:noProof/>
                <w:sz w:val="22"/>
              </w:rPr>
              <w:br/>
            </w:r>
            <w:r>
              <w:rPr>
                <w:b/>
                <w:noProof/>
                <w:sz w:val="16"/>
              </w:rPr>
              <w:t>N</w:t>
            </w:r>
          </w:p>
        </w:tc>
        <w:tc>
          <w:tcPr>
            <w:tcW w:w="318" w:type="pct"/>
            <w:shd w:val="clear" w:color="auto" w:fill="auto"/>
            <w:vAlign w:val="center"/>
          </w:tcPr>
          <w:p>
            <w:pPr>
              <w:spacing w:before="20" w:after="20"/>
              <w:jc w:val="center"/>
              <w:rPr>
                <w:noProof/>
                <w:sz w:val="16"/>
                <w:szCs w:val="16"/>
              </w:rPr>
            </w:pPr>
            <w:r>
              <w:rPr>
                <w:noProof/>
                <w:sz w:val="16"/>
              </w:rPr>
              <w:t>Leto</w:t>
            </w:r>
            <w:r>
              <w:rPr>
                <w:noProof/>
                <w:sz w:val="22"/>
              </w:rPr>
              <w:br/>
            </w:r>
            <w:r>
              <w:rPr>
                <w:b/>
                <w:noProof/>
                <w:sz w:val="16"/>
              </w:rPr>
              <w:t>N+1</w:t>
            </w:r>
          </w:p>
        </w:tc>
        <w:tc>
          <w:tcPr>
            <w:tcW w:w="1891" w:type="pct"/>
            <w:shd w:val="clear" w:color="auto" w:fill="auto"/>
            <w:vAlign w:val="center"/>
          </w:tcPr>
          <w:p>
            <w:pPr>
              <w:spacing w:before="20" w:after="20"/>
              <w:jc w:val="center"/>
              <w:rPr>
                <w:noProof/>
                <w:sz w:val="16"/>
                <w:szCs w:val="16"/>
              </w:rPr>
            </w:pPr>
            <w:r>
              <w:rPr>
                <w:b/>
                <w:noProof/>
                <w:sz w:val="16"/>
              </w:rPr>
              <w:t>Leto N+2</w:t>
            </w:r>
          </w:p>
        </w:tc>
        <w:tc>
          <w:tcPr>
            <w:tcW w:w="226" w:type="pct"/>
            <w:shd w:val="clear" w:color="auto" w:fill="auto"/>
            <w:vAlign w:val="center"/>
          </w:tcPr>
          <w:p>
            <w:pPr>
              <w:spacing w:before="20" w:after="20"/>
              <w:jc w:val="center"/>
              <w:rPr>
                <w:noProof/>
                <w:sz w:val="16"/>
                <w:szCs w:val="16"/>
              </w:rPr>
            </w:pPr>
            <w:r>
              <w:rPr>
                <w:b/>
                <w:noProof/>
                <w:sz w:val="16"/>
              </w:rPr>
              <w:t>Leto N+3</w:t>
            </w:r>
          </w:p>
        </w:tc>
        <w:tc>
          <w:tcPr>
            <w:tcW w:w="345" w:type="pct"/>
            <w:gridSpan w:val="3"/>
            <w:shd w:val="clear" w:color="auto" w:fill="auto"/>
            <w:vAlign w:val="center"/>
          </w:tcPr>
          <w:p>
            <w:pPr>
              <w:jc w:val="center"/>
              <w:rPr>
                <w:b/>
                <w:noProof/>
                <w:sz w:val="16"/>
                <w:szCs w:val="16"/>
              </w:rPr>
            </w:pPr>
            <w:r>
              <w:rPr>
                <w:noProof/>
                <w:sz w:val="16"/>
              </w:rPr>
              <w:t>Vstavite ustrezno število let glede na trajanje posledic (gl. točko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szCs w:val="16"/>
              </w:rPr>
              <w:sym w:font="Wingdings" w:char="F09F"/>
            </w:r>
            <w:r>
              <w:rPr>
                <w:b/>
                <w:noProof/>
                <w:sz w:val="16"/>
              </w:rPr>
              <w:t>Delovna mesta v skladu s kadrovskim načrtom (uradniki in začasni uslužbenci)</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(sedež in predstavništva Komisije)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(delegacije)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(posredne raziskave)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(neposredne raziskave)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szCs w:val="16"/>
              </w:rPr>
              <w:sym w:font="Wingdings" w:char="F09F"/>
            </w:r>
            <w:r>
              <w:rPr>
                <w:b/>
                <w:noProof/>
                <w:sz w:val="16"/>
              </w:rPr>
              <w:t>Zunanji sodelavci (v ekvivalentu polnega delovnega časa: EPDČ)</w:t>
            </w:r>
            <w:r>
              <w:rPr>
                <w:rStyle w:val="FootnoteReference"/>
                <w:b/>
                <w:noProof/>
                <w:sz w:val="16"/>
              </w:rPr>
              <w:footnoteReference w:id="16"/>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(PU, NNS, ZU iz splošnih sredstev)</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(PU, LU, NNS, ZU in MSD na delegacijah)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17"/>
            </w:r>
          </w:p>
          <w:p>
            <w:pPr>
              <w:pStyle w:val="Text1"/>
              <w:spacing w:beforeLines="20" w:before="48" w:afterLines="20" w:after="48"/>
              <w:ind w:left="136"/>
              <w:jc w:val="left"/>
              <w:rPr>
                <w:b/>
                <w:noProof/>
                <w:sz w:val="16"/>
                <w:szCs w:val="16"/>
              </w:rPr>
            </w:pPr>
          </w:p>
        </w:tc>
        <w:tc>
          <w:tcPr>
            <w:tcW w:w="949" w:type="pct"/>
            <w:vAlign w:val="center"/>
          </w:tcPr>
          <w:p>
            <w:pPr>
              <w:pStyle w:val="Text1"/>
              <w:spacing w:beforeLines="20" w:before="48" w:afterLines="20" w:after="48"/>
              <w:ind w:left="136"/>
              <w:jc w:val="left"/>
              <w:rPr>
                <w:b/>
                <w:noProof/>
                <w:sz w:val="16"/>
                <w:szCs w:val="16"/>
              </w:rPr>
            </w:pPr>
            <w:r>
              <w:rPr>
                <w:noProof/>
                <w:sz w:val="16"/>
              </w:rPr>
              <w:t>– na sedežu</w:t>
            </w:r>
          </w:p>
          <w:p>
            <w:pPr>
              <w:pStyle w:val="Text1"/>
              <w:spacing w:beforeLines="20" w:before="48" w:afterLines="20" w:after="48"/>
              <w:ind w:left="136"/>
              <w:jc w:val="left"/>
              <w:rPr>
                <w:b/>
                <w:noProof/>
                <w:sz w:val="16"/>
                <w:szCs w:val="16"/>
              </w:rPr>
            </w:pPr>
          </w:p>
        </w:tc>
        <w:tc>
          <w:tcPr>
            <w:tcW w:w="318" w:type="pct"/>
            <w:vAlign w:val="center"/>
          </w:tcPr>
          <w:p>
            <w:pPr>
              <w:pStyle w:val="Text1"/>
              <w:spacing w:beforeLines="20" w:before="48" w:afterLines="20" w:after="48"/>
              <w:ind w:left="0"/>
              <w:rPr>
                <w:noProof/>
                <w:sz w:val="16"/>
                <w:szCs w:val="16"/>
              </w:rPr>
            </w:pPr>
          </w:p>
        </w:tc>
        <w:tc>
          <w:tcPr>
            <w:tcW w:w="318" w:type="pct"/>
            <w:vAlign w:val="center"/>
          </w:tcPr>
          <w:p>
            <w:pPr>
              <w:spacing w:beforeLines="20" w:before="48" w:afterLines="20" w:after="48"/>
              <w:jc w:val="center"/>
              <w:rPr>
                <w:noProof/>
                <w:sz w:val="16"/>
                <w:szCs w:val="16"/>
              </w:rPr>
            </w:pPr>
          </w:p>
        </w:tc>
        <w:tc>
          <w:tcPr>
            <w:tcW w:w="1891" w:type="pct"/>
            <w:vAlign w:val="center"/>
          </w:tcPr>
          <w:p>
            <w:pPr>
              <w:spacing w:beforeLines="20" w:before="48" w:afterLines="20" w:after="48"/>
              <w:jc w:val="center"/>
              <w:rPr>
                <w:noProof/>
                <w:sz w:val="16"/>
                <w:szCs w:val="16"/>
              </w:rPr>
            </w:pPr>
          </w:p>
        </w:tc>
        <w:tc>
          <w:tcPr>
            <w:tcW w:w="226" w:type="pct"/>
            <w:vAlign w:val="center"/>
          </w:tcPr>
          <w:p>
            <w:pPr>
              <w:spacing w:beforeLines="20" w:before="48" w:afterLines="20" w:after="48"/>
              <w:jc w:val="center"/>
              <w:rPr>
                <w:noProof/>
                <w:sz w:val="16"/>
                <w:szCs w:val="16"/>
              </w:rPr>
            </w:pPr>
          </w:p>
        </w:tc>
        <w:tc>
          <w:tcPr>
            <w:tcW w:w="115" w:type="pct"/>
            <w:vAlign w:val="center"/>
          </w:tcPr>
          <w:p>
            <w:pPr>
              <w:spacing w:beforeLines="20" w:before="48" w:afterLines="20" w:after="48"/>
              <w:jc w:val="center"/>
              <w:rPr>
                <w:noProof/>
                <w:sz w:val="16"/>
                <w:szCs w:val="16"/>
              </w:rPr>
            </w:pPr>
          </w:p>
        </w:tc>
        <w:tc>
          <w:tcPr>
            <w:tcW w:w="115" w:type="pct"/>
            <w:vAlign w:val="center"/>
          </w:tcPr>
          <w:p>
            <w:pPr>
              <w:spacing w:beforeLines="20" w:before="48" w:afterLines="20" w:after="48"/>
              <w:jc w:val="center"/>
              <w:rPr>
                <w:noProof/>
                <w:sz w:val="16"/>
                <w:szCs w:val="16"/>
              </w:rPr>
            </w:pPr>
          </w:p>
        </w:tc>
        <w:tc>
          <w:tcPr>
            <w:tcW w:w="115" w:type="pct"/>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ign w:val="center"/>
          </w:tcPr>
          <w:p>
            <w:pPr>
              <w:pStyle w:val="Text1"/>
              <w:spacing w:beforeLines="20" w:before="48" w:afterLines="20" w:after="48"/>
              <w:ind w:left="136"/>
              <w:jc w:val="left"/>
              <w:rPr>
                <w:b/>
                <w:noProof/>
                <w:sz w:val="16"/>
                <w:szCs w:val="16"/>
              </w:rPr>
            </w:pPr>
          </w:p>
        </w:tc>
        <w:tc>
          <w:tcPr>
            <w:tcW w:w="949" w:type="pct"/>
            <w:vAlign w:val="center"/>
          </w:tcPr>
          <w:p>
            <w:pPr>
              <w:pStyle w:val="Text1"/>
              <w:spacing w:beforeLines="20" w:before="48" w:afterLines="20" w:after="48"/>
              <w:ind w:left="136"/>
              <w:jc w:val="left"/>
              <w:rPr>
                <w:b/>
                <w:noProof/>
                <w:sz w:val="16"/>
                <w:szCs w:val="16"/>
              </w:rPr>
            </w:pPr>
            <w:r>
              <w:rPr>
                <w:noProof/>
                <w:sz w:val="16"/>
              </w:rPr>
              <w:t xml:space="preserve">– na delegacijah </w:t>
            </w:r>
          </w:p>
        </w:tc>
        <w:tc>
          <w:tcPr>
            <w:tcW w:w="318" w:type="pct"/>
            <w:vAlign w:val="center"/>
          </w:tcPr>
          <w:p>
            <w:pPr>
              <w:pStyle w:val="Text1"/>
              <w:spacing w:beforeLines="20" w:before="48" w:afterLines="20" w:after="48"/>
              <w:ind w:left="0"/>
              <w:rPr>
                <w:noProof/>
                <w:sz w:val="16"/>
                <w:szCs w:val="16"/>
              </w:rPr>
            </w:pPr>
          </w:p>
        </w:tc>
        <w:tc>
          <w:tcPr>
            <w:tcW w:w="318" w:type="pct"/>
            <w:vAlign w:val="center"/>
          </w:tcPr>
          <w:p>
            <w:pPr>
              <w:spacing w:beforeLines="20" w:before="48" w:afterLines="20" w:after="48"/>
              <w:jc w:val="center"/>
              <w:rPr>
                <w:noProof/>
                <w:sz w:val="16"/>
                <w:szCs w:val="16"/>
              </w:rPr>
            </w:pPr>
          </w:p>
        </w:tc>
        <w:tc>
          <w:tcPr>
            <w:tcW w:w="1891" w:type="pct"/>
            <w:vAlign w:val="center"/>
          </w:tcPr>
          <w:p>
            <w:pPr>
              <w:spacing w:beforeLines="20" w:before="48" w:afterLines="20" w:after="48"/>
              <w:jc w:val="center"/>
              <w:rPr>
                <w:noProof/>
                <w:sz w:val="16"/>
                <w:szCs w:val="16"/>
              </w:rPr>
            </w:pPr>
          </w:p>
        </w:tc>
        <w:tc>
          <w:tcPr>
            <w:tcW w:w="226" w:type="pct"/>
            <w:vAlign w:val="center"/>
          </w:tcPr>
          <w:p>
            <w:pPr>
              <w:spacing w:beforeLines="20" w:before="48" w:afterLines="20" w:after="48"/>
              <w:jc w:val="center"/>
              <w:rPr>
                <w:noProof/>
                <w:sz w:val="16"/>
                <w:szCs w:val="16"/>
              </w:rPr>
            </w:pPr>
          </w:p>
        </w:tc>
        <w:tc>
          <w:tcPr>
            <w:tcW w:w="115" w:type="pct"/>
            <w:vAlign w:val="center"/>
          </w:tcPr>
          <w:p>
            <w:pPr>
              <w:spacing w:beforeLines="20" w:before="48" w:afterLines="20" w:after="48"/>
              <w:jc w:val="center"/>
              <w:rPr>
                <w:noProof/>
                <w:sz w:val="16"/>
                <w:szCs w:val="16"/>
              </w:rPr>
            </w:pPr>
          </w:p>
        </w:tc>
        <w:tc>
          <w:tcPr>
            <w:tcW w:w="115" w:type="pct"/>
            <w:vAlign w:val="center"/>
          </w:tcPr>
          <w:p>
            <w:pPr>
              <w:spacing w:beforeLines="20" w:before="48" w:afterLines="20" w:after="48"/>
              <w:jc w:val="center"/>
              <w:rPr>
                <w:noProof/>
                <w:sz w:val="16"/>
                <w:szCs w:val="16"/>
              </w:rPr>
            </w:pPr>
          </w:p>
        </w:tc>
        <w:tc>
          <w:tcPr>
            <w:tcW w:w="115" w:type="pct"/>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rPr>
              <w:t xml:space="preserve"> </w:t>
            </w:r>
            <w:r>
              <w:rPr>
                <w:noProof/>
                <w:sz w:val="16"/>
              </w:rPr>
              <w:t>01 05 02 (PU, NNS, ZU za posredne raziskave)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(PU, NNS, ZU za neposredne raziskave)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vAlign w:val="center"/>
          </w:tcPr>
          <w:p>
            <w:pPr>
              <w:pStyle w:val="Text1"/>
              <w:spacing w:beforeLines="20" w:before="48" w:afterLines="20" w:after="48"/>
              <w:ind w:left="134"/>
              <w:jc w:val="left"/>
              <w:rPr>
                <w:noProof/>
                <w:sz w:val="16"/>
                <w:szCs w:val="16"/>
              </w:rPr>
            </w:pPr>
            <w:r>
              <w:rPr>
                <w:noProof/>
                <w:sz w:val="16"/>
              </w:rPr>
              <w:t>Druge proračunske vrstice (navedite)</w:t>
            </w:r>
          </w:p>
        </w:tc>
        <w:tc>
          <w:tcPr>
            <w:tcW w:w="318" w:type="pct"/>
            <w:tcBorders>
              <w:bottom w:val="double" w:sz="4" w:space="0" w:color="auto"/>
            </w:tcBorders>
            <w:vAlign w:val="center"/>
          </w:tcPr>
          <w:p>
            <w:pPr>
              <w:spacing w:beforeLines="20" w:before="48" w:afterLines="20" w:after="48"/>
              <w:jc w:val="center"/>
              <w:rPr>
                <w:noProof/>
                <w:sz w:val="16"/>
                <w:szCs w:val="16"/>
              </w:rPr>
            </w:pPr>
          </w:p>
        </w:tc>
        <w:tc>
          <w:tcPr>
            <w:tcW w:w="318" w:type="pct"/>
            <w:tcBorders>
              <w:bottom w:val="double" w:sz="4" w:space="0" w:color="auto"/>
            </w:tcBorders>
            <w:vAlign w:val="center"/>
          </w:tcPr>
          <w:p>
            <w:pPr>
              <w:spacing w:beforeLines="20" w:before="48" w:afterLines="20" w:after="48"/>
              <w:jc w:val="center"/>
              <w:rPr>
                <w:noProof/>
                <w:sz w:val="16"/>
                <w:szCs w:val="16"/>
              </w:rPr>
            </w:pPr>
          </w:p>
        </w:tc>
        <w:tc>
          <w:tcPr>
            <w:tcW w:w="1891" w:type="pct"/>
            <w:tcBorders>
              <w:bottom w:val="double" w:sz="4" w:space="0" w:color="auto"/>
            </w:tcBorders>
            <w:vAlign w:val="center"/>
          </w:tcPr>
          <w:p>
            <w:pPr>
              <w:spacing w:beforeLines="20" w:before="48" w:afterLines="20" w:after="48"/>
              <w:jc w:val="center"/>
              <w:rPr>
                <w:noProof/>
                <w:sz w:val="16"/>
                <w:szCs w:val="16"/>
              </w:rPr>
            </w:pPr>
          </w:p>
        </w:tc>
        <w:tc>
          <w:tcPr>
            <w:tcW w:w="226" w:type="pct"/>
            <w:tcBorders>
              <w:bottom w:val="double" w:sz="4" w:space="0" w:color="auto"/>
            </w:tcBorders>
            <w:vAlign w:val="center"/>
          </w:tcPr>
          <w:p>
            <w:pPr>
              <w:spacing w:beforeLines="20" w:before="48" w:afterLines="20" w:after="48"/>
              <w:jc w:val="center"/>
              <w:rPr>
                <w:noProof/>
                <w:sz w:val="16"/>
                <w:szCs w:val="16"/>
              </w:rPr>
            </w:pPr>
          </w:p>
        </w:tc>
        <w:tc>
          <w:tcPr>
            <w:tcW w:w="115" w:type="pct"/>
            <w:tcBorders>
              <w:bottom w:val="double" w:sz="4" w:space="0" w:color="auto"/>
            </w:tcBorders>
            <w:vAlign w:val="center"/>
          </w:tcPr>
          <w:p>
            <w:pPr>
              <w:spacing w:beforeLines="20" w:before="48" w:afterLines="20" w:after="48"/>
              <w:jc w:val="center"/>
              <w:rPr>
                <w:noProof/>
                <w:sz w:val="16"/>
                <w:szCs w:val="16"/>
              </w:rPr>
            </w:pPr>
          </w:p>
        </w:tc>
        <w:tc>
          <w:tcPr>
            <w:tcW w:w="115" w:type="pct"/>
            <w:tcBorders>
              <w:bottom w:val="double" w:sz="4" w:space="0" w:color="auto"/>
            </w:tcBorders>
            <w:vAlign w:val="center"/>
          </w:tcPr>
          <w:p>
            <w:pPr>
              <w:spacing w:beforeLines="20" w:before="48" w:afterLines="20" w:after="48"/>
              <w:jc w:val="center"/>
              <w:rPr>
                <w:noProof/>
                <w:sz w:val="16"/>
                <w:szCs w:val="16"/>
              </w:rPr>
            </w:pPr>
          </w:p>
        </w:tc>
        <w:tc>
          <w:tcPr>
            <w:tcW w:w="115" w:type="pct"/>
            <w:tcBorders>
              <w:bottom w:val="double" w:sz="4" w:space="0" w:color="auto"/>
            </w:tcBorders>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vAlign w:val="center"/>
          </w:tcPr>
          <w:p>
            <w:pPr>
              <w:pStyle w:val="Text1"/>
              <w:spacing w:beforeLines="20" w:before="48" w:afterLines="20" w:after="48"/>
              <w:ind w:left="136"/>
              <w:jc w:val="left"/>
              <w:rPr>
                <w:noProof/>
                <w:sz w:val="16"/>
                <w:szCs w:val="16"/>
              </w:rPr>
            </w:pPr>
            <w:r>
              <w:rPr>
                <w:b/>
                <w:noProof/>
                <w:sz w:val="16"/>
              </w:rPr>
              <w:t>SKUPAJ</w:t>
            </w:r>
          </w:p>
        </w:tc>
        <w:tc>
          <w:tcPr>
            <w:tcW w:w="318" w:type="pct"/>
            <w:tcBorders>
              <w:top w:val="double" w:sz="4" w:space="0" w:color="auto"/>
            </w:tcBorders>
            <w:vAlign w:val="center"/>
          </w:tcPr>
          <w:p>
            <w:pPr>
              <w:spacing w:beforeLines="20" w:before="48" w:afterLines="20" w:after="48"/>
              <w:jc w:val="center"/>
              <w:rPr>
                <w:b/>
                <w:noProof/>
                <w:sz w:val="16"/>
                <w:szCs w:val="16"/>
              </w:rPr>
            </w:pPr>
          </w:p>
        </w:tc>
        <w:tc>
          <w:tcPr>
            <w:tcW w:w="318" w:type="pct"/>
            <w:tcBorders>
              <w:top w:val="double" w:sz="4" w:space="0" w:color="auto"/>
            </w:tcBorders>
            <w:vAlign w:val="center"/>
          </w:tcPr>
          <w:p>
            <w:pPr>
              <w:spacing w:beforeLines="20" w:before="48" w:afterLines="20" w:after="48"/>
              <w:jc w:val="center"/>
              <w:rPr>
                <w:b/>
                <w:noProof/>
                <w:sz w:val="16"/>
                <w:szCs w:val="16"/>
              </w:rPr>
            </w:pPr>
          </w:p>
        </w:tc>
        <w:tc>
          <w:tcPr>
            <w:tcW w:w="1891" w:type="pct"/>
            <w:tcBorders>
              <w:top w:val="double" w:sz="4" w:space="0" w:color="auto"/>
            </w:tcBorders>
            <w:vAlign w:val="center"/>
          </w:tcPr>
          <w:p>
            <w:pPr>
              <w:spacing w:beforeLines="20" w:before="48" w:afterLines="20" w:after="48"/>
              <w:jc w:val="center"/>
              <w:rPr>
                <w:b/>
                <w:noProof/>
                <w:sz w:val="16"/>
                <w:szCs w:val="16"/>
              </w:rPr>
            </w:pPr>
          </w:p>
        </w:tc>
        <w:tc>
          <w:tcPr>
            <w:tcW w:w="226" w:type="pct"/>
            <w:tcBorders>
              <w:top w:val="double" w:sz="4" w:space="0" w:color="auto"/>
            </w:tcBorders>
            <w:vAlign w:val="center"/>
          </w:tcPr>
          <w:p>
            <w:pPr>
              <w:spacing w:beforeLines="20" w:before="48" w:afterLines="20" w:after="48"/>
              <w:jc w:val="center"/>
              <w:rPr>
                <w:b/>
                <w:noProof/>
                <w:sz w:val="16"/>
                <w:szCs w:val="16"/>
              </w:rPr>
            </w:pPr>
          </w:p>
        </w:tc>
        <w:tc>
          <w:tcPr>
            <w:tcW w:w="115" w:type="pct"/>
            <w:tcBorders>
              <w:top w:val="double" w:sz="4" w:space="0" w:color="auto"/>
            </w:tcBorders>
            <w:vAlign w:val="center"/>
          </w:tcPr>
          <w:p>
            <w:pPr>
              <w:spacing w:beforeLines="20" w:before="48" w:afterLines="20" w:after="48"/>
              <w:jc w:val="center"/>
              <w:rPr>
                <w:b/>
                <w:noProof/>
                <w:sz w:val="16"/>
                <w:szCs w:val="16"/>
              </w:rPr>
            </w:pPr>
          </w:p>
        </w:tc>
        <w:tc>
          <w:tcPr>
            <w:tcW w:w="115" w:type="pct"/>
            <w:tcBorders>
              <w:top w:val="double" w:sz="4" w:space="0" w:color="auto"/>
            </w:tcBorders>
            <w:vAlign w:val="center"/>
          </w:tcPr>
          <w:p>
            <w:pPr>
              <w:spacing w:beforeLines="20" w:before="48" w:afterLines="20" w:after="48"/>
              <w:jc w:val="center"/>
              <w:rPr>
                <w:b/>
                <w:noProof/>
                <w:sz w:val="16"/>
                <w:szCs w:val="16"/>
              </w:rPr>
            </w:pPr>
          </w:p>
        </w:tc>
        <w:tc>
          <w:tcPr>
            <w:tcW w:w="115" w:type="pct"/>
            <w:tcBorders>
              <w:top w:val="double" w:sz="4" w:space="0" w:color="auto"/>
            </w:tcBorders>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rPr>
        <w:t xml:space="preserve"> </w:t>
      </w:r>
      <w:r>
        <w:rPr>
          <w:noProof/>
          <w:sz w:val="18"/>
        </w:rPr>
        <w:t>je zadevno področje ali naslov.</w:t>
      </w:r>
    </w:p>
    <w:p>
      <w:pPr>
        <w:pStyle w:val="Text1"/>
        <w:rPr>
          <w:noProof/>
          <w:sz w:val="18"/>
          <w:szCs w:val="18"/>
        </w:rPr>
      </w:pPr>
      <w:r>
        <w:rPr>
          <w:noProof/>
          <w:sz w:val="18"/>
        </w:rPr>
        <w:t>Potrebe po človeških virih se krijejo z osebjem GD, ki je že dodeljeno za upravljanje ukrepa in/ali je bilo prerazporejeno znotraj GD, po potrebi skupaj z dodatnimi viri, ki se lahko pristojnemu GD dodelijo v okviru postopka letne dodelitve virov glede na proračunske omejitve.</w:t>
      </w:r>
    </w:p>
    <w:p>
      <w:pPr>
        <w:rPr>
          <w:noProof/>
          <w:sz w:val="20"/>
        </w:rPr>
      </w:pPr>
      <w:r>
        <w:rPr>
          <w:noProof/>
          <w:sz w:val="20"/>
        </w:rPr>
        <w:t>Opis nalog:</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Uradniki in začasni uslužbenci</w:t>
            </w:r>
          </w:p>
        </w:tc>
        <w:tc>
          <w:tcPr>
            <w:tcW w:w="7200" w:type="dxa"/>
          </w:tcPr>
          <w:p>
            <w:pPr>
              <w:rPr>
                <w:noProof/>
                <w:sz w:val="20"/>
              </w:rPr>
            </w:pPr>
            <w:r>
              <w:rPr>
                <w:noProof/>
                <w:sz w:val="20"/>
              </w:rPr>
              <w:t>•</w:t>
            </w:r>
            <w:r>
              <w:rPr>
                <w:noProof/>
              </w:rPr>
              <w:tab/>
            </w:r>
            <w:r>
              <w:rPr>
                <w:noProof/>
                <w:sz w:val="20"/>
              </w:rPr>
              <w:t>Upravljanje premoženja: upravljanje portfeljev, kvantitativne analize, tudi podpora analitičnim dejavnostim v zvezi s tveganji;</w:t>
            </w:r>
          </w:p>
          <w:p>
            <w:pPr>
              <w:rPr>
                <w:noProof/>
                <w:sz w:val="20"/>
              </w:rPr>
            </w:pPr>
            <w:r>
              <w:rPr>
                <w:noProof/>
                <w:sz w:val="20"/>
              </w:rPr>
              <w:t>•</w:t>
            </w:r>
            <w:r>
              <w:rPr>
                <w:noProof/>
              </w:rPr>
              <w:tab/>
            </w:r>
            <w:r>
              <w:rPr>
                <w:noProof/>
                <w:sz w:val="20"/>
              </w:rPr>
              <w:t>podporna funkcija, povezana z neposrednim upravljanjem, zlasti upravljanje tveganj in plačilne funkcije oddelka za spremljavo poslov,</w:t>
            </w:r>
          </w:p>
          <w:p>
            <w:pPr>
              <w:rPr>
                <w:noProof/>
                <w:sz w:val="20"/>
              </w:rPr>
            </w:pPr>
            <w:r>
              <w:rPr>
                <w:noProof/>
                <w:sz w:val="20"/>
              </w:rPr>
              <w:t>•</w:t>
            </w:r>
            <w:r>
              <w:rPr>
                <w:noProof/>
              </w:rPr>
              <w:tab/>
            </w:r>
            <w:r>
              <w:rPr>
                <w:noProof/>
                <w:sz w:val="20"/>
              </w:rPr>
              <w:t xml:space="preserve">upravljanje jamstev, poročanje o njih in naknadno ukrepanje v zvezi z njimi (dinamični seznam projektov),  </w:t>
            </w:r>
          </w:p>
          <w:p>
            <w:pPr>
              <w:rPr>
                <w:noProof/>
                <w:sz w:val="20"/>
              </w:rPr>
            </w:pPr>
            <w:r>
              <w:rPr>
                <w:noProof/>
                <w:sz w:val="20"/>
              </w:rPr>
              <w:t>•</w:t>
            </w:r>
            <w:r>
              <w:rPr>
                <w:noProof/>
              </w:rPr>
              <w:tab/>
            </w:r>
            <w:r>
              <w:rPr>
                <w:noProof/>
                <w:sz w:val="20"/>
              </w:rPr>
              <w:t>finančno poročanje/računovodski izkazi in dejavnosti poročanja.</w:t>
            </w:r>
          </w:p>
        </w:tc>
      </w:tr>
      <w:tr>
        <w:tc>
          <w:tcPr>
            <w:tcW w:w="3240" w:type="dxa"/>
          </w:tcPr>
          <w:p>
            <w:pPr>
              <w:spacing w:before="60" w:after="60"/>
              <w:rPr>
                <w:noProof/>
                <w:sz w:val="20"/>
              </w:rPr>
            </w:pPr>
            <w:r>
              <w:rPr>
                <w:noProof/>
                <w:sz w:val="20"/>
              </w:rPr>
              <w:t>Zunanji sodelavci</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Skladnost z veljavnim večletnim finančnim okvirom </w:t>
      </w:r>
    </w:p>
    <w:p>
      <w:pPr>
        <w:pStyle w:val="ListDash1"/>
        <w:rPr>
          <w:noProof/>
        </w:rPr>
      </w:pPr>
      <w:r>
        <w:rPr>
          <w:noProof/>
          <w:szCs w:val="24"/>
        </w:rPr>
        <w:sym w:font="Wingdings" w:char="F0A8"/>
      </w:r>
      <w:r>
        <w:rPr>
          <w:noProof/>
        </w:rPr>
        <w:t>X</w:t>
      </w:r>
      <w:r>
        <w:rPr>
          <w:noProof/>
        </w:rPr>
        <w:tab/>
        <w:t>Predlog/pobuda je v skladu z veljavnim večletnim finančnim okvirom.</w:t>
      </w:r>
    </w:p>
    <w:p>
      <w:pPr>
        <w:pStyle w:val="ListDash1"/>
        <w:rPr>
          <w:noProof/>
        </w:rPr>
      </w:pPr>
      <w:r>
        <w:rPr>
          <w:noProof/>
          <w:szCs w:val="24"/>
        </w:rPr>
        <w:sym w:font="Wingdings" w:char="F0A8"/>
      </w:r>
      <w:r>
        <w:rPr>
          <w:noProof/>
        </w:rPr>
        <w:t xml:space="preserve"> Za predlog/pobudo je potrebna sprememba zadevnega razdelka večletnega finančnega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Pojasnite zahtevano spremembo ter navedite zadevne proračunske vrstice in ustrezne zneske.</w:t>
      </w:r>
    </w:p>
    <w:p>
      <w:pPr>
        <w:pStyle w:val="Text1"/>
        <w:pBdr>
          <w:top w:val="single" w:sz="4" w:space="1" w:color="auto"/>
          <w:left w:val="single" w:sz="4" w:space="4" w:color="auto"/>
          <w:bottom w:val="single" w:sz="4" w:space="1" w:color="auto"/>
          <w:right w:val="single" w:sz="4" w:space="4" w:color="auto"/>
        </w:pBdr>
        <w:rPr>
          <w:noProof/>
        </w:rPr>
      </w:pPr>
      <w:r>
        <w:t>[...]</w:t>
      </w:r>
    </w:p>
    <w:p>
      <w:pPr>
        <w:pStyle w:val="ListDash1"/>
        <w:rPr>
          <w:noProof/>
        </w:rPr>
      </w:pPr>
      <w:r>
        <w:rPr>
          <w:noProof/>
          <w:szCs w:val="24"/>
        </w:rPr>
        <w:sym w:font="Wingdings" w:char="F0A8"/>
      </w:r>
      <w:r>
        <w:rPr>
          <w:noProof/>
          <w:szCs w:val="24"/>
        </w:rPr>
        <w:t xml:space="preserve"> </w:t>
      </w:r>
      <w:r>
        <w:rPr>
          <w:noProof/>
        </w:rPr>
        <w:t>Za predlog/pobudo je potrebna uporaba instrumenta prilagodljivosti ali sprememba večletnega finančnega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Pojasnite te zahteve ter navedite zadevne razdelke in proračunske vrstice ter ustrezne zneske.</w:t>
      </w:r>
    </w:p>
    <w:p>
      <w:pPr>
        <w:pStyle w:val="Text1"/>
        <w:pBdr>
          <w:top w:val="single" w:sz="4" w:space="1" w:color="auto"/>
          <w:left w:val="single" w:sz="4" w:space="4" w:color="auto"/>
          <w:bottom w:val="single" w:sz="4" w:space="1" w:color="auto"/>
          <w:right w:val="single" w:sz="4" w:space="4" w:color="auto"/>
        </w:pBdr>
        <w:rPr>
          <w:noProof/>
        </w:rPr>
      </w:pPr>
      <w:r>
        <w:t>[...]</w:t>
      </w:r>
    </w:p>
    <w:p>
      <w:pPr>
        <w:pStyle w:val="ManualHeading3"/>
        <w:rPr>
          <w:bCs/>
          <w:noProof/>
          <w:szCs w:val="24"/>
        </w:rPr>
      </w:pPr>
      <w:r>
        <w:t>3.2.5.</w:t>
      </w:r>
      <w:r>
        <w:tab/>
      </w:r>
      <w:r>
        <w:rPr>
          <w:noProof/>
        </w:rPr>
        <w:t xml:space="preserve">Udeležba tretjih oseb pri financiranju </w:t>
      </w:r>
    </w:p>
    <w:p>
      <w:pPr>
        <w:pStyle w:val="ListDash1"/>
        <w:rPr>
          <w:noProof/>
        </w:rPr>
      </w:pPr>
      <w:r>
        <w:rPr>
          <w:noProof/>
        </w:rPr>
        <w:t xml:space="preserve">x V predlogu/pobudi ni načrtovano sofinanciranje tretjih oseb. </w:t>
      </w:r>
    </w:p>
    <w:p>
      <w:pPr>
        <w:pStyle w:val="ListDash1"/>
        <w:rPr>
          <w:noProof/>
        </w:rPr>
      </w:pPr>
      <w:r>
        <w:rPr>
          <w:noProof/>
        </w:rPr>
        <w:t>V predlogu/pobudi je načrtovano sofinanciranje, kot je ocenjeno v nadaljevanju:</w:t>
      </w:r>
    </w:p>
    <w:p>
      <w:pPr>
        <w:jc w:val="right"/>
        <w:rPr>
          <w:noProof/>
          <w:sz w:val="20"/>
        </w:rPr>
      </w:pPr>
      <w:r>
        <w:rPr>
          <w:noProof/>
          <w:sz w:val="20"/>
        </w:rPr>
        <w:t>odobritve v mio. EUR (na tri decimalna mesta natančno)</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Leto</w:t>
            </w:r>
            <w:r>
              <w:rPr>
                <w:noProof/>
                <w:sz w:val="22"/>
              </w:rPr>
              <w:br/>
            </w:r>
            <w:r>
              <w:rPr>
                <w:b/>
                <w:noProof/>
                <w:sz w:val="20"/>
              </w:rPr>
              <w:t>N</w:t>
            </w:r>
          </w:p>
        </w:tc>
        <w:tc>
          <w:tcPr>
            <w:tcW w:w="964" w:type="dxa"/>
            <w:vAlign w:val="center"/>
          </w:tcPr>
          <w:p>
            <w:pPr>
              <w:jc w:val="center"/>
              <w:rPr>
                <w:noProof/>
                <w:sz w:val="20"/>
              </w:rPr>
            </w:pPr>
            <w:r>
              <w:rPr>
                <w:noProof/>
                <w:sz w:val="20"/>
              </w:rPr>
              <w:t>Leto</w:t>
            </w:r>
            <w:r>
              <w:rPr>
                <w:noProof/>
                <w:sz w:val="22"/>
              </w:rPr>
              <w:br/>
            </w:r>
            <w:r>
              <w:rPr>
                <w:b/>
                <w:noProof/>
                <w:sz w:val="20"/>
              </w:rPr>
              <w:t>N+1</w:t>
            </w:r>
          </w:p>
        </w:tc>
        <w:tc>
          <w:tcPr>
            <w:tcW w:w="964" w:type="dxa"/>
            <w:vAlign w:val="center"/>
          </w:tcPr>
          <w:p>
            <w:pPr>
              <w:jc w:val="center"/>
              <w:rPr>
                <w:noProof/>
                <w:sz w:val="20"/>
              </w:rPr>
            </w:pPr>
            <w:r>
              <w:rPr>
                <w:noProof/>
                <w:sz w:val="20"/>
              </w:rPr>
              <w:t>Leto</w:t>
            </w:r>
            <w:r>
              <w:rPr>
                <w:noProof/>
                <w:sz w:val="22"/>
              </w:rPr>
              <w:br/>
            </w:r>
            <w:r>
              <w:rPr>
                <w:b/>
                <w:noProof/>
                <w:sz w:val="20"/>
              </w:rPr>
              <w:t>N+2</w:t>
            </w:r>
          </w:p>
        </w:tc>
        <w:tc>
          <w:tcPr>
            <w:tcW w:w="964" w:type="dxa"/>
            <w:vAlign w:val="center"/>
          </w:tcPr>
          <w:p>
            <w:pPr>
              <w:jc w:val="center"/>
              <w:rPr>
                <w:noProof/>
                <w:sz w:val="20"/>
              </w:rPr>
            </w:pPr>
            <w:r>
              <w:rPr>
                <w:noProof/>
                <w:sz w:val="20"/>
              </w:rPr>
              <w:t>Leto</w:t>
            </w:r>
            <w:r>
              <w:rPr>
                <w:noProof/>
                <w:sz w:val="22"/>
              </w:rPr>
              <w:br/>
            </w:r>
            <w:r>
              <w:rPr>
                <w:b/>
                <w:noProof/>
                <w:sz w:val="20"/>
              </w:rPr>
              <w:t>N+3</w:t>
            </w:r>
          </w:p>
        </w:tc>
        <w:tc>
          <w:tcPr>
            <w:tcW w:w="2892" w:type="dxa"/>
            <w:gridSpan w:val="3"/>
            <w:vAlign w:val="center"/>
          </w:tcPr>
          <w:p>
            <w:pPr>
              <w:jc w:val="center"/>
              <w:rPr>
                <w:b/>
                <w:noProof/>
                <w:sz w:val="20"/>
              </w:rPr>
            </w:pPr>
            <w:r>
              <w:rPr>
                <w:noProof/>
                <w:sz w:val="20"/>
              </w:rPr>
              <w:t>Vstavite ustrezno število let glede na trajanje posledic (gl. točko 1.6)</w:t>
            </w:r>
          </w:p>
        </w:tc>
        <w:tc>
          <w:tcPr>
            <w:tcW w:w="1158" w:type="dxa"/>
            <w:vAlign w:val="center"/>
          </w:tcPr>
          <w:p>
            <w:pPr>
              <w:spacing w:before="60" w:after="60"/>
              <w:jc w:val="center"/>
              <w:rPr>
                <w:noProof/>
                <w:sz w:val="20"/>
              </w:rPr>
            </w:pPr>
            <w:r>
              <w:rPr>
                <w:noProof/>
                <w:sz w:val="20"/>
              </w:rPr>
              <w:t>Skupaj</w:t>
            </w:r>
          </w:p>
        </w:tc>
      </w:tr>
      <w:tr>
        <w:trPr>
          <w:cantSplit/>
        </w:trPr>
        <w:tc>
          <w:tcPr>
            <w:tcW w:w="2340" w:type="dxa"/>
          </w:tcPr>
          <w:p>
            <w:pPr>
              <w:rPr>
                <w:noProof/>
                <w:sz w:val="22"/>
              </w:rPr>
            </w:pPr>
            <w:r>
              <w:rPr>
                <w:noProof/>
                <w:sz w:val="20"/>
              </w:rPr>
              <w:t>Navedite organ, ki bo sofinanciral predlog/pobudo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Sofinancirane odobritve SKUPAJ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Ocenjene posledice za prihodke </w:t>
      </w:r>
    </w:p>
    <w:p>
      <w:pPr>
        <w:pStyle w:val="ListDash1"/>
        <w:rPr>
          <w:noProof/>
        </w:rPr>
      </w:pPr>
      <w:r>
        <w:rPr>
          <w:noProof/>
        </w:rPr>
        <w:t>X</w:t>
      </w:r>
      <w:r>
        <w:rPr>
          <w:noProof/>
        </w:rPr>
        <w:tab/>
        <w:t>Predlog/pobuda nima finančnih posledic za prihodke.</w:t>
      </w:r>
    </w:p>
    <w:p>
      <w:pPr>
        <w:pStyle w:val="ListDash1"/>
        <w:rPr>
          <w:noProof/>
        </w:rPr>
      </w:pPr>
      <w:r>
        <w:rPr>
          <w:noProof/>
        </w:rPr>
        <w:t>Predlog/pobuda ima finančne posledice, kot je pojasnjeno v nadaljevanju:</w:t>
      </w:r>
    </w:p>
    <w:p>
      <w:pPr>
        <w:pStyle w:val="ListNumberLevel3"/>
        <w:rPr>
          <w:noProof/>
        </w:rPr>
      </w:pPr>
      <w:r>
        <w:rPr>
          <w:noProof/>
          <w:szCs w:val="24"/>
        </w:rPr>
        <w:sym w:font="Wingdings" w:char="F0A8"/>
      </w:r>
      <w:r>
        <w:rPr>
          <w:noProof/>
          <w:szCs w:val="24"/>
        </w:rPr>
        <w:t xml:space="preserve"> </w:t>
      </w:r>
      <w:r>
        <w:rPr>
          <w:noProof/>
        </w:rPr>
        <w:t xml:space="preserve">za lastna sredstva, </w:t>
      </w:r>
    </w:p>
    <w:p>
      <w:pPr>
        <w:pStyle w:val="ListNumberLevel3"/>
        <w:rPr>
          <w:noProof/>
        </w:rPr>
      </w:pPr>
      <w:r>
        <w:rPr>
          <w:noProof/>
          <w:szCs w:val="24"/>
        </w:rPr>
        <w:sym w:font="Wingdings" w:char="F0A8"/>
      </w:r>
      <w:r>
        <w:rPr>
          <w:noProof/>
          <w:szCs w:val="24"/>
        </w:rPr>
        <w:t xml:space="preserve"> </w:t>
      </w:r>
      <w:r>
        <w:rPr>
          <w:noProof/>
        </w:rPr>
        <w:t xml:space="preserve">za razne prihodke. </w:t>
      </w:r>
    </w:p>
    <w:p>
      <w:pPr>
        <w:jc w:val="right"/>
        <w:rPr>
          <w:i/>
          <w:noProof/>
          <w:sz w:val="20"/>
        </w:rPr>
      </w:pPr>
      <w:r>
        <w:rPr>
          <w:noProof/>
        </w:rPr>
        <w:t>v mio. EUR (na tri decimalna mesta natančno)</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Prihodkovna proračunska vrstica</w:t>
            </w:r>
          </w:p>
        </w:tc>
        <w:tc>
          <w:tcPr>
            <w:tcW w:w="1276" w:type="dxa"/>
            <w:vMerge w:val="restart"/>
            <w:vAlign w:val="center"/>
          </w:tcPr>
          <w:p>
            <w:pPr>
              <w:jc w:val="center"/>
              <w:rPr>
                <w:noProof/>
                <w:sz w:val="18"/>
              </w:rPr>
            </w:pPr>
            <w:r>
              <w:rPr>
                <w:noProof/>
                <w:sz w:val="18"/>
              </w:rPr>
              <w:t>Odobritve na voljo za tekoče proračunsko leto</w:t>
            </w:r>
          </w:p>
        </w:tc>
        <w:tc>
          <w:tcPr>
            <w:tcW w:w="7200" w:type="dxa"/>
            <w:gridSpan w:val="7"/>
            <w:vAlign w:val="center"/>
          </w:tcPr>
          <w:p>
            <w:pPr>
              <w:jc w:val="center"/>
              <w:rPr>
                <w:noProof/>
                <w:sz w:val="18"/>
              </w:rPr>
            </w:pPr>
            <w:r>
              <w:rPr>
                <w:noProof/>
                <w:sz w:val="18"/>
              </w:rPr>
              <w:t>Posledice predloga/pobude</w:t>
            </w:r>
            <w:r>
              <w:rPr>
                <w:rStyle w:val="FootnoteReference"/>
                <w:noProof/>
                <w:sz w:val="18"/>
              </w:rPr>
              <w:footnoteReference w:id="18"/>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Leto</w:t>
            </w:r>
            <w:r>
              <w:rPr>
                <w:noProof/>
                <w:sz w:val="22"/>
              </w:rPr>
              <w:br/>
            </w:r>
            <w:r>
              <w:rPr>
                <w:b/>
                <w:noProof/>
                <w:sz w:val="18"/>
              </w:rPr>
              <w:t>2017</w:t>
            </w:r>
          </w:p>
        </w:tc>
        <w:tc>
          <w:tcPr>
            <w:tcW w:w="900" w:type="dxa"/>
            <w:vAlign w:val="center"/>
          </w:tcPr>
          <w:p>
            <w:pPr>
              <w:jc w:val="center"/>
              <w:rPr>
                <w:noProof/>
                <w:sz w:val="18"/>
              </w:rPr>
            </w:pPr>
            <w:r>
              <w:rPr>
                <w:noProof/>
                <w:sz w:val="18"/>
              </w:rPr>
              <w:t>Leto</w:t>
            </w:r>
            <w:r>
              <w:rPr>
                <w:noProof/>
                <w:sz w:val="22"/>
              </w:rPr>
              <w:br/>
            </w:r>
            <w:r>
              <w:rPr>
                <w:b/>
                <w:noProof/>
                <w:sz w:val="18"/>
              </w:rPr>
              <w:t>2018</w:t>
            </w:r>
          </w:p>
        </w:tc>
        <w:tc>
          <w:tcPr>
            <w:tcW w:w="900" w:type="dxa"/>
            <w:vAlign w:val="center"/>
          </w:tcPr>
          <w:p>
            <w:pPr>
              <w:jc w:val="center"/>
              <w:rPr>
                <w:noProof/>
                <w:sz w:val="18"/>
              </w:rPr>
            </w:pPr>
            <w:r>
              <w:rPr>
                <w:noProof/>
                <w:sz w:val="18"/>
              </w:rPr>
              <w:t>Leto</w:t>
            </w:r>
            <w:r>
              <w:rPr>
                <w:noProof/>
                <w:sz w:val="22"/>
              </w:rPr>
              <w:br/>
            </w:r>
            <w:r>
              <w:rPr>
                <w:b/>
                <w:noProof/>
                <w:sz w:val="18"/>
              </w:rPr>
              <w:t>2019</w:t>
            </w:r>
          </w:p>
        </w:tc>
        <w:tc>
          <w:tcPr>
            <w:tcW w:w="1080" w:type="dxa"/>
            <w:vAlign w:val="center"/>
          </w:tcPr>
          <w:p>
            <w:pPr>
              <w:jc w:val="center"/>
              <w:rPr>
                <w:noProof/>
                <w:sz w:val="18"/>
              </w:rPr>
            </w:pPr>
            <w:r>
              <w:rPr>
                <w:noProof/>
                <w:sz w:val="18"/>
              </w:rPr>
              <w:t>Leto</w:t>
            </w:r>
            <w:r>
              <w:rPr>
                <w:noProof/>
                <w:sz w:val="22"/>
              </w:rPr>
              <w:br/>
            </w:r>
            <w:r>
              <w:rPr>
                <w:b/>
                <w:noProof/>
                <w:sz w:val="18"/>
              </w:rPr>
              <w:t>2020</w:t>
            </w:r>
          </w:p>
        </w:tc>
        <w:tc>
          <w:tcPr>
            <w:tcW w:w="3240" w:type="dxa"/>
            <w:gridSpan w:val="3"/>
            <w:vAlign w:val="center"/>
          </w:tcPr>
          <w:p>
            <w:pPr>
              <w:jc w:val="center"/>
              <w:rPr>
                <w:b/>
                <w:noProof/>
                <w:sz w:val="18"/>
              </w:rPr>
            </w:pPr>
            <w:r>
              <w:rPr>
                <w:noProof/>
                <w:sz w:val="18"/>
              </w:rPr>
              <w:t>Vstavite ustrezno število let glede na trajanje posledic (gl. točko 1.6)</w:t>
            </w:r>
          </w:p>
        </w:tc>
      </w:tr>
      <w:tr>
        <w:trPr>
          <w:trHeight w:val="388"/>
        </w:trPr>
        <w:tc>
          <w:tcPr>
            <w:tcW w:w="2144" w:type="dxa"/>
            <w:vAlign w:val="center"/>
          </w:tcPr>
          <w:p>
            <w:pPr>
              <w:spacing w:before="40" w:after="40"/>
              <w:rPr>
                <w:noProof/>
                <w:sz w:val="18"/>
              </w:rPr>
            </w:pPr>
            <w:r>
              <w:rPr>
                <w:noProof/>
                <w:sz w:val="18"/>
              </w:rPr>
              <w:t>Člen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b/>
                <w:noProof/>
                <w:sz w:val="18"/>
              </w:rPr>
            </w:pPr>
            <w:r>
              <w:rPr>
                <w:b/>
                <w:noProof/>
                <w:sz w:val="18"/>
              </w:rPr>
              <w:t xml:space="preserve"> </w:t>
            </w:r>
          </w:p>
        </w:tc>
        <w:tc>
          <w:tcPr>
            <w:tcW w:w="900" w:type="dxa"/>
            <w:shd w:val="clear" w:color="auto" w:fill="auto"/>
          </w:tcPr>
          <w:p>
            <w:pPr>
              <w:spacing w:beforeLines="40" w:before="96" w:afterLines="40" w:after="96"/>
              <w:jc w:val="center"/>
              <w:rPr>
                <w:b/>
                <w:noProof/>
                <w:sz w:val="18"/>
              </w:rPr>
            </w:pPr>
          </w:p>
        </w:tc>
        <w:tc>
          <w:tcPr>
            <w:tcW w:w="900" w:type="dxa"/>
            <w:shd w:val="clear" w:color="auto" w:fill="auto"/>
          </w:tcPr>
          <w:p>
            <w:pPr>
              <w:spacing w:beforeLines="40" w:before="96" w:afterLines="40" w:after="96"/>
              <w:jc w:val="center"/>
              <w:rPr>
                <w:b/>
                <w:noProof/>
                <w:sz w:val="18"/>
              </w:rPr>
            </w:pPr>
          </w:p>
        </w:tc>
        <w:tc>
          <w:tcPr>
            <w:tcW w:w="1080" w:type="dxa"/>
            <w:shd w:val="clear" w:color="auto" w:fill="auto"/>
          </w:tcPr>
          <w:p>
            <w:pPr>
              <w:spacing w:beforeLines="40" w:before="96" w:afterLines="40" w:after="96"/>
              <w:jc w:val="center"/>
              <w:rPr>
                <w:b/>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spacing w:line="276" w:lineRule="auto"/>
        <w:rPr>
          <w:noProof/>
          <w:sz w:val="20"/>
        </w:rPr>
      </w:pPr>
      <w:r>
        <w:rPr>
          <w:noProof/>
          <w:sz w:val="20"/>
        </w:rPr>
        <w:t>Za razne namenske prejemke navedite zadevne odhodkovne proračunske vrstice.</w:t>
      </w:r>
    </w:p>
    <w:p>
      <w:pPr>
        <w:pStyle w:val="Text1"/>
        <w:pBdr>
          <w:top w:val="single" w:sz="4" w:space="1" w:color="auto"/>
          <w:left w:val="single" w:sz="4" w:space="4" w:color="auto"/>
          <w:bottom w:val="single" w:sz="4" w:space="1" w:color="auto"/>
          <w:right w:val="single" w:sz="4" w:space="4" w:color="auto"/>
        </w:pBdr>
        <w:spacing w:line="276" w:lineRule="auto"/>
        <w:rPr>
          <w:noProof/>
        </w:rPr>
      </w:pPr>
    </w:p>
    <w:p>
      <w:pPr>
        <w:pStyle w:val="Text1"/>
        <w:spacing w:line="276" w:lineRule="auto"/>
        <w:rPr>
          <w:noProof/>
          <w:sz w:val="20"/>
        </w:rPr>
      </w:pPr>
    </w:p>
    <w:p>
      <w:pPr>
        <w:pStyle w:val="Text1"/>
        <w:spacing w:line="276" w:lineRule="auto"/>
        <w:rPr>
          <w:noProof/>
          <w:szCs w:val="24"/>
        </w:rPr>
      </w:pPr>
      <w:r>
        <w:rPr>
          <w:noProof/>
        </w:rPr>
        <w:t xml:space="preserve">Za informacijo, pričakovani prihodki iz določanja cene tveganja s strani EIB ne bodo imeli nobenega učinka na proračun. Prihodki bodo plačani neposredno v Jamstveni sklad. </w:t>
      </w:r>
    </w:p>
    <w:p>
      <w:pPr>
        <w:pStyle w:val="Text1"/>
        <w:spacing w:line="276" w:lineRule="auto"/>
        <w:rPr>
          <w:noProof/>
          <w:szCs w:val="24"/>
        </w:rPr>
      </w:pPr>
      <w:r>
        <w:rPr>
          <w:noProof/>
        </w:rPr>
        <w:t xml:space="preserve">Ocenjeni prihodki so: </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4"/>
        <w:gridCol w:w="2096"/>
        <w:gridCol w:w="2096"/>
        <w:gridCol w:w="2515"/>
        <w:gridCol w:w="1399"/>
      </w:tblGrid>
      <w:tr>
        <w:trPr>
          <w:gridAfter w:val="1"/>
          <w:wAfter w:w="601" w:type="dxa"/>
          <w:trHeight w:val="388"/>
        </w:trPr>
        <w:tc>
          <w:tcPr>
            <w:tcW w:w="1080" w:type="dxa"/>
            <w:vAlign w:val="center"/>
          </w:tcPr>
          <w:p>
            <w:pPr>
              <w:jc w:val="center"/>
              <w:rPr>
                <w:noProof/>
                <w:sz w:val="18"/>
              </w:rPr>
            </w:pPr>
            <w:r>
              <w:rPr>
                <w:noProof/>
                <w:sz w:val="18"/>
              </w:rPr>
              <w:t>Leto</w:t>
            </w:r>
            <w:r>
              <w:rPr>
                <w:noProof/>
                <w:sz w:val="22"/>
              </w:rPr>
              <w:br/>
            </w:r>
            <w:r>
              <w:rPr>
                <w:b/>
                <w:noProof/>
                <w:sz w:val="18"/>
              </w:rPr>
              <w:t>2017</w:t>
            </w:r>
          </w:p>
        </w:tc>
        <w:tc>
          <w:tcPr>
            <w:tcW w:w="900" w:type="dxa"/>
            <w:vAlign w:val="center"/>
          </w:tcPr>
          <w:p>
            <w:pPr>
              <w:jc w:val="center"/>
              <w:rPr>
                <w:noProof/>
                <w:sz w:val="18"/>
              </w:rPr>
            </w:pPr>
            <w:r>
              <w:rPr>
                <w:noProof/>
                <w:sz w:val="18"/>
              </w:rPr>
              <w:t>Leto</w:t>
            </w:r>
            <w:r>
              <w:rPr>
                <w:noProof/>
                <w:sz w:val="22"/>
              </w:rPr>
              <w:br/>
            </w:r>
            <w:r>
              <w:rPr>
                <w:b/>
                <w:noProof/>
                <w:sz w:val="18"/>
              </w:rPr>
              <w:t>2018</w:t>
            </w:r>
          </w:p>
        </w:tc>
        <w:tc>
          <w:tcPr>
            <w:tcW w:w="900" w:type="dxa"/>
            <w:vAlign w:val="center"/>
          </w:tcPr>
          <w:p>
            <w:pPr>
              <w:jc w:val="center"/>
              <w:rPr>
                <w:noProof/>
                <w:sz w:val="18"/>
              </w:rPr>
            </w:pPr>
            <w:r>
              <w:rPr>
                <w:noProof/>
                <w:sz w:val="18"/>
              </w:rPr>
              <w:t>Leto</w:t>
            </w:r>
            <w:r>
              <w:rPr>
                <w:noProof/>
                <w:sz w:val="22"/>
              </w:rPr>
              <w:br/>
            </w:r>
            <w:r>
              <w:rPr>
                <w:b/>
                <w:noProof/>
                <w:sz w:val="18"/>
              </w:rPr>
              <w:t>2019</w:t>
            </w:r>
          </w:p>
        </w:tc>
        <w:tc>
          <w:tcPr>
            <w:tcW w:w="1080" w:type="dxa"/>
            <w:vAlign w:val="center"/>
          </w:tcPr>
          <w:p>
            <w:pPr>
              <w:jc w:val="center"/>
              <w:rPr>
                <w:noProof/>
                <w:sz w:val="18"/>
              </w:rPr>
            </w:pPr>
            <w:r>
              <w:rPr>
                <w:noProof/>
                <w:sz w:val="18"/>
              </w:rPr>
              <w:t>Leto</w:t>
            </w:r>
            <w:r>
              <w:rPr>
                <w:noProof/>
                <w:sz w:val="22"/>
              </w:rPr>
              <w:br/>
            </w:r>
            <w:r>
              <w:rPr>
                <w:b/>
                <w:noProof/>
                <w:sz w:val="18"/>
              </w:rPr>
              <w:t>2020</w:t>
            </w:r>
          </w:p>
        </w:tc>
      </w:tr>
      <w:tr>
        <w:trPr>
          <w:trHeight w:val="388"/>
        </w:trPr>
        <w:tc>
          <w:tcPr>
            <w:tcW w:w="1080" w:type="dxa"/>
          </w:tcPr>
          <w:p>
            <w:pPr>
              <w:spacing w:beforeLines="40" w:before="96" w:afterLines="40" w:after="96"/>
              <w:jc w:val="center"/>
              <w:rPr>
                <w:b/>
                <w:noProof/>
                <w:sz w:val="18"/>
              </w:rPr>
            </w:pPr>
            <w:r>
              <w:rPr>
                <w:b/>
                <w:noProof/>
                <w:sz w:val="18"/>
              </w:rPr>
              <w:t xml:space="preserve">- </w:t>
            </w:r>
          </w:p>
        </w:tc>
        <w:tc>
          <w:tcPr>
            <w:tcW w:w="900" w:type="dxa"/>
            <w:shd w:val="clear" w:color="auto" w:fill="auto"/>
          </w:tcPr>
          <w:p>
            <w:pPr>
              <w:spacing w:beforeLines="40" w:before="96" w:afterLines="40" w:after="96"/>
              <w:jc w:val="center"/>
              <w:rPr>
                <w:b/>
                <w:noProof/>
                <w:sz w:val="18"/>
              </w:rPr>
            </w:pPr>
            <w:r>
              <w:rPr>
                <w:b/>
                <w:noProof/>
                <w:sz w:val="18"/>
              </w:rPr>
              <w:t>0,504</w:t>
            </w:r>
          </w:p>
        </w:tc>
        <w:tc>
          <w:tcPr>
            <w:tcW w:w="900" w:type="dxa"/>
            <w:shd w:val="clear" w:color="auto" w:fill="auto"/>
          </w:tcPr>
          <w:p>
            <w:pPr>
              <w:spacing w:beforeLines="40" w:before="96" w:afterLines="40" w:after="96"/>
              <w:jc w:val="center"/>
              <w:rPr>
                <w:b/>
                <w:noProof/>
                <w:sz w:val="18"/>
              </w:rPr>
            </w:pPr>
            <w:r>
              <w:rPr>
                <w:b/>
                <w:noProof/>
                <w:sz w:val="18"/>
              </w:rPr>
              <w:t>1,366</w:t>
            </w:r>
          </w:p>
        </w:tc>
        <w:tc>
          <w:tcPr>
            <w:tcW w:w="1080" w:type="dxa"/>
            <w:gridSpan w:val="2"/>
            <w:shd w:val="clear" w:color="auto" w:fill="auto"/>
          </w:tcPr>
          <w:p>
            <w:pPr>
              <w:spacing w:beforeLines="40" w:before="96" w:afterLines="40" w:after="96"/>
              <w:jc w:val="center"/>
              <w:rPr>
                <w:b/>
                <w:noProof/>
                <w:sz w:val="18"/>
              </w:rPr>
            </w:pPr>
            <w:r>
              <w:rPr>
                <w:b/>
                <w:noProof/>
                <w:sz w:val="18"/>
              </w:rPr>
              <w:t>2,718</w:t>
            </w:r>
          </w:p>
        </w:tc>
      </w:tr>
    </w:tbl>
    <w:p>
      <w:pPr>
        <w:pStyle w:val="Text1"/>
        <w:spacing w:line="276" w:lineRule="auto"/>
        <w:ind w:left="0"/>
        <w:rPr>
          <w:noProof/>
          <w:sz w:val="20"/>
        </w:rPr>
      </w:pP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Dopolnilni podati: Prihodki iz premij za tveganja so ocenjeni na 50 bazičnih točk in izračunani na podlagi ocenjenega zneska neporavnanih posojil, ki jih je EIB odobrila za projekte v zasebnem sektorju v odziv na migracijsko krizo.</w:t>
      </w:r>
    </w:p>
    <w:p>
      <w:pPr>
        <w:pStyle w:val="Text1"/>
        <w:pBdr>
          <w:top w:val="single" w:sz="4" w:space="1" w:color="auto"/>
          <w:left w:val="single" w:sz="4" w:space="4" w:color="auto"/>
          <w:bottom w:val="single" w:sz="4" w:space="1" w:color="auto"/>
          <w:right w:val="single" w:sz="4" w:space="4" w:color="auto"/>
        </w:pBdr>
        <w:spacing w:line="276" w:lineRule="auto"/>
        <w:rPr>
          <w:noProof/>
        </w:rPr>
      </w:pPr>
      <w:r>
        <w:rPr>
          <w:noProof/>
        </w:rPr>
        <w:t>Za informacijo, trenutno Komisija plačuje pristojbino za finančno poslovodenje Jamstvenega sklada. Predlog za prenos te dejavnosti na Komisijo bo omogočil prihranek v višini približno 900 000 EUR na leto (leta 2015 je bilo EIB plačanih 860 000 EUR).</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COM(2016) 385 z dne 7. junija 2016.</w:t>
      </w:r>
    </w:p>
  </w:footnote>
  <w:footnote w:id="2">
    <w:p>
      <w:pPr>
        <w:pStyle w:val="FootnoteText"/>
      </w:pPr>
      <w:r>
        <w:rPr>
          <w:rStyle w:val="FootnoteReference"/>
        </w:rPr>
        <w:footnoteRef/>
      </w:r>
      <w:r>
        <w:tab/>
        <w:t>Uredba Sveta (ES, Euratom) št. 480/2009 z dne 25. maja 2009 o ustanovitvi Jamstvenega sklada za zunanje ukrepe (UL L 145, 10.6.2009, str. 10).</w:t>
      </w:r>
    </w:p>
  </w:footnote>
  <w:footnote w:id="3">
    <w:p>
      <w:pPr>
        <w:pStyle w:val="FootnoteText"/>
      </w:pPr>
      <w:r>
        <w:rPr>
          <w:rStyle w:val="FootnoteReference"/>
        </w:rPr>
        <w:footnoteRef/>
      </w:r>
      <w:r>
        <w:tab/>
        <w:t>ABM: upravljanje po dejavnostih, ABB: oblikovanje proračuna po dejavnostih.</w:t>
      </w:r>
    </w:p>
  </w:footnote>
  <w:footnote w:id="4">
    <w:p>
      <w:pPr>
        <w:pStyle w:val="FootnoteText"/>
      </w:pPr>
      <w:r>
        <w:rPr>
          <w:rStyle w:val="FootnoteReference"/>
        </w:rPr>
        <w:footnoteRef/>
      </w:r>
      <w:r>
        <w:tab/>
        <w:t>Po členu 54(2)(a) oz. (b) finančne uredbe.</w:t>
      </w:r>
    </w:p>
  </w:footnote>
  <w:footnote w:id="5">
    <w:p>
      <w:pPr>
        <w:pStyle w:val="FootnoteText"/>
      </w:pPr>
      <w:r>
        <w:rPr>
          <w:rStyle w:val="FootnoteReference"/>
        </w:rPr>
        <w:footnoteRef/>
      </w:r>
      <w:r>
        <w:tab/>
        <w:t xml:space="preserve">Pojasnila o načinih upravljanja in sklici na finančno uredbo so na voljo na spletišču BudgWeb: </w:t>
      </w:r>
      <w:hyperlink r:id="rId1">
        <w:r>
          <w:rPr>
            <w:rStyle w:val="Hyperlink"/>
            <w:sz w:val="18"/>
          </w:rPr>
          <w:t>http://www.cc.cec/budg/man/budgmanag/budgmanag_en.html.</w:t>
        </w:r>
      </w:hyperlink>
    </w:p>
  </w:footnote>
  <w:footnote w:id="6">
    <w:p>
      <w:pPr>
        <w:pStyle w:val="FootnoteText"/>
      </w:pPr>
      <w:r>
        <w:rPr>
          <w:rStyle w:val="FootnoteReference"/>
        </w:rPr>
        <w:footnoteRef/>
      </w:r>
      <w:r>
        <w:tab/>
        <w:t>Dif. = diferencirana sredstva / nedif. = nediferencirana sredstva.</w:t>
      </w:r>
    </w:p>
  </w:footnote>
  <w:footnote w:id="7">
    <w:p>
      <w:pPr>
        <w:pStyle w:val="FootnoteText"/>
      </w:pPr>
      <w:r>
        <w:rPr>
          <w:rStyle w:val="FootnoteReference"/>
        </w:rPr>
        <w:footnoteRef/>
      </w:r>
      <w:r>
        <w:tab/>
        <w:t xml:space="preserve">Efta: Evropsko združenje za prosto trgovino. </w:t>
      </w:r>
    </w:p>
  </w:footnote>
  <w:footnote w:id="8">
    <w:p>
      <w:pPr>
        <w:pStyle w:val="FootnoteText"/>
      </w:pPr>
      <w:r>
        <w:rPr>
          <w:rStyle w:val="FootnoteReference"/>
        </w:rPr>
        <w:footnoteRef/>
      </w:r>
      <w:r>
        <w:tab/>
        <w:t>Države kandidatke in po potrebi potencialne države kandidatke z zahodnega Balkana.</w:t>
      </w:r>
    </w:p>
  </w:footnote>
  <w:footnote w:id="9">
    <w:p>
      <w:pPr>
        <w:pStyle w:val="FootnoteText"/>
      </w:pPr>
      <w:r>
        <w:rPr>
          <w:rStyle w:val="FootnoteReference"/>
        </w:rPr>
        <w:footnoteRef/>
      </w:r>
      <w:r>
        <w:tab/>
        <w:t>Leto N je leto začetka izvajanja predloga/pobude.</w:t>
      </w:r>
    </w:p>
  </w:footnote>
  <w:footnote w:id="10">
    <w:p>
      <w:pPr>
        <w:pStyle w:val="FootnoteText"/>
      </w:pPr>
      <w:r>
        <w:rPr>
          <w:rStyle w:val="FootnoteReference"/>
        </w:rPr>
        <w:footnoteRef/>
      </w:r>
      <w:r>
        <w:tab/>
        <w:t>Tehnična in/ali upravna pomoč ter odhodki za podporo izvajanja programov in/ali ukrepov EU (prej vrstice BA), posredne raziskave, neposredne raziskave.</w:t>
      </w:r>
    </w:p>
  </w:footnote>
  <w:footnote w:id="11">
    <w:p>
      <w:pPr>
        <w:pStyle w:val="FootnoteText"/>
      </w:pPr>
      <w:r>
        <w:rPr>
          <w:rStyle w:val="FootnoteReference"/>
        </w:rPr>
        <w:footnoteRef/>
      </w:r>
      <w:r>
        <w:tab/>
        <w:t>Leto N je leto začetka izvajanja predloga/pobude.</w:t>
      </w:r>
    </w:p>
  </w:footnote>
  <w:footnote w:id="12">
    <w:p>
      <w:pPr>
        <w:pStyle w:val="FootnoteText"/>
      </w:pPr>
      <w:r>
        <w:rPr>
          <w:rStyle w:val="FootnoteReference"/>
        </w:rPr>
        <w:footnoteRef/>
      </w:r>
      <w:r>
        <w:tab/>
        <w:t>Realizacije so dobavljeni proizvodi in opravljene storitve (npr. število financiranih izmenjav študentov, število kilometrov novozgrajenih cest itd.).</w:t>
      </w:r>
    </w:p>
  </w:footnote>
  <w:footnote w:id="13">
    <w:p>
      <w:pPr>
        <w:pStyle w:val="FootnoteText"/>
      </w:pPr>
      <w:r>
        <w:rPr>
          <w:rStyle w:val="FootnoteReference"/>
        </w:rPr>
        <w:footnoteRef/>
      </w:r>
      <w:r>
        <w:tab/>
        <w:t xml:space="preserve">Kakor je opisano v točki 1.4.2. „Specifični cilji …“. </w:t>
      </w:r>
    </w:p>
  </w:footnote>
  <w:footnote w:id="14">
    <w:p>
      <w:pPr>
        <w:pStyle w:val="FootnoteText"/>
      </w:pPr>
      <w:r>
        <w:rPr>
          <w:rStyle w:val="FootnoteReference"/>
        </w:rPr>
        <w:footnoteRef/>
      </w:r>
      <w:r>
        <w:tab/>
        <w:t>Leto N je leto začetka izvajanja predloga/pobude.</w:t>
      </w:r>
    </w:p>
  </w:footnote>
  <w:footnote w:id="15">
    <w:p>
      <w:pPr>
        <w:pStyle w:val="FootnoteText"/>
      </w:pPr>
      <w:r>
        <w:rPr>
          <w:rStyle w:val="FootnoteReference"/>
        </w:rPr>
        <w:footnoteRef/>
      </w:r>
      <w:r>
        <w:tab/>
        <w:t>Tehnična in/ali upravna pomoč ter odhodki za podporo izvajanja programov in/ali ukrepov EU (prej vrstice BA), posredne raziskave, neposredne raziskave.</w:t>
      </w:r>
    </w:p>
  </w:footnote>
  <w:footnote w:id="16">
    <w:p>
      <w:pPr>
        <w:pStyle w:val="FootnoteText"/>
      </w:pPr>
      <w:r>
        <w:rPr>
          <w:rStyle w:val="FootnoteReference"/>
        </w:rPr>
        <w:footnoteRef/>
      </w:r>
      <w:r>
        <w:tab/>
        <w:t xml:space="preserve">PU = pogodbeni uslužbenec; LU = lokalni uslužbenec; NNS = napoteni nacionalni strokovnjak; ZU = začasni uslužbenec; MSD = mladi strokovnjak na delegaciji. </w:t>
      </w:r>
    </w:p>
  </w:footnote>
  <w:footnote w:id="17">
    <w:p>
      <w:pPr>
        <w:pStyle w:val="FootnoteText"/>
      </w:pPr>
      <w:r>
        <w:rPr>
          <w:rStyle w:val="FootnoteReference"/>
        </w:rPr>
        <w:footnoteRef/>
      </w:r>
      <w:r>
        <w:tab/>
        <w:t>Dodatna zgornja meja za zunanje sodelavce v okviru odobritev za poslovanje (prej vrstice BA).</w:t>
      </w:r>
    </w:p>
  </w:footnote>
  <w:footnote w:id="18">
    <w:p>
      <w:pPr>
        <w:pStyle w:val="FootnoteText"/>
      </w:pPr>
      <w:r>
        <w:rPr>
          <w:rStyle w:val="FootnoteReference"/>
        </w:rPr>
        <w:footnoteRef/>
      </w:r>
      <w:r>
        <w:tab/>
        <w:t>Pri tradicionalnih lastnih sredstvih (carine, prelevmani na sladkor) se navedejo neto zneski, tj. bruto zneski po odbitku 25 % stroškov pobiranja.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5402B3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ACEA7E8"/>
    <w:lvl w:ilvl="0">
      <w:start w:val="1"/>
      <w:numFmt w:val="decimal"/>
      <w:pStyle w:val="ListNumber3"/>
      <w:lvlText w:val="%1."/>
      <w:lvlJc w:val="left"/>
      <w:pPr>
        <w:tabs>
          <w:tab w:val="num" w:pos="926"/>
        </w:tabs>
        <w:ind w:left="926" w:hanging="360"/>
      </w:pPr>
    </w:lvl>
  </w:abstractNum>
  <w:abstractNum w:abstractNumId="2">
    <w:nsid w:val="FFFFFF7F"/>
    <w:multiLevelType w:val="singleLevel"/>
    <w:tmpl w:val="0958D1EA"/>
    <w:lvl w:ilvl="0">
      <w:start w:val="1"/>
      <w:numFmt w:val="decimal"/>
      <w:pStyle w:val="ListNumber2"/>
      <w:lvlText w:val="%1."/>
      <w:lvlJc w:val="left"/>
      <w:pPr>
        <w:tabs>
          <w:tab w:val="num" w:pos="643"/>
        </w:tabs>
        <w:ind w:left="643" w:hanging="360"/>
      </w:pPr>
    </w:lvl>
  </w:abstractNum>
  <w:abstractNum w:abstractNumId="3">
    <w:nsid w:val="FFFFFF81"/>
    <w:multiLevelType w:val="singleLevel"/>
    <w:tmpl w:val="778CBDB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534D3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
  </w:num>
  <w:num w:numId="2">
    <w:abstractNumId w:val="3"/>
  </w:num>
  <w:num w:numId="3">
    <w:abstractNumId w:val="5"/>
  </w:num>
  <w:num w:numId="4">
    <w:abstractNumId w:val="14"/>
  </w:num>
  <w:num w:numId="5">
    <w:abstractNumId w:val="13"/>
  </w:num>
  <w:num w:numId="6">
    <w:abstractNumId w:val="22"/>
  </w:num>
  <w:num w:numId="7">
    <w:abstractNumId w:val="19"/>
  </w:num>
  <w:num w:numId="8">
    <w:abstractNumId w:val="23"/>
  </w:num>
  <w:num w:numId="9">
    <w:abstractNumId w:val="24"/>
    <w:lvlOverride w:ilvl="0">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18"/>
  </w:num>
  <w:num w:numId="15">
    <w:abstractNumId w:val="10"/>
  </w:num>
  <w:num w:numId="16">
    <w:abstractNumId w:val="21"/>
  </w:num>
  <w:num w:numId="17">
    <w:abstractNumId w:val="9"/>
  </w:num>
  <w:num w:numId="18">
    <w:abstractNumId w:val="11"/>
  </w:num>
  <w:num w:numId="19">
    <w:abstractNumId w:val="7"/>
  </w:num>
  <w:num w:numId="20">
    <w:abstractNumId w:val="20"/>
  </w:num>
  <w:num w:numId="21">
    <w:abstractNumId w:val="6"/>
  </w:num>
  <w:num w:numId="22">
    <w:abstractNumId w:val="12"/>
  </w:num>
  <w:num w:numId="23">
    <w:abstractNumId w:val="16"/>
  </w:num>
  <w:num w:numId="24">
    <w:abstractNumId w:val="17"/>
  </w:num>
  <w:num w:numId="25">
    <w:abstractNumId w:val="8"/>
  </w:num>
  <w:num w:numId="26">
    <w:abstractNumId w:val="15"/>
  </w:num>
  <w:num w:numId="27">
    <w:abstractNumId w:val="24"/>
  </w:num>
  <w:num w:numId="28">
    <w:abstractNumId w:val="18"/>
  </w:num>
  <w:num w:numId="29">
    <w:abstractNumId w:val="10"/>
  </w:num>
  <w:num w:numId="30">
    <w:abstractNumId w:val="21"/>
  </w:num>
  <w:num w:numId="31">
    <w:abstractNumId w:val="9"/>
  </w:num>
  <w:num w:numId="32">
    <w:abstractNumId w:val="11"/>
  </w:num>
  <w:num w:numId="33">
    <w:abstractNumId w:val="7"/>
  </w:num>
  <w:num w:numId="34">
    <w:abstractNumId w:val="20"/>
  </w:num>
  <w:num w:numId="35">
    <w:abstractNumId w:val="6"/>
  </w:num>
  <w:num w:numId="36">
    <w:abstractNumId w:val="12"/>
  </w:num>
  <w:num w:numId="37">
    <w:abstractNumId w:val="16"/>
  </w:num>
  <w:num w:numId="38">
    <w:abstractNumId w:val="17"/>
  </w:num>
  <w:num w:numId="39">
    <w:abstractNumId w:val="8"/>
  </w:num>
  <w:num w:numId="40">
    <w:abstractNumId w:val="15"/>
  </w:num>
  <w:num w:numId="41">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7"/>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03 09:33:5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2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03F73AF7045E4D628F094CC73C78DA1A"/>
    <w:docVar w:name="LW_CROSSREFERENCE" w:val="&lt;UNUSED&gt;"/>
    <w:docVar w:name="LW_DocType" w:val="COM"/>
    <w:docVar w:name="LW_EMISSION" w:val="14.9.2016"/>
    <w:docVar w:name="LW_EMISSION_ISODATE" w:val="2016-09-14"/>
    <w:docVar w:name="LW_EMISSION_LOCATION" w:val="BRX"/>
    <w:docVar w:name="LW_EMISSION_PREFIX" w:val="Bruselj,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SL"/>
    <w:docVar w:name="LW_MARKING" w:val="&lt;UNUSED&gt;"/>
    <w:docVar w:name="LW_NOM.INST" w:val="EVROPSKA KOMISIJA"/>
    <w:docVar w:name="LW_NOM.INST_JOINTDOC" w:val="&lt;EMPTY&gt;"/>
    <w:docVar w:name="LW_PART_NBR" w:val="1"/>
    <w:docVar w:name="LW_PART_NBR_TOTAL" w:val="1"/>
    <w:docVar w:name="LW_REF.II.NEW.CP" w:val="COD"/>
    <w:docVar w:name="LW_REF.II.NEW.CP_NUMBER" w:val="0274"/>
    <w:docVar w:name="LW_REF.II.NEW.CP_YEAR" w:val="2016"/>
    <w:docVar w:name="LW_REF.INST.NEW" w:val="COM"/>
    <w:docVar w:name="LW_REF.INST.NEW_ADOPTED" w:val="final"/>
    <w:docVar w:name="LW_REF.INST.NEW_TEXT" w:val="(2016) 582"/>
    <w:docVar w:name="LW_REF.INTERNE" w:val="&lt;UNUSED&gt;"/>
    <w:docVar w:name="LW_SOUS.TITRE.OBJ.CP" w:val="&lt;UNUSED&gt;"/>
    <w:docVar w:name="LW_STATUT.CP" w:val="Predlog"/>
    <w:docVar w:name="LW_SUPERTITRE" w:val="&lt;UNUSED&gt;"/>
    <w:docVar w:name="LW_TITRE.OBJ.CP" w:val="o spremembi Uredbe (ES, Euratom) \u353?t. 480/2009 o ustanovitvi Jamstvenega sklada za zunanje ukrepe"/>
    <w:docVar w:name="LW_TYPE.DOC.CP" w:val="UREDBA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character" w:styleId="Hyperlink">
    <w:name w:val="Hyperlink"/>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uiPriority w:val="99"/>
    <w:semiHidden/>
    <w:unhideWhenUsed/>
    <w:pPr>
      <w:numPr>
        <w:numId w:val="1"/>
      </w:numPr>
      <w:contextualSpacing/>
    </w:pPr>
    <w:rPr>
      <w:rFonts w:eastAsia="Times New Roman"/>
    </w:rPr>
  </w:style>
  <w:style w:type="paragraph" w:styleId="ListBullet4">
    <w:name w:val="List Bullet 4"/>
    <w:basedOn w:val="Normal"/>
    <w:uiPriority w:val="99"/>
    <w:semiHidden/>
    <w:unhideWhenUsed/>
    <w:pPr>
      <w:numPr>
        <w:numId w:val="2"/>
      </w:numPr>
      <w:contextualSpacing/>
    </w:pPr>
    <w:rPr>
      <w:rFonts w:eastAsia="Times New Roman"/>
    </w:rPr>
  </w:style>
  <w:style w:type="paragraph" w:styleId="BalloonText">
    <w:name w:val="Balloon Text"/>
    <w:basedOn w:val="Normal"/>
    <w:link w:val="BalloonTextChar"/>
    <w:uiPriority w:val="99"/>
    <w:semiHidden/>
    <w:unhideWhenUsed/>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sl-SI"/>
    </w:r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semiHidden/>
    <w:unhideWhenUsed/>
    <w:rPr>
      <w:rFonts w:eastAsia="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character" w:styleId="Hyperlink">
    <w:name w:val="Hyperlink"/>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uiPriority w:val="99"/>
    <w:semiHidden/>
    <w:unhideWhenUsed/>
    <w:pPr>
      <w:numPr>
        <w:numId w:val="1"/>
      </w:numPr>
      <w:contextualSpacing/>
    </w:pPr>
    <w:rPr>
      <w:rFonts w:eastAsia="Times New Roman"/>
    </w:rPr>
  </w:style>
  <w:style w:type="paragraph" w:styleId="ListBullet4">
    <w:name w:val="List Bullet 4"/>
    <w:basedOn w:val="Normal"/>
    <w:uiPriority w:val="99"/>
    <w:semiHidden/>
    <w:unhideWhenUsed/>
    <w:pPr>
      <w:numPr>
        <w:numId w:val="2"/>
      </w:numPr>
      <w:contextualSpacing/>
    </w:pPr>
    <w:rPr>
      <w:rFonts w:eastAsia="Times New Roman"/>
    </w:rPr>
  </w:style>
  <w:style w:type="paragraph" w:styleId="BalloonText">
    <w:name w:val="Balloon Text"/>
    <w:basedOn w:val="Normal"/>
    <w:link w:val="BalloonTextChar"/>
    <w:uiPriority w:val="99"/>
    <w:semiHidden/>
    <w:unhideWhenUsed/>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sl-SI"/>
    </w:r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semiHidden/>
    <w:unhideWhenUsed/>
    <w:rPr>
      <w:rFonts w:eastAsia="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A8C29-63E7-42F0-A34E-DA49FEFAF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27</Pages>
  <Words>4588</Words>
  <Characters>27948</Characters>
  <Application>Microsoft Office Word</Application>
  <DocSecurity>0</DocSecurity>
  <Lines>1470</Lines>
  <Paragraphs>524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2016-09-30T08:47:00Z</dcterms:created>
  <dcterms:modified xsi:type="dcterms:W3CDTF">2016-10-03T07:33:00Z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