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8067B7EF33D4F3AACDFA4680E0E0950" style="width:450.8pt;height:379.9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UZASADNIENIE</w:t>
      </w:r>
    </w:p>
    <w:p>
      <w:pPr>
        <w:keepNext/>
        <w:tabs>
          <w:tab w:val="left" w:pos="850"/>
        </w:tabs>
        <w:spacing w:before="360"/>
        <w:ind w:left="850" w:hanging="850"/>
        <w:outlineLvl w:val="0"/>
        <w:rPr>
          <w:rFonts w:cstheme="minorBidi"/>
          <w:b/>
          <w:smallCaps/>
          <w:noProof/>
        </w:rPr>
      </w:pPr>
      <w:r>
        <w:rPr>
          <w:rFonts w:cstheme="minorBidi"/>
          <w:b/>
          <w:smallCaps/>
          <w:noProof/>
        </w:rPr>
        <w:t>1.</w:t>
      </w:r>
      <w:r>
        <w:rPr>
          <w:noProof/>
        </w:rPr>
        <w:tab/>
      </w:r>
      <w:r>
        <w:rPr>
          <w:rFonts w:cstheme="minorBidi"/>
          <w:b/>
          <w:smallCaps/>
          <w:noProof/>
        </w:rPr>
        <w:t>KONTEKST WNIOSKU</w:t>
      </w:r>
    </w:p>
    <w:p>
      <w:pPr>
        <w:keepNext/>
        <w:tabs>
          <w:tab w:val="left" w:pos="850"/>
        </w:tabs>
        <w:ind w:left="850" w:hanging="850"/>
        <w:outlineLvl w:val="1"/>
        <w:rPr>
          <w:rFonts w:eastAsia="Arial Unicode MS" w:cstheme="minorBidi"/>
          <w:b/>
          <w:noProof/>
        </w:rPr>
      </w:pPr>
      <w:r>
        <w:rPr>
          <w:rFonts w:cstheme="minorBidi"/>
          <w:b/>
          <w:noProof/>
          <w:color w:val="000000"/>
          <w:u w:color="000000"/>
          <w:bdr w:val="nil"/>
        </w:rPr>
        <w:t>•</w:t>
      </w:r>
      <w:r>
        <w:rPr>
          <w:noProof/>
        </w:rPr>
        <w:tab/>
      </w:r>
      <w:r>
        <w:rPr>
          <w:rFonts w:cstheme="minorBidi"/>
          <w:b/>
          <w:noProof/>
        </w:rPr>
        <w:t>Przyczyny i cele wniosku</w:t>
      </w:r>
    </w:p>
    <w:p>
      <w:pPr>
        <w:spacing w:before="0" w:after="200" w:line="276" w:lineRule="auto"/>
        <w:rPr>
          <w:rFonts w:cstheme="minorBidi"/>
          <w:noProof/>
          <w:szCs w:val="24"/>
        </w:rPr>
      </w:pPr>
      <w:r>
        <w:rPr>
          <w:noProof/>
        </w:rPr>
        <w:t>Niniejszy wniosek stanowi element ambitnego planu inwestycji zewnętrznych („EIP”, z ang.</w:t>
      </w:r>
      <w:r>
        <w:rPr>
          <w:i/>
          <w:noProof/>
        </w:rPr>
        <w:t xml:space="preserve"> External Investment Plan</w:t>
      </w:r>
      <w:r>
        <w:rPr>
          <w:noProof/>
        </w:rPr>
        <w:t>), który Komisja zapowiedziała dnia 7 czerwca 2016 r w swoim komunikacie w sprawie ustanowienia nowych ram partnerstwa z państwami trzecimi w ramach Europejskiego programu w zakresie migracji</w:t>
      </w:r>
      <w:r>
        <w:rPr>
          <w:rStyle w:val="FootnoteReference"/>
          <w:noProof/>
        </w:rPr>
        <w:footnoteReference w:id="1"/>
      </w:r>
      <w:r>
        <w:rPr>
          <w:noProof/>
        </w:rPr>
        <w:t xml:space="preserve">. Inicjatywa dotycząca planu inwestycji zewnętrznych została następnie zatwierdzona przez Radę Europejską w dniu 28 czerwca 2016 r. Ma ona na celu wyeliminowanie pierwotnych przyczyn migracji poprzez przyczynianie się do osiągnięcia celów zrównoważonego rozwoju. Niniejszy wniosek umożliwi Europejskiemu Bankowi Inwestycyjnemu („EBI”) przyczynienie się do realizacji EIP poprzez rozszerzenie – zarówno w kategoriach ilościowych, jak i jakościowych – upoważnienia EBI do udzielania pożyczek na rzecz państw trzecich. Dzięki temu EBI będzie mogło szybko przyczyniać się do realizacji zakładanych celów EIP, w szczególności poprzez udostępnianie dodatkowego finansowania beneficjentom z sektora prywatnego. Niniejszy wniosek wraz z wymienionymi poniżej dodatkowymi elementami („modułami”) określa najważniejsze aspekty dotyczące wkładu EBI w finansowanie EIP.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Całkowity zakres i ogólne warunki gwarancji UE dla działań zewnętrznych EBI są określane w decyzjach Parlamentu Europejskiego i Rady. Ostatnia decyzja obejmująca działania EBI z zakresu finansowania realizowane poza granicami Unii w okresie 2014–2020 została przyjęta w formie decyzji Parlamentu Europejskiego i Rady nr 466/2014/UE z dnia 16 kwietnia 2014 r. („decyzja”).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Potrzeba gwarancji budżetowej UE dla działań zewnętrznych EBI wynika z zapisanego w statucie banku obowiązku zapewniania odpowiedniego zabezpieczenia wszystkich operacji pożyczkowych banku oraz, szerzej, z konieczności ochrony wiarygodności kredytowej EBI. Gwarancja UE stanowi kluczowy instrument pozwalający pogodzić strukturę finansową EBI, która charakteryzuje się znacznie wyższym wskaźnikiem kapitału obcego niż w przypadku innych międzynarodowych instytucji finansowych, ze znacznie wyższym poziomem ryzyka nieodłącznie związanego z udzielaniem pożyczek państwom trzecim, uwzględniając konieczność zapobiegania pogorszeniu ratingu EBI na poziomie AAA, przy jednoczesnym ograniczeniu uszczuplenia jego kapitału.</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Unia udziela EBI gwarancji budżetowej obejmującej ryzyko polityczne i ryzyko z tytułu niewypłacalności państwa, które wiąże się z działaniami z zakresu finansowania realizowanymi przez EBI poza granicami Unii Europejskiej w celu wspierania odpowiednich celów polityki zewnętrznej Unii. Ponadto EBI finansuje na swoje własne ryzyko działania charakteryzujące się wysoką jakością inwestycyjną realizowane poza granicami Unii, jak również działania na podstawie szczególnych upoważnień takie jak działania w państwach AKP.</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Zgodnie z art. 19 decyzji Komisja, we współpracy z EBI, zobowiązana jest przekazywać Parlamentowi Europejskiemu i Radzie śródokresowe sprawozdanie zawierające ocenę stosowania wspomnianej decyzji w pierwszych latach (2014–2016). Do sprawozdania dołącza się w stosownych przypadkach wniosek dotyczący zmian tej decyzji. Sprawozdanie średniookresowe sporządza się w oparciu o niezależną ocenę zewnętrzną i materiały przekazane przez EBI. W szczególności w sprawozdaniu proponuje się aktualizację wykazu kwalifikujących się krajów.</w:t>
      </w:r>
    </w:p>
    <w:p>
      <w:pPr>
        <w:pBdr>
          <w:top w:val="nil"/>
          <w:left w:val="nil"/>
          <w:bottom w:val="nil"/>
          <w:right w:val="nil"/>
          <w:between w:val="nil"/>
          <w:bar w:val="nil"/>
        </w:pBdr>
        <w:spacing w:before="0" w:after="240" w:line="276" w:lineRule="auto"/>
        <w:rPr>
          <w:rFonts w:cstheme="minorBidi"/>
          <w:noProof/>
          <w:szCs w:val="24"/>
        </w:rPr>
      </w:pPr>
      <w:r>
        <w:rPr>
          <w:noProof/>
        </w:rPr>
        <w:t>W świetle prognoz EBI dotyczących udzielania pożyczek w regionie przez cały okres obowiązywania upoważnienia tego banku Komisja dostrzega trudności w zapewnieniu ciągłości działań EBI w zakresie finansowania zewnętrznego objętych gwarancją UE w czasie pozostającym do końca obecnej perspektywy finansowej na lata 2014–2020. Oprócz tego, ze względu na oceny ryzyka związanego z poszczególnymi państwami (np. we wschodnim sąsiedztwie) możliwości prowadzenia przez EBI działań z zakresu finansowania na własne ryzyko są ograniczone. W dniu 18 marca 2016 r. Rada Europejska zwróciła się do EBI, aby na jej czerwcowym posiedzeniu przedstawił „konkretną inicjatywę służącą szybkiemu uruchomieniu dodatkowego finansowania mającego wspierać zrównoważony wzrost gospodarczy, kluczową infrastrukturę oraz spójność społeczną w krajach południowego sąsiedztwa i Bałkanów Zachodnich”. W odpowiedzi na konkluzje Rady Europejskiej z 18 marca 2016 r. Rada EBI omówiła podczas posiedzenia w dniu 16 czerwca 2016 r. dokument stanowiący podstawę propozycji EBI, która miała być przedłożona Radzie Europejskiej. W konkluzjach z dnia 28 czerwca 2016 r. Rada Europejska stwierdziła, że „inicjatywa Europejskiego Banku Inwestycyjnego w krajach południowego sąsiedztwa i Bałkanów Zachodnich jako pierwszy krok w kontekście nowych ram współpracy pomoże promować inwestycje w krajach partnerskich i cieszy się pełnym poparciem z naszej strony”. Dokument EBI opiera się na trzech modułach:</w:t>
      </w:r>
    </w:p>
    <w:p>
      <w:pPr>
        <w:pStyle w:val="Bullet1"/>
        <w:numPr>
          <w:ilvl w:val="0"/>
          <w:numId w:val="12"/>
        </w:numPr>
        <w:rPr>
          <w:noProof/>
          <w:szCs w:val="24"/>
        </w:rPr>
      </w:pPr>
      <w:r>
        <w:rPr>
          <w:noProof/>
        </w:rPr>
        <w:t>1. moduł: Intensyfikacja działań, które są możliwe na mocy istniejących ram prawnych.</w:t>
      </w:r>
    </w:p>
    <w:p>
      <w:pPr>
        <w:pStyle w:val="Bullet1"/>
        <w:rPr>
          <w:noProof/>
          <w:szCs w:val="24"/>
        </w:rPr>
      </w:pPr>
      <w:r>
        <w:rPr>
          <w:noProof/>
        </w:rPr>
        <w:t>2. moduł: Zwiększenie różnorodności produktów oferowanych w regionach w celu wspierania głównie sektora publicznego.</w:t>
      </w:r>
    </w:p>
    <w:p>
      <w:pPr>
        <w:pStyle w:val="Bullet1"/>
        <w:rPr>
          <w:noProof/>
          <w:szCs w:val="24"/>
        </w:rPr>
      </w:pPr>
      <w:r>
        <w:rPr>
          <w:noProof/>
        </w:rPr>
        <w:t>3. moduł: Zwiększenie różnorodności produktów oferowanych w regionach w celu wspierania głównie sektora prywatnego.</w:t>
      </w:r>
    </w:p>
    <w:p>
      <w:pPr>
        <w:pBdr>
          <w:top w:val="nil"/>
          <w:left w:val="nil"/>
          <w:bottom w:val="nil"/>
          <w:right w:val="nil"/>
          <w:between w:val="nil"/>
          <w:bar w:val="nil"/>
        </w:pBdr>
        <w:spacing w:before="0" w:after="240" w:line="276" w:lineRule="auto"/>
        <w:rPr>
          <w:rFonts w:cstheme="minorBidi"/>
          <w:noProof/>
          <w:szCs w:val="24"/>
        </w:rPr>
      </w:pPr>
      <w:r>
        <w:rPr>
          <w:noProof/>
        </w:rPr>
        <w:t xml:space="preserve">1. moduł (działalność pożyczkowa na kwotę 2 mld EUR) będzie realizowany przy wykorzystaniu istniejących upoważnień i instrumentów, poprzez zwiększenie akcji pożyczkowej do poziomu, który w pełni wykorzystuje dostępne pułapy określone w obecnym upoważnieniu. </w:t>
      </w:r>
    </w:p>
    <w:p>
      <w:pPr>
        <w:pBdr>
          <w:top w:val="nil"/>
          <w:left w:val="nil"/>
          <w:bottom w:val="nil"/>
          <w:right w:val="nil"/>
          <w:between w:val="nil"/>
          <w:bar w:val="nil"/>
        </w:pBdr>
        <w:spacing w:before="0" w:after="240" w:line="276" w:lineRule="auto"/>
        <w:rPr>
          <w:rFonts w:cstheme="minorBidi"/>
          <w:noProof/>
          <w:szCs w:val="24"/>
        </w:rPr>
      </w:pPr>
      <w:r>
        <w:rPr>
          <w:noProof/>
        </w:rPr>
        <w:t xml:space="preserve">W odniesieniu do 2. modułu (działalność pożyczkowa na kwotę 1,4 mld EUR) EBI przewidział podwyższenie o 1,4 mld EUR łącznych pułapów określonych w upoważnieniu. </w:t>
      </w:r>
    </w:p>
    <w:p>
      <w:pPr>
        <w:pBdr>
          <w:top w:val="nil"/>
          <w:left w:val="nil"/>
          <w:bottom w:val="nil"/>
          <w:right w:val="nil"/>
          <w:between w:val="nil"/>
          <w:bar w:val="nil"/>
        </w:pBdr>
        <w:spacing w:before="0" w:after="240" w:line="276" w:lineRule="auto"/>
        <w:rPr>
          <w:rFonts w:cstheme="minorBidi"/>
          <w:noProof/>
          <w:szCs w:val="24"/>
        </w:rPr>
      </w:pPr>
      <w:r>
        <w:rPr>
          <w:noProof/>
        </w:rPr>
        <w:t xml:space="preserve">W ramach 3. modułu przewidziano podwyższenie o 2,3 mld EUR wolumenu udzielanych pożyczek i rozszerzenie zakresu gwarancji UE na ryzyko handlowe. Zakres gwarancji UE w odniesieniu do pożyczek EBI na rzecz sektora prywatnego ogranicza się obecnie do zdarzeń związanych z ryzykiem politycznym, jak opisano w decyzji. Kwotę tę należy w pełni wykorzystać na pomoc uchodźcom i przyjmującym ich społecznościom na obszarach dotkniętych kryzysem.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Te trzy kierunki działań składają się na Inicjatywę EBI na rzecz budowania odporności w krajach południowego sąsiedztwa i Bałkanów Zachodnich („Inicjatywa EBI na rzecz budowania odporności”), która z kolei stanowi integralny element EIP.</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W oparciu o wyniki przeglądu śródokresowego oraz w kontekście Inicjatywy EBI na rzecz budowania odporności Komisja proponuje następujące zmiany decyzji: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w:t>
      </w:r>
      <w:r>
        <w:rPr>
          <w:noProof/>
        </w:rPr>
        <w:tab/>
        <w:t xml:space="preserve">Wprowadzenie czwartego ogólnego celu upoważnienia – eliminowania pierwotnych przyczyn migracji. Szczegółowe wyjaśnienie tej zmiany przedstawiono również w części 5.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w:t>
      </w:r>
      <w:r>
        <w:rPr>
          <w:noProof/>
        </w:rPr>
        <w:tab/>
        <w:t>Uruchomienie fakultatywnej kwoty 3 mld EUR przy zachowaniu takiego samego podziału pułapów regionalnych, jaki obowiązywał wcześnie. Komisja proponuje, aby fakultatywna kwota 3 mld EUR, która zostanie uruchomiona w ramach upoważnienia fakultatywnego, obejmowała wsparcie EBI w wysokości 1,4 mld EUR na projekty sektora publicznego skierowane do uchodźców i społeczności ich przyjmujących (2. moduł inicjatywy na rzecz budowania odporności).</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w:t>
      </w:r>
      <w:r>
        <w:rPr>
          <w:noProof/>
        </w:rPr>
        <w:tab/>
        <w:t xml:space="preserve">Ustanowienie dodatkowego maksymalnego pułapu w wysokości 2,3 mld EUR stosującego się do upoważnienia EBI do udzielania pożyczek sektorowi prywatnemu (3. moduł inicjatywy EBI na rzecz budowania odporności) i jednoczesne wprowadzenie gwarancji ogólnej obejmującej działania sektora prywatnego bezpośrednio związane z uchodźcami i społecznościami ich przyjmującymi, wskutek czego gwarancja UE zostanie rozszerzona na ryzyko handlowe.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w:t>
      </w:r>
      <w:r>
        <w:rPr>
          <w:noProof/>
        </w:rPr>
        <w:tab/>
        <w:t>Zwiększenie elastyczności umożliwiającej EBI przenoszenie kwot w ramach pułapów regionalnych (z obecnego poziomu 10 % pomiędzy poszczególnymi regionami do poziomu 20 %), ale wyłącznie na rzecz regionów stanowiących wysoki priorytet dla Unii, w szczególności Ukrainy i regionów związanych z działaniami w dziedzinie migracji lub na cele innych wyzwań, które mogą się pojawić w pozostałym okresie obowiązywania upoważnienia na lata 2014–2020. Ta większa elastyczność nie ma zastosowania do nowego upoważnienia EBI do udzielania pożyczek sektorowi prywatnemu w ramach Inicjatywy EBI na rzecz budowania odporności.</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Wprowadzenie tych nowych elementów wymaga wprowadzenia szeregu zmian do decyzji. </w:t>
      </w:r>
    </w:p>
    <w:p>
      <w:pPr>
        <w:keepNext/>
        <w:tabs>
          <w:tab w:val="left" w:pos="850"/>
        </w:tabs>
        <w:ind w:left="850" w:hanging="850"/>
        <w:outlineLvl w:val="1"/>
        <w:rPr>
          <w:rFonts w:eastAsia="Arial Unicode MS" w:cstheme="minorBidi"/>
          <w:b/>
          <w:noProof/>
          <w:color w:val="000000"/>
          <w:szCs w:val="24"/>
          <w:u w:color="000000"/>
          <w:bdr w:val="nil"/>
        </w:rPr>
      </w:pPr>
      <w:r>
        <w:rPr>
          <w:rFonts w:cstheme="minorBidi"/>
          <w:b/>
          <w:noProof/>
          <w:color w:val="000000"/>
          <w:u w:color="000000"/>
          <w:bdr w:val="nil"/>
        </w:rPr>
        <w:t>•</w:t>
      </w:r>
      <w:r>
        <w:rPr>
          <w:noProof/>
        </w:rPr>
        <w:tab/>
      </w:r>
      <w:r>
        <w:rPr>
          <w:rFonts w:cstheme="minorBidi"/>
          <w:b/>
          <w:noProof/>
        </w:rPr>
        <w:t>Spójność z przepisami obowiązującymi w tej dziedzinie polityki</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Organy zarządzające EBI zachęca się do podejmowania środków koniecznych do dostosowania działalności EBI tak, by skutecznie przyczyniała się ona do realizacji zewnętrznych polityk Unii, a także do odpowiedniego spełnienia wymogów określonych w decyzji. Gwarancji UE udziela się wyłącznie na działania EBI z zakresu finansowania, które – przy zachowaniu zgodności z wymogami określonymi w decyzji – wnoszą wartość dodaną zgodnie z własną oceną EBI i wspierają jeden z następujących ogólnych celów określonych w art. 3 decyzji:</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1. rozwój lokalnego sektora prywatnego, w szczególności wsparcie dla małych i średnich przedsiębiorstw (MŚP);</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2. rozwój infrastruktury społecznej i gospodarczej, w tym infrastruktury w obszarach transportu, energii i środowiska, technologii informacyjno-komunikacyjnych oraz zdrowia i edukacji;</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3. łagodzenie zmiany klimatu i przystosowywanie się do niej.</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Obok tych celów ogólnych za cel leżący u podstaw działań EBI uważa się integrację regionalną między poszczególnymi krajami, a zwłaszcza integrację gospodarczą między krajami ubiegającymi się o członkostwo, krajami objętymi polityką sąsiedztwa a Unią.</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Proponuje się dodanie nowego ogólnego celu polityki – strategicznej odpowiedzi mającej na celu wyeliminowanie pierwotnych przyczyn migracji.</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Fakt posiadania gwarancji UE umożliwia EBI prowadzenie działań poza granicami Unii i ogranicza ekspozycję EBI na ryzyko, co chroni jego wiarygodność kredytową. Podejmując działania z zakresu finansowania poza granicami Unii, EBI pośrednio przyczynia się do realizacji ogólnych zasad i celów polityki Unii, które obejmują ograniczanie ubóstwa poprzez wzrost gospodarczy sprzyjający włączeniu społecznemu i zrównoważoną gospodarkę, rozwój środowiskowy i społeczny oraz dobrobyt Unii w zmieniających się globalnych warunkach ekonomicznych.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W tym celu Komisja, ESDZ i EBI prowadzą współpracę i zapewniają spójność działań zewnętrznych EBI z celami polityki zewnętrznej UE w celu maksymalizacji efektów synergii pomiędzy działaniami EBI z zakresu finansowania i zasobami budżetowymi Unii, głównie poprzez regularny i systematyczny dialog oraz konsultowanie się na wczesnym etapie w sprawie polityk, strategii i realizowanych projektów (protokół ustaleń między Komisją a EBI skonsultowany z ESDZ i podpisany w dniu 12 września 2013 r.). W celu zapewnienia praktycznych środków służących powiązaniu celów ogólnych gwarancji UE i ich realizacji przez EBI Komisja zaktualizowała swoje regionalne techniczne wytyczne operacyjne w dniu 8 maja 2015 r. </w:t>
      </w:r>
    </w:p>
    <w:p>
      <w:pPr>
        <w:keepNext/>
        <w:tabs>
          <w:tab w:val="left" w:pos="850"/>
        </w:tabs>
        <w:ind w:left="850" w:hanging="850"/>
        <w:outlineLvl w:val="1"/>
        <w:rPr>
          <w:rFonts w:eastAsia="Arial Unicode MS" w:cstheme="minorBidi"/>
          <w:b/>
          <w:noProof/>
          <w:szCs w:val="24"/>
        </w:rPr>
      </w:pPr>
      <w:r>
        <w:rPr>
          <w:rFonts w:cstheme="minorBidi"/>
          <w:b/>
          <w:noProof/>
          <w:color w:val="000000"/>
          <w:u w:color="000000"/>
          <w:bdr w:val="nil"/>
        </w:rPr>
        <w:t>•</w:t>
      </w:r>
      <w:r>
        <w:rPr>
          <w:noProof/>
        </w:rPr>
        <w:tab/>
      </w:r>
      <w:r>
        <w:rPr>
          <w:rFonts w:cstheme="minorBidi"/>
          <w:b/>
          <w:noProof/>
        </w:rPr>
        <w:t>Spójność z innymi politykami Unii</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W związku z prośbą Rady Europejskiej z dnia 18 marca 2016 r. proponowana przez EBI inicjatywa jest skierowana do krajów południowego sąsiedztwa i Bałkanów Zachodnich. W państwach tych występują szczególnie pilne potrzeby finansowe związane z kryzysem uchodźczym. Region ten stanowi również jeden z głównych regionów, w jakich EBI prowadzi swoje działania i posiada w związku z tym znaczne doświadczenie, sieć kontaktów i dokonania w dziedzinie dostarczania ukierunkowanych rozwiązań finansowych obejmujących pożyczki, instrumenty łączone oraz doradztwo.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EBI będzie przyczyniać się do długoterminowej odporności gospodarczej i zapewniać zrównoważony rozwój w kontekście napływu migrantów i uchodźców. Cel ten zostanie osiągnięty poprzez działania prowadzone w dwóch głównych obszarach:</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zaspokojenie zwiększonych potrzeb w zakresie infrastruktury i powiązanych usług w celu uwzględnienia nagłego wzrostu liczby ludności;</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zwiększanie możliwości znalezienia zatrudnienia przez uchodźców i członków społeczności ich przyjmujących, aby wspierać integrację gospodarczą i umożliwić uchodźcom uzyskanie samodzielności.</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EBI może wspierać wysiłki mające na celu sprostanie tym wyzwaniom zarówno poprzez wsparcie dla sektora prywatnego (np. w zakresie segmentu MŚP, finansowania przedsiębiorstw i mikrofinansowania), jak i dla sektora publicznego (w tym gmin i podmiotów z sektora publicznego) w obszarze infrastruktury i usług, aby zaspokoić znacznie zwiększone potrzeby. </w:t>
      </w:r>
    </w:p>
    <w:p>
      <w:pPr>
        <w:keepNext/>
        <w:tabs>
          <w:tab w:val="left" w:pos="850"/>
        </w:tabs>
        <w:spacing w:before="360"/>
        <w:ind w:left="850" w:hanging="850"/>
        <w:outlineLvl w:val="0"/>
        <w:rPr>
          <w:rFonts w:cstheme="minorBidi"/>
          <w:b/>
          <w:smallCaps/>
          <w:noProof/>
          <w:szCs w:val="24"/>
        </w:rPr>
      </w:pPr>
      <w:r>
        <w:rPr>
          <w:rFonts w:cstheme="minorBidi"/>
          <w:b/>
          <w:smallCaps/>
          <w:noProof/>
        </w:rPr>
        <w:t>2.</w:t>
      </w:r>
      <w:r>
        <w:rPr>
          <w:noProof/>
        </w:rPr>
        <w:tab/>
      </w:r>
      <w:r>
        <w:rPr>
          <w:rFonts w:cstheme="minorBidi"/>
          <w:b/>
          <w:smallCaps/>
          <w:noProof/>
        </w:rPr>
        <w:t>PODSTAWA PRAWNA, POMOCNICZOŚĆ I PROPORCJONALNOŚĆ</w:t>
      </w:r>
    </w:p>
    <w:p>
      <w:pPr>
        <w:keepNext/>
        <w:tabs>
          <w:tab w:val="left" w:pos="850"/>
        </w:tabs>
        <w:ind w:left="850" w:hanging="850"/>
        <w:outlineLvl w:val="1"/>
        <w:rPr>
          <w:rFonts w:eastAsia="Arial Unicode MS" w:cstheme="minorBidi"/>
          <w:b/>
          <w:noProof/>
          <w:szCs w:val="24"/>
          <w:u w:color="000000"/>
          <w:bdr w:val="nil"/>
        </w:rPr>
      </w:pPr>
      <w:r>
        <w:rPr>
          <w:rFonts w:cstheme="minorBidi"/>
          <w:b/>
          <w:noProof/>
          <w:u w:color="000000"/>
          <w:bdr w:val="nil"/>
        </w:rPr>
        <w:t>•</w:t>
      </w:r>
      <w:r>
        <w:rPr>
          <w:noProof/>
        </w:rPr>
        <w:tab/>
      </w:r>
      <w:r>
        <w:rPr>
          <w:rFonts w:cstheme="minorBidi"/>
          <w:b/>
          <w:noProof/>
          <w:u w:color="000000"/>
          <w:bdr w:val="nil"/>
        </w:rPr>
        <w:t>Podstawa prawna</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Wniosek w sprawie decyzji zmieniającej decyzję Parlamentu Europejskiego i Rady nr 466/2014/UE opiera się na podwójnej podstawie prawnej, a mianowicie art. 209 i art. 212 Traktatu o funkcjonowaniu Unii Europejskiej („Traktat”). W szczególności art. 209 ust. 3 Traktatu w związku z art. 208 Traktatu stanowi, że EBI przyczynia się, na warunkach przewidzianych w jego statucie, do realizacji środków niezbędnych do wsparcia celów polityki Unii w dziedzinie współpracy na rzecz rozwoju.</w:t>
      </w:r>
    </w:p>
    <w:p>
      <w:pPr>
        <w:keepNext/>
        <w:tabs>
          <w:tab w:val="left" w:pos="850"/>
        </w:tabs>
        <w:ind w:left="850" w:hanging="850"/>
        <w:outlineLvl w:val="1"/>
        <w:rPr>
          <w:rFonts w:eastAsia="Arial Unicode MS" w:cstheme="minorBidi"/>
          <w:b/>
          <w:noProof/>
          <w:szCs w:val="24"/>
          <w:u w:color="000000"/>
          <w:bdr w:val="nil"/>
        </w:rPr>
      </w:pPr>
      <w:r>
        <w:rPr>
          <w:rFonts w:cstheme="minorBidi"/>
          <w:b/>
          <w:noProof/>
          <w:u w:color="000000"/>
          <w:bdr w:val="nil"/>
        </w:rPr>
        <w:t>•</w:t>
      </w:r>
      <w:r>
        <w:rPr>
          <w:noProof/>
        </w:rPr>
        <w:tab/>
      </w:r>
      <w:r>
        <w:rPr>
          <w:rFonts w:cstheme="minorBidi"/>
          <w:b/>
          <w:noProof/>
          <w:u w:color="000000"/>
          <w:bdr w:val="nil"/>
        </w:rPr>
        <w:t>Proporcjonalność</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Wniosek jest zgodny z zasadą proporcjonalności, ponieważ gwarancja UE sprawdziła się jako skuteczna metoda ochrony przed ryzykiem politycznym i ryzykiem z tytułu niewypłacalności państwa, które wiąże się z zewnętrznymi działaniami EBI prowadzonymi w celu wspierania polityki zewnętrznej Unii. Upoważnienie objęte gwarancją UE w latach 2014–2020 pozwala na dalsze stosowanie dotychczasowych skutecznych i rzetelnych ekonomicznie praktyk.</w:t>
      </w:r>
    </w:p>
    <w:p>
      <w:pPr>
        <w:pStyle w:val="ManualHeading2"/>
        <w:rPr>
          <w:rFonts w:eastAsia="Arial Unicode MS"/>
          <w:noProof/>
          <w:szCs w:val="24"/>
          <w:bdr w:val="none" w:sz="0" w:space="0" w:color="auto" w:frame="1"/>
        </w:rPr>
      </w:pPr>
      <w:r>
        <w:rPr>
          <w:noProof/>
        </w:rPr>
        <w:t>•</w:t>
      </w:r>
      <w:r>
        <w:rPr>
          <w:noProof/>
        </w:rPr>
        <w:tab/>
        <w:t>Pomocniczość (w przypadku kompetencji niewyłącznych) i proporcjonalność</w:t>
      </w:r>
    </w:p>
    <w:p>
      <w:pPr>
        <w:spacing w:before="0" w:after="240"/>
        <w:rPr>
          <w:rFonts w:eastAsia="Arial Unicode MS"/>
          <w:noProof/>
          <w:szCs w:val="24"/>
        </w:rPr>
      </w:pPr>
      <w:r>
        <w:rPr>
          <w:noProof/>
        </w:rPr>
        <w:t>Zgodnie z zasadą pomocniczości oraz zasadą proporcjonalności, określonymi w art. 5 TUE, cele niniejszej dyrektywy nie mogą zostać osiągnięte w wystarczającym stopniu przez państwa członkowskie, natomiast możliwe jest lepsze ich osiągnięcie na poziomie UE. Ze względu na różnice w zdolności działania pomiędzy instytucjami finansowymi poszczególnych państw członkowskich, wyznaczone cele mogą zostać lepiej osiągnięte poprzez działanie na poziomie Unii, z uwagi na jego skalę i skutki.</w:t>
      </w:r>
    </w:p>
    <w:p>
      <w:pPr>
        <w:keepNext/>
        <w:tabs>
          <w:tab w:val="left" w:pos="850"/>
        </w:tabs>
        <w:spacing w:before="360"/>
        <w:ind w:left="850" w:hanging="850"/>
        <w:outlineLvl w:val="0"/>
        <w:rPr>
          <w:rFonts w:cstheme="minorBidi"/>
          <w:b/>
          <w:smallCaps/>
          <w:noProof/>
          <w:szCs w:val="24"/>
        </w:rPr>
      </w:pPr>
      <w:r>
        <w:rPr>
          <w:rFonts w:cstheme="minorBidi"/>
          <w:b/>
          <w:smallCaps/>
          <w:noProof/>
        </w:rPr>
        <w:t>3.</w:t>
      </w:r>
      <w:r>
        <w:rPr>
          <w:noProof/>
        </w:rPr>
        <w:tab/>
      </w:r>
      <w:r>
        <w:rPr>
          <w:rFonts w:cstheme="minorBidi"/>
          <w:b/>
          <w:smallCaps/>
          <w:noProof/>
        </w:rPr>
        <w:t>WYNIKI OCEN EX POST, KONSULTACJI Z ZAINTERESOWANYMI STRONAMI I OCEN SKUTKÓW</w:t>
      </w:r>
    </w:p>
    <w:p>
      <w:pPr>
        <w:keepNext/>
        <w:tabs>
          <w:tab w:val="left" w:pos="850"/>
        </w:tabs>
        <w:ind w:left="850" w:hanging="850"/>
        <w:outlineLvl w:val="1"/>
        <w:rPr>
          <w:rFonts w:eastAsia="Arial Unicode MS" w:cstheme="minorBidi"/>
          <w:b/>
          <w:noProof/>
          <w:szCs w:val="24"/>
          <w:u w:color="000000"/>
          <w:bdr w:val="nil"/>
        </w:rPr>
      </w:pPr>
      <w:r>
        <w:rPr>
          <w:rFonts w:cstheme="minorBidi"/>
          <w:b/>
          <w:noProof/>
          <w:u w:color="000000"/>
          <w:bdr w:val="nil"/>
        </w:rPr>
        <w:t>•</w:t>
      </w:r>
      <w:r>
        <w:rPr>
          <w:noProof/>
        </w:rPr>
        <w:tab/>
      </w:r>
      <w:r>
        <w:rPr>
          <w:rFonts w:cstheme="minorBidi"/>
          <w:b/>
          <w:noProof/>
          <w:u w:color="000000"/>
          <w:bdr w:val="nil"/>
        </w:rPr>
        <w:t>Oceny ex post/kontrole sprawności obowiązującego prawodawstwa</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Dokonano przeglądu śródokresowego oceniającego stosowanie decyzji. Art. 19 decyzji przewiduje szczegółowe wymogi dotyczące treści sprawozdania:</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„Sprawozdanie zawiera w szczególności: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a)</w:t>
      </w:r>
      <w:r>
        <w:rPr>
          <w:noProof/>
        </w:rPr>
        <w:tab/>
        <w:t xml:space="preserve">ocenę stosowania strategii przydziału środków;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b)</w:t>
      </w:r>
      <w:r>
        <w:rPr>
          <w:noProof/>
        </w:rPr>
        <w:tab/>
        <w:t>ocenę sprawozdawczości EBI i w stosownych przypadkach zalecenia dotyczące jej poprawy;</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c)</w:t>
      </w:r>
      <w:r>
        <w:rPr>
          <w:noProof/>
        </w:rPr>
        <w:tab/>
        <w:t xml:space="preserve">ocenę ram pomiaru wyników, w tym wskaźników i kryteriów efektywności, oraz wkładu tych wyników w realizację celów niniejszej decyzji;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d)</w:t>
      </w:r>
      <w:r>
        <w:rPr>
          <w:noProof/>
        </w:rPr>
        <w:tab/>
        <w:t>szczegółowy opis kryteriów rozpatrywanych pod kątem zalecenia dotyczącego ewentualnego uruchomienia w całości lub w części fakultatywnej dodatkowej kwoty”.</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Sprawozdanie Komisji opiera się na ocenie przeprowadzonej przez zewnętrznego konsultanta (PwC) i na materiałach dostarczonych przez EBI.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Sprawozdanie konsultanta dostępne jest na następującej stronie internetowej: </w:t>
      </w:r>
    </w:p>
    <w:p>
      <w:pPr>
        <w:pBdr>
          <w:top w:val="nil"/>
          <w:left w:val="nil"/>
          <w:bottom w:val="nil"/>
          <w:right w:val="nil"/>
          <w:between w:val="nil"/>
          <w:bar w:val="nil"/>
        </w:pBdr>
        <w:spacing w:before="0" w:after="240" w:line="276" w:lineRule="auto"/>
        <w:rPr>
          <w:rFonts w:cstheme="minorBidi"/>
          <w:noProof/>
          <w:color w:val="0000FF"/>
          <w:szCs w:val="24"/>
          <w:u w:val="single"/>
        </w:rPr>
      </w:pPr>
      <w:hyperlink r:id="rId11">
        <w:r>
          <w:rPr>
            <w:rStyle w:val="Hyperlink"/>
            <w:rFonts w:cstheme="minorBidi"/>
            <w:noProof/>
          </w:rPr>
          <w:t>http://ec.europa.eu/dgs/economy_finance/evaluation/completed/index_en.htm</w:t>
        </w:r>
      </w:hyperlink>
    </w:p>
    <w:p>
      <w:pPr>
        <w:pBdr>
          <w:top w:val="nil"/>
          <w:left w:val="nil"/>
          <w:bottom w:val="nil"/>
          <w:right w:val="nil"/>
          <w:between w:val="nil"/>
          <w:bar w:val="nil"/>
        </w:pBdr>
        <w:spacing w:before="0" w:after="240" w:line="276" w:lineRule="auto"/>
        <w:rPr>
          <w:rFonts w:eastAsia="Arial Unicode MS" w:cstheme="minorBidi"/>
          <w:noProof/>
          <w:szCs w:val="24"/>
        </w:rPr>
      </w:pPr>
      <w:r>
        <w:rPr>
          <w:noProof/>
        </w:rPr>
        <w:t>Śródokresowe sprawozdanie Komisji, który towarzyszy niniejszemu wnioskowi, opisuje ocenę Komisji dotyczącą wyników oceny zewnętrznej oraz podsumowuje wyniki przeglądu śródokresowego i najważniejsze elementy wniosku Komisji, w tym również ocenę Komisji dotyczącą odpowiedzi EBI na prośbę Rady Europejskiej z 18 marca 2016 r.</w:t>
      </w:r>
    </w:p>
    <w:p>
      <w:pPr>
        <w:keepNext/>
        <w:tabs>
          <w:tab w:val="left" w:pos="850"/>
        </w:tabs>
        <w:ind w:left="850" w:hanging="850"/>
        <w:outlineLvl w:val="1"/>
        <w:rPr>
          <w:rFonts w:eastAsia="Arial Unicode MS" w:cstheme="minorBidi"/>
          <w:b/>
          <w:noProof/>
          <w:szCs w:val="24"/>
          <w:u w:color="000000"/>
          <w:bdr w:val="nil"/>
        </w:rPr>
      </w:pPr>
      <w:r>
        <w:rPr>
          <w:rFonts w:cstheme="minorBidi"/>
          <w:b/>
          <w:noProof/>
          <w:u w:color="000000"/>
          <w:bdr w:val="nil"/>
        </w:rPr>
        <w:t>•</w:t>
      </w:r>
      <w:r>
        <w:rPr>
          <w:noProof/>
        </w:rPr>
        <w:tab/>
      </w:r>
      <w:r>
        <w:rPr>
          <w:rFonts w:cstheme="minorBidi"/>
          <w:b/>
          <w:noProof/>
          <w:u w:color="000000"/>
          <w:bdr w:val="nil"/>
        </w:rPr>
        <w:t>Konsultacje z zainteresowanymi stronami</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Ocena opierała się w szczególności na wymianie poglądów z najważniejszymi wewnętrznymi i zewnętrznymi zainteresowanymi stronami, w tym z przedstawicielami państw członkowskich i głównych organizacji pozarządowych. Celem było zebranie informacji jakościowych i zapewnienie, aby opinie i poglądy najważniejszych zainteresowanych stron zostały wykorzystane w procesie oceny. W maju 2016 r. zorganizowano warsztaty z udziałem organizacji pozarządowych, które opierały się na sprawozdaniu zawierającym ocenę. Wymieniono poglądy z przedstawicielami organizacji pozarządowych w sprawie proponowanych ulepszeń wskazanych na etapie oceny, a także wstępnych zaleceń dotyczących tych propozycji. Wszystkie te konsultacje i wymiany poglądów pozwoliły zewnętrznemu konsultantowi poznać stanowisko zainteresowanych stron. Szczegółowe informacje na temat głównych wyników tych konsultacji zawarte są w sprawozdaniu konsultanta. Ocena przeprowadzona przez konsultanta obejmowała również wywiady z pracownikami Komisji i EBI, a także analizy przykładów związanych z projektem.</w:t>
      </w:r>
    </w:p>
    <w:p>
      <w:pPr>
        <w:keepNext/>
        <w:tabs>
          <w:tab w:val="left" w:pos="850"/>
        </w:tabs>
        <w:ind w:left="850" w:hanging="850"/>
        <w:outlineLvl w:val="1"/>
        <w:rPr>
          <w:rFonts w:eastAsia="Arial Unicode MS" w:cstheme="minorBidi"/>
          <w:b/>
          <w:noProof/>
          <w:szCs w:val="24"/>
          <w:u w:color="000000"/>
          <w:bdr w:val="nil"/>
        </w:rPr>
      </w:pPr>
      <w:r>
        <w:rPr>
          <w:rFonts w:cstheme="minorBidi"/>
          <w:b/>
          <w:noProof/>
          <w:u w:color="000000"/>
          <w:bdr w:val="nil"/>
        </w:rPr>
        <w:t>•</w:t>
      </w:r>
      <w:r>
        <w:rPr>
          <w:noProof/>
        </w:rPr>
        <w:tab/>
      </w:r>
      <w:r>
        <w:rPr>
          <w:rFonts w:cstheme="minorBidi"/>
          <w:b/>
          <w:noProof/>
          <w:u w:color="000000"/>
          <w:bdr w:val="nil"/>
        </w:rPr>
        <w:t>Ocena skutków</w:t>
      </w:r>
    </w:p>
    <w:p>
      <w:pPr>
        <w:spacing w:line="276" w:lineRule="auto"/>
        <w:rPr>
          <w:rFonts w:cstheme="minorBidi"/>
          <w:noProof/>
          <w:szCs w:val="24"/>
        </w:rPr>
      </w:pPr>
      <w:r>
        <w:rPr>
          <w:noProof/>
        </w:rPr>
        <w:t xml:space="preserve">W kontekście przygotowania decyzji Komisja przeprowadziła ocenę skutków; ocena ta została załączona do wniosku Komisji. Ocena skutków opierała się na szeroko zakrojonych konsultacjach z najważniejszymi zainteresowanymi stronami, podmiotami, których dotyczyła decyzja, podmiotami zaangażowanymi w jej wykonanie oraz z prawodawcami. </w:t>
      </w:r>
    </w:p>
    <w:p>
      <w:pPr>
        <w:spacing w:line="276" w:lineRule="auto"/>
        <w:rPr>
          <w:rFonts w:cstheme="minorBidi"/>
          <w:noProof/>
          <w:szCs w:val="24"/>
        </w:rPr>
      </w:pPr>
      <w:r>
        <w:rPr>
          <w:noProof/>
        </w:rPr>
        <w:t>W ramach oceny zewnętrznej upoważnienia na lata 2014–2020 konsultant zorganizował wywiady z głównymi instytucjami, organizacjami i osobami zajmującymi się planowaniem i realizacją upoważnienia, jak również z osobami, które mają najlepsze możliwości obserwowania wyników i wpływu działań EBI. Wśród tych zainteresowanych stron znaleźli się pracownicy EBI i Komisji, urzędnicy państwowi, personel międzynarodowych instytucji finansowych i instytucji finansowania rozwoju, inwestorzy prywatni i instytucjonalni inwestorzy reprezentujący państwa, pośrednicy finansowi z sektora prywatnego oraz końcowi beneficjenci z sektora prywatnego i publicznego. Proces ten umożliwił zgromadzenie bardzo szczegółowych i technicznych dowodów oraz dał zainteresowanym stronom okazję do wyrażenia swoich opinii i komentarzy na potrzeby oceny. Podczas wywiadów skupiano się na takich kwestiach, jak znaczenie planowania i wdrażania upoważnienia EBI do udzielania pożyczek na rzecz państw trzecich, spójność tego upoważnienia z działaniami zewnętrznymi i innymi instrumentami UE, jego skuteczność, widoczność dla beneficjentów końcowych oraz zapewnienie efektywności poprzez monitorowanie. W związku z faktem, że niedawno przeprowadzono ocenę skutków i ocenę zewnętrzną, niniejszy nowy wniosek nie zawiera odrębnej oceny skutków, ponieważ zakres proponowanych zmian decyzji ogranicza się głównie do rozszerzenia zakresu gwarancji i podwyższenia pułapów określonych w decyzji.</w:t>
      </w:r>
    </w:p>
    <w:p>
      <w:pPr>
        <w:keepNext/>
        <w:tabs>
          <w:tab w:val="left" w:pos="850"/>
        </w:tabs>
        <w:spacing w:before="360"/>
        <w:ind w:left="850" w:hanging="850"/>
        <w:outlineLvl w:val="0"/>
        <w:rPr>
          <w:rFonts w:cstheme="minorBidi"/>
          <w:b/>
          <w:smallCaps/>
          <w:noProof/>
          <w:szCs w:val="24"/>
        </w:rPr>
      </w:pPr>
      <w:r>
        <w:rPr>
          <w:rFonts w:cstheme="minorBidi"/>
          <w:b/>
          <w:smallCaps/>
          <w:noProof/>
        </w:rPr>
        <w:t>4.</w:t>
      </w:r>
      <w:r>
        <w:rPr>
          <w:noProof/>
        </w:rPr>
        <w:tab/>
      </w:r>
      <w:r>
        <w:rPr>
          <w:rFonts w:cstheme="minorBidi"/>
          <w:b/>
          <w:smallCaps/>
          <w:noProof/>
        </w:rPr>
        <w:t>WPŁYW NA BUDŻET</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Fundusz Gwarancyjny dla działań zewnętrznych („fundusz gwarancyjny”), ustanowiony rozporządzeniem Rady (WE, Euratom) nr 480/2009 z dnia 25 maja 2009 r. ustanawiającym Fundusz Gwarancyjny dla działań zewnętrznych, stanowi bufor płynności dla budżetu Unii chroniący przed stratami z tytułu działań EBI z zakresu finansowania i innych działań zewnętrznych Unii tzn. pożyczek w ramach pomocy makrofinansowej i pożyczek Euratomu. Około 90 % portfela pożyczek objętych funduszem gwarancyjnym przypada na pożyczki wchodzące w zakres udzielonego EBI upoważnienia.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Fundusz gwarancyjny zasila jednorazowa roczna płatność z budżetu Unii. Mechanizm zasilania funduszu gwarancyjnego, który ma na celu utrzymanie stanu środków funduszu na poziomie 9 % kwoty wypłaconych i pozostających do spłaty pożyczek, wprowadza </w:t>
      </w:r>
      <w:r>
        <w:rPr>
          <w:i/>
          <w:noProof/>
        </w:rPr>
        <w:t>de facto</w:t>
      </w:r>
      <w:r>
        <w:rPr>
          <w:noProof/>
        </w:rPr>
        <w:t xml:space="preserve"> ograniczenie upoważnienia EBI do prowadzenia działań zewnętrznych objętych gwarancją budżetu UE. Przeprowadzona w 2016 r. zewnętrzna ocena funkcjonowania funduszu gwarancyjnego</w:t>
      </w:r>
      <w:r>
        <w:rPr>
          <w:rStyle w:val="FootnoteReference"/>
          <w:noProof/>
        </w:rPr>
        <w:footnoteReference w:id="2"/>
      </w:r>
      <w:r>
        <w:rPr>
          <w:noProof/>
        </w:rPr>
        <w:t xml:space="preserve"> wykazała, że stopa zasilenia funduszu na poziomie 9 % jest odpowiednia.</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Wniosek przewiduje podwyższenie łącznego pułapu dla działań EBI z zakresu finansowania objętych gwarancją UE w latach 2014–2020 poprzez uruchomienie fakultatywnej kwoty 3 mld EUR, o której mowa w decyzji, oraz przez dodanie nowego upoważnienia obejmującego kwotę 2,3 mld EUR na cele udzielania pożyczek sektorowi prywatnemu finansujących projekty eliminujące pierwotne przyczyny migracji. Całkowity pułap sięgnie ogółem 32,3 mld EUR i zostanie podzielony na pułapy i podpułapy regionalne.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Dodatkowe zapotrzebowanie na środki budżetowe na finansowanie funduszu gwarancyjnego związane z podwyższeniem łącznego pułapu upoważnienia będzie pokryte z linii budżetowej 01 03 06. Finansowanie będzie zapewniane w ramach wieloletnich ram finansowych, a szacunki dotyczące jego wysokości opierają się na przewidywanej strukturze wypłat i spłat pożyczek objętych gwarancją. Z rocznych prognoz wypłat i spłat pożyczek EBI wynika, że w latach 2018–2020 objętych obecnymi wieloletnimi ramami finansowymi dodatkowe potrzeby budżetowe powinny ograniczać się do kwoty 115 mln EUR. Część pożyczek udzielonych na podstawie umów podpisanych w ramach obecnego upoważnienia EBI będzie wypłacana i spłacana po 2020 r.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Gwarancja UE obejmująca działania EBI z zakresu finansowania prowadzone w ramach upoważnienia do udzielania pożyczek sektorowi prywatnemu będzie wyceniana. Dochody związane z premią z tytułu ryzyka pochodzące z działań EBI z zakresu finansowania prowadzonych w ramach upoważnienia do udzielania pożyczek sektorowi prywatnemu będą wpłacane do funduszu gwarancyjnego, aby pokryć ryzyko handlowe.</w:t>
      </w:r>
    </w:p>
    <w:p>
      <w:pPr>
        <w:pBdr>
          <w:top w:val="nil"/>
          <w:left w:val="nil"/>
          <w:bottom w:val="nil"/>
          <w:right w:val="nil"/>
          <w:between w:val="nil"/>
          <w:bar w:val="nil"/>
        </w:pBdr>
        <w:spacing w:before="0" w:after="240" w:line="276" w:lineRule="auto"/>
        <w:rPr>
          <w:rFonts w:eastAsia="Arial Unicode MS" w:cstheme="minorBidi"/>
          <w:noProof/>
          <w:color w:val="0000FF"/>
          <w:szCs w:val="24"/>
        </w:rPr>
      </w:pPr>
      <w:r>
        <w:rPr>
          <w:noProof/>
        </w:rPr>
        <w:t>Wpływ, jaki na budżet wywiera zasilanie rezerw funduszu gwarancyjnego, w tym przyjęte założenia, został przedstawiony w towarzyszącej wnioskowi ocenie skutków finansowych regulacji.</w:t>
      </w:r>
      <w:r>
        <w:rPr>
          <w:rFonts w:cstheme="minorBidi"/>
          <w:noProof/>
          <w:color w:val="0000FF"/>
        </w:rPr>
        <w:t xml:space="preserve"> </w:t>
      </w:r>
    </w:p>
    <w:p>
      <w:pPr>
        <w:keepNext/>
        <w:tabs>
          <w:tab w:val="left" w:pos="850"/>
        </w:tabs>
        <w:spacing w:before="360"/>
        <w:ind w:left="850" w:hanging="850"/>
        <w:outlineLvl w:val="0"/>
        <w:rPr>
          <w:rFonts w:cstheme="minorBidi"/>
          <w:b/>
          <w:smallCaps/>
          <w:noProof/>
          <w:szCs w:val="24"/>
        </w:rPr>
      </w:pPr>
      <w:r>
        <w:rPr>
          <w:rFonts w:cstheme="minorBidi"/>
          <w:b/>
          <w:smallCaps/>
          <w:noProof/>
        </w:rPr>
        <w:t>5.</w:t>
      </w:r>
      <w:r>
        <w:rPr>
          <w:noProof/>
        </w:rPr>
        <w:tab/>
      </w:r>
      <w:r>
        <w:rPr>
          <w:rFonts w:cstheme="minorBidi"/>
          <w:b/>
          <w:smallCaps/>
          <w:noProof/>
        </w:rPr>
        <w:t>ELEMENTY FAKULTATYWNE</w:t>
      </w:r>
    </w:p>
    <w:p>
      <w:pPr>
        <w:keepNext/>
        <w:tabs>
          <w:tab w:val="left" w:pos="850"/>
        </w:tabs>
        <w:ind w:left="850" w:hanging="850"/>
        <w:outlineLvl w:val="1"/>
        <w:rPr>
          <w:rFonts w:eastAsia="Arial Unicode MS" w:cstheme="minorBidi"/>
          <w:b/>
          <w:noProof/>
          <w:szCs w:val="24"/>
          <w:u w:color="000000"/>
          <w:bdr w:val="nil"/>
        </w:rPr>
      </w:pPr>
      <w:r>
        <w:rPr>
          <w:rFonts w:cstheme="minorBidi"/>
          <w:b/>
          <w:noProof/>
          <w:u w:color="000000"/>
          <w:bdr w:val="nil"/>
        </w:rPr>
        <w:t>•</w:t>
      </w:r>
      <w:r>
        <w:rPr>
          <w:noProof/>
        </w:rPr>
        <w:tab/>
      </w:r>
      <w:r>
        <w:rPr>
          <w:rFonts w:cstheme="minorBidi"/>
          <w:b/>
          <w:noProof/>
          <w:u w:color="000000"/>
          <w:bdr w:val="nil"/>
        </w:rPr>
        <w:t>Plany wdrożenia i monitorowanie, ocena i sprawozdania</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EBI zarządza dwoimi działaniami z zakresu finansowania w ramach gwarancji UE i monitoruje je zgodnie z własnymi zasadami i procedurami, w tym stosując odpowiednie środki audytu, kontroli i monitorowania. Ponadto Rada Dyrektorów EBI, w której Komisja ma swoich przedstawicieli w osobach dyrektora i zastępcy dyrektora, zatwierdza każde działanie EBI z zakresu finansowania i monitoruje, czy bank jest zarządzany zgodnie ze swoim statutem i ogólnymi wytycznymi Rady Gubernatorów.</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Porozumienie trójstronne między Komisją, Trybunałem Obrachunkowym i EBI określa zasady przeprowadzania przez Trybunał Obrachunkowy audytów działań EBI z zakresu finansowania objętych gwarancją UE.</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Zgodnie z decyzją sporządza się regularne sprawozdania. Komisja składa co roku Parlamentowi Europejskiemu i Radzie sprawozdania z wykonania upoważnienia przez EBI.</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 xml:space="preserve">Podstawą sprawozdań z osiągniętych wyników będą odpowiednio zagregowane wskaźniki – tam gdzie to możliwe, dla całego portfela lub dla danego sektora. W kontekście ram pomiaru wyników, pomiar wielkości tych wskaźników prowadzony będzie przez cały cykl projektu w ramach oceny oraz monitorowania do czasu pełnego wdrożenia projektu. Wskaźniki te zaczną być mierzone, jak tylko będą dostępne pierwsze wyniki w zakresie rozwoju – zazwyczaj najpóźniej w przeciągu trzech lat od ukończenia projektu. Wskaźniki te będą również w miarę możliwości stosowane na potrzeby końcowego sprawozdania.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Ponadto EBI przedstawia Komisji dane statystyczne, finansowe i księgowe dotyczące każdego działania z zakresu finansowania objętego gwarancją UE, które są niezbędne do realizacji obowiązków Komisji w zakresie sprawozdawczości lub których zażąda Trybunał Obrachunkowy, a także zaświadczenie audytora dotyczące niespłaconych kwot z tytułu działań z zakresu finansowania objętych gwarancją UE.</w:t>
      </w:r>
    </w:p>
    <w:p>
      <w:pPr>
        <w:keepNext/>
        <w:tabs>
          <w:tab w:val="left" w:pos="850"/>
        </w:tabs>
        <w:ind w:left="850" w:hanging="850"/>
        <w:outlineLvl w:val="1"/>
        <w:rPr>
          <w:rFonts w:eastAsia="Arial Unicode MS" w:cstheme="minorBidi"/>
          <w:b/>
          <w:noProof/>
          <w:szCs w:val="24"/>
          <w:u w:color="000000"/>
          <w:bdr w:val="nil"/>
        </w:rPr>
      </w:pPr>
      <w:r>
        <w:rPr>
          <w:rFonts w:cstheme="minorBidi"/>
          <w:b/>
          <w:noProof/>
          <w:u w:color="000000"/>
          <w:bdr w:val="nil"/>
        </w:rPr>
        <w:t>•</w:t>
      </w:r>
      <w:r>
        <w:rPr>
          <w:noProof/>
        </w:rPr>
        <w:tab/>
      </w:r>
      <w:r>
        <w:rPr>
          <w:rFonts w:cstheme="minorBidi"/>
          <w:b/>
          <w:noProof/>
          <w:u w:color="000000"/>
          <w:bdr w:val="nil"/>
        </w:rPr>
        <w:t>Szczegółowe objaśnienia poszczególnych przepisów wniosku</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W oparciu o przeprowadzoną przez Komisję ocenę wyników przeglądu śródokresowego oraz na podstawie kontekstu polityki, w tym proponowanej przez EBI inicjatywy na rzecz budowania odporności, można wskazać następujące główne zmiany, które zostaną wprowadzone do decyzji:</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w:t>
      </w:r>
      <w:r>
        <w:rPr>
          <w:noProof/>
        </w:rPr>
        <w:tab/>
        <w:t xml:space="preserve">ze względu na niespodziewane wydarzenia geopolityczne, które wymagają od UE świadczenia w trybie pilnym znaczącej pomocy finansowej w ramach upoważnienia do działań zewnętrznych, wolumen działań EBI z zakresu finansowania po 1,5 roku realizowania jego upoważnienia ma poważny wpływ na niektóre pułapy regionalne – w przypadku pewnych regionów (Azja, Afryka Południowa, Azja Środkowa, Europa Wschodnia, Zakaukazie) do dyspozycji pozostają już tylko niewielkie środki. Sytuacja ta może stanowić przeszkodę dla przyszłych działań EBI i ograniczyć w przyszłych latach zdolność EBI do reagowania na potencjalne zagrożenia i realizowania unijnych priorytetów w ramach jego upoważnienia. Proponuje się zatem uruchomienie fakultatywnej dodatkowej kwoty w wysokości 3 mld EUR i zmianę pułapów dotyczących podziału środków między regiony, które są określone w załączniku I do decyzji.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w:t>
      </w:r>
      <w:r>
        <w:rPr>
          <w:noProof/>
        </w:rPr>
        <w:tab/>
        <w:t>Dodaje się nowy horyzontalny cel ogólny – eliminowanie pierwotnych przyczyn migracji.</w:t>
      </w:r>
    </w:p>
    <w:p>
      <w:pPr>
        <w:pBdr>
          <w:top w:val="nil"/>
          <w:left w:val="nil"/>
          <w:bottom w:val="nil"/>
          <w:right w:val="nil"/>
          <w:between w:val="nil"/>
          <w:bar w:val="nil"/>
        </w:pBdr>
        <w:spacing w:before="0" w:after="240" w:line="276" w:lineRule="auto"/>
        <w:rPr>
          <w:rFonts w:cstheme="minorBidi"/>
          <w:noProof/>
          <w:szCs w:val="24"/>
        </w:rPr>
      </w:pPr>
      <w:r>
        <w:rPr>
          <w:noProof/>
        </w:rPr>
        <w:t>•</w:t>
      </w:r>
      <w:r>
        <w:rPr>
          <w:noProof/>
        </w:rPr>
        <w:tab/>
        <w:t xml:space="preserve">Fakultatywna dodatkowa kwota w wysokości 3 mld EUR będzie obejmować kwotę 1,4 mld EUR związaną z Inicjatywą EBI na rzecz budowania odporności (2. moduł) na cele działań, których stroną są partnerzy publiczni. Wspomniana kwota 1,4 mld EUR zostanie podzielona między państwa ubiegające się o członkostwo i państwa regionu Morza Śródziemnego.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w:t>
      </w:r>
      <w:r>
        <w:rPr>
          <w:noProof/>
        </w:rPr>
        <w:tab/>
        <w:t xml:space="preserve">Podwyższenie o 2,3 mld EUR łącznego pułapu dla działań EBI z zakresu finansowania na rzecz sektora prywatnego (3. moduł), związanego z projektami wspierającymi uchodźców lub społeczności ich przyjmujące. Ta kwota zostanie rozdzielona na podstawie prognoz EBI pomiędzy kraje ubiegające się o członkostwo oraz państwa regionu Morza Śródziemnego. W tym kontekście oraz w odniesieniu do wspomnianej kwoty zakres gwarancji UE na potrzeby tych działań jest rozszerzony na wszystkie płatności należne EBI, ale przez niego nieotrzymane („gwarancja ogólna”), a zatem nie jest to gwarancja obejmująca wyłącznie ryzyko polityczne, jak stanowi obecnie decyzja. Gwarancja ogólna UE związana z tym nowym upoważnieniem będzie wyceniana. Przychody będą wpłacane do Funduszu Gwarancyjnego dla działań zewnętrznych. Maksymalny pułap działań EBI w ramach gwarancji UE został zatem podniesiony do 32,3 mld EUR; </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w:t>
      </w:r>
      <w:r>
        <w:rPr>
          <w:noProof/>
        </w:rPr>
        <w:tab/>
        <w:t>Jeśli chodzi o ramy pomiaru wyników, EBI musi opracować i wdrożyć wskaźniki dotyczące projektów, które są realizowane w ramach strategicznej odpowiedzi mającej na celu wyeliminowanie pierwotnych przyczyn migracji. W kontekście sprawozdania rocznego Komisji dla Parlamentu Europejskiego i Rady w sprawie działań EBI z zakresu finansowania uwzględniono ocenę wpływu działań EBI z zakresu finansowania stanowiących strategiczną odpowiedź na kryzys migracyjny;</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t>•</w:t>
      </w:r>
      <w:r>
        <w:rPr>
          <w:noProof/>
        </w:rPr>
        <w:tab/>
        <w:t>Przegląd wykazu państw kwalifikujących się: usunięcie z wykazu krajów kwalifikujących się państw o wysokich dochodach i wysokim ratingu na poziomie inwestycyjnym, takich jak: Brunei, Islandia, Izrael, Singapur, Chile i Korea Południowa, jak również chińskich Specjalnych Regionów Administracyjnych Hongkong i Makau. Do wykazu regionów i krajów potencjalnie kwalifikujących się zostaje dodany Iran (w załączniku II do decyzji).</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softHyphen/>
      </w:r>
      <w:r>
        <w:rPr>
          <w:noProof/>
        </w:rPr>
        <w:tab/>
        <w:t>Wprowadzono odwołanie do porozumienia paryskiego przyjętego na mocy Ramowej konwencji ONZ w sprawie zmian klimatu; Wolumen działań EBI na rzecz łagodzenia zmiany klimatu i przystosowywania się do niej powinien przyczynić się do zwiększenia do 2020 r. skali operacji pożyczkowych EBI wspierających związane z klimatem inwestycje w krajach rozwijających się z 25 % do 35 %. Zgodnie z nowymi priorytetami dotyczącymi upoważnienia EBI, w okresie objętym decyzją działania te powinny w dalszym ciągu stanowić kwotowo przynajmniej 25 % ogółu działań EBI z zakresu finansowania; jednocześnie EBI powinien dążyć do utrzymania obecnych wysokich wyników. Proponuje się, aby EBI uwzględniał w większym stopniu elementy związane z przystosowywaniem się do zmiany klimatu w ramach swojego wkładu w projekty związane ze zmianą klimatu.</w:t>
      </w:r>
    </w:p>
    <w:p>
      <w:pPr>
        <w:pBdr>
          <w:top w:val="nil"/>
          <w:left w:val="nil"/>
          <w:bottom w:val="nil"/>
          <w:right w:val="nil"/>
          <w:between w:val="nil"/>
          <w:bar w:val="nil"/>
        </w:pBdr>
        <w:spacing w:before="0" w:after="240" w:line="276" w:lineRule="auto"/>
        <w:rPr>
          <w:rFonts w:eastAsia="Arial Unicode MS" w:cstheme="minorBidi"/>
          <w:noProof/>
          <w:szCs w:val="24"/>
        </w:rPr>
      </w:pPr>
      <w:r>
        <w:rPr>
          <w:noProof/>
        </w:rPr>
        <w:softHyphen/>
      </w:r>
      <w:r>
        <w:rPr>
          <w:noProof/>
        </w:rPr>
        <w:tab/>
        <w:t>Pułap dotyczący realokowania kwot pomiędzy poszczególnymi regionami zostaje podwyższony z obecnych 10 % do 20 % w przypadku konieczności zaradzenia pilnym potrzebom i sytuacjom kryzysowym, które mogą się pojawić podczas okresu obowiązywania upoważnienia i które są uznawane za priorytetowe dla polityki zewnętrznej Unii. Ta możliwość realokacji nie ma zastosowania do kwoty 2,3 mld EUR przewidzianej w ramach upoważnienia dotyczącego sektora prywatnego ani do kwoty 1,4 mld EUR związanej z projektami sektora publicznego mającymi na celu wyeliminowanie pierwotnych przyczyn migracji.</w:t>
      </w:r>
    </w:p>
    <w:p>
      <w:pPr>
        <w:spacing w:before="0" w:after="200" w:line="276" w:lineRule="auto"/>
        <w:rPr>
          <w:rFonts w:cstheme="minorBidi"/>
          <w:noProof/>
          <w:szCs w:val="24"/>
        </w:rPr>
      </w:pPr>
      <w:r>
        <w:rPr>
          <w:noProof/>
        </w:rPr>
        <w:t>•</w:t>
      </w:r>
      <w:r>
        <w:rPr>
          <w:noProof/>
        </w:rPr>
        <w:tab/>
        <w:t>Należy zwiększyć wsparcie EBI na rzecz MŚP z Unii (umiędzynarodowienie przedsiębiorstw z UE).</w:t>
      </w:r>
    </w:p>
    <w:p>
      <w:pPr>
        <w:spacing w:before="0" w:after="200" w:line="276" w:lineRule="auto"/>
        <w:rPr>
          <w:rFonts w:cstheme="minorBidi"/>
          <w:noProof/>
          <w:szCs w:val="24"/>
        </w:rPr>
        <w:sectPr>
          <w:footerReference w:type="default" r:id="rId12"/>
          <w:footerReference w:type="first" r:id="rId13"/>
          <w:pgSz w:w="11907" w:h="16839"/>
          <w:pgMar w:top="1134" w:right="1417" w:bottom="1134" w:left="1417" w:header="709" w:footer="709" w:gutter="0"/>
          <w:cols w:space="708"/>
          <w:docGrid w:linePitch="360"/>
        </w:sectPr>
      </w:pPr>
      <w:r>
        <w:rPr>
          <w:noProof/>
        </w:rPr>
        <w:t>•</w:t>
      </w:r>
      <w:r>
        <w:rPr>
          <w:noProof/>
        </w:rPr>
        <w:tab/>
        <w:t>Podkreślono bezpośredni wkład upoważnienia EBI w realizację niektórych celów zrównoważonego rozwoju.</w:t>
      </w:r>
    </w:p>
    <w:p>
      <w:pPr>
        <w:pStyle w:val="Rfrenceinterinstitutionnelle"/>
        <w:rPr>
          <w:noProof/>
        </w:rPr>
      </w:pPr>
      <w:r>
        <w:rPr>
          <w:noProof/>
        </w:rPr>
        <w:t>2016/0275 (COD)</w:t>
      </w:r>
    </w:p>
    <w:p>
      <w:pPr>
        <w:pStyle w:val="Statut"/>
        <w:rPr>
          <w:noProof/>
        </w:rPr>
      </w:pPr>
      <w:r>
        <w:rPr>
          <w:noProof/>
        </w:rPr>
        <w:t>Wniosek</w:t>
      </w:r>
    </w:p>
    <w:p>
      <w:pPr>
        <w:pStyle w:val="Typedudocument"/>
        <w:rPr>
          <w:noProof/>
        </w:rPr>
      </w:pPr>
      <w:r>
        <w:rPr>
          <w:noProof/>
        </w:rPr>
        <w:t>DECYZJA PARLAMENTU EUROPEJSKIEGO I RADY</w:t>
      </w:r>
    </w:p>
    <w:p>
      <w:pPr>
        <w:pStyle w:val="Titreobjet"/>
        <w:rPr>
          <w:noProof/>
        </w:rPr>
      </w:pPr>
      <w:r>
        <w:rPr>
          <w:noProof/>
        </w:rPr>
        <w:t>zmieniająca decyzję nr 466/2014/UE w sprawie udzielenia gwarancji UE dla Europejskiego Banku Inwestycyjnego na pokrycie strat poniesionych w związku z działaniami z zakresu finansowania wspierającymi projekty inwestycyjne poza granicami Unii</w:t>
      </w:r>
    </w:p>
    <w:p>
      <w:pPr>
        <w:pStyle w:val="Institutionquiagit"/>
        <w:rPr>
          <w:noProof/>
        </w:rPr>
      </w:pPr>
      <w:r>
        <w:rPr>
          <w:noProof/>
        </w:rPr>
        <w:t>PARLAMENT EUROPEJSKI I RADA UNII EUROPEJSKIEJ,</w:t>
      </w:r>
    </w:p>
    <w:p>
      <w:pPr>
        <w:spacing w:before="0" w:after="200" w:line="276" w:lineRule="auto"/>
        <w:rPr>
          <w:rFonts w:cstheme="minorBidi"/>
          <w:noProof/>
          <w:szCs w:val="24"/>
        </w:rPr>
      </w:pPr>
      <w:r>
        <w:rPr>
          <w:noProof/>
        </w:rPr>
        <w:t>uwzględniając Traktat o funkcjonowaniu Unii Europejskiej, w szczególności jego art. 209 i 212,</w:t>
      </w:r>
    </w:p>
    <w:p>
      <w:pPr>
        <w:spacing w:before="0" w:after="200" w:line="276" w:lineRule="auto"/>
        <w:rPr>
          <w:rFonts w:cstheme="minorBidi"/>
          <w:noProof/>
          <w:szCs w:val="24"/>
        </w:rPr>
      </w:pPr>
      <w:r>
        <w:rPr>
          <w:noProof/>
        </w:rPr>
        <w:t>uwzględniając wniosek Komisji Europejskiej,</w:t>
      </w:r>
    </w:p>
    <w:p>
      <w:pPr>
        <w:spacing w:before="0" w:after="200" w:line="276" w:lineRule="auto"/>
        <w:rPr>
          <w:rFonts w:cstheme="minorBidi"/>
          <w:noProof/>
          <w:szCs w:val="24"/>
        </w:rPr>
      </w:pPr>
      <w:r>
        <w:rPr>
          <w:noProof/>
        </w:rPr>
        <w:t>po przekazaniu projektu aktu ustawodawczego parlamentom narodowym,</w:t>
      </w:r>
    </w:p>
    <w:p>
      <w:pPr>
        <w:spacing w:before="0" w:after="200" w:line="276" w:lineRule="auto"/>
        <w:rPr>
          <w:rFonts w:cstheme="minorBidi"/>
          <w:noProof/>
          <w:szCs w:val="24"/>
        </w:rPr>
      </w:pPr>
      <w:r>
        <w:rPr>
          <w:noProof/>
        </w:rPr>
        <w:t>stanowiąc zgodnie ze zwykłą procedurą ustawodawczą,</w:t>
      </w:r>
    </w:p>
    <w:p>
      <w:pPr>
        <w:spacing w:before="0" w:after="200" w:line="276" w:lineRule="auto"/>
        <w:rPr>
          <w:rFonts w:cstheme="minorBidi"/>
          <w:noProof/>
          <w:szCs w:val="24"/>
        </w:rPr>
      </w:pPr>
      <w:r>
        <w:rPr>
          <w:noProof/>
        </w:rPr>
        <w:t xml:space="preserve">a także mając na uwadze, co następuje: </w:t>
      </w:r>
    </w:p>
    <w:p>
      <w:pPr>
        <w:pStyle w:val="ManualConsidrant"/>
        <w:rPr>
          <w:noProof/>
        </w:rPr>
      </w:pPr>
      <w:r>
        <w:rPr>
          <w:noProof/>
        </w:rPr>
        <w:t>(1)</w:t>
      </w:r>
      <w:r>
        <w:rPr>
          <w:noProof/>
        </w:rPr>
        <w:tab/>
        <w:t xml:space="preserve">Społeczność międzynarodowa stoi w obliczu bezprecedensowego kryzysu uchodźczego, który wymaga od niej solidarności i skutecznej mobilizacji zasobów finansowych; musi ona zmierzyć się z obecnymi problemami i wspólnie je przezwyciężyć. Konieczna jest współpraca wszystkich zaangażowanych podmiotów w celu wprowadzenia w życie zrównoważonych, średnio- i długoterminowych strategii politycznych i skutecznego wykorzystywania procedur i programów wspierających inicjatywy, które przyczyniają się do wyeliminowania pierwotnych przyczyn migracji. </w:t>
      </w:r>
    </w:p>
    <w:p>
      <w:pPr>
        <w:pStyle w:val="ManualConsidrant"/>
        <w:rPr>
          <w:noProof/>
        </w:rPr>
      </w:pPr>
      <w:r>
        <w:rPr>
          <w:noProof/>
        </w:rPr>
        <w:t>(2)</w:t>
      </w:r>
      <w:r>
        <w:rPr>
          <w:noProof/>
        </w:rPr>
        <w:tab/>
        <w:t>Należy opracować nowe ramy partnerstwa z państwami trzecimi, które będą zorientowane na wyniki i będą uwzględniać wszystkie unijne polityki i instrumenty. W ramach tych nowych ram partnerstwa należy ustanowić plan inwestycji zewnętrznych mający na celu wspieranie inwestycji w regionach położonych poza granicami Unii i przyczynianie się do osiągnięcia celu zrównoważonego rozwoju. Instrument ten powinien również służyć realizacji celów programu działań na rzecz zrównoważonego rozwoju do roku 2030 i innych instrumentów finansujących działania zewnętrzne.</w:t>
      </w:r>
    </w:p>
    <w:p>
      <w:pPr>
        <w:pStyle w:val="ManualConsidrant"/>
        <w:rPr>
          <w:noProof/>
        </w:rPr>
      </w:pPr>
      <w:r>
        <w:rPr>
          <w:noProof/>
        </w:rPr>
        <w:t>(3)</w:t>
      </w:r>
      <w:r>
        <w:rPr>
          <w:noProof/>
        </w:rPr>
        <w:tab/>
        <w:t xml:space="preserve">Propozycja Europejskiego Banku Inwestycyjnego (EBI), aby wykorzystać do realizacji planu inwestycji zewnętrznych Inicjatywę EBI na rzecz budowania odporności w krajach południowego sąsiedztwa i Bałkanów Zachodnich („Inicjatywa EBI na rzecz budowania odporności”), została zatwierdzona przez Radę Europejską w dniu 28 czerwca 2016 r. </w:t>
      </w:r>
    </w:p>
    <w:p>
      <w:pPr>
        <w:pStyle w:val="ManualConsidrant"/>
        <w:rPr>
          <w:noProof/>
        </w:rPr>
      </w:pPr>
      <w:r>
        <w:rPr>
          <w:noProof/>
        </w:rPr>
        <w:t>(4)</w:t>
      </w:r>
      <w:r>
        <w:rPr>
          <w:noProof/>
        </w:rPr>
        <w:tab/>
        <w:t>Głównym elementem Inicjatywy EBI na rzecz budowania odporności jest rozszerzenie – zarówno w kategoriach ilościowych, jak i jakościowych – upoważnienia EBI do udzielania pożyczek na rzecz państw trzecich. Dzięki temu EBI powinien być w stanie szybko przyczyniać się do realizacji zakładanych celów EIP, w szczególności poprzez udostępnianie dodatkowego finansowania beneficjentom z sektora prywatnego.</w:t>
      </w:r>
    </w:p>
    <w:p>
      <w:pPr>
        <w:pStyle w:val="ManualConsidrant"/>
        <w:rPr>
          <w:noProof/>
        </w:rPr>
      </w:pPr>
      <w:r>
        <w:rPr>
          <w:noProof/>
        </w:rPr>
        <w:t>(5)</w:t>
      </w:r>
      <w:r>
        <w:rPr>
          <w:noProof/>
        </w:rPr>
        <w:tab/>
        <w:t xml:space="preserve">Komplementarność Inicjatywy EBI na rzecz budowania odporności z innymi elementami EIP będzie zapewniać Rada Strategiczna Europejskiego Funduszu na rzecz Zrównoważonego Rozwoju, w której EBI ma mieć status pełnoprawnego członka. </w:t>
      </w:r>
    </w:p>
    <w:p>
      <w:pPr>
        <w:pStyle w:val="ManualConsidrant"/>
        <w:rPr>
          <w:noProof/>
        </w:rPr>
      </w:pPr>
      <w:r>
        <w:rPr>
          <w:noProof/>
        </w:rPr>
        <w:t>(6)</w:t>
      </w:r>
      <w:r>
        <w:rPr>
          <w:noProof/>
        </w:rPr>
        <w:tab/>
        <w:t>Zgodnie z konkluzjami Rady Europejskiej EBI powinien również zgłosić komponent sektora prywatnego wchodzący w skład Inicjatywy EBI na rzecz budowania odporności do rady operacyjnej ds. sąsiedztwa działającej w ramach EIP jako pierwsze okno inwestycyjne.</w:t>
      </w:r>
    </w:p>
    <w:p>
      <w:pPr>
        <w:pStyle w:val="ManualConsidrant"/>
        <w:rPr>
          <w:noProof/>
        </w:rPr>
      </w:pPr>
      <w:r>
        <w:rPr>
          <w:noProof/>
        </w:rPr>
        <w:t>(7)</w:t>
      </w:r>
      <w:r>
        <w:rPr>
          <w:noProof/>
        </w:rPr>
        <w:tab/>
        <w:t>EBI otrzymał gwarancję budżetową w związku z działaniami z zakresu finansowania realizowanymi poza granicami Unii na mocy decyzji Parlamentu Europejskiego i Rady nr 466/2014/UE</w:t>
      </w:r>
      <w:r>
        <w:rPr>
          <w:rStyle w:val="FootnoteReference"/>
          <w:noProof/>
        </w:rPr>
        <w:footnoteReference w:id="3"/>
      </w:r>
      <w:r>
        <w:rPr>
          <w:noProof/>
        </w:rPr>
        <w:t>.</w:t>
      </w:r>
    </w:p>
    <w:p>
      <w:pPr>
        <w:pStyle w:val="ManualConsidrant"/>
        <w:rPr>
          <w:noProof/>
        </w:rPr>
      </w:pPr>
      <w:r>
        <w:rPr>
          <w:noProof/>
        </w:rPr>
        <w:t>(8)</w:t>
      </w:r>
      <w:r>
        <w:rPr>
          <w:noProof/>
        </w:rPr>
        <w:tab/>
        <w:t>Zgodnie z art. 19 decyzji nr 466/2014/UE Komisja przygotowała we współpracy z EBI sprawozdanie z przeglądu śródokresowego zawierające ocenę stosowania tej decyzji, w oparciu o niezależną ocenę zewnętrzną.</w:t>
      </w:r>
    </w:p>
    <w:p>
      <w:pPr>
        <w:pStyle w:val="ManualConsidrant"/>
        <w:rPr>
          <w:noProof/>
        </w:rPr>
      </w:pPr>
      <w:r>
        <w:rPr>
          <w:noProof/>
        </w:rPr>
        <w:t>(9)</w:t>
      </w:r>
      <w:r>
        <w:rPr>
          <w:noProof/>
        </w:rPr>
        <w:tab/>
        <w:t>Aby EBI był w stanie reagować w ramach swojego upoważnienia do udzielania pożyczek na rzecz państw trzecich na potencjalne zagrożenia i realizować unijne priorytety, a także działania w ramach strategicznej odpowiedzi mającej na celu wyeliminowanie pierwotnych przyczyn migracji, maksymalny pułap dla działań EBI z zakresu finansowania objętych gwarancją UE należy podwyższyć do 32 300 000 000 EUR poprzez uruchomienie fakultatywnej dodatkowej kwoty w wysokości 3 000 000 000 EUR. W ramach upoważnienia ogólnego należy przeznaczyć kwotę 1 400 000 000 EUR na projekty skierowane do uchodźców i społeczności ich przyjmujących realizowane w sektorze publicznym na obszarach dotkniętych kryzysem.</w:t>
      </w:r>
    </w:p>
    <w:p>
      <w:pPr>
        <w:pStyle w:val="ManualConsidrant"/>
        <w:rPr>
          <w:noProof/>
        </w:rPr>
      </w:pPr>
      <w:r>
        <w:rPr>
          <w:noProof/>
        </w:rPr>
        <w:t>(10)</w:t>
      </w:r>
      <w:r>
        <w:rPr>
          <w:noProof/>
        </w:rPr>
        <w:tab/>
        <w:t>W ramach nowego upoważnienia do udzielania pożyczek sektorowi prywatnemu należy przeznaczyć kwotę w maksymalnej wysokości 2 300 000 000 EUR na projekty eliminujące pierwotne przyczyny migracji, w ramach maksymalnego podwyższonego pułapu, która to kwota powinna być objęta gwarancją ogólną Unii.</w:t>
      </w:r>
    </w:p>
    <w:p>
      <w:pPr>
        <w:pStyle w:val="ManualConsidrant"/>
        <w:rPr>
          <w:noProof/>
        </w:rPr>
      </w:pPr>
      <w:r>
        <w:rPr>
          <w:noProof/>
        </w:rPr>
        <w:t>(11)</w:t>
      </w:r>
      <w:r>
        <w:rPr>
          <w:noProof/>
        </w:rPr>
        <w:tab/>
        <w:t>Do zakresu upoważnienia EBI należy dodać nowy cel – eliminowanie pierwotnych przyczyn migracji.</w:t>
      </w:r>
    </w:p>
    <w:p>
      <w:pPr>
        <w:pStyle w:val="ManualConsidrant"/>
        <w:rPr>
          <w:noProof/>
        </w:rPr>
      </w:pPr>
      <w:r>
        <w:rPr>
          <w:noProof/>
        </w:rPr>
        <w:t>(12)</w:t>
      </w:r>
      <w:r>
        <w:rPr>
          <w:noProof/>
        </w:rPr>
        <w:tab/>
        <w:t xml:space="preserve">Należy zapewnić komplementarność i koordynację z unijnymi inicjatywami eliminującymi pierwotne przyczyny migracji, w tym ze wsparciem Unii na rzecz trwałej reintegracji odesłanych migrantów w państwach ich pochodzenia. </w:t>
      </w:r>
    </w:p>
    <w:p>
      <w:pPr>
        <w:pStyle w:val="ManualConsidrant"/>
        <w:rPr>
          <w:noProof/>
        </w:rPr>
      </w:pPr>
      <w:r>
        <w:rPr>
          <w:noProof/>
        </w:rPr>
        <w:t>(13)</w:t>
      </w:r>
      <w:r>
        <w:rPr>
          <w:noProof/>
        </w:rPr>
        <w:tab/>
        <w:t>Zgodnie z porozumieniem paryskim przyjętym w ramach Ramowej konwencji Narodów Zjednoczonych w sprawie zmian klimatu</w:t>
      </w:r>
      <w:r>
        <w:rPr>
          <w:rStyle w:val="FootnoteReference"/>
          <w:noProof/>
        </w:rPr>
        <w:footnoteReference w:id="4"/>
      </w:r>
      <w:r>
        <w:rPr>
          <w:noProof/>
        </w:rPr>
        <w:t xml:space="preserve"> EBI powinien dążyć do utrzymania obecnych wysokich nakładów na działania związane z klimatem w ramach swojego upoważnienia do udzielania pożyczek na rzecz państw trzecich, tak aby zwiększyć do 2020 r. swoje inwestycje związane z klimatem realizowane w krajach rozwijających się z 25 % do 35 %. </w:t>
      </w:r>
    </w:p>
    <w:p>
      <w:pPr>
        <w:pStyle w:val="ManualConsidrant"/>
        <w:rPr>
          <w:noProof/>
        </w:rPr>
      </w:pPr>
      <w:r>
        <w:rPr>
          <w:noProof/>
        </w:rPr>
        <w:t>(14)</w:t>
      </w:r>
      <w:r>
        <w:rPr>
          <w:noProof/>
        </w:rPr>
        <w:tab/>
        <w:t>Ryzyko dla budżetu UE związane z działaniami EBI z zakresu finansowania prowadzonymi w ramach upoważnienia do udzielania pożyczek sektorowi prywatnemu powinno być wyceniane, a dochody uzyskane z wyceny ryzyka powinny być wpłacane do Funduszu Gwarancyjnego dla działań zewnętrznych, aby pokryć ryzyko handlowe i zapobiec zakłóceniom rynku.</w:t>
      </w:r>
    </w:p>
    <w:p>
      <w:pPr>
        <w:pStyle w:val="ManualConsidrant"/>
        <w:rPr>
          <w:noProof/>
        </w:rPr>
      </w:pPr>
      <w:r>
        <w:rPr>
          <w:noProof/>
        </w:rPr>
        <w:t>(15)</w:t>
      </w:r>
      <w:r>
        <w:rPr>
          <w:noProof/>
        </w:rPr>
        <w:tab/>
        <w:t>Na potrzeby swoich ram pomiaru wyników EBI powinien opracować i wdrożyć zestaw wskaźników dotyczących projektów sektora publicznego i prywatnego skierowanych do uchodźców i społeczności ich przyjmujących. Sprawozdania na temat działań EBI z zakresu finansowania, które Komisja przedstawia corocznie Parlamentowi Europejskiemu i Radzie, powinny zatem obejmować ocenę wkładu działań EBI z zakresu finansowania mających na celu wyeliminowanie pierwotnych przyczyn migracji.</w:t>
      </w:r>
    </w:p>
    <w:p>
      <w:pPr>
        <w:pStyle w:val="ManualConsidrant"/>
        <w:rPr>
          <w:noProof/>
        </w:rPr>
      </w:pPr>
      <w:r>
        <w:rPr>
          <w:noProof/>
        </w:rPr>
        <w:t>(16)</w:t>
      </w:r>
      <w:r>
        <w:rPr>
          <w:noProof/>
        </w:rPr>
        <w:tab/>
        <w:t xml:space="preserve">Pułap dotyczący możliwości realokowania przez EBI środków między poszczególnymi regionami w okresie objętym upoważnieniem należy zwiększyć z 10 % do 20 %; dotyczy to wyłącznie przypadków, gdy konieczne jest podjęcie działań w odpowiedzi na naglące i kryzysowe sytuacje, które mogą zaistnieć podczas okresu, na jaki udzielono EBI upoważnienia, i które mogą zostać uznane za priorytety unijnej polityki zewnętrznej. Realokacji nie mogą podlegać środki przewidziane w ramach upoważnienia do udzielania pożyczek sektorowi prywatnemu wynoszące 2 300 000 000 EUR ani też kwota 1 400 000 000 EUR przeznaczona na projekty w sektorze publicznym, ponieważ środki te mają służyć wyeliminowaniu pierwotnych przyczyn migracji. </w:t>
      </w:r>
    </w:p>
    <w:p>
      <w:pPr>
        <w:pStyle w:val="ManualConsidrant"/>
        <w:rPr>
          <w:noProof/>
        </w:rPr>
      </w:pPr>
      <w:r>
        <w:rPr>
          <w:noProof/>
        </w:rPr>
        <w:t>(17)</w:t>
      </w:r>
      <w:r>
        <w:rPr>
          <w:noProof/>
        </w:rPr>
        <w:tab/>
        <w:t>Należy zmienić wykaz regionów i krajów kwalifikujących się oraz wykaz regionów i krajów potencjalnie kwalifikujących się, aby wyłączyć kraje o wysokim dochodzie i wysokim ratingu kredytowym (Brunei, Islandia, Izrael, Singapur, Chile i Korea Południowa). Do wykazu regionów i krajów potencjalnie kwalifikujących się należy natomiast dodać Iran.</w:t>
      </w:r>
    </w:p>
    <w:p>
      <w:pPr>
        <w:pStyle w:val="ManualConsidrant"/>
        <w:rPr>
          <w:noProof/>
        </w:rPr>
      </w:pPr>
      <w:r>
        <w:rPr>
          <w:noProof/>
        </w:rPr>
        <w:t>(18)</w:t>
      </w:r>
      <w:r>
        <w:rPr>
          <w:noProof/>
        </w:rPr>
        <w:tab/>
        <w:t>Należy zatem odpowiednio zmienić decyzję nr 466/2014/UE,</w:t>
      </w:r>
    </w:p>
    <w:p>
      <w:pPr>
        <w:ind w:left="709"/>
        <w:rPr>
          <w:rFonts w:cstheme="minorBidi"/>
          <w:noProof/>
          <w:szCs w:val="24"/>
        </w:rPr>
      </w:pPr>
    </w:p>
    <w:p>
      <w:pPr>
        <w:pStyle w:val="Formuledadoption"/>
        <w:rPr>
          <w:noProof/>
        </w:rPr>
      </w:pPr>
      <w:r>
        <w:rPr>
          <w:noProof/>
        </w:rPr>
        <w:t xml:space="preserve">PRZYJMUJĄ NINIEJSZĄ DECYZJĘ: </w:t>
      </w:r>
    </w:p>
    <w:p>
      <w:pPr>
        <w:pStyle w:val="Titrearticle"/>
        <w:rPr>
          <w:noProof/>
        </w:rPr>
      </w:pPr>
      <w:r>
        <w:rPr>
          <w:noProof/>
        </w:rPr>
        <w:t>Artykuł 1</w:t>
      </w:r>
    </w:p>
    <w:p>
      <w:pPr>
        <w:spacing w:before="0" w:after="200" w:line="276" w:lineRule="auto"/>
        <w:rPr>
          <w:rFonts w:cstheme="minorBidi"/>
          <w:noProof/>
          <w:szCs w:val="24"/>
        </w:rPr>
      </w:pPr>
      <w:r>
        <w:rPr>
          <w:noProof/>
        </w:rPr>
        <w:t>W decyzji nr 466/2014/UE wprowadza się następujące zmiany:</w:t>
      </w:r>
    </w:p>
    <w:p>
      <w:pPr>
        <w:spacing w:before="0" w:after="200" w:line="276" w:lineRule="auto"/>
        <w:rPr>
          <w:rFonts w:cstheme="minorBidi"/>
          <w:noProof/>
          <w:szCs w:val="24"/>
        </w:rPr>
      </w:pPr>
      <w:r>
        <w:rPr>
          <w:noProof/>
        </w:rPr>
        <w:t>1)</w:t>
      </w:r>
      <w:r>
        <w:rPr>
          <w:noProof/>
        </w:rPr>
        <w:tab/>
        <w:t>art. 2 otrzymuje brzmienie:</w:t>
      </w:r>
    </w:p>
    <w:p>
      <w:pPr>
        <w:spacing w:before="0" w:after="200" w:line="276" w:lineRule="auto"/>
        <w:jc w:val="center"/>
        <w:rPr>
          <w:rFonts w:cstheme="minorBidi"/>
          <w:noProof/>
          <w:szCs w:val="24"/>
        </w:rPr>
      </w:pPr>
      <w:r>
        <w:rPr>
          <w:noProof/>
        </w:rPr>
        <w:t>„</w:t>
      </w:r>
      <w:r>
        <w:rPr>
          <w:rFonts w:cstheme="minorBidi"/>
          <w:i/>
          <w:noProof/>
        </w:rPr>
        <w:t>Artykuł 2</w:t>
      </w:r>
    </w:p>
    <w:p>
      <w:pPr>
        <w:spacing w:before="0" w:after="200" w:line="276" w:lineRule="auto"/>
        <w:jc w:val="center"/>
        <w:rPr>
          <w:rFonts w:cstheme="minorBidi"/>
          <w:b/>
          <w:noProof/>
          <w:szCs w:val="24"/>
        </w:rPr>
      </w:pPr>
      <w:r>
        <w:rPr>
          <w:rFonts w:cstheme="minorBidi"/>
          <w:b/>
          <w:noProof/>
        </w:rPr>
        <w:t>Pułapy działań EBI z zakresu finansowania w ramach gwarancji UE</w:t>
      </w:r>
    </w:p>
    <w:p>
      <w:pPr>
        <w:spacing w:before="0" w:after="200" w:line="276" w:lineRule="auto"/>
        <w:rPr>
          <w:rFonts w:cstheme="minorBidi"/>
          <w:noProof/>
          <w:szCs w:val="24"/>
        </w:rPr>
      </w:pPr>
      <w:r>
        <w:rPr>
          <w:noProof/>
        </w:rPr>
        <w:t>1.</w:t>
      </w:r>
      <w:r>
        <w:rPr>
          <w:noProof/>
        </w:rPr>
        <w:tab/>
        <w:t>Maksymalny pułap dla działań EBI z zakresu finansowania w ramach gwarancji UE w latach 2014–2020 nie może przekroczyć kwoty 32 300 000 000 EUR. Kwot, które zostały początkowo przeznaczone na działania z zakresu finansowania, ale które zostały następnie anulowane, nie wlicza się do pułapu.</w:t>
      </w:r>
    </w:p>
    <w:p>
      <w:pPr>
        <w:spacing w:before="0" w:after="200" w:line="276" w:lineRule="auto"/>
        <w:rPr>
          <w:rFonts w:cstheme="minorBidi"/>
          <w:noProof/>
          <w:szCs w:val="24"/>
        </w:rPr>
      </w:pPr>
      <w:r>
        <w:rPr>
          <w:noProof/>
        </w:rPr>
        <w:t>Na ten maksymalny pułap składają się:</w:t>
      </w:r>
    </w:p>
    <w:p>
      <w:pPr>
        <w:spacing w:before="0" w:after="200" w:line="276" w:lineRule="auto"/>
        <w:rPr>
          <w:rFonts w:cstheme="minorBidi"/>
          <w:noProof/>
          <w:szCs w:val="24"/>
        </w:rPr>
      </w:pPr>
      <w:r>
        <w:rPr>
          <w:noProof/>
        </w:rPr>
        <w:t>a) kwota w maksymalnej wysokości 30 000 000 000 EUR w ramach upoważnienia ogólnego, z czego na projekty w sektorze publicznym skierowane do uchodźców i społeczności ich przyjmujących przeznaczono maksymalnie 1 400 000 000 EUR;</w:t>
      </w:r>
    </w:p>
    <w:p>
      <w:pPr>
        <w:spacing w:before="0" w:after="200" w:line="276" w:lineRule="auto"/>
        <w:rPr>
          <w:rFonts w:cstheme="minorBidi"/>
          <w:noProof/>
          <w:szCs w:val="24"/>
        </w:rPr>
      </w:pPr>
      <w:r>
        <w:rPr>
          <w:noProof/>
        </w:rPr>
        <w:t xml:space="preserve">b) kwota w maksymalnej wysokości 2 300 000 000 EUR w ramach upoważnienia do udzielania sektorowi prywatnemu pożyczek na cele projektów eliminujących pierwotne przyczyny migracji. </w:t>
      </w:r>
    </w:p>
    <w:p>
      <w:pPr>
        <w:spacing w:before="0" w:after="200" w:line="276" w:lineRule="auto"/>
        <w:rPr>
          <w:rFonts w:cstheme="minorBidi"/>
          <w:noProof/>
          <w:szCs w:val="24"/>
        </w:rPr>
      </w:pPr>
      <w:r>
        <w:rPr>
          <w:noProof/>
        </w:rPr>
        <w:t>2.</w:t>
      </w:r>
      <w:r>
        <w:rPr>
          <w:noProof/>
        </w:rPr>
        <w:tab/>
        <w:t>Kwoty w maksymalnej wysokości przewidziane w ramach upoważnienia ogólnego i upoważnienia do udzielania pożyczek sektorowi prywatnemu, o których mowa w ust. 1, dzielą się na pułapy i podpułapy regionalne określone w załączniku I. W granicach pułapów regionalnych EBI stopniowo zapewnia zrównoważony podział środków między kraje w obrębie regionów objętych gwarancją UE.”;</w:t>
      </w:r>
    </w:p>
    <w:p>
      <w:pPr>
        <w:spacing w:before="0" w:after="200" w:line="276" w:lineRule="auto"/>
        <w:rPr>
          <w:rFonts w:cstheme="minorBidi"/>
          <w:noProof/>
          <w:szCs w:val="24"/>
        </w:rPr>
      </w:pPr>
      <w:r>
        <w:rPr>
          <w:noProof/>
        </w:rPr>
        <w:t>2)</w:t>
      </w:r>
      <w:r>
        <w:rPr>
          <w:noProof/>
        </w:rPr>
        <w:tab/>
        <w:t>w art. 3 wprowadza się następujące zmiany:</w:t>
      </w:r>
    </w:p>
    <w:p>
      <w:pPr>
        <w:spacing w:before="0" w:after="200" w:line="276" w:lineRule="auto"/>
        <w:ind w:firstLine="708"/>
        <w:rPr>
          <w:rFonts w:cstheme="minorBidi"/>
          <w:noProof/>
          <w:szCs w:val="24"/>
        </w:rPr>
      </w:pPr>
      <w:r>
        <w:rPr>
          <w:noProof/>
        </w:rPr>
        <w:t>a) w ust. 1 dodaje się lit. d) w brzmieniu:</w:t>
      </w:r>
    </w:p>
    <w:p>
      <w:pPr>
        <w:spacing w:before="0" w:after="200" w:line="276" w:lineRule="auto"/>
        <w:rPr>
          <w:rFonts w:cstheme="minorBidi"/>
          <w:noProof/>
          <w:szCs w:val="24"/>
        </w:rPr>
      </w:pPr>
      <w:r>
        <w:rPr>
          <w:noProof/>
        </w:rPr>
        <w:t>„d)</w:t>
      </w:r>
      <w:r>
        <w:rPr>
          <w:noProof/>
        </w:rPr>
        <w:tab/>
        <w:t>strategiczna odpowiedź mająca na celu wyeliminowanie pierwotnych przyczyn migracji.”;</w:t>
      </w:r>
    </w:p>
    <w:p>
      <w:pPr>
        <w:spacing w:before="0" w:after="200" w:line="276" w:lineRule="auto"/>
        <w:ind w:firstLine="708"/>
        <w:rPr>
          <w:rFonts w:cstheme="minorBidi"/>
          <w:noProof/>
          <w:szCs w:val="24"/>
        </w:rPr>
      </w:pPr>
      <w:r>
        <w:rPr>
          <w:noProof/>
        </w:rPr>
        <w:t>b)</w:t>
      </w:r>
      <w:r>
        <w:rPr>
          <w:noProof/>
        </w:rPr>
        <w:tab/>
        <w:t>ust. 5 akapit pierwszy otrzymuje brzmienie:</w:t>
      </w:r>
    </w:p>
    <w:p>
      <w:pPr>
        <w:spacing w:before="0" w:after="200" w:line="276" w:lineRule="auto"/>
        <w:rPr>
          <w:rFonts w:cstheme="minorBidi"/>
          <w:noProof/>
          <w:szCs w:val="24"/>
        </w:rPr>
      </w:pPr>
      <w:r>
        <w:rPr>
          <w:noProof/>
        </w:rPr>
        <w:t>W celu zapewnienia, by inwestycje sektora prywatnego miały największy wpływ na rozwój, EBI dąży do wzmocnienia lokalnego sektora prywatnego w krajach będących beneficjentami poprzez wspieranie lokalnych inwestycji, zgodnie z ust. 1 lit. a). W ramach swoich działań z zakresu finansowania wspierających realizację ogólnych celów określonych w ust. 1 EBI dąży również do lepszego wspierania projektów inwestycyjnych realizowanych przez MŚP z Unii. Aby skutecznie monitorować wykorzystanie środków finansowych na rzecz odnośnych MŚP, EBI ustanawia i utrzymuje odpowiednie postanowienia umowne nakładające standardowe obowiązki sprawozdawcze na instytucje pośrednictwa finansowego i beneficjentów.”;.</w:t>
      </w:r>
    </w:p>
    <w:p>
      <w:pPr>
        <w:spacing w:before="0" w:after="200" w:line="276" w:lineRule="auto"/>
        <w:ind w:firstLine="708"/>
        <w:rPr>
          <w:rFonts w:cstheme="minorBidi"/>
          <w:noProof/>
          <w:szCs w:val="24"/>
        </w:rPr>
      </w:pPr>
      <w:r>
        <w:rPr>
          <w:noProof/>
        </w:rPr>
        <w:t>c)</w:t>
      </w:r>
      <w:r>
        <w:rPr>
          <w:noProof/>
        </w:rPr>
        <w:tab/>
        <w:t>ust. 7 i 8 otrzymują brzmienie:</w:t>
      </w:r>
    </w:p>
    <w:p>
      <w:pPr>
        <w:spacing w:before="0" w:after="200" w:line="276" w:lineRule="auto"/>
        <w:rPr>
          <w:rFonts w:cstheme="minorBidi"/>
          <w:noProof/>
          <w:szCs w:val="24"/>
        </w:rPr>
      </w:pPr>
      <w:r>
        <w:rPr>
          <w:noProof/>
        </w:rPr>
        <w:t>„7.</w:t>
      </w:r>
      <w:r>
        <w:rPr>
          <w:noProof/>
        </w:rPr>
        <w:tab/>
        <w:t xml:space="preserve">Działania EBI z zakresu finansowania wspierające realizację ogólnych celów określonych w ust. 1 lit. c) wspierają projekty inwestycyjne, które mają na celu łagodzenie zmiany klimatu i przystosowywanie się do niej i które przyczyniają się do osiągnięcia ogólnych celów Ramowej konwencji Narodów Zjednoczonych w sprawie zmian klimatu i porozumienia paryskiego przyjętego w ramach tej konwencji, w szczególności poprzez unikanie lub ograniczenie emisji gazów cieplarnianych w dziedzinie energii ze źródeł odnawialnych, efektywności energetycznej i zrównoważonego transportu, lub poprzez zwiększenie odporności na niekorzystne skutki zmiany klimatu w krajach, sektorach i społecznościach podatnych na zagrożenia. </w:t>
      </w:r>
    </w:p>
    <w:p>
      <w:pPr>
        <w:spacing w:before="0" w:after="200" w:line="276" w:lineRule="auto"/>
        <w:rPr>
          <w:rFonts w:cstheme="minorBidi"/>
          <w:noProof/>
          <w:szCs w:val="24"/>
        </w:rPr>
      </w:pPr>
      <w:r>
        <w:rPr>
          <w:noProof/>
        </w:rPr>
        <w:t>Kryteria kwalifikowalności projektów dotyczących działań w dziedzinie zmiany klimatu zostały zdefiniowane w strategii EBI dotyczącej zmiany klimatu</w:t>
      </w:r>
      <w:r>
        <w:rPr>
          <w:rStyle w:val="FootnoteReference"/>
          <w:rFonts w:cstheme="minorBidi"/>
          <w:noProof/>
        </w:rPr>
        <w:footnoteReference w:id="5"/>
      </w:r>
      <w:r>
        <w:rPr>
          <w:noProof/>
        </w:rPr>
        <w:t>, którą zaktualizowano w 2015 r. Opierając się na opracowanych przez EBI metodach oceny projektów pod kątem emisji gazów cieplarnianych i zmian tych emisji, w procedurze oceny oddziaływania na środowisko ujmuje się badanie dotyczące śladu węglowego w celu stwierdzenia, czy propozycje dotyczące danego projektu zakładają jak największą poprawę efektywności energetycznej.</w:t>
      </w:r>
    </w:p>
    <w:p>
      <w:pPr>
        <w:spacing w:before="0" w:after="200" w:line="276" w:lineRule="auto"/>
        <w:rPr>
          <w:rFonts w:cstheme="minorBidi"/>
          <w:noProof/>
          <w:szCs w:val="24"/>
        </w:rPr>
      </w:pPr>
      <w:r>
        <w:rPr>
          <w:noProof/>
        </w:rPr>
        <w:t xml:space="preserve">W okresie objętym niniejszą decyzją EBI powinien dążyć do utrzymania obecnego wysokiego poziomu działań związanych z klimatem, przy czym minimalne działania w tym zakresie muszą stanowić kwotowo przynajmniej 25 % ogółu działań EBI z zakresu finansowania. </w:t>
      </w:r>
    </w:p>
    <w:p>
      <w:pPr>
        <w:spacing w:before="0" w:after="200" w:line="276" w:lineRule="auto"/>
        <w:rPr>
          <w:rFonts w:cstheme="minorBidi"/>
          <w:noProof/>
          <w:szCs w:val="24"/>
        </w:rPr>
      </w:pPr>
      <w:r>
        <w:rPr>
          <w:noProof/>
        </w:rPr>
        <w:t>EBI uwzględnia w większym stopniu elementy związane z przystosowywaniem się do zmiany klimatu w ramach swojego wkładu w projekty związane ze zmianą klimatu.</w:t>
      </w:r>
    </w:p>
    <w:p>
      <w:pPr>
        <w:spacing w:before="0" w:after="200" w:line="276" w:lineRule="auto"/>
        <w:rPr>
          <w:rFonts w:cstheme="minorBidi"/>
          <w:noProof/>
          <w:szCs w:val="24"/>
        </w:rPr>
      </w:pPr>
      <w:r>
        <w:rPr>
          <w:noProof/>
        </w:rPr>
        <w:t>8.</w:t>
      </w:r>
      <w:r>
        <w:rPr>
          <w:noProof/>
        </w:rPr>
        <w:tab/>
        <w:t>Działania EBI z zakresu finansowania wspierające realizację ogólnych celów określonych w ust. 1 lit. d) wspierają projekty inwestycyjne, które eliminują pierwotne przyczyny migracji, przyczyniają się do długoterminowej odporności gospodarczej i zapewniają zrównoważony rozwój w krajach będących beneficjentami. Działania EBI z zakresu finansowania służą w szczególności zaspokojeniu zwiększonych potrzeb w zakresie infrastruktury i powiązanych usług w odpowiedzi na napływ migrantów, a także zwiększeniu szans znalezienia zatrudnienia przez uchodźców i członków społeczności ich przyjmujących, aby wesprzeć integrację gospodarczą i umożliwić uchodźcom uzyskanie samodzielności.</w:t>
      </w:r>
    </w:p>
    <w:p>
      <w:pPr>
        <w:spacing w:before="0" w:after="200" w:line="276" w:lineRule="auto"/>
        <w:rPr>
          <w:rFonts w:cstheme="minorBidi"/>
          <w:noProof/>
          <w:szCs w:val="24"/>
        </w:rPr>
      </w:pPr>
      <w:r>
        <w:rPr>
          <w:noProof/>
        </w:rPr>
        <w:t xml:space="preserve">Wspomniane działania z zakresu finansowania wspierają: </w:t>
      </w:r>
    </w:p>
    <w:p>
      <w:pPr>
        <w:spacing w:before="0" w:after="200" w:line="276" w:lineRule="auto"/>
        <w:rPr>
          <w:rFonts w:cstheme="minorBidi"/>
          <w:noProof/>
          <w:szCs w:val="24"/>
        </w:rPr>
      </w:pPr>
      <w:r>
        <w:rPr>
          <w:noProof/>
        </w:rPr>
        <w:t xml:space="preserve">a) sektor prywatny w zakresie segmentu MŚP, finansowania przedsiębiorstw i mikrofinansowania; </w:t>
      </w:r>
    </w:p>
    <w:p>
      <w:pPr>
        <w:spacing w:before="0" w:after="200" w:line="276" w:lineRule="auto"/>
        <w:rPr>
          <w:rFonts w:cstheme="minorBidi"/>
          <w:noProof/>
          <w:szCs w:val="24"/>
        </w:rPr>
      </w:pPr>
      <w:r>
        <w:rPr>
          <w:noProof/>
        </w:rPr>
        <w:t>b) sektor publiczny, w tym gminy i podmioty sektora publicznego, w obszarze infrastruktury i usług, aby zaspokoić znacznie zwiększone potrzeby.”;</w:t>
      </w:r>
    </w:p>
    <w:p>
      <w:pPr>
        <w:spacing w:before="0" w:after="200" w:line="276" w:lineRule="auto"/>
        <w:rPr>
          <w:rFonts w:cstheme="minorBidi"/>
          <w:noProof/>
          <w:szCs w:val="24"/>
        </w:rPr>
      </w:pPr>
      <w:r>
        <w:rPr>
          <w:noProof/>
        </w:rPr>
        <w:t>3)</w:t>
      </w:r>
      <w:r>
        <w:rPr>
          <w:noProof/>
        </w:rPr>
        <w:tab/>
        <w:t>w art. 8 ust. 1 dodaje się akapit drugi w brzmieniu:</w:t>
      </w:r>
    </w:p>
    <w:p>
      <w:pPr>
        <w:spacing w:before="0" w:after="200" w:line="276" w:lineRule="auto"/>
        <w:rPr>
          <w:rFonts w:cstheme="minorBidi"/>
          <w:noProof/>
          <w:szCs w:val="24"/>
        </w:rPr>
      </w:pPr>
      <w:r>
        <w:rPr>
          <w:noProof/>
        </w:rPr>
        <w:t>„Gwarancja ogólna obejmuje również działania EBI z zakresu finansowania prowadzone w ramach upoważnienia do udzielania pożyczek sektorowi prywatnemu, o którym mowa w art. 2 ust. 1 lit. b).”;</w:t>
      </w:r>
    </w:p>
    <w:p>
      <w:pPr>
        <w:spacing w:before="0" w:after="200" w:line="276" w:lineRule="auto"/>
        <w:rPr>
          <w:rFonts w:cstheme="minorBidi"/>
          <w:noProof/>
          <w:szCs w:val="24"/>
        </w:rPr>
      </w:pPr>
      <w:r>
        <w:rPr>
          <w:noProof/>
        </w:rPr>
        <w:t>4)</w:t>
      </w:r>
      <w:r>
        <w:rPr>
          <w:noProof/>
        </w:rPr>
        <w:tab/>
        <w:t>w art. 10 dodaje się akapit trzeci w brzmieniu:</w:t>
      </w:r>
    </w:p>
    <w:p>
      <w:pPr>
        <w:spacing w:before="0" w:after="200" w:line="276" w:lineRule="auto"/>
        <w:rPr>
          <w:rFonts w:cstheme="minorBidi"/>
          <w:noProof/>
          <w:szCs w:val="24"/>
        </w:rPr>
      </w:pPr>
      <w:r>
        <w:rPr>
          <w:noProof/>
        </w:rPr>
        <w:t>„Ryzyko dla budżetu UE związane z działaniami EBI z zakresu finansowania prowadzonymi w ramach upoważnienia do udzielania pożyczek sektorowi prywatnemu, o którym mowa w art. 2 ust. 1 lit. b), jest wyceniane, a dochody uzyskane z wyceny ryzyka są wpłacane do Funduszu Gwarancyjnego dla działań zewnętrznych.”;</w:t>
      </w:r>
    </w:p>
    <w:p>
      <w:pPr>
        <w:spacing w:before="0" w:after="200" w:line="276" w:lineRule="auto"/>
        <w:rPr>
          <w:rFonts w:cstheme="minorBidi"/>
          <w:noProof/>
          <w:szCs w:val="24"/>
        </w:rPr>
      </w:pPr>
      <w:r>
        <w:rPr>
          <w:noProof/>
        </w:rPr>
        <w:t xml:space="preserve">5) </w:t>
      </w:r>
      <w:r>
        <w:rPr>
          <w:noProof/>
        </w:rPr>
        <w:tab/>
        <w:t>w art. 11 ust. 1 wprowadza się następujące zmiany:</w:t>
      </w:r>
    </w:p>
    <w:p>
      <w:pPr>
        <w:spacing w:before="0" w:after="200" w:line="276" w:lineRule="auto"/>
        <w:ind w:firstLine="708"/>
        <w:rPr>
          <w:rFonts w:cstheme="minorBidi"/>
          <w:noProof/>
          <w:szCs w:val="24"/>
        </w:rPr>
      </w:pPr>
      <w:r>
        <w:rPr>
          <w:noProof/>
        </w:rPr>
        <w:t>a)</w:t>
      </w:r>
      <w:r>
        <w:rPr>
          <w:noProof/>
        </w:rPr>
        <w:tab/>
        <w:t>w lit. b) dodaje się zdanie w brzmieniu:</w:t>
      </w:r>
    </w:p>
    <w:p>
      <w:pPr>
        <w:spacing w:before="0" w:after="200" w:line="276" w:lineRule="auto"/>
        <w:rPr>
          <w:rFonts w:cstheme="minorBidi"/>
          <w:noProof/>
          <w:szCs w:val="24"/>
        </w:rPr>
      </w:pPr>
      <w:r>
        <w:rPr>
          <w:noProof/>
        </w:rPr>
        <w:t>„b)</w:t>
      </w:r>
      <w:r>
        <w:rPr>
          <w:noProof/>
        </w:rPr>
        <w:tab/>
        <w:t>EBI opracowuje wskaźniki dotyczące projektów, które są realizowane w ramach strategicznej odpowiedzi mającej na celu wyeliminowanie pierwotnych przyczyn migracji;”;</w:t>
      </w:r>
    </w:p>
    <w:p>
      <w:pPr>
        <w:spacing w:before="0" w:after="200" w:line="276" w:lineRule="auto"/>
        <w:ind w:firstLine="708"/>
        <w:rPr>
          <w:rFonts w:cstheme="minorBidi"/>
          <w:noProof/>
          <w:szCs w:val="24"/>
        </w:rPr>
      </w:pPr>
      <w:r>
        <w:rPr>
          <w:noProof/>
        </w:rPr>
        <w:t>b)</w:t>
      </w:r>
      <w:r>
        <w:rPr>
          <w:noProof/>
        </w:rPr>
        <w:tab/>
        <w:t>dodaje się lit. j) w brzmieniu:</w:t>
      </w:r>
    </w:p>
    <w:p>
      <w:pPr>
        <w:spacing w:before="0" w:after="200" w:line="276" w:lineRule="auto"/>
        <w:rPr>
          <w:rFonts w:cstheme="minorBidi"/>
          <w:noProof/>
          <w:szCs w:val="24"/>
        </w:rPr>
      </w:pPr>
      <w:r>
        <w:rPr>
          <w:noProof/>
        </w:rPr>
        <w:t xml:space="preserve">„j) </w:t>
      </w:r>
      <w:r>
        <w:rPr>
          <w:noProof/>
        </w:rPr>
        <w:tab/>
        <w:t>ocenę wkładu działań EBI z zakresu finansowania w strategiczną odpowiedź mającą na celu wyeliminowanie pierwotnych przyczyn migracji. ”;</w:t>
      </w:r>
    </w:p>
    <w:p>
      <w:pPr>
        <w:rPr>
          <w:noProof/>
        </w:rPr>
      </w:pPr>
      <w:r>
        <w:rPr>
          <w:noProof/>
        </w:rPr>
        <w:t xml:space="preserve">6) </w:t>
      </w:r>
      <w:r>
        <w:rPr>
          <w:noProof/>
        </w:rPr>
        <w:tab/>
        <w:t>art. 20 otrzymuje brzmienie:</w:t>
      </w:r>
    </w:p>
    <w:p>
      <w:pPr>
        <w:spacing w:after="200"/>
        <w:rPr>
          <w:noProof/>
        </w:rPr>
      </w:pPr>
      <w:r>
        <w:rPr>
          <w:noProof/>
        </w:rPr>
        <w:t>„Do dnia 31 grudnia 2021 r. Komisja przedstawia Parlamentowi Europejskiemu i Radzie końcowe sprawozdanie z oceny dotyczące stosowania niniejszej decyzji.”;</w:t>
      </w:r>
    </w:p>
    <w:p>
      <w:pPr>
        <w:rPr>
          <w:rFonts w:cstheme="minorBidi"/>
          <w:noProof/>
          <w:szCs w:val="24"/>
        </w:rPr>
      </w:pPr>
      <w:r>
        <w:rPr>
          <w:noProof/>
        </w:rPr>
        <w:t>7)</w:t>
      </w:r>
      <w:r>
        <w:rPr>
          <w:noProof/>
        </w:rPr>
        <w:tab/>
        <w:t>załączniki I, II i III zastępuje się tekstem znajdującym się w załącznikach I, II i III do niniejszej decyzji.</w:t>
      </w:r>
    </w:p>
    <w:p>
      <w:pPr>
        <w:pStyle w:val="Titrearticle"/>
        <w:rPr>
          <w:noProof/>
        </w:rPr>
      </w:pPr>
      <w:r>
        <w:rPr>
          <w:noProof/>
        </w:rPr>
        <w:t>Artykuł 2</w:t>
      </w:r>
    </w:p>
    <w:p>
      <w:pPr>
        <w:keepNext/>
        <w:keepLines/>
        <w:spacing w:before="0" w:after="200" w:line="276" w:lineRule="auto"/>
        <w:rPr>
          <w:rFonts w:cstheme="minorBidi"/>
          <w:noProof/>
          <w:szCs w:val="24"/>
        </w:rPr>
      </w:pPr>
      <w:r>
        <w:rPr>
          <w:noProof/>
        </w:rPr>
        <w:t xml:space="preserve">Niniejsza decyzja wchodzi w życie dwudziestego dnia po jej opublikowaniu w </w:t>
      </w:r>
      <w:r>
        <w:rPr>
          <w:i/>
          <w:noProof/>
        </w:rPr>
        <w:t>Dzienniku Urzędowym Unii Europejskiej</w:t>
      </w:r>
      <w:r>
        <w:rPr>
          <w:noProof/>
        </w:rPr>
        <w:t>.</w:t>
      </w:r>
    </w:p>
    <w:p>
      <w:pPr>
        <w:pStyle w:val="Fait"/>
        <w:rPr>
          <w:noProof/>
        </w:rPr>
      </w:pPr>
      <w:r>
        <w:rPr>
          <w:noProof/>
        </w:rPr>
        <w:t>Sporządzono w Brukseli dnia  r.</w:t>
      </w:r>
    </w:p>
    <w:p>
      <w:pPr>
        <w:pStyle w:val="Institutionquisigne"/>
        <w:rPr>
          <w:noProof/>
        </w:rPr>
      </w:pPr>
      <w:r>
        <w:rPr>
          <w:noProof/>
        </w:rPr>
        <w:t>W imieniu Parlamentu Europejskiego</w:t>
      </w:r>
      <w:r>
        <w:rPr>
          <w:noProof/>
        </w:rPr>
        <w:tab/>
        <w:t>W imieniu Rady</w:t>
      </w:r>
    </w:p>
    <w:p>
      <w:pPr>
        <w:pStyle w:val="Personnequisigne"/>
        <w:rPr>
          <w:rFonts w:cstheme="minorBidi"/>
          <w:noProof/>
          <w:sz w:val="22"/>
        </w:rPr>
      </w:pPr>
      <w:r>
        <w:rPr>
          <w:noProof/>
        </w:rPr>
        <w:t>Przewodniczący</w:t>
      </w:r>
      <w:r>
        <w:rPr>
          <w:noProof/>
        </w:rPr>
        <w:tab/>
        <w:t>Przewodniczący</w:t>
      </w:r>
    </w:p>
    <w:p>
      <w:pPr>
        <w:widowControl w:val="0"/>
        <w:spacing w:before="0" w:after="83" w:line="160" w:lineRule="exact"/>
        <w:ind w:left="260" w:hanging="20"/>
        <w:rPr>
          <w:rFonts w:cstheme="minorBidi"/>
          <w:noProof/>
          <w:sz w:val="18"/>
          <w:szCs w:val="18"/>
          <w:shd w:val="clear" w:color="auto" w:fill="FFFFFF"/>
        </w:rPr>
        <w:sectPr>
          <w:pgSz w:w="11907" w:h="16840" w:code="9"/>
          <w:pgMar w:top="1134" w:right="1418" w:bottom="1134" w:left="1418" w:header="709" w:footer="709" w:gutter="0"/>
          <w:cols w:space="708"/>
          <w:docGrid w:linePitch="360"/>
        </w:sectPr>
      </w:pPr>
    </w:p>
    <w:p>
      <w:pPr>
        <w:pStyle w:val="Fichefinanciretitre"/>
        <w:rPr>
          <w:noProof/>
        </w:rPr>
      </w:pPr>
      <w:r>
        <w:rPr>
          <w:noProof/>
        </w:rPr>
        <w:t>OCENA SKUTKÓW FINANSOWYCH REGULACJI</w:t>
      </w:r>
    </w:p>
    <w:p>
      <w:pPr>
        <w:keepNext/>
        <w:tabs>
          <w:tab w:val="left" w:pos="850"/>
        </w:tabs>
        <w:spacing w:before="360"/>
        <w:ind w:left="850" w:hanging="850"/>
        <w:outlineLvl w:val="0"/>
        <w:rPr>
          <w:rFonts w:cstheme="minorBidi"/>
          <w:b/>
          <w:smallCaps/>
          <w:noProof/>
        </w:rPr>
      </w:pPr>
      <w:r>
        <w:rPr>
          <w:rFonts w:cstheme="minorBidi"/>
          <w:b/>
          <w:smallCaps/>
          <w:noProof/>
        </w:rPr>
        <w:t>1.</w:t>
      </w:r>
      <w:r>
        <w:rPr>
          <w:noProof/>
        </w:rPr>
        <w:tab/>
      </w:r>
      <w:r>
        <w:rPr>
          <w:rFonts w:cstheme="minorBidi"/>
          <w:b/>
          <w:smallCaps/>
          <w:noProof/>
        </w:rPr>
        <w:t xml:space="preserve">STRUKTURA WNIOSKU/INICJATYWY </w:t>
      </w:r>
    </w:p>
    <w:p>
      <w:pPr>
        <w:keepNext/>
        <w:tabs>
          <w:tab w:val="left" w:pos="850"/>
        </w:tabs>
        <w:ind w:left="850" w:hanging="850"/>
        <w:outlineLvl w:val="1"/>
        <w:rPr>
          <w:rFonts w:cstheme="minorBidi"/>
          <w:noProof/>
        </w:rPr>
      </w:pPr>
      <w:r>
        <w:rPr>
          <w:noProof/>
        </w:rPr>
        <w:tab/>
        <w:t>1.1.</w:t>
      </w:r>
      <w:r>
        <w:rPr>
          <w:noProof/>
        </w:rPr>
        <w:tab/>
        <w:t xml:space="preserve">Tytuł wniosku/inicjatywy </w:t>
      </w:r>
    </w:p>
    <w:p>
      <w:pPr>
        <w:keepNext/>
        <w:tabs>
          <w:tab w:val="left" w:pos="850"/>
        </w:tabs>
        <w:ind w:left="850" w:hanging="850"/>
        <w:outlineLvl w:val="1"/>
        <w:rPr>
          <w:rFonts w:cstheme="minorBidi"/>
          <w:noProof/>
        </w:rPr>
      </w:pPr>
      <w:r>
        <w:rPr>
          <w:noProof/>
        </w:rPr>
        <w:tab/>
        <w:t>1.2.</w:t>
      </w:r>
      <w:r>
        <w:rPr>
          <w:noProof/>
        </w:rPr>
        <w:tab/>
        <w:t>Dziedziny polityki w strukturze ABM/ABB, których dotyczy wniosek/inicjatywa</w:t>
      </w:r>
    </w:p>
    <w:p>
      <w:pPr>
        <w:keepNext/>
        <w:tabs>
          <w:tab w:val="left" w:pos="850"/>
        </w:tabs>
        <w:ind w:left="850" w:hanging="850"/>
        <w:outlineLvl w:val="1"/>
        <w:rPr>
          <w:rFonts w:cstheme="minorBidi"/>
          <w:noProof/>
        </w:rPr>
      </w:pPr>
      <w:r>
        <w:rPr>
          <w:noProof/>
        </w:rPr>
        <w:tab/>
        <w:t>1.3.</w:t>
      </w:r>
      <w:r>
        <w:rPr>
          <w:noProof/>
        </w:rPr>
        <w:tab/>
        <w:t xml:space="preserve">Charakter wniosku/inicjatywy </w:t>
      </w:r>
    </w:p>
    <w:p>
      <w:pPr>
        <w:keepNext/>
        <w:tabs>
          <w:tab w:val="left" w:pos="850"/>
        </w:tabs>
        <w:ind w:left="850" w:hanging="850"/>
        <w:outlineLvl w:val="1"/>
        <w:rPr>
          <w:rFonts w:cstheme="minorBidi"/>
          <w:noProof/>
        </w:rPr>
      </w:pPr>
      <w:r>
        <w:rPr>
          <w:noProof/>
        </w:rPr>
        <w:tab/>
        <w:t>1.4.</w:t>
      </w:r>
      <w:r>
        <w:rPr>
          <w:noProof/>
        </w:rPr>
        <w:tab/>
        <w:t xml:space="preserve">Cele </w:t>
      </w:r>
    </w:p>
    <w:p>
      <w:pPr>
        <w:keepNext/>
        <w:tabs>
          <w:tab w:val="left" w:pos="850"/>
        </w:tabs>
        <w:ind w:left="850" w:hanging="850"/>
        <w:outlineLvl w:val="1"/>
        <w:rPr>
          <w:rFonts w:cstheme="minorBidi"/>
          <w:noProof/>
        </w:rPr>
      </w:pPr>
      <w:r>
        <w:rPr>
          <w:noProof/>
        </w:rPr>
        <w:tab/>
        <w:t>1.5.</w:t>
      </w:r>
      <w:r>
        <w:rPr>
          <w:noProof/>
        </w:rPr>
        <w:tab/>
        <w:t xml:space="preserve">Uzasadnienie wniosku/inicjatywy </w:t>
      </w:r>
    </w:p>
    <w:p>
      <w:pPr>
        <w:keepNext/>
        <w:tabs>
          <w:tab w:val="left" w:pos="850"/>
        </w:tabs>
        <w:ind w:left="850" w:hanging="850"/>
        <w:outlineLvl w:val="1"/>
        <w:rPr>
          <w:rFonts w:cstheme="minorBidi"/>
          <w:noProof/>
        </w:rPr>
      </w:pPr>
      <w:r>
        <w:rPr>
          <w:noProof/>
        </w:rPr>
        <w:tab/>
        <w:t>1.6.</w:t>
      </w:r>
      <w:r>
        <w:rPr>
          <w:noProof/>
        </w:rPr>
        <w:tab/>
        <w:t xml:space="preserve">Czas trwania działania i jego wpływ finansowy </w:t>
      </w:r>
    </w:p>
    <w:p>
      <w:pPr>
        <w:keepNext/>
        <w:tabs>
          <w:tab w:val="left" w:pos="850"/>
        </w:tabs>
        <w:ind w:left="850" w:hanging="850"/>
        <w:outlineLvl w:val="1"/>
        <w:rPr>
          <w:rFonts w:cstheme="minorBidi"/>
          <w:noProof/>
        </w:rPr>
      </w:pPr>
      <w:r>
        <w:rPr>
          <w:noProof/>
        </w:rPr>
        <w:tab/>
        <w:t>1.7.</w:t>
      </w:r>
      <w:r>
        <w:rPr>
          <w:noProof/>
        </w:rPr>
        <w:tab/>
        <w:t xml:space="preserve">Przewidywane tryby zarządzania </w:t>
      </w:r>
    </w:p>
    <w:p>
      <w:pPr>
        <w:keepNext/>
        <w:tabs>
          <w:tab w:val="left" w:pos="850"/>
        </w:tabs>
        <w:spacing w:before="360"/>
        <w:ind w:left="850" w:hanging="850"/>
        <w:outlineLvl w:val="0"/>
        <w:rPr>
          <w:rFonts w:cstheme="minorBidi"/>
          <w:b/>
          <w:smallCaps/>
          <w:noProof/>
        </w:rPr>
      </w:pPr>
      <w:r>
        <w:rPr>
          <w:rFonts w:cstheme="minorBidi"/>
          <w:b/>
          <w:smallCaps/>
          <w:noProof/>
        </w:rPr>
        <w:t>2.</w:t>
      </w:r>
      <w:r>
        <w:rPr>
          <w:noProof/>
        </w:rPr>
        <w:tab/>
      </w:r>
      <w:r>
        <w:rPr>
          <w:rFonts w:cstheme="minorBidi"/>
          <w:b/>
          <w:smallCaps/>
          <w:noProof/>
        </w:rPr>
        <w:t xml:space="preserve">ŚRODKI ZARZĄDZANIA </w:t>
      </w:r>
    </w:p>
    <w:p>
      <w:pPr>
        <w:keepNext/>
        <w:tabs>
          <w:tab w:val="left" w:pos="850"/>
        </w:tabs>
        <w:ind w:left="850" w:hanging="850"/>
        <w:outlineLvl w:val="1"/>
        <w:rPr>
          <w:rFonts w:cstheme="minorBidi"/>
          <w:noProof/>
        </w:rPr>
      </w:pPr>
      <w:r>
        <w:rPr>
          <w:noProof/>
        </w:rPr>
        <w:tab/>
        <w:t>2.1.</w:t>
      </w:r>
      <w:r>
        <w:rPr>
          <w:noProof/>
        </w:rPr>
        <w:tab/>
        <w:t xml:space="preserve">Zasady nadzoru i sprawozdawczości </w:t>
      </w:r>
    </w:p>
    <w:p>
      <w:pPr>
        <w:keepNext/>
        <w:tabs>
          <w:tab w:val="left" w:pos="850"/>
        </w:tabs>
        <w:ind w:left="850" w:hanging="850"/>
        <w:outlineLvl w:val="1"/>
        <w:rPr>
          <w:rFonts w:cstheme="minorBidi"/>
          <w:noProof/>
        </w:rPr>
      </w:pPr>
      <w:r>
        <w:rPr>
          <w:noProof/>
        </w:rPr>
        <w:tab/>
        <w:t>2.2.</w:t>
      </w:r>
      <w:r>
        <w:rPr>
          <w:noProof/>
        </w:rPr>
        <w:tab/>
        <w:t xml:space="preserve">System zarządzania i kontroli </w:t>
      </w:r>
    </w:p>
    <w:p>
      <w:pPr>
        <w:keepNext/>
        <w:tabs>
          <w:tab w:val="left" w:pos="850"/>
        </w:tabs>
        <w:ind w:left="850" w:hanging="850"/>
        <w:outlineLvl w:val="1"/>
        <w:rPr>
          <w:rFonts w:cstheme="minorBidi"/>
          <w:noProof/>
        </w:rPr>
      </w:pPr>
      <w:r>
        <w:rPr>
          <w:noProof/>
        </w:rPr>
        <w:tab/>
        <w:t>2.3.</w:t>
      </w:r>
      <w:r>
        <w:rPr>
          <w:noProof/>
        </w:rPr>
        <w:tab/>
        <w:t xml:space="preserve">Środki zapobiegania nadużyciom finansowym i nieprawidłowościom </w:t>
      </w:r>
    </w:p>
    <w:p>
      <w:pPr>
        <w:keepNext/>
        <w:tabs>
          <w:tab w:val="left" w:pos="850"/>
        </w:tabs>
        <w:spacing w:before="360"/>
        <w:ind w:left="850" w:hanging="850"/>
        <w:outlineLvl w:val="0"/>
        <w:rPr>
          <w:rFonts w:cstheme="minorBidi"/>
          <w:b/>
          <w:smallCaps/>
          <w:noProof/>
        </w:rPr>
      </w:pPr>
      <w:r>
        <w:rPr>
          <w:rFonts w:cstheme="minorBidi"/>
          <w:b/>
          <w:smallCaps/>
          <w:noProof/>
        </w:rPr>
        <w:t>3.</w:t>
      </w:r>
      <w:r>
        <w:rPr>
          <w:noProof/>
        </w:rPr>
        <w:tab/>
      </w:r>
      <w:r>
        <w:rPr>
          <w:rFonts w:cstheme="minorBidi"/>
          <w:b/>
          <w:smallCaps/>
          <w:noProof/>
        </w:rPr>
        <w:t xml:space="preserve">SZACUNKOWY WPŁYW FINANSOWY WNIOSKU/INICJATYWY </w:t>
      </w:r>
    </w:p>
    <w:p>
      <w:pPr>
        <w:keepNext/>
        <w:tabs>
          <w:tab w:val="left" w:pos="850"/>
        </w:tabs>
        <w:ind w:left="850" w:hanging="850"/>
        <w:outlineLvl w:val="1"/>
        <w:rPr>
          <w:rFonts w:cstheme="minorBidi"/>
          <w:noProof/>
        </w:rPr>
      </w:pPr>
      <w:r>
        <w:rPr>
          <w:noProof/>
        </w:rPr>
        <w:tab/>
        <w:t>3.1.</w:t>
      </w:r>
      <w:r>
        <w:rPr>
          <w:noProof/>
        </w:rPr>
        <w:tab/>
        <w:t xml:space="preserve">Działy wieloletnich ram finansowych i linie budżetowe po stronie wydatków, na które wniosek/inicjatywa ma wpływ </w:t>
      </w:r>
    </w:p>
    <w:p>
      <w:pPr>
        <w:keepNext/>
        <w:tabs>
          <w:tab w:val="left" w:pos="850"/>
        </w:tabs>
        <w:ind w:left="850" w:hanging="850"/>
        <w:outlineLvl w:val="1"/>
        <w:rPr>
          <w:rFonts w:cstheme="minorBidi"/>
          <w:b/>
          <w:noProof/>
        </w:rPr>
      </w:pPr>
      <w:r>
        <w:rPr>
          <w:noProof/>
        </w:rPr>
        <w:tab/>
        <w:t>3.2.</w:t>
      </w:r>
      <w:r>
        <w:rPr>
          <w:noProof/>
        </w:rPr>
        <w:tab/>
        <w:t>Szacunkowy wpływ na wydatki</w:t>
      </w:r>
      <w:r>
        <w:rPr>
          <w:rFonts w:cstheme="minorBidi"/>
          <w:b/>
          <w:noProof/>
        </w:rPr>
        <w:t xml:space="preserve"> </w:t>
      </w:r>
    </w:p>
    <w:p>
      <w:pPr>
        <w:keepNext/>
        <w:tabs>
          <w:tab w:val="left" w:pos="850"/>
        </w:tabs>
        <w:ind w:left="850" w:hanging="850"/>
        <w:outlineLvl w:val="2"/>
        <w:rPr>
          <w:rFonts w:cstheme="minorBidi"/>
          <w:i/>
          <w:noProof/>
        </w:rPr>
      </w:pPr>
      <w:r>
        <w:rPr>
          <w:noProof/>
        </w:rPr>
        <w:tab/>
      </w:r>
      <w:r>
        <w:rPr>
          <w:rFonts w:cstheme="minorBidi"/>
          <w:i/>
          <w:noProof/>
        </w:rPr>
        <w:t>3.2.1.</w:t>
      </w:r>
      <w:r>
        <w:rPr>
          <w:noProof/>
        </w:rPr>
        <w:tab/>
      </w:r>
      <w:r>
        <w:rPr>
          <w:rFonts w:cstheme="minorBidi"/>
          <w:i/>
          <w:noProof/>
        </w:rPr>
        <w:t xml:space="preserve">Synteza szacunkowego wpływu na wydatki </w:t>
      </w:r>
    </w:p>
    <w:p>
      <w:pPr>
        <w:keepNext/>
        <w:tabs>
          <w:tab w:val="left" w:pos="850"/>
        </w:tabs>
        <w:ind w:left="850" w:hanging="850"/>
        <w:outlineLvl w:val="2"/>
        <w:rPr>
          <w:rFonts w:cstheme="minorBidi"/>
          <w:i/>
          <w:noProof/>
        </w:rPr>
      </w:pPr>
      <w:r>
        <w:rPr>
          <w:noProof/>
        </w:rPr>
        <w:tab/>
      </w:r>
      <w:r>
        <w:rPr>
          <w:rFonts w:cstheme="minorBidi"/>
          <w:i/>
          <w:noProof/>
        </w:rPr>
        <w:t>3.2.2.</w:t>
      </w:r>
      <w:r>
        <w:rPr>
          <w:noProof/>
        </w:rPr>
        <w:tab/>
      </w:r>
      <w:r>
        <w:rPr>
          <w:rFonts w:cstheme="minorBidi"/>
          <w:i/>
          <w:noProof/>
        </w:rPr>
        <w:t xml:space="preserve">Szacunkowy wpływ na środki operacyjne </w:t>
      </w:r>
    </w:p>
    <w:p>
      <w:pPr>
        <w:keepNext/>
        <w:tabs>
          <w:tab w:val="left" w:pos="850"/>
        </w:tabs>
        <w:ind w:left="850" w:hanging="850"/>
        <w:outlineLvl w:val="2"/>
        <w:rPr>
          <w:rFonts w:cstheme="minorBidi"/>
          <w:i/>
          <w:noProof/>
        </w:rPr>
      </w:pPr>
      <w:r>
        <w:rPr>
          <w:noProof/>
        </w:rPr>
        <w:tab/>
      </w:r>
      <w:r>
        <w:rPr>
          <w:rFonts w:cstheme="minorBidi"/>
          <w:i/>
          <w:noProof/>
        </w:rPr>
        <w:t>3.2.3.</w:t>
      </w:r>
      <w:r>
        <w:rPr>
          <w:noProof/>
        </w:rPr>
        <w:tab/>
      </w:r>
      <w:r>
        <w:rPr>
          <w:rFonts w:cstheme="minorBidi"/>
          <w:i/>
          <w:noProof/>
        </w:rPr>
        <w:t>Zgodność z obowiązującymi wieloletnimi ramami finansowymi</w:t>
      </w:r>
    </w:p>
    <w:p>
      <w:pPr>
        <w:keepNext/>
        <w:tabs>
          <w:tab w:val="left" w:pos="850"/>
        </w:tabs>
        <w:ind w:left="850" w:hanging="850"/>
        <w:jc w:val="left"/>
        <w:outlineLvl w:val="1"/>
        <w:rPr>
          <w:rFonts w:cstheme="minorBidi"/>
          <w:noProof/>
        </w:rPr>
        <w:sectPr>
          <w:pgSz w:w="11907" w:h="16840" w:code="9"/>
          <w:pgMar w:top="1134" w:right="1418" w:bottom="1134" w:left="1418" w:header="709" w:footer="709" w:gutter="0"/>
          <w:cols w:space="708"/>
          <w:docGrid w:linePitch="360"/>
        </w:sectPr>
      </w:pPr>
      <w:r>
        <w:rPr>
          <w:noProof/>
        </w:rPr>
        <w:tab/>
        <w:t>3.3.</w:t>
      </w:r>
      <w:r>
        <w:rPr>
          <w:noProof/>
        </w:rPr>
        <w:tab/>
        <w:t>Szacunkowy wpływ na dochody</w:t>
      </w:r>
    </w:p>
    <w:p>
      <w:pPr>
        <w:spacing w:before="0" w:after="200" w:line="276" w:lineRule="auto"/>
        <w:jc w:val="center"/>
        <w:rPr>
          <w:rFonts w:cstheme="minorBidi"/>
          <w:noProof/>
          <w:sz w:val="22"/>
        </w:rPr>
      </w:pPr>
      <w:r>
        <w:rPr>
          <w:rFonts w:cstheme="minorBidi"/>
          <w:b/>
          <w:noProof/>
          <w:sz w:val="22"/>
          <w:u w:val="single"/>
        </w:rPr>
        <w:t>OCENA SKUTKÓW FINANSOWYCH REGULACJI</w:t>
      </w:r>
    </w:p>
    <w:p>
      <w:pPr>
        <w:pStyle w:val="ManualHeading1"/>
        <w:rPr>
          <w:noProof/>
        </w:rPr>
      </w:pPr>
      <w:r>
        <w:rPr>
          <w:noProof/>
        </w:rPr>
        <w:t>1.</w:t>
      </w:r>
      <w:r>
        <w:rPr>
          <w:noProof/>
        </w:rPr>
        <w:tab/>
        <w:t xml:space="preserve">STRUKTURA WNIOSKU/INICJATYWY </w:t>
      </w:r>
    </w:p>
    <w:p>
      <w:pPr>
        <w:pStyle w:val="ManualHeading2"/>
        <w:rPr>
          <w:noProof/>
        </w:rPr>
      </w:pPr>
      <w:r>
        <w:rPr>
          <w:noProof/>
        </w:rPr>
        <w:t>1.1.</w:t>
      </w:r>
      <w:r>
        <w:rPr>
          <w:noProof/>
        </w:rPr>
        <w:tab/>
        <w:t xml:space="preserve">Tytuł wniosku/inicjatywy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Wniosek dotyczący decyzji Parlamentu Europejskiego i Rady zmieniającej decyzję nr 466/2014/UE z dnia 16 kwietnia 2014 r. w sprawie udzielenia gwarancji UE dla Europejskiego Banku Inwestycyjnego na pokrycie strat poniesionych w związku z działaniami z zakresu finansowania wspierającymi projekty inwestycyjne poza granicami Unii</w:t>
      </w:r>
    </w:p>
    <w:p>
      <w:pPr>
        <w:pStyle w:val="ManualHeading2"/>
        <w:rPr>
          <w:noProof/>
        </w:rPr>
      </w:pPr>
      <w:r>
        <w:rPr>
          <w:noProof/>
        </w:rPr>
        <w:t>1.2.</w:t>
      </w:r>
      <w:r>
        <w:rPr>
          <w:noProof/>
        </w:rPr>
        <w:tab/>
        <w:t>Dziedziny polityki w strukturze ABM/ABB, których dotyczy wniosek/inicjatywa</w:t>
      </w:r>
      <w:r>
        <w:rPr>
          <w:rStyle w:val="FootnoteReference"/>
          <w:noProof/>
        </w:rPr>
        <w:footnoteReference w:id="6"/>
      </w:r>
      <w:r>
        <w:rPr>
          <w:noProof/>
        </w:rPr>
        <w:t xml:space="preserve">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Tytuł 01 – Sprawy gospodarcze i finansowe</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Działanie ABB: Międzynarodowe kwestie gospodarcze i finansowe</w:t>
      </w:r>
    </w:p>
    <w:p>
      <w:pPr>
        <w:pStyle w:val="ManualHeading2"/>
        <w:rPr>
          <w:noProof/>
        </w:rPr>
      </w:pPr>
      <w:r>
        <w:rPr>
          <w:noProof/>
        </w:rPr>
        <w:t>1.3.</w:t>
      </w:r>
      <w:r>
        <w:rPr>
          <w:noProof/>
        </w:rPr>
        <w:tab/>
        <w:t xml:space="preserve">Charakter wniosku/inicjatywy </w:t>
      </w:r>
    </w:p>
    <w:p>
      <w:pPr>
        <w:spacing w:before="0" w:after="200" w:line="276" w:lineRule="auto"/>
        <w:ind w:left="850"/>
        <w:rPr>
          <w:rFonts w:cstheme="minorBidi"/>
          <w:b/>
          <w:noProof/>
          <w:sz w:val="22"/>
        </w:rPr>
      </w:pPr>
      <w:r>
        <w:rPr>
          <w:rFonts w:cstheme="minorBidi"/>
          <w:noProof/>
          <w:sz w:val="22"/>
        </w:rPr>
        <w:sym w:font="Wingdings" w:char="F0A8"/>
      </w:r>
      <w:r>
        <w:rPr>
          <w:rFonts w:cstheme="minorBidi"/>
          <w:b/>
          <w:i/>
          <w:noProof/>
          <w:sz w:val="22"/>
        </w:rPr>
        <w:t xml:space="preserve"> </w:t>
      </w:r>
      <w:r>
        <w:rPr>
          <w:rFonts w:cstheme="minorBidi"/>
          <w:noProof/>
          <w:sz w:val="22"/>
        </w:rPr>
        <w:t xml:space="preserve">Wniosek/inicjatywa dotyczy </w:t>
      </w:r>
      <w:r>
        <w:rPr>
          <w:rFonts w:cstheme="minorBidi"/>
          <w:b/>
          <w:noProof/>
          <w:sz w:val="22"/>
        </w:rPr>
        <w:t xml:space="preserve">nowego działania </w:t>
      </w:r>
    </w:p>
    <w:p>
      <w:pPr>
        <w:spacing w:before="0" w:after="200" w:line="276" w:lineRule="auto"/>
        <w:ind w:left="850"/>
        <w:rPr>
          <w:rFonts w:cstheme="minorBidi"/>
          <w:noProof/>
          <w:sz w:val="22"/>
        </w:rPr>
      </w:pPr>
      <w:r>
        <w:rPr>
          <w:rFonts w:cstheme="minorBidi"/>
          <w:noProof/>
          <w:sz w:val="22"/>
        </w:rPr>
        <w:sym w:font="Wingdings" w:char="F0A8"/>
      </w:r>
      <w:r>
        <w:rPr>
          <w:rFonts w:cstheme="minorBidi"/>
          <w:i/>
          <w:noProof/>
          <w:sz w:val="22"/>
        </w:rPr>
        <w:t xml:space="preserve"> </w:t>
      </w:r>
      <w:r>
        <w:rPr>
          <w:rFonts w:cstheme="minorBidi"/>
          <w:noProof/>
          <w:sz w:val="22"/>
        </w:rPr>
        <w:t xml:space="preserve">Wniosek/inicjatywa dotyczy </w:t>
      </w:r>
      <w:r>
        <w:rPr>
          <w:rFonts w:cstheme="minorBidi"/>
          <w:b/>
          <w:noProof/>
          <w:sz w:val="22"/>
        </w:rPr>
        <w:t>nowego działania będącego następstwem projektu pilotażowego/działania przygotowawczego</w:t>
      </w:r>
      <w:r>
        <w:rPr>
          <w:rStyle w:val="FootnoteReference"/>
          <w:noProof/>
        </w:rPr>
        <w:footnoteReference w:id="7"/>
      </w:r>
    </w:p>
    <w:p>
      <w:pPr>
        <w:spacing w:before="0" w:after="200" w:line="276" w:lineRule="auto"/>
        <w:ind w:left="850"/>
        <w:rPr>
          <w:rFonts w:cstheme="minorBidi"/>
          <w:noProof/>
          <w:sz w:val="22"/>
        </w:rPr>
      </w:pPr>
      <w:r>
        <w:rPr>
          <w:rFonts w:cstheme="minorBidi"/>
          <w:b/>
          <w:noProof/>
          <w:sz w:val="22"/>
        </w:rPr>
        <w:t>X</w:t>
      </w:r>
      <w:r>
        <w:rPr>
          <w:rFonts w:cstheme="minorBidi"/>
          <w:i/>
          <w:noProof/>
          <w:sz w:val="22"/>
        </w:rPr>
        <w:t xml:space="preserve"> </w:t>
      </w:r>
      <w:r>
        <w:rPr>
          <w:rFonts w:cstheme="minorBidi"/>
          <w:noProof/>
          <w:sz w:val="22"/>
        </w:rPr>
        <w:t xml:space="preserve">Wniosek/inicjatywa wiąże się z </w:t>
      </w:r>
      <w:r>
        <w:rPr>
          <w:rFonts w:cstheme="minorBidi"/>
          <w:b/>
          <w:noProof/>
          <w:sz w:val="22"/>
        </w:rPr>
        <w:t>przedłużeniem bieżącego działania</w:t>
      </w:r>
    </w:p>
    <w:p>
      <w:pPr>
        <w:spacing w:before="0" w:after="200" w:line="276" w:lineRule="auto"/>
        <w:ind w:left="850"/>
        <w:rPr>
          <w:rFonts w:cstheme="minorBidi"/>
          <w:noProof/>
          <w:sz w:val="22"/>
        </w:rPr>
      </w:pPr>
      <w:r>
        <w:rPr>
          <w:rFonts w:cstheme="minorBidi"/>
          <w:noProof/>
          <w:sz w:val="22"/>
        </w:rPr>
        <w:sym w:font="Wingdings" w:char="F0A8"/>
      </w:r>
      <w:r>
        <w:rPr>
          <w:rFonts w:cstheme="minorBidi"/>
          <w:i/>
          <w:noProof/>
          <w:sz w:val="22"/>
        </w:rPr>
        <w:t xml:space="preserve"> </w:t>
      </w:r>
      <w:r>
        <w:rPr>
          <w:rFonts w:cstheme="minorBidi"/>
          <w:noProof/>
          <w:sz w:val="22"/>
        </w:rPr>
        <w:t xml:space="preserve">Wniosek/inicjatywa dotyczy </w:t>
      </w:r>
      <w:r>
        <w:rPr>
          <w:rFonts w:cstheme="minorBidi"/>
          <w:b/>
          <w:noProof/>
          <w:sz w:val="22"/>
        </w:rPr>
        <w:t>działania, które zostało przekształcone pod kątem nowego działania</w:t>
      </w:r>
    </w:p>
    <w:p>
      <w:pPr>
        <w:pStyle w:val="ManualHeading2"/>
        <w:rPr>
          <w:noProof/>
        </w:rPr>
      </w:pPr>
      <w:r>
        <w:rPr>
          <w:noProof/>
        </w:rPr>
        <w:t>1.4.</w:t>
      </w:r>
      <w:r>
        <w:rPr>
          <w:noProof/>
        </w:rPr>
        <w:tab/>
        <w:t>Cel(e)</w:t>
      </w:r>
    </w:p>
    <w:p>
      <w:pPr>
        <w:pStyle w:val="ManualHeading3"/>
        <w:rPr>
          <w:noProof/>
        </w:rPr>
      </w:pPr>
      <w:r>
        <w:rPr>
          <w:noProof/>
        </w:rPr>
        <w:t>1.4.1.</w:t>
      </w:r>
      <w:r>
        <w:rPr>
          <w:noProof/>
        </w:rPr>
        <w:tab/>
        <w:t xml:space="preserve">Wieloletnie cele strategiczne Komisji wskazane we wniosku/inicjatywie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Ogólnym celem działalności EBI poza granicami Unii prowadzonej w ramach upoważnienia do udzielania pożyczek na rzecz państw trzecich jest wspieranie polityki zewnętrznej Unii poprzez finansowanie stosownych projektów inwestycyjnych w państwach partnerskich dzięki połączeniu unijnej gwarancji budżetowej z własnymi zasobami EBI.</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Poprzez swoje działania z zakresu finansowania prowadzone poza granicami Unii w ramach gwarancji UE EBI powinien wspierać zrównoważony rozwój gospodarczy, społeczny i środowiskowy państw partnerskich Unii, a także ich partnerstwo z Unią.</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Ogólne cele, do których osiągnięcia przyczyniać się powinny działania EBI z zakresu finansowania objęte upoważnieniem, to:</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a) rozwój lokalnego sektora prywatnego, w szczególności wsparcie dla MŚP;</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b) rozwój infrastruktury społecznej, infrastruktury służącej ochronie środowiska i infrastruktury gospodarczej;</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c) łagodzenie zmiany klimatu i przystosowywanie się do niej.</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d) strategiczna odpowiedź mająca na celu wyeliminowanie pierwotnych przyczyn migracji.</w:t>
      </w:r>
    </w:p>
    <w:p>
      <w:pPr>
        <w:pStyle w:val="ManualHeading3"/>
        <w:rPr>
          <w:noProof/>
        </w:rPr>
      </w:pPr>
      <w:r>
        <w:rPr>
          <w:noProof/>
        </w:rPr>
        <w:t>1.4.2.</w:t>
      </w:r>
      <w:r>
        <w:rPr>
          <w:noProof/>
        </w:rPr>
        <w:tab/>
        <w:t xml:space="preserve">Cele szczegółowe i działania ABM/ABB, których dotyczy wniosek/inicjatywa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Cel szczegółowy ABM nr 2: „Polepszenie profilu UE, reprezentacji UE na zewnątrz oraz stosunków z EBI, EBOiR i innymi międzynarodowymi instytucjami finansowymi, w tym poprawa reputacji UE na właściwych forach gospodarczych, w celu zwiększenia konwergencji między ich strategiami i działaniami a priorytetami polityki zewnętrznej UE”.</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Działania ABM/ABB, których dotyczy wniosek/inicjatywa</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Tytuł 01 03 – Międzynarodowe sprawy gospodarcze i finansowe</w:t>
      </w:r>
    </w:p>
    <w:p>
      <w:pPr>
        <w:pStyle w:val="ManualHeading3"/>
        <w:rPr>
          <w:rFonts w:eastAsia="SimSun" w:cstheme="minorBidi"/>
          <w:noProof/>
          <w:color w:val="000000"/>
          <w:szCs w:val="24"/>
        </w:rPr>
      </w:pPr>
      <w:r>
        <w:rPr>
          <w:noProof/>
        </w:rPr>
        <w:t>1.4.3.</w:t>
      </w:r>
      <w:r>
        <w:rPr>
          <w:noProof/>
        </w:rPr>
        <w:tab/>
        <w:t>Oczekiwane wyniki i wpływ</w:t>
      </w:r>
    </w:p>
    <w:p>
      <w:pPr>
        <w:pBdr>
          <w:top w:val="single" w:sz="4" w:space="0"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 xml:space="preserve">W kontekście przygotowania decyzji 466/2014/UE Komisja przeprowadziła ocenę skutków; ocena ta została załączona do wniosku Komisji. </w:t>
      </w:r>
    </w:p>
    <w:p>
      <w:pPr>
        <w:pBdr>
          <w:top w:val="single" w:sz="4" w:space="0"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Z uwagi na fakt, że niniejszy wniosek w sprawie zmiany decyzji 466/2014/UE ma na celu jedynie rozszerzenie gwarancji UE i podwyższenie pułapów środków, powinien on zostać wyłączony z wymogu przygotowywania oceny skutków.</w:t>
      </w:r>
    </w:p>
    <w:p>
      <w:pPr>
        <w:pStyle w:val="ManualHeading3"/>
        <w:rPr>
          <w:noProof/>
        </w:rPr>
      </w:pPr>
      <w:r>
        <w:rPr>
          <w:noProof/>
        </w:rPr>
        <w:t>1.4.4.</w:t>
      </w:r>
      <w:r>
        <w:rPr>
          <w:noProof/>
        </w:rPr>
        <w:tab/>
        <w:t xml:space="preserve">Wskaźniki wyników i wpływu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Ramy pomiaru wyników i skutków działań EBI były stosowane przez EBI od 2012 r. w ramach operacyjnego monitorowania na podstawie zbioru wskaźników. „Ramy pomiaru wyników”</w:t>
      </w:r>
      <w:r>
        <w:rPr>
          <w:rStyle w:val="FootnoteReference"/>
          <w:noProof/>
        </w:rPr>
        <w:footnoteReference w:id="8"/>
      </w:r>
      <w:r>
        <w:rPr>
          <w:rFonts w:cstheme="minorBidi"/>
          <w:noProof/>
          <w:sz w:val="22"/>
        </w:rPr>
        <w:t xml:space="preserve"> pozwalają doprecyzować ocenę </w:t>
      </w:r>
      <w:r>
        <w:rPr>
          <w:rFonts w:cstheme="minorBidi"/>
          <w:i/>
          <w:noProof/>
          <w:sz w:val="22"/>
        </w:rPr>
        <w:t>ex ante</w:t>
      </w:r>
      <w:r>
        <w:rPr>
          <w:rFonts w:cstheme="minorBidi"/>
          <w:noProof/>
          <w:sz w:val="22"/>
        </w:rPr>
        <w:t xml:space="preserve"> dotyczącą oczekiwanych rezultatów projektu oraz zwiększyć zdolność EBI w zakresie sprawozdawczości w zakresie faktycznie osiągniętych wyników. Ramy te pozwalają wykazać, w jaki sposób pożyczki EBI generują rezultaty, które umożliwiają osiągnięcie wyników – a z czasem prowadzą do osiągnięcia skutków – zgodnych z celami upoważnienia udzielonego bankowi.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 xml:space="preserve">Ponadto postępy na drodze do osiągnięcia szczegółowych i operacyjnych celów wniosku są monitorowane w oparciu o kluczowe wskaźniki, o których mowa w poniższej sekcji „Zasady nadzoru i sprawozdawczości”.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[Jeśli chodzi o finansowanie projektów wspierających działania w zakresie klimatu:</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 xml:space="preserve">Standardy EBI dotyczące klimatu, określające cele EBI w zakresie wartości dodanej, wymagają, aby całe finansowanie projektu było zgodne z unijną polityką klimatyczną. W szczególności EBI jest zobowiązany: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zwiększać przyjazność dla środowiska swojego portfela pożyczkowego przez wspieranie projektów mających na celu łagodzenie zmiany klimatu, realizowanych w różnych sektorach, a także przez promowanie energooszczędnych rozwiązań w ramach finansowanych projektów;</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nadawać centralne znaczenie aspektom związanym z ryzykiem zmiany klimatu w ramach cyklu projektu oraz wspierać projekty mające na celu przystosowanie się do zmiany klimatu lub projekty obejmujące elementy i działania mające taki cel, z myślą o długookresowej zrównoważoności;</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prowadzić oceny i sprawozdawczość w zakresie śladu węglowego projektów inwestycyjnych finansowanych przez EBI w ramach sekcji sprawozdania rocznego EBI poświęconej rocznym łącznym emisjom gazów cieplarnianych i ograniczeniom tych emisji;</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włączyć do operacyjnego planu działań kluczowe wskaźniki efektywności określone w planie działania na rzecz klimatu z 2009 r. i utrzymanie obecnego rocznego docelowego odsetka pożyczek w tej dziedzinie na poziomie co najmniej 25 %. Wskazany odsetek opiera się na spójnym zbiorze definicji dotyczących projektów działań w dziedzinie klimatu;</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uwzględniać wartość dwutlenku węgla – zarówno finansową, jak i gospodarczą – w swoich wymogach i procesach związanych z decyzjami o przyznaniu finansowania;</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zwiększać przejrzystość i rozliczalność, rzecznictwo i współpracę z innymi instytucjami, w tym wielostronnymi instytucjami finansowymi, dwustronnymi instytucjami finansowymi („wzajemnego zaufania”), Komisją Europejską, organizacjami pozarządowymi i środowiskiem akademickim w kwestiach związanych z klimatem.</w:t>
      </w:r>
    </w:p>
    <w:p>
      <w:pPr>
        <w:pStyle w:val="ManualHeading2"/>
        <w:rPr>
          <w:noProof/>
        </w:rPr>
      </w:pPr>
      <w:r>
        <w:rPr>
          <w:noProof/>
        </w:rPr>
        <w:t>1.5.</w:t>
      </w:r>
      <w:r>
        <w:rPr>
          <w:noProof/>
        </w:rPr>
        <w:tab/>
        <w:t xml:space="preserve">Uzasadnienie wniosku/inicjatywy </w:t>
      </w:r>
    </w:p>
    <w:p>
      <w:pPr>
        <w:pStyle w:val="ManualHeading3"/>
        <w:rPr>
          <w:noProof/>
        </w:rPr>
      </w:pPr>
      <w:r>
        <w:rPr>
          <w:noProof/>
        </w:rPr>
        <w:t>1.5.1.</w:t>
      </w:r>
      <w:r>
        <w:rPr>
          <w:noProof/>
        </w:rPr>
        <w:tab/>
        <w:t xml:space="preserve">Potrzeby, które należy zaspokoić w perspektywie krótko- lub długoterminowej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Zgodnie z art. 19 decyzji nr 466/2014/UE: „Do dnia 31 grudnia 2016 r. Komisja, we współpracy z EBI, przekazuje Parlamentowi Europejskiemu i Radzie śródokresowe sprawozdanie zawierające ocenę stosowania niniejszej decyzji w pierwszych latach, któremu towarzyszy, w stosownych przypadkach, wniosek dotyczący jej zmiany. Sprawozdanie średniookresowe sporządza się w oparciu o niezależną ocenę zewnętrzną i wkład EBI.</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 xml:space="preserve">Sprawozdanie zawiera w szczególności: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a)</w:t>
      </w:r>
      <w:r>
        <w:rPr>
          <w:noProof/>
        </w:rPr>
        <w:tab/>
      </w:r>
      <w:r>
        <w:rPr>
          <w:rFonts w:cstheme="minorBidi"/>
          <w:noProof/>
          <w:sz w:val="22"/>
        </w:rPr>
        <w:t xml:space="preserve">ocenę stosowania strategii przydziału środków;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b)</w:t>
      </w:r>
      <w:r>
        <w:rPr>
          <w:noProof/>
        </w:rPr>
        <w:tab/>
      </w:r>
      <w:r>
        <w:rPr>
          <w:rFonts w:cstheme="minorBidi"/>
          <w:noProof/>
          <w:sz w:val="22"/>
        </w:rPr>
        <w:t>ocenę sprawozdawczości EBI i w stosownych przypadkach zalecenia dotyczące jej poprawy;</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c)</w:t>
      </w:r>
      <w:r>
        <w:rPr>
          <w:noProof/>
        </w:rPr>
        <w:tab/>
      </w:r>
      <w:r>
        <w:rPr>
          <w:rFonts w:cstheme="minorBidi"/>
          <w:noProof/>
          <w:sz w:val="22"/>
        </w:rPr>
        <w:t xml:space="preserve">ocenę ram pomiaru wyników, w tym wskaźników i kryteriów efektywności, oraz wkładu tych wyników w realizację celów niniejszej decyzji;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d)</w:t>
      </w:r>
      <w:r>
        <w:rPr>
          <w:noProof/>
        </w:rPr>
        <w:tab/>
      </w:r>
      <w:r>
        <w:rPr>
          <w:rFonts w:cstheme="minorBidi"/>
          <w:noProof/>
          <w:sz w:val="22"/>
        </w:rPr>
        <w:t>szczegółowy opis kryteriów rozpatrywanych pod kątem zalecenia dotyczącego ewentualnego uruchomienia w całości lub w części fakultatywnej dodatkowej kwoty”.</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 xml:space="preserve">W tym celu konsultant zewnętrzny dokonał niezależnej oceny zewnętrznej, która uwzględniała materiały przekazane przez EBI. Sprawozdanie Komisji opisuje ocenę Komisji dotyczącą wyników oceny zewnętrznej oraz podsumowuje jej wyniki. </w:t>
      </w:r>
    </w:p>
    <w:p>
      <w:pPr>
        <w:pStyle w:val="ManualHeading3"/>
        <w:rPr>
          <w:noProof/>
        </w:rPr>
      </w:pPr>
      <w:r>
        <w:rPr>
          <w:noProof/>
        </w:rPr>
        <w:t>1.5.2.</w:t>
      </w:r>
      <w:r>
        <w:rPr>
          <w:noProof/>
        </w:rPr>
        <w:tab/>
        <w:t>Wartość dodana z tytułu zaangażowania Unii Europejskiej</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Działania EBI z zakresu finansowania poza granicami Unii stanowią bardzo widoczne i skuteczne narzędzie wspierające działania zewnętrzne Unii. Główne korzyści płynące z interwencji EBI w państwach trzecich, oprócz wsparcia finansowego, obejmują dzielenie się specjalistyczną wiedzą z promotorami projektów oraz stosowanie w projektach inwestycyjnych finansowanych przez EBI unijnych norm w dziedzinie ochrony środowiska, standardów socjalnych oraz w dziedzinie zamówień publicznych. Oprócz tych korzyści EBI przekazuje końcowym beneficjentom pełne korzyści finansowe płynące z gwarancji UE oraz swoich atrakcyjnych kosztów finansowania w formie konkurencyjnego oprocentowania.</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Upoważnienie objęte gwarancją UE przewiduje niezbędne wsparcie polityczne i finansowe ze strony UE dla operacji pożyczkowych EBI w poszczególnych państwach i dla projektów inwestycyjnych, które w innym przypadku nie spełniałyby standardowych wytycznych i kryteriów EBI ze względu na wysoki poziom ryzyka.</w:t>
      </w:r>
    </w:p>
    <w:p>
      <w:pPr>
        <w:pStyle w:val="ManualHeading3"/>
        <w:rPr>
          <w:noProof/>
        </w:rPr>
      </w:pPr>
      <w:r>
        <w:rPr>
          <w:noProof/>
        </w:rPr>
        <w:t>1.5.3.</w:t>
      </w:r>
      <w:r>
        <w:rPr>
          <w:noProof/>
        </w:rPr>
        <w:tab/>
        <w:t>Główne wnioski wyciągnięte z podobnych działań</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Główne wnioski wyciągnięte z podobnych działań w przeszłości zostały uwzględnione w kontekście oceny skutków, która posłużyła jako podstawa decyzji 466/2014/UE.</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Decyzja zobowiązuje ponadto Komisję do corocznego składania sprawozdań dotyczących działań zewnętrznych EBI objętych gwarancją z budżetu UE. Komisja przedstawia co roku Parlamentowi Europejskiemu i Radzie sprawozdanie z wykonania działań zewnętrznych EBI. Ostatnie roczne sprawozdanie zostało przedłożone za rok kalendarzowy 2015</w:t>
      </w:r>
      <w:r>
        <w:rPr>
          <w:rStyle w:val="FootnoteReference"/>
          <w:noProof/>
        </w:rPr>
        <w:footnoteReference w:id="9"/>
      </w:r>
      <w:r>
        <w:rPr>
          <w:rFonts w:cstheme="minorBidi"/>
          <w:noProof/>
          <w:sz w:val="22"/>
        </w:rPr>
        <w:t>. Obejmuje ono:</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ocenę działań EBI z zakresu finansowania na poziomie projektu, sektora, państwa i regionu;</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ocenę wartości dodanej, szacowanych rezultatów, efektywności i wpływu na rozwój działań EBI z zakresu finansowania, w oparciu o roczne sprawozdanie EBI na temat ram pomiaru wyników;</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ocenę wkładu działań EBI z zakresu finansowania w realizację unijnych celów polityki zewnętrznej i celów strategicznych;</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 xml:space="preserve">ocenę korzyści finansowych przekazanych beneficjentom działań EBI z zakresu finansowania;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 xml:space="preserve">ocenę jakości działań EBI z zakresu finansowania;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szczegółowe informacje dotyczące uruchomienia gwarancji UE;</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informacje na temat wielkości finansowania udzielonego na rzecz działań w dziedzinie zmiany klimatu i bioróżnorodności;</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opis współpracy z Komisją i innymi europejskimi i międzynarodowymi instytucjami finansowymi, w tym współfinansowania;</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t>
      </w:r>
      <w:r>
        <w:rPr>
          <w:noProof/>
        </w:rPr>
        <w:tab/>
      </w:r>
      <w:r>
        <w:rPr>
          <w:rFonts w:cstheme="minorBidi"/>
          <w:noProof/>
          <w:sz w:val="22"/>
        </w:rPr>
        <w:t>informacje na temat monitorowania funkcjonowania protokołu ustaleń między EBI a Europejskim Rzecznikiem Praw Obywatelskich.</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p>
    <w:p>
      <w:pPr>
        <w:pStyle w:val="ManualHeading3"/>
        <w:rPr>
          <w:noProof/>
        </w:rPr>
      </w:pPr>
      <w:r>
        <w:rPr>
          <w:noProof/>
        </w:rPr>
        <w:t>1.5.4.</w:t>
      </w:r>
      <w:r>
        <w:rPr>
          <w:noProof/>
        </w:rPr>
        <w:tab/>
        <w:t>Spójność z innymi właściwymi instrumentami oraz możliwa synergia</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Działania EBI z zakresu finansowania uzupełniają działania realizowane w ramach instrumentów pomocy zewnętrznej. W celu dalszego zwiększenia wsparcia dla polityki zewnętrznej Unii w poszczególnych regionach wzmocniono powiązania pomiędzy priorytetami EBI a polityką Unii. Osiągnięto to dzięki wprowadzeniu i aktualizacji regionalnych technicznych wytycznych operacyjnych („wytyczne regionalne”) po przyjęciu decyzji 466/2014/UE. Komisja, we współpracy z ESDZ i EBI, zaktualizowała wytyczne regionalne w maju 2015 r.</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Celem wytycznych regionalnych jest zapewnienie wzmocnionych ram dialogu i współpracy między EBI a Komisją. W stosownych przypadkach działania EBI z zakresu finansowania można skutecznie połączyć ze środkami budżetowymi UE w postaci dotacji w ramach współfinansowania, kapitału podwyższonego ryzyka, podziału ryzyka czy też pomocy technicznej w przygotowaniu i realizacji projektów lub ulepszeniu ram prawnych i regulacyjnych.</w:t>
      </w:r>
    </w:p>
    <w:p>
      <w:pPr>
        <w:pStyle w:val="ManualHeading2"/>
        <w:rPr>
          <w:noProof/>
        </w:rPr>
      </w:pPr>
      <w:r>
        <w:rPr>
          <w:noProof/>
        </w:rPr>
        <w:t>1.6.</w:t>
      </w:r>
      <w:r>
        <w:rPr>
          <w:noProof/>
        </w:rPr>
        <w:tab/>
        <w:t xml:space="preserve">Czas trwania działania i jego wpływ finansowy </w:t>
      </w:r>
    </w:p>
    <w:p>
      <w:pPr>
        <w:spacing w:before="0" w:after="200" w:line="276" w:lineRule="auto"/>
        <w:ind w:left="850"/>
        <w:rPr>
          <w:rFonts w:cstheme="minorBidi"/>
          <w:noProof/>
          <w:sz w:val="22"/>
        </w:rPr>
      </w:pPr>
      <w:r>
        <w:rPr>
          <w:rFonts w:cstheme="minorBidi"/>
          <w:b/>
          <w:noProof/>
          <w:sz w:val="22"/>
        </w:rPr>
        <w:t>X</w:t>
      </w:r>
      <w:r>
        <w:rPr>
          <w:rFonts w:cstheme="minorBidi"/>
          <w:b/>
          <w:i/>
          <w:noProof/>
          <w:sz w:val="22"/>
        </w:rPr>
        <w:t xml:space="preserve"> </w:t>
      </w:r>
      <w:r>
        <w:rPr>
          <w:rFonts w:cstheme="minorBidi"/>
          <w:noProof/>
          <w:sz w:val="22"/>
        </w:rPr>
        <w:t xml:space="preserve">Wniosek/inicjatywa o </w:t>
      </w:r>
      <w:r>
        <w:rPr>
          <w:rFonts w:cstheme="minorBidi"/>
          <w:b/>
          <w:noProof/>
          <w:sz w:val="22"/>
        </w:rPr>
        <w:t xml:space="preserve">ograniczonym okresie trwania </w:t>
      </w:r>
    </w:p>
    <w:p>
      <w:pPr>
        <w:tabs>
          <w:tab w:val="num" w:pos="1134"/>
        </w:tabs>
        <w:spacing w:before="0" w:after="200" w:line="276" w:lineRule="auto"/>
        <w:ind w:left="1134" w:hanging="283"/>
        <w:rPr>
          <w:rFonts w:eastAsia="Times New Roman" w:cstheme="minorBidi"/>
          <w:noProof/>
          <w:sz w:val="22"/>
        </w:rPr>
      </w:pPr>
      <w:r>
        <w:rPr>
          <w:rFonts w:cstheme="minorBidi"/>
          <w:b/>
          <w:noProof/>
          <w:sz w:val="22"/>
        </w:rPr>
        <w:t>X</w:t>
      </w:r>
      <w:r>
        <w:rPr>
          <w:rFonts w:cstheme="minorBidi"/>
          <w:noProof/>
          <w:sz w:val="22"/>
        </w:rPr>
        <w:t xml:space="preserve"> </w:t>
      </w:r>
      <w:r>
        <w:rPr>
          <w:noProof/>
        </w:rPr>
        <w:tab/>
      </w:r>
      <w:r>
        <w:rPr>
          <w:rFonts w:cstheme="minorBidi"/>
          <w:noProof/>
          <w:sz w:val="22"/>
        </w:rPr>
        <w:t>Okres trwania wniosku/inicjatywy: od 01/01/2014 do 31/01/2020</w:t>
      </w:r>
    </w:p>
    <w:p>
      <w:pPr>
        <w:spacing w:before="0" w:after="200" w:line="276" w:lineRule="auto"/>
        <w:ind w:left="851"/>
        <w:rPr>
          <w:rFonts w:eastAsia="Times New Roman" w:cstheme="minorBidi"/>
          <w:noProof/>
          <w:sz w:val="22"/>
        </w:rPr>
      </w:pPr>
      <w:r>
        <w:rPr>
          <w:rFonts w:cstheme="minorBidi"/>
          <w:noProof/>
          <w:sz w:val="22"/>
        </w:rPr>
        <w:t xml:space="preserve">EBI może zatwierdzać pożyczki udzielane w ramach swoich działań z zakresu finansowania w latach 2014–2020. </w:t>
      </w:r>
    </w:p>
    <w:p>
      <w:pPr>
        <w:tabs>
          <w:tab w:val="num" w:pos="1134"/>
        </w:tabs>
        <w:spacing w:before="0" w:after="200" w:line="276" w:lineRule="auto"/>
        <w:ind w:left="1134" w:hanging="283"/>
        <w:rPr>
          <w:rFonts w:eastAsia="Times New Roman" w:cstheme="minorBidi"/>
          <w:noProof/>
          <w:sz w:val="22"/>
        </w:rPr>
      </w:pPr>
      <w:r>
        <w:rPr>
          <w:rFonts w:cstheme="minorBidi"/>
          <w:b/>
          <w:noProof/>
          <w:sz w:val="22"/>
        </w:rPr>
        <w:t xml:space="preserve">X </w:t>
      </w:r>
      <w:r>
        <w:rPr>
          <w:noProof/>
        </w:rPr>
        <w:tab/>
      </w:r>
      <w:r>
        <w:rPr>
          <w:rFonts w:cstheme="minorBidi"/>
          <w:noProof/>
          <w:sz w:val="22"/>
        </w:rPr>
        <w:t>Okres trwania wpływu finansowego: od 2014 r. do nieokreślonej daty</w:t>
      </w:r>
    </w:p>
    <w:p>
      <w:pPr>
        <w:pStyle w:val="ManualHeading2"/>
        <w:rPr>
          <w:noProof/>
        </w:rPr>
      </w:pPr>
      <w:r>
        <w:rPr>
          <w:noProof/>
        </w:rPr>
        <w:t>1.7.</w:t>
      </w:r>
      <w:r>
        <w:rPr>
          <w:noProof/>
        </w:rPr>
        <w:tab/>
        <w:t>Przewidywane tryby zarządzania</w:t>
      </w:r>
      <w:r>
        <w:rPr>
          <w:rStyle w:val="FootnoteReference"/>
          <w:noProof/>
        </w:rPr>
        <w:footnoteReference w:id="10"/>
      </w:r>
      <w:r>
        <w:rPr>
          <w:noProof/>
        </w:rPr>
        <w:t xml:space="preserve"> </w:t>
      </w:r>
    </w:p>
    <w:p>
      <w:pPr>
        <w:spacing w:before="0" w:after="200" w:line="276" w:lineRule="auto"/>
        <w:ind w:left="850"/>
        <w:rPr>
          <w:rFonts w:cstheme="minorBidi"/>
          <w:noProof/>
          <w:sz w:val="22"/>
        </w:rPr>
      </w:pPr>
      <w:r>
        <w:rPr>
          <w:rFonts w:cstheme="minorBidi"/>
          <w:b/>
          <w:noProof/>
          <w:sz w:val="22"/>
        </w:rPr>
        <w:t>X</w:t>
      </w:r>
      <w:r>
        <w:rPr>
          <w:rFonts w:cstheme="minorBidi"/>
          <w:i/>
          <w:noProof/>
          <w:sz w:val="22"/>
        </w:rPr>
        <w:t xml:space="preserve"> </w:t>
      </w:r>
      <w:r>
        <w:rPr>
          <w:rFonts w:cstheme="minorBidi"/>
          <w:b/>
          <w:noProof/>
          <w:sz w:val="22"/>
        </w:rPr>
        <w:t>Bezpośrednie zarządzanie</w:t>
      </w:r>
      <w:r>
        <w:rPr>
          <w:rFonts w:cstheme="minorBidi"/>
          <w:noProof/>
          <w:sz w:val="22"/>
        </w:rPr>
        <w:t xml:space="preserve"> przez Komisję</w:t>
      </w:r>
    </w:p>
    <w:p>
      <w:pPr>
        <w:pBdr>
          <w:top w:val="single" w:sz="4" w:space="1" w:color="auto"/>
          <w:left w:val="single" w:sz="4" w:space="4" w:color="auto"/>
          <w:bottom w:val="single" w:sz="4" w:space="1" w:color="auto"/>
          <w:right w:val="single" w:sz="4" w:space="4" w:color="auto"/>
        </w:pBdr>
        <w:spacing w:before="0" w:after="200" w:line="276" w:lineRule="auto"/>
        <w:rPr>
          <w:rFonts w:cstheme="minorBidi"/>
          <w:noProof/>
          <w:sz w:val="22"/>
        </w:rPr>
      </w:pPr>
      <w:r>
        <w:rPr>
          <w:rFonts w:cstheme="minorBidi"/>
          <w:noProof/>
          <w:sz w:val="22"/>
        </w:rPr>
        <w:t>Uwagi</w:t>
      </w:r>
    </w:p>
    <w:p>
      <w:pPr>
        <w:pBdr>
          <w:top w:val="single" w:sz="4" w:space="1" w:color="auto"/>
          <w:left w:val="single" w:sz="4" w:space="4" w:color="auto"/>
          <w:bottom w:val="single" w:sz="4" w:space="1" w:color="auto"/>
          <w:right w:val="single" w:sz="4" w:space="4" w:color="auto"/>
        </w:pBdr>
        <w:spacing w:before="0" w:after="200" w:line="276" w:lineRule="auto"/>
        <w:jc w:val="left"/>
        <w:rPr>
          <w:rFonts w:cstheme="minorBidi"/>
          <w:noProof/>
          <w:sz w:val="22"/>
        </w:rPr>
        <w:sectPr>
          <w:pgSz w:w="11907" w:h="16840" w:code="9"/>
          <w:pgMar w:top="1134" w:right="1418" w:bottom="1134" w:left="1418" w:header="709" w:footer="709" w:gutter="0"/>
          <w:cols w:space="708"/>
          <w:docGrid w:linePitch="360"/>
        </w:sectPr>
      </w:pPr>
      <w:r>
        <w:rPr>
          <w:rFonts w:cstheme="minorBidi"/>
          <w:noProof/>
          <w:sz w:val="22"/>
        </w:rPr>
        <w:t>Zgodnie z obowiązującymi przepisami EBI będzie finansował projekty inwestycyjne zgodnie ze swoimi zasadami i procedurami. Komisja i EBI zmienią porozumienie o gwarancji i umowę dotyczącą odzyskiwania należności określającą szczegółowe postanowienia i procedury.</w:t>
      </w:r>
    </w:p>
    <w:p>
      <w:pPr>
        <w:pStyle w:val="ManualHeading1"/>
        <w:rPr>
          <w:noProof/>
        </w:rPr>
      </w:pPr>
      <w:r>
        <w:rPr>
          <w:noProof/>
        </w:rPr>
        <w:t>2.</w:t>
      </w:r>
      <w:r>
        <w:rPr>
          <w:noProof/>
        </w:rPr>
        <w:tab/>
        <w:t xml:space="preserve">ŚRODKI ZARZĄDZANIA </w:t>
      </w:r>
    </w:p>
    <w:p>
      <w:pPr>
        <w:pStyle w:val="ManualHeading2"/>
        <w:rPr>
          <w:noProof/>
        </w:rPr>
      </w:pPr>
      <w:r>
        <w:rPr>
          <w:noProof/>
        </w:rPr>
        <w:t>2.1.</w:t>
      </w:r>
      <w:r>
        <w:rPr>
          <w:noProof/>
        </w:rPr>
        <w:tab/>
        <w:t xml:space="preserve">Zasady nadzoru i sprawozdawczości </w:t>
      </w:r>
    </w:p>
    <w:p>
      <w:pPr>
        <w:tabs>
          <w:tab w:val="left" w:pos="4035"/>
        </w:tabs>
        <w:spacing w:before="0" w:after="200" w:line="276" w:lineRule="auto"/>
        <w:ind w:left="850"/>
        <w:rPr>
          <w:rFonts w:cstheme="minorBidi"/>
          <w:i/>
          <w:noProof/>
          <w:sz w:val="20"/>
          <w:u w:val="single"/>
        </w:rPr>
      </w:pP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 xml:space="preserve">Swoimi działaniami z zakresu finansowania w ramach gwarancji UE EBI zarządza zgodnie z własnymi zasadami i procedurami, w tym stosując odpowiednie środki audytu, kontroli i monitorowania.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 xml:space="preserve">Ponadto Rada Dyrektorów EBI, w której Komisja ma swoich przedstawicieli w osobach dyrektora i zastępcy dyrektora, zatwierdza każde działanie EBI z zakresu finansowania i monitoruje, czy bank jest zarządzany zgodnie ze swoim statutem i ogólnymi wytycznymi Rady Gubernatorów.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Obowiązujące porozumienie trójstronne między Komisją, Trybunałem Obrachunkowym i EBI określa szczegółowe zasady przeprowadzania przez Trybunał Obrachunkowy audytów działań EBI z zakresu finansowania objętych gwarancją UE.</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 xml:space="preserve">Regularne sprawozdania są sporządzane zgodnie z wymogami określonymi w decyzji nr 466/2014/UE. Komisja składa co roku Parlamentowi Europejskiemu i Radzie sprawozdania z wykonania upoważnienia przez EBI. Podstawą sprawozdań z osiągniętych wyników są odpowiednio zagregowane wskaźniki (ramy pomiaru wyników EBI) – tam gdzie to możliwe, dla całego portfela lub dla danego sektora. Pomagają one wybrać solidne projekty, których konkretne wyniki wykazują zgodność z priorytetami UE i w przypadku których zaangażowanie EBI zapewni wartość dodaną. Na etapie oceny określa się wskaźniki wyników wraz z poziomami odniesienia i poziomami docelowymi, które uwzględniają oczekiwane skutki gospodarcze, społeczne i ekologiczne danego działania. Osiąganie wyników monitoruje się w odniesieniu do tych określonych poziomów odniesienia dotyczących efektywności w całym cyklu trwania poszczególnych projektów, a następnie przedstawia się je w sprawozdaniach po zakończeniu dwóch głównych etapów: po zakończeniu projektu i 3 lata po zakończeniu projektu w przypadku działań bezpośrednich; na koniec okresu inwestycyjnego i na koniec funkcjonowania funduszy </w:t>
      </w:r>
      <w:r>
        <w:rPr>
          <w:rFonts w:cstheme="minorBidi"/>
          <w:i/>
          <w:noProof/>
          <w:sz w:val="22"/>
        </w:rPr>
        <w:t>private equity</w:t>
      </w:r>
      <w:r>
        <w:rPr>
          <w:rFonts w:cstheme="minorBidi"/>
          <w:noProof/>
          <w:sz w:val="22"/>
        </w:rPr>
        <w:t>; oraz na koniec okresu przydziału w przypadku pożyczek udzielanych przez pośredników. Wspomniane wskaźniki obejmują następujące obszary: (i) kwota zatwierdzonych pożyczek według regionu, (ii) kwota wypłaconych pożyczek według regionu, (iii) postępy w osiąganiu zrównoważonego rozkładu działań w poszczególnych państwach, (iv) działania w podziale na poszczególne cele, (v) wolumen pożyczek na działania związane ze zmianą klimatu w porównaniu z docelową wartością finansowania oraz wpływ na bezwzględną i względną redukcję emisji gazów cieplarnianych, (vi) liczba projektów ocenionych pod względem ryzyka związanego ze zmianą klimatu, (vii) liczba i kwota działań (pożyczek) realizowanych w połączeniu z dotacjami UE oraz (viii) liczba i kwota działań finansowanych wspólnie z innymi międzynarodowymi instytucjami finansowymi.</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Ponadto EBI przedstawia Komisji dane statystyczne, finansowe i księgowe dotyczące każdego działania z zakresu finansowania objętego gwarancją UE, które są niezbędne do realizacji obowiązków Komisji w zakresie sprawozdawczości lub których zażąda Trybunał Obrachunkowy, a także zaświadczenie audytora dotyczące niespłaconych kwot z tytułu działań z zakresu finansowania objętych gwarancją UE.</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Do dnia 31 grudnia 2021 r. Komisja przedstawia Parlamentowi Europejskiemu i Radzie końcowe sprawozdanie z oceny dotyczące stosowania niniejszej decyzji.</w:t>
      </w:r>
    </w:p>
    <w:p>
      <w:pPr>
        <w:pStyle w:val="ManualHeading2"/>
        <w:rPr>
          <w:noProof/>
        </w:rPr>
      </w:pPr>
      <w:r>
        <w:rPr>
          <w:noProof/>
        </w:rPr>
        <w:t>2.2.</w:t>
      </w:r>
      <w:r>
        <w:rPr>
          <w:noProof/>
        </w:rPr>
        <w:tab/>
        <w:t xml:space="preserve">System zarządzania i kontroli </w:t>
      </w:r>
    </w:p>
    <w:p>
      <w:pPr>
        <w:pStyle w:val="ManualHeading3"/>
        <w:rPr>
          <w:noProof/>
        </w:rPr>
      </w:pPr>
      <w:r>
        <w:rPr>
          <w:noProof/>
        </w:rPr>
        <w:t>2.2.1.</w:t>
      </w:r>
      <w:r>
        <w:rPr>
          <w:noProof/>
        </w:rPr>
        <w:tab/>
        <w:t xml:space="preserve">Zidentyfikowane ryzyko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 xml:space="preserve">Ryzyko dla budżetu UE związane jest z gwarancją budżetową udzieloną EBI przez Unię w odniesieniu do działań EBI w państwach trzecich. Gwarancja zapewnia kompleksowe zabezpieczenie wszystkich płatności nieotrzymanych przez EBI z tytułu działań z zakresu finansowania, których beneficjentem są państwa lub jednostki państwowe niższego szczebla, a także ochronę obejmującą wyłącznie ryzyko polityczne w przypadku innych działań, w ramach których następuje podział ryzyka między Unią a EBI.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Wniosek przewiduje podwyższenie łącznego pułapu dla działań EBI z zakresu finansowania objętych gwarancją UE poprzez uruchomienie fakultatywnej kwoty 3 mld EUR, o której mowa w decyzji. W decyzji zmieniającej Komisja zaproponowała również podwyższenie o 2,3 mld EUR łącznego pułapu dla działań EBI z zakresu finansowania na rzecz sektora prywatnego związanego z projektami wspierającymi uchodźców lub społeczności ich przyjmujące. W kontekście tych działań odnośne upoważnienie będzie objęte gwarancją ogólną, a nie tylko gwarancją obejmującą ryzyko polityczne. Gwarancja ogólna będzie obejmować działania EBI z zakresu finansowania na rzecz sektora prywatnego prowadzone w ramach strategicznej odpowiedzi mającej na celu wyeliminowanie pierwotnych przyczyn migracji.</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 latach 2014–2020 łączny pułap zostanie zatem podwyższony z 27 mld EUR do 32,3 mld EUR.</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 każdym przypadku gwarancja UE jest ograniczona do 65 % łącznej kwoty wypłaconych pożyczek i udzielonych gwarancji, pomniejszonej o kwoty zwrócone i powiększonej o wszelkie związane z nimi koszty.</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Wpis w budżecie („p.m.”) odzwierciedlający gwarancję budżetową obejmującą pożyczki EBI dla państw trzecich zostanie uruchomiony tylko w razie faktycznego wykorzystania przez EBI gwarancji w celu pokrycia kwot, które nie mogą zostać w całości pokryte z Funduszu gwarancyjnego dla działań zewnętrznych. Chociaż takie roszczenie regresowe wobec budżetu (tzn. na kwotę przekraczającą aktywa funduszu gwarancyjnego) należy uznać za bardzo mało prawdopodobne, uwagi dotyczące tej linii budżetowej odzwierciedlają potrzeby finansowe, które mogłyby się zmaterializować w przypadku wystosowania przez EBI żądania wypłaty z gwarancji w związku z przypadkiem niewykonania zobowiązania objętym gwarancją UE.</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W 2015 r. i podczas pierwszego półrocza 2016 r. uruchomiono fundusz gwarancyjny w celu pokrycia niewykonanych zobowiązań z tytułu pożyczek w Syrii. W rocznych sprawozdaniach Komisji dla Parlamentu Europejskiego i Rady poświęconych gwarancjom pokrywanym z budżetu ogólnego analizowane są wskaźniki ryzyka dla poszczególnych państw oraz omawiane są zmiany poziomu ryzyka niewykonania zobowiązań. Sprawozdania te zawierają informacje na temat ilościowych aspektów ryzyka ponoszonego przez budżet UE. Jakość czynników ryzyka zależy jednak od rodzaju działania oraz wiarygodności kredytowej pożyczkobiorców. Ocena ryzyka opiera się na informacjach dotyczących sytuacji gospodarczej i finansowej, ratingach i innych znanych faktach dotyczących państw, które otrzymały gwarantowane pożyczki.</w:t>
      </w:r>
    </w:p>
    <w:p>
      <w:pPr>
        <w:pStyle w:val="ManualHeading3"/>
        <w:rPr>
          <w:noProof/>
        </w:rPr>
      </w:pPr>
      <w:r>
        <w:rPr>
          <w:noProof/>
        </w:rPr>
        <w:t>2.2.2.</w:t>
      </w:r>
      <w:r>
        <w:rPr>
          <w:noProof/>
        </w:rPr>
        <w:tab/>
        <w:t>Informacje dotyczące struktury wewnętrznego systemu kontroli</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Za zarządzanie gwarancją UE odpowiedzialna jest Komisja. Działania EBI z zakresu finansowania w kontekście decyzji zmieniającej, której dotyczy niniejszy wniosek, będą prowadzone zgodnie ze standardowymi zasadami postępowania EBI oraz z rzetelną praktyką bankową. EBI i Komisja zawierają porozumienie określające szczegółowe postanowienia i procedury dotyczące wdrażania decyzji będącej przedmiotem wniosku. Zobacz również powyższa sekcja „Zasady nadzoru i sprawozdawczości”.</w:t>
      </w:r>
    </w:p>
    <w:p>
      <w:pPr>
        <w:pStyle w:val="ManualHeading3"/>
        <w:rPr>
          <w:noProof/>
        </w:rPr>
      </w:pPr>
      <w:r>
        <w:rPr>
          <w:noProof/>
        </w:rPr>
        <w:t>2.2.3.</w:t>
      </w:r>
      <w:r>
        <w:rPr>
          <w:noProof/>
        </w:rPr>
        <w:tab/>
        <w:t xml:space="preserve">Oszacowanie kosztów i korzyści wynikających z kontroli i ocena prawdopodobnego ryzyka błędu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n.d.</w:t>
      </w:r>
    </w:p>
    <w:p>
      <w:pPr>
        <w:pStyle w:val="ManualHeading2"/>
        <w:rPr>
          <w:noProof/>
        </w:rPr>
      </w:pPr>
      <w:r>
        <w:rPr>
          <w:noProof/>
        </w:rPr>
        <w:t>2.3.</w:t>
      </w:r>
      <w:r>
        <w:rPr>
          <w:noProof/>
        </w:rPr>
        <w:tab/>
        <w:t xml:space="preserve">Środki zapobiegania nadużyciom finansowym i nieprawidłowościom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 xml:space="preserve">Zasadnicza odpowiedzialność za przyjęcie środków zapobiegania nadużyciom finansowym spoczywa na EBI; obejmuje ona w szczególności stosowanie w odniesieniu do działań z zakresu finansowania zapisów dokumentu „Polityka EBI w zakresie zapobiegania korupcji, nadużyciom finansowym, zmowom, przymusowi, praniu pieniędzy i finansowaniu terroryzmu w ramach działalności Europejskiego Banku Inwestycyjnego”. EBI przyjął politykę w stosunku do jurysdykcji o niskim poziomie regulacji, nieprzejrzystych i unikających współpracy.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EBI zobowiązał się do prowadzenia rygorystycznej polityki przeciwdziałającej oszustwom podatkowym, uchylaniu się od opodatkowania i szkodliwym praktykom podatkowym w ramach wszystkich swoich działań, w tym również podczas udzielania pożyczek przez pośredników finansowych. EBI stale monitoruje postępy w dziedzinie standardów międzynarodowych, aby utrzymać wiodącą rolę wśród międzynarodowych instytucji finansowych w walce z tymi szkodliwymi praktykami podatkowymi oraz zapewnić, aby jego polityka wobec jurysdykcji o niskim poziomie regulacji, nieprzejrzystych i unikających współpracy uwzględniała wszelkie istotne zmiany sytuacji.</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Ramy grupy EBI dotyczące przeciwdziałania praniu pieniędzy i finansowaniu terroryzmu, zaktualizowane w 2014 r. i opublikowane na stronie internetowej EBI, ustanawiają podstawowe zasady regulujące te kwestie i związane z nimi kwestie etyki zawodowej w ramach działań grupy EBI; mają one na celu zapobiegać sytuacjom, w których grupa EBI, jej organy zarządzające, personel i kontrahenci mieliby związek z praniem pieniędzy, finansowaniem terroryzmu lub inną działalnością przestępczą lub byliby wykorzystani do takich praktyk.</w:t>
      </w:r>
    </w:p>
    <w:p>
      <w:pPr>
        <w:spacing w:before="0" w:after="200" w:line="276" w:lineRule="auto"/>
        <w:rPr>
          <w:rFonts w:cstheme="minorBidi"/>
          <w:noProof/>
          <w:sz w:val="22"/>
        </w:rPr>
        <w:sectPr>
          <w:pgSz w:w="11907" w:h="16840" w:code="9"/>
          <w:pgMar w:top="1134" w:right="1418" w:bottom="1134" w:left="1418" w:header="709" w:footer="709" w:gutter="0"/>
          <w:cols w:space="708"/>
          <w:docGrid w:linePitch="360"/>
        </w:sectPr>
      </w:pPr>
    </w:p>
    <w:p>
      <w:pPr>
        <w:pStyle w:val="ManualHeading1"/>
        <w:rPr>
          <w:noProof/>
        </w:rPr>
      </w:pPr>
      <w:r>
        <w:rPr>
          <w:noProof/>
        </w:rPr>
        <w:t>3.</w:t>
      </w:r>
      <w:r>
        <w:rPr>
          <w:noProof/>
        </w:rPr>
        <w:tab/>
        <w:t xml:space="preserve">SZACUNKOWY WPŁYW FINANSOWY WNIOSKU/INICJATYWY </w:t>
      </w:r>
    </w:p>
    <w:p>
      <w:pPr>
        <w:pStyle w:val="ManualHeading2"/>
        <w:rPr>
          <w:noProof/>
        </w:rPr>
      </w:pPr>
      <w:r>
        <w:rPr>
          <w:noProof/>
        </w:rPr>
        <w:t>3.1.</w:t>
      </w:r>
      <w:r>
        <w:rPr>
          <w:noProof/>
        </w:rPr>
        <w:tab/>
        <w:t xml:space="preserve">Działy wieloletnich ram finansowych i linie budżetowe po stronie wydatków, na które wniosek/inicjatywa ma wpływ </w:t>
      </w:r>
    </w:p>
    <w:p>
      <w:pPr>
        <w:tabs>
          <w:tab w:val="num" w:pos="1134"/>
        </w:tabs>
        <w:spacing w:before="0" w:after="200" w:line="276" w:lineRule="auto"/>
        <w:ind w:left="1134" w:hanging="283"/>
        <w:rPr>
          <w:rFonts w:eastAsia="Times New Roman" w:cstheme="minorBidi"/>
          <w:noProof/>
          <w:sz w:val="22"/>
        </w:rPr>
      </w:pPr>
      <w:r>
        <w:rPr>
          <w:rFonts w:cstheme="minorBidi"/>
          <w:noProof/>
          <w:sz w:val="22"/>
        </w:rPr>
        <w:t xml:space="preserve">Istniejące linie budżetowe </w:t>
      </w:r>
    </w:p>
    <w:p>
      <w:pPr>
        <w:spacing w:before="0" w:after="200" w:line="276" w:lineRule="auto"/>
        <w:ind w:left="850"/>
        <w:rPr>
          <w:rFonts w:cstheme="minorBidi"/>
          <w:noProof/>
          <w:sz w:val="22"/>
        </w:rPr>
      </w:pPr>
      <w:r>
        <w:rPr>
          <w:rFonts w:cstheme="minorBidi"/>
          <w:noProof/>
          <w:sz w:val="22"/>
          <w:u w:val="single"/>
        </w:rPr>
        <w:t>Według</w:t>
      </w:r>
      <w:r>
        <w:rPr>
          <w:rFonts w:cstheme="minorBidi"/>
          <w:noProof/>
          <w:sz w:val="22"/>
        </w:rPr>
        <w:t xml:space="preserve"> działów wieloletnich ram finansowych i linii budżetowych</w:t>
      </w:r>
    </w:p>
    <w:p>
      <w:pPr>
        <w:spacing w:before="0" w:after="200" w:line="276" w:lineRule="auto"/>
        <w:ind w:left="850"/>
        <w:rPr>
          <w:rFonts w:cstheme="minorBidi"/>
          <w:noProof/>
          <w:sz w:val="22"/>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line="276" w:lineRule="auto"/>
              <w:rPr>
                <w:rFonts w:cstheme="minorBidi"/>
                <w:noProof/>
                <w:sz w:val="22"/>
              </w:rPr>
            </w:pPr>
            <w:r>
              <w:rPr>
                <w:rFonts w:cstheme="minorBidi"/>
                <w:noProof/>
                <w:sz w:val="18"/>
              </w:rPr>
              <w:t>Dział wieloletnich ram finansowych</w:t>
            </w:r>
          </w:p>
        </w:tc>
        <w:tc>
          <w:tcPr>
            <w:tcW w:w="3960" w:type="dxa"/>
            <w:vAlign w:val="center"/>
          </w:tcPr>
          <w:p>
            <w:pPr>
              <w:spacing w:before="60" w:after="60" w:line="276" w:lineRule="auto"/>
              <w:rPr>
                <w:rFonts w:cstheme="minorBidi"/>
                <w:noProof/>
                <w:sz w:val="22"/>
              </w:rPr>
            </w:pPr>
            <w:r>
              <w:rPr>
                <w:rFonts w:cstheme="minorBidi"/>
                <w:noProof/>
                <w:sz w:val="20"/>
              </w:rPr>
              <w:t>Linia budżetowa</w:t>
            </w:r>
          </w:p>
        </w:tc>
        <w:tc>
          <w:tcPr>
            <w:tcW w:w="1080" w:type="dxa"/>
            <w:vAlign w:val="center"/>
          </w:tcPr>
          <w:p>
            <w:pPr>
              <w:spacing w:before="60" w:after="60" w:line="276" w:lineRule="auto"/>
              <w:rPr>
                <w:rFonts w:cstheme="minorBidi"/>
                <w:noProof/>
                <w:sz w:val="22"/>
              </w:rPr>
            </w:pPr>
            <w:r>
              <w:rPr>
                <w:rFonts w:cstheme="minorBidi"/>
                <w:noProof/>
                <w:sz w:val="18"/>
              </w:rPr>
              <w:t>Rodzaj</w:t>
            </w:r>
            <w:r>
              <w:rPr>
                <w:rFonts w:cstheme="minorBidi"/>
                <w:noProof/>
                <w:sz w:val="22"/>
              </w:rPr>
              <w:br/>
            </w:r>
            <w:r>
              <w:rPr>
                <w:rFonts w:cstheme="minorBidi"/>
                <w:noProof/>
                <w:sz w:val="18"/>
              </w:rPr>
              <w:t>środków</w:t>
            </w:r>
          </w:p>
        </w:tc>
        <w:tc>
          <w:tcPr>
            <w:tcW w:w="4440" w:type="dxa"/>
            <w:gridSpan w:val="4"/>
            <w:vAlign w:val="center"/>
          </w:tcPr>
          <w:p>
            <w:pPr>
              <w:spacing w:before="60" w:after="60" w:line="276" w:lineRule="auto"/>
              <w:rPr>
                <w:rFonts w:cstheme="minorBidi"/>
                <w:noProof/>
                <w:sz w:val="22"/>
              </w:rPr>
            </w:pPr>
            <w:r>
              <w:rPr>
                <w:rFonts w:cstheme="minorBidi"/>
                <w:noProof/>
                <w:sz w:val="20"/>
              </w:rPr>
              <w:t xml:space="preserve">Wkład </w:t>
            </w:r>
          </w:p>
        </w:tc>
      </w:tr>
      <w:tr>
        <w:tc>
          <w:tcPr>
            <w:tcW w:w="1080" w:type="dxa"/>
            <w:vMerge/>
            <w:vAlign w:val="center"/>
          </w:tcPr>
          <w:p>
            <w:pPr>
              <w:spacing w:before="0" w:after="200" w:line="276" w:lineRule="auto"/>
              <w:rPr>
                <w:rFonts w:cstheme="minorBidi"/>
                <w:noProof/>
                <w:sz w:val="22"/>
              </w:rPr>
            </w:pPr>
          </w:p>
        </w:tc>
        <w:tc>
          <w:tcPr>
            <w:tcW w:w="3960" w:type="dxa"/>
            <w:vAlign w:val="center"/>
          </w:tcPr>
          <w:p>
            <w:pPr>
              <w:spacing w:before="0" w:after="200" w:line="276" w:lineRule="auto"/>
              <w:rPr>
                <w:rFonts w:cstheme="minorBidi"/>
                <w:noProof/>
                <w:sz w:val="22"/>
              </w:rPr>
            </w:pPr>
            <w:r>
              <w:rPr>
                <w:rFonts w:cstheme="minorBidi"/>
                <w:noProof/>
                <w:sz w:val="20"/>
              </w:rPr>
              <w:t xml:space="preserve">Numer </w:t>
            </w:r>
            <w:r>
              <w:rPr>
                <w:rFonts w:cstheme="minorBidi"/>
                <w:noProof/>
                <w:sz w:val="22"/>
              </w:rPr>
              <w:br/>
            </w:r>
            <w:r>
              <w:rPr>
                <w:rFonts w:cstheme="minorBidi"/>
                <w:noProof/>
                <w:color w:val="0000FF"/>
                <w:sz w:val="22"/>
              </w:rPr>
              <w:t>[…]</w:t>
            </w:r>
            <w:r>
              <w:rPr>
                <w:rFonts w:cstheme="minorBidi"/>
                <w:noProof/>
                <w:sz w:val="20"/>
              </w:rPr>
              <w:t>[Treść………………………...……………]</w:t>
            </w:r>
          </w:p>
        </w:tc>
        <w:tc>
          <w:tcPr>
            <w:tcW w:w="1080" w:type="dxa"/>
            <w:vAlign w:val="center"/>
          </w:tcPr>
          <w:p>
            <w:pPr>
              <w:spacing w:before="0" w:after="200" w:line="276" w:lineRule="auto"/>
              <w:rPr>
                <w:rFonts w:cstheme="minorBidi"/>
                <w:noProof/>
                <w:sz w:val="22"/>
              </w:rPr>
            </w:pPr>
            <w:r>
              <w:rPr>
                <w:rFonts w:cstheme="minorBidi"/>
                <w:noProof/>
                <w:sz w:val="18"/>
              </w:rPr>
              <w:t>Zróżnicowane /niezróżnicowane</w:t>
            </w:r>
            <w:r>
              <w:rPr>
                <w:rStyle w:val="FootnoteReference"/>
                <w:noProof/>
              </w:rPr>
              <w:footnoteReference w:id="11"/>
            </w:r>
            <w:r>
              <w:rPr>
                <w:noProof/>
              </w:rPr>
              <w:t>.</w:t>
            </w:r>
          </w:p>
        </w:tc>
        <w:tc>
          <w:tcPr>
            <w:tcW w:w="956" w:type="dxa"/>
            <w:vAlign w:val="center"/>
          </w:tcPr>
          <w:p>
            <w:pPr>
              <w:spacing w:before="0" w:after="200" w:line="276" w:lineRule="auto"/>
              <w:rPr>
                <w:rFonts w:cstheme="minorBidi"/>
                <w:noProof/>
                <w:sz w:val="22"/>
              </w:rPr>
            </w:pPr>
            <w:r>
              <w:rPr>
                <w:rFonts w:cstheme="minorBidi"/>
                <w:noProof/>
                <w:sz w:val="18"/>
              </w:rPr>
              <w:t>państw EFTA</w:t>
            </w:r>
            <w:r>
              <w:rPr>
                <w:rStyle w:val="FootnoteReference"/>
                <w:noProof/>
              </w:rPr>
              <w:footnoteReference w:id="12"/>
            </w:r>
          </w:p>
          <w:p>
            <w:pPr>
              <w:spacing w:before="0" w:after="0" w:line="276" w:lineRule="auto"/>
              <w:rPr>
                <w:rFonts w:cstheme="minorBidi"/>
                <w:b/>
                <w:noProof/>
                <w:sz w:val="18"/>
              </w:rPr>
            </w:pPr>
          </w:p>
        </w:tc>
        <w:tc>
          <w:tcPr>
            <w:tcW w:w="1080" w:type="dxa"/>
            <w:vAlign w:val="center"/>
          </w:tcPr>
          <w:p>
            <w:pPr>
              <w:spacing w:before="0" w:after="200" w:line="276" w:lineRule="auto"/>
              <w:rPr>
                <w:rFonts w:cstheme="minorBidi"/>
                <w:noProof/>
                <w:sz w:val="22"/>
              </w:rPr>
            </w:pPr>
            <w:r>
              <w:rPr>
                <w:rFonts w:cstheme="minorBidi"/>
                <w:noProof/>
                <w:sz w:val="18"/>
              </w:rPr>
              <w:t>krajów kandydujących</w:t>
            </w:r>
            <w:r>
              <w:rPr>
                <w:rStyle w:val="FootnoteReference"/>
                <w:noProof/>
              </w:rPr>
              <w:footnoteReference w:id="13"/>
            </w:r>
          </w:p>
          <w:p>
            <w:pPr>
              <w:spacing w:before="0" w:after="0" w:line="276" w:lineRule="auto"/>
              <w:rPr>
                <w:rFonts w:cstheme="minorBidi"/>
                <w:noProof/>
                <w:sz w:val="18"/>
              </w:rPr>
            </w:pPr>
          </w:p>
        </w:tc>
        <w:tc>
          <w:tcPr>
            <w:tcW w:w="956" w:type="dxa"/>
            <w:vAlign w:val="center"/>
          </w:tcPr>
          <w:p>
            <w:pPr>
              <w:spacing w:before="0" w:after="200" w:line="276" w:lineRule="auto"/>
              <w:rPr>
                <w:rFonts w:cstheme="minorBidi"/>
                <w:noProof/>
                <w:sz w:val="18"/>
              </w:rPr>
            </w:pPr>
            <w:r>
              <w:rPr>
                <w:rFonts w:cstheme="minorBidi"/>
                <w:noProof/>
                <w:sz w:val="18"/>
              </w:rPr>
              <w:t>państw trzecich</w:t>
            </w:r>
          </w:p>
        </w:tc>
        <w:tc>
          <w:tcPr>
            <w:tcW w:w="1448" w:type="dxa"/>
            <w:vAlign w:val="center"/>
          </w:tcPr>
          <w:p>
            <w:pPr>
              <w:spacing w:before="0" w:after="200" w:line="276" w:lineRule="auto"/>
              <w:rPr>
                <w:rFonts w:cstheme="minorBidi"/>
                <w:noProof/>
                <w:sz w:val="22"/>
              </w:rPr>
            </w:pPr>
            <w:r>
              <w:rPr>
                <w:rFonts w:cstheme="minorBidi"/>
                <w:noProof/>
                <w:sz w:val="16"/>
              </w:rPr>
              <w:t xml:space="preserve">w rozumieniu art. 21 ust. 2 lit. b) rozporządzenia finansowego </w:t>
            </w:r>
          </w:p>
        </w:tc>
      </w:tr>
      <w:tr>
        <w:tc>
          <w:tcPr>
            <w:tcW w:w="1080" w:type="dxa"/>
            <w:vAlign w:val="center"/>
          </w:tcPr>
          <w:p>
            <w:pPr>
              <w:spacing w:before="0" w:after="200" w:line="276" w:lineRule="auto"/>
              <w:rPr>
                <w:rFonts w:cstheme="minorBidi"/>
                <w:noProof/>
                <w:color w:val="0000FF"/>
                <w:sz w:val="22"/>
              </w:rPr>
            </w:pPr>
            <w:r>
              <w:rPr>
                <w:rFonts w:cstheme="minorBidi"/>
                <w:noProof/>
                <w:color w:val="0000FF"/>
                <w:sz w:val="22"/>
              </w:rPr>
              <w:t>4</w:t>
            </w:r>
          </w:p>
        </w:tc>
        <w:tc>
          <w:tcPr>
            <w:tcW w:w="3960" w:type="dxa"/>
            <w:vAlign w:val="center"/>
          </w:tcPr>
          <w:p>
            <w:pPr>
              <w:spacing w:before="60" w:after="200" w:line="276" w:lineRule="auto"/>
              <w:rPr>
                <w:rFonts w:cstheme="minorBidi"/>
                <w:noProof/>
                <w:sz w:val="22"/>
              </w:rPr>
            </w:pPr>
            <w:r>
              <w:rPr>
                <w:rFonts w:cstheme="minorBidi"/>
                <w:noProof/>
                <w:sz w:val="22"/>
              </w:rPr>
              <w:t>01.0305 gwarancja UE dotycząca udzielonych przez EBI pożyczek</w:t>
            </w:r>
          </w:p>
          <w:p>
            <w:pPr>
              <w:spacing w:before="60" w:after="200" w:line="276" w:lineRule="auto"/>
              <w:rPr>
                <w:rFonts w:cstheme="minorBidi"/>
                <w:noProof/>
                <w:sz w:val="22"/>
              </w:rPr>
            </w:pPr>
            <w:r>
              <w:rPr>
                <w:rFonts w:cstheme="minorBidi"/>
                <w:noProof/>
                <w:sz w:val="22"/>
              </w:rPr>
              <w:t xml:space="preserve"> i gwarancji na zabezpieczenie pożyczek na działania w</w:t>
            </w:r>
          </w:p>
          <w:p>
            <w:pPr>
              <w:spacing w:before="60" w:after="200" w:line="276" w:lineRule="auto"/>
              <w:rPr>
                <w:rFonts w:cstheme="minorBidi"/>
                <w:noProof/>
                <w:sz w:val="22"/>
              </w:rPr>
            </w:pPr>
            <w:r>
              <w:rPr>
                <w:rFonts w:cstheme="minorBidi"/>
                <w:noProof/>
                <w:sz w:val="22"/>
              </w:rPr>
              <w:t>państwach trzecich</w:t>
            </w:r>
          </w:p>
          <w:p>
            <w:pPr>
              <w:spacing w:before="60" w:after="200" w:line="276" w:lineRule="auto"/>
              <w:rPr>
                <w:rFonts w:cstheme="minorBidi"/>
                <w:noProof/>
                <w:sz w:val="22"/>
              </w:rPr>
            </w:pPr>
          </w:p>
          <w:p>
            <w:pPr>
              <w:spacing w:before="60" w:after="200" w:line="276" w:lineRule="auto"/>
              <w:rPr>
                <w:rFonts w:cstheme="minorBidi"/>
                <w:noProof/>
                <w:sz w:val="22"/>
              </w:rPr>
            </w:pPr>
          </w:p>
          <w:p>
            <w:pPr>
              <w:spacing w:before="60" w:after="200" w:line="276" w:lineRule="auto"/>
              <w:rPr>
                <w:rFonts w:cstheme="minorBidi"/>
                <w:noProof/>
                <w:sz w:val="22"/>
              </w:rPr>
            </w:pPr>
          </w:p>
          <w:p>
            <w:pPr>
              <w:spacing w:before="60" w:after="200" w:line="276" w:lineRule="auto"/>
              <w:rPr>
                <w:rFonts w:cstheme="minorBidi"/>
                <w:noProof/>
                <w:sz w:val="22"/>
              </w:rPr>
            </w:pPr>
          </w:p>
          <w:p>
            <w:pPr>
              <w:spacing w:before="60" w:after="200" w:line="276" w:lineRule="auto"/>
              <w:rPr>
                <w:rFonts w:cstheme="minorBidi"/>
                <w:noProof/>
                <w:sz w:val="22"/>
              </w:rPr>
            </w:pPr>
          </w:p>
          <w:p>
            <w:pPr>
              <w:spacing w:before="60" w:after="200" w:line="276" w:lineRule="auto"/>
              <w:rPr>
                <w:rFonts w:cstheme="minorBidi"/>
                <w:noProof/>
                <w:sz w:val="22"/>
              </w:rPr>
            </w:pPr>
          </w:p>
          <w:p>
            <w:pPr>
              <w:spacing w:before="60" w:after="200" w:line="276" w:lineRule="auto"/>
              <w:rPr>
                <w:rFonts w:cstheme="minorBidi"/>
                <w:noProof/>
                <w:sz w:val="22"/>
              </w:rPr>
            </w:pPr>
            <w:r>
              <w:rPr>
                <w:rFonts w:cstheme="minorBidi"/>
                <w:noProof/>
                <w:sz w:val="22"/>
              </w:rPr>
              <w:t>01.0306 Finansowanie funduszu</w:t>
            </w:r>
          </w:p>
          <w:p>
            <w:pPr>
              <w:spacing w:before="60" w:after="200" w:line="276" w:lineRule="auto"/>
              <w:rPr>
                <w:rFonts w:cstheme="minorBidi"/>
                <w:noProof/>
                <w:sz w:val="22"/>
              </w:rPr>
            </w:pPr>
            <w:r>
              <w:rPr>
                <w:rFonts w:cstheme="minorBidi"/>
                <w:noProof/>
                <w:sz w:val="22"/>
              </w:rPr>
              <w:t>gwarancyjnego</w:t>
            </w:r>
          </w:p>
          <w:p>
            <w:pPr>
              <w:spacing w:before="60" w:after="200" w:line="276" w:lineRule="auto"/>
              <w:rPr>
                <w:rFonts w:cstheme="minorBidi"/>
                <w:noProof/>
                <w:sz w:val="22"/>
              </w:rPr>
            </w:pPr>
          </w:p>
          <w:p>
            <w:pPr>
              <w:spacing w:before="60" w:after="200" w:line="276" w:lineRule="auto"/>
              <w:rPr>
                <w:rFonts w:cstheme="minorBidi"/>
                <w:noProof/>
                <w:sz w:val="22"/>
              </w:rPr>
            </w:pPr>
          </w:p>
          <w:p>
            <w:pPr>
              <w:spacing w:before="60" w:after="200" w:line="276" w:lineRule="auto"/>
              <w:rPr>
                <w:rFonts w:cstheme="minorBidi"/>
                <w:noProof/>
                <w:sz w:val="22"/>
              </w:rPr>
            </w:pPr>
          </w:p>
          <w:p>
            <w:pPr>
              <w:spacing w:before="60" w:after="200" w:line="276" w:lineRule="auto"/>
              <w:rPr>
                <w:rFonts w:cstheme="minorBidi"/>
                <w:noProof/>
                <w:sz w:val="22"/>
              </w:rPr>
            </w:pPr>
          </w:p>
          <w:p>
            <w:pPr>
              <w:spacing w:before="60" w:after="200" w:line="276" w:lineRule="auto"/>
              <w:rPr>
                <w:rFonts w:cstheme="minorBidi"/>
                <w:noProof/>
                <w:sz w:val="22"/>
              </w:rPr>
            </w:pPr>
          </w:p>
        </w:tc>
        <w:tc>
          <w:tcPr>
            <w:tcW w:w="1080" w:type="dxa"/>
            <w:vAlign w:val="center"/>
          </w:tcPr>
          <w:p>
            <w:pPr>
              <w:spacing w:before="0" w:after="200" w:line="276" w:lineRule="auto"/>
              <w:rPr>
                <w:rFonts w:cstheme="minorBidi"/>
                <w:noProof/>
                <w:color w:val="0000FF"/>
                <w:sz w:val="22"/>
              </w:rPr>
            </w:pPr>
            <w:r>
              <w:rPr>
                <w:rFonts w:cstheme="minorBidi"/>
                <w:noProof/>
                <w:sz w:val="22"/>
              </w:rPr>
              <w:t>Zróżnicowane /niezróżnicowane</w:t>
            </w:r>
          </w:p>
        </w:tc>
        <w:tc>
          <w:tcPr>
            <w:tcW w:w="956" w:type="dxa"/>
            <w:vAlign w:val="center"/>
          </w:tcPr>
          <w:p>
            <w:pPr>
              <w:spacing w:before="0" w:after="200" w:line="276" w:lineRule="auto"/>
              <w:rPr>
                <w:rFonts w:cstheme="minorBidi"/>
                <w:noProof/>
                <w:sz w:val="22"/>
              </w:rPr>
            </w:pPr>
            <w:r>
              <w:rPr>
                <w:rFonts w:cstheme="minorBidi"/>
                <w:noProof/>
                <w:sz w:val="22"/>
              </w:rPr>
              <w:t>NIE</w:t>
            </w: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r>
              <w:rPr>
                <w:rFonts w:cstheme="minorBidi"/>
                <w:noProof/>
                <w:sz w:val="22"/>
              </w:rPr>
              <w:t>NIE</w:t>
            </w: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tc>
        <w:tc>
          <w:tcPr>
            <w:tcW w:w="1080" w:type="dxa"/>
            <w:vAlign w:val="center"/>
          </w:tcPr>
          <w:p>
            <w:pPr>
              <w:spacing w:before="0" w:after="200" w:line="276" w:lineRule="auto"/>
              <w:rPr>
                <w:rFonts w:cstheme="minorBidi"/>
                <w:noProof/>
                <w:sz w:val="22"/>
              </w:rPr>
            </w:pPr>
            <w:r>
              <w:rPr>
                <w:rFonts w:cstheme="minorBidi"/>
                <w:noProof/>
                <w:sz w:val="22"/>
              </w:rPr>
              <w:t>NIE</w:t>
            </w: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r>
              <w:rPr>
                <w:rFonts w:cstheme="minorBidi"/>
                <w:noProof/>
                <w:sz w:val="22"/>
              </w:rPr>
              <w:t>NIE</w:t>
            </w: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tc>
        <w:tc>
          <w:tcPr>
            <w:tcW w:w="956" w:type="dxa"/>
            <w:vAlign w:val="center"/>
          </w:tcPr>
          <w:p>
            <w:pPr>
              <w:spacing w:before="0" w:after="200" w:line="276" w:lineRule="auto"/>
              <w:rPr>
                <w:rFonts w:cstheme="minorBidi"/>
                <w:noProof/>
                <w:sz w:val="22"/>
              </w:rPr>
            </w:pPr>
            <w:r>
              <w:rPr>
                <w:rFonts w:cstheme="minorBidi"/>
                <w:noProof/>
                <w:sz w:val="22"/>
              </w:rPr>
              <w:t>NIE</w:t>
            </w: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r>
              <w:rPr>
                <w:rFonts w:cstheme="minorBidi"/>
                <w:noProof/>
                <w:sz w:val="22"/>
              </w:rPr>
              <w:t>NIE</w:t>
            </w: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tc>
        <w:tc>
          <w:tcPr>
            <w:tcW w:w="1448" w:type="dxa"/>
            <w:vAlign w:val="center"/>
          </w:tcPr>
          <w:p>
            <w:pPr>
              <w:spacing w:before="0" w:after="200" w:line="276" w:lineRule="auto"/>
              <w:rPr>
                <w:rFonts w:cstheme="minorBidi"/>
                <w:noProof/>
                <w:sz w:val="22"/>
              </w:rPr>
            </w:pPr>
            <w:r>
              <w:rPr>
                <w:rFonts w:cstheme="minorBidi"/>
                <w:noProof/>
                <w:sz w:val="22"/>
              </w:rPr>
              <w:t>NIE</w:t>
            </w: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r>
              <w:rPr>
                <w:rFonts w:cstheme="minorBidi"/>
                <w:noProof/>
                <w:sz w:val="22"/>
              </w:rPr>
              <w:t>NIE</w:t>
            </w: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p>
            <w:pPr>
              <w:spacing w:before="0" w:after="200" w:line="276" w:lineRule="auto"/>
              <w:rPr>
                <w:rFonts w:cstheme="minorBidi"/>
                <w:noProof/>
                <w:sz w:val="22"/>
              </w:rPr>
            </w:pPr>
          </w:p>
        </w:tc>
      </w:tr>
    </w:tbl>
    <w:p>
      <w:pPr>
        <w:spacing w:before="0" w:after="200" w:line="276" w:lineRule="auto"/>
        <w:ind w:left="1134"/>
        <w:rPr>
          <w:rFonts w:eastAsia="Times New Roman" w:cstheme="minorBidi"/>
          <w:noProof/>
          <w:sz w:val="22"/>
        </w:rPr>
      </w:pPr>
    </w:p>
    <w:p>
      <w:pPr>
        <w:spacing w:before="0" w:after="200" w:line="276" w:lineRule="auto"/>
        <w:rPr>
          <w:rFonts w:cstheme="minorBidi"/>
          <w:noProof/>
          <w:sz w:val="22"/>
        </w:rPr>
        <w:sectPr>
          <w:pgSz w:w="11907" w:h="16840" w:code="1"/>
          <w:pgMar w:top="1134" w:right="1418" w:bottom="1134" w:left="1418" w:header="709" w:footer="709" w:gutter="0"/>
          <w:cols w:space="708"/>
          <w:docGrid w:linePitch="360"/>
        </w:sectPr>
      </w:pPr>
    </w:p>
    <w:p>
      <w:pPr>
        <w:pStyle w:val="ManualHeading2"/>
        <w:rPr>
          <w:noProof/>
        </w:rPr>
      </w:pPr>
      <w:r>
        <w:rPr>
          <w:noProof/>
        </w:rPr>
        <w:t>3.2.</w:t>
      </w:r>
      <w:r>
        <w:rPr>
          <w:noProof/>
        </w:rPr>
        <w:tab/>
        <w:t xml:space="preserve">Szacunkowy wpływ na wydatki </w:t>
      </w:r>
    </w:p>
    <w:p>
      <w:pPr>
        <w:pStyle w:val="ManualHeading3"/>
        <w:rPr>
          <w:noProof/>
        </w:rPr>
      </w:pPr>
      <w:r>
        <w:rPr>
          <w:noProof/>
        </w:rPr>
        <w:t>3.2.1.</w:t>
      </w:r>
      <w:r>
        <w:rPr>
          <w:noProof/>
        </w:rPr>
        <w:tab/>
        <w:t xml:space="preserve">Synteza szacunkowego wpływu na wydatki </w:t>
      </w:r>
    </w:p>
    <w:p>
      <w:pPr>
        <w:spacing w:before="0" w:after="200" w:line="276" w:lineRule="auto"/>
        <w:rPr>
          <w:rFonts w:cstheme="minorBidi"/>
          <w:noProof/>
          <w:sz w:val="20"/>
        </w:rPr>
      </w:pPr>
      <w:r>
        <w:rPr>
          <w:rFonts w:cstheme="minorBidi"/>
          <w:noProof/>
          <w:sz w:val="20"/>
        </w:rPr>
        <w:t>w mln EUR (do trzech miejsc po przecinku)</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line="276" w:lineRule="auto"/>
              <w:rPr>
                <w:rFonts w:cstheme="minorBidi"/>
                <w:b/>
                <w:noProof/>
                <w:sz w:val="22"/>
              </w:rPr>
            </w:pPr>
            <w:r>
              <w:rPr>
                <w:rFonts w:cstheme="minorBidi"/>
                <w:b/>
                <w:noProof/>
                <w:sz w:val="22"/>
              </w:rPr>
              <w:t>Dział wieloletnich ram</w:t>
            </w:r>
            <w:r>
              <w:rPr>
                <w:rFonts w:cstheme="minorBidi"/>
                <w:noProof/>
                <w:sz w:val="22"/>
              </w:rPr>
              <w:br/>
            </w:r>
            <w:r>
              <w:rPr>
                <w:rFonts w:cstheme="minorBidi"/>
                <w:b/>
                <w:noProof/>
                <w:sz w:val="22"/>
              </w:rPr>
              <w:t xml:space="preserve">finansowych </w:t>
            </w:r>
          </w:p>
        </w:tc>
        <w:tc>
          <w:tcPr>
            <w:tcW w:w="1080" w:type="dxa"/>
            <w:vAlign w:val="center"/>
          </w:tcPr>
          <w:p>
            <w:pPr>
              <w:spacing w:before="60" w:after="60" w:line="276" w:lineRule="auto"/>
              <w:rPr>
                <w:rFonts w:cstheme="minorBidi"/>
                <w:noProof/>
                <w:sz w:val="22"/>
              </w:rPr>
            </w:pPr>
            <w:r>
              <w:rPr>
                <w:rFonts w:cstheme="minorBidi"/>
                <w:noProof/>
                <w:sz w:val="22"/>
              </w:rPr>
              <w:t>Numer</w:t>
            </w:r>
          </w:p>
        </w:tc>
        <w:tc>
          <w:tcPr>
            <w:tcW w:w="7817" w:type="dxa"/>
            <w:vAlign w:val="center"/>
          </w:tcPr>
          <w:p>
            <w:pPr>
              <w:spacing w:before="60" w:after="60" w:line="276" w:lineRule="auto"/>
              <w:rPr>
                <w:rFonts w:cstheme="minorBidi"/>
                <w:noProof/>
                <w:sz w:val="22"/>
              </w:rPr>
            </w:pPr>
            <w:r>
              <w:rPr>
                <w:rFonts w:cstheme="minorBidi"/>
                <w:noProof/>
                <w:sz w:val="22"/>
              </w:rPr>
              <w:t>Dział 4</w:t>
            </w:r>
          </w:p>
        </w:tc>
      </w:tr>
    </w:tbl>
    <w:p>
      <w:pPr>
        <w:spacing w:before="0" w:after="200" w:line="276" w:lineRule="auto"/>
        <w:rPr>
          <w:rFonts w:cstheme="minorBidi"/>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spacing w:before="0" w:after="200" w:line="276" w:lineRule="auto"/>
              <w:rPr>
                <w:rFonts w:cstheme="minorBidi"/>
                <w:noProof/>
                <w:sz w:val="22"/>
              </w:rPr>
            </w:pPr>
            <w:r>
              <w:rPr>
                <w:rFonts w:cstheme="minorBidi"/>
                <w:noProof/>
                <w:sz w:val="22"/>
              </w:rPr>
              <w:t>Dyrekcja Generalna: ECFIN</w:t>
            </w:r>
          </w:p>
        </w:tc>
        <w:tc>
          <w:tcPr>
            <w:tcW w:w="1560" w:type="dxa"/>
            <w:gridSpan w:val="2"/>
          </w:tcPr>
          <w:p>
            <w:pPr>
              <w:spacing w:before="0" w:after="200" w:line="276" w:lineRule="auto"/>
              <w:rPr>
                <w:rFonts w:cstheme="minorBidi"/>
                <w:noProof/>
                <w:sz w:val="20"/>
              </w:rPr>
            </w:pPr>
          </w:p>
        </w:tc>
        <w:tc>
          <w:tcPr>
            <w:tcW w:w="534" w:type="dxa"/>
          </w:tcPr>
          <w:p>
            <w:pPr>
              <w:spacing w:before="0" w:after="200" w:line="276" w:lineRule="auto"/>
              <w:rPr>
                <w:rFonts w:cstheme="minorBidi"/>
                <w:noProof/>
                <w:sz w:val="20"/>
              </w:rPr>
            </w:pPr>
          </w:p>
        </w:tc>
        <w:tc>
          <w:tcPr>
            <w:tcW w:w="868" w:type="dxa"/>
            <w:vAlign w:val="center"/>
          </w:tcPr>
          <w:p>
            <w:pPr>
              <w:spacing w:before="0" w:after="200" w:line="276" w:lineRule="auto"/>
              <w:rPr>
                <w:rFonts w:cstheme="minorBidi"/>
                <w:noProof/>
                <w:sz w:val="20"/>
              </w:rPr>
            </w:pPr>
            <w:r>
              <w:rPr>
                <w:rFonts w:cstheme="minorBidi"/>
                <w:noProof/>
                <w:sz w:val="20"/>
              </w:rPr>
              <w:t>Rok</w:t>
            </w:r>
          </w:p>
          <w:p>
            <w:pPr>
              <w:spacing w:before="0" w:after="200" w:line="276" w:lineRule="auto"/>
              <w:rPr>
                <w:rFonts w:cstheme="minorBidi"/>
                <w:noProof/>
                <w:sz w:val="20"/>
              </w:rPr>
            </w:pPr>
            <w:r>
              <w:rPr>
                <w:rFonts w:cstheme="minorBidi"/>
                <w:noProof/>
                <w:sz w:val="22"/>
              </w:rPr>
              <w:t>2014</w:t>
            </w:r>
            <w:r>
              <w:rPr>
                <w:rStyle w:val="FootnoteReference"/>
                <w:noProof/>
              </w:rPr>
              <w:footnoteReference w:id="14"/>
            </w:r>
          </w:p>
        </w:tc>
        <w:tc>
          <w:tcPr>
            <w:tcW w:w="868" w:type="dxa"/>
            <w:vAlign w:val="center"/>
          </w:tcPr>
          <w:p>
            <w:pPr>
              <w:spacing w:before="0" w:after="200" w:line="276" w:lineRule="auto"/>
              <w:rPr>
                <w:rFonts w:cstheme="minorBidi"/>
                <w:noProof/>
                <w:sz w:val="20"/>
              </w:rPr>
            </w:pPr>
            <w:r>
              <w:rPr>
                <w:rFonts w:cstheme="minorBidi"/>
                <w:noProof/>
                <w:sz w:val="20"/>
              </w:rPr>
              <w:t>Rok</w:t>
            </w:r>
            <w:r>
              <w:rPr>
                <w:rFonts w:cstheme="minorBidi"/>
                <w:noProof/>
                <w:sz w:val="22"/>
              </w:rPr>
              <w:br/>
            </w:r>
            <w:r>
              <w:rPr>
                <w:rFonts w:cstheme="minorBidi"/>
                <w:b/>
                <w:noProof/>
                <w:sz w:val="20"/>
              </w:rPr>
              <w:t>2015</w:t>
            </w:r>
          </w:p>
        </w:tc>
        <w:tc>
          <w:tcPr>
            <w:tcW w:w="868" w:type="dxa"/>
            <w:vAlign w:val="center"/>
          </w:tcPr>
          <w:p>
            <w:pPr>
              <w:spacing w:before="0" w:after="200" w:line="276" w:lineRule="auto"/>
              <w:rPr>
                <w:rFonts w:cstheme="minorBidi"/>
                <w:noProof/>
                <w:sz w:val="20"/>
              </w:rPr>
            </w:pPr>
            <w:r>
              <w:rPr>
                <w:rFonts w:cstheme="minorBidi"/>
                <w:noProof/>
                <w:sz w:val="20"/>
              </w:rPr>
              <w:t>Rok</w:t>
            </w:r>
            <w:r>
              <w:rPr>
                <w:rFonts w:cstheme="minorBidi"/>
                <w:noProof/>
                <w:sz w:val="22"/>
              </w:rPr>
              <w:br/>
            </w:r>
            <w:r>
              <w:rPr>
                <w:rFonts w:cstheme="minorBidi"/>
                <w:b/>
                <w:noProof/>
                <w:sz w:val="20"/>
              </w:rPr>
              <w:t>2016</w:t>
            </w:r>
          </w:p>
        </w:tc>
        <w:tc>
          <w:tcPr>
            <w:tcW w:w="868" w:type="dxa"/>
            <w:vAlign w:val="center"/>
          </w:tcPr>
          <w:p>
            <w:pPr>
              <w:spacing w:before="0" w:after="200" w:line="276" w:lineRule="auto"/>
              <w:rPr>
                <w:rFonts w:cstheme="minorBidi"/>
                <w:noProof/>
                <w:sz w:val="20"/>
              </w:rPr>
            </w:pPr>
            <w:r>
              <w:rPr>
                <w:rFonts w:cstheme="minorBidi"/>
                <w:noProof/>
                <w:sz w:val="20"/>
              </w:rPr>
              <w:t>Rok</w:t>
            </w:r>
            <w:r>
              <w:rPr>
                <w:rFonts w:cstheme="minorBidi"/>
                <w:noProof/>
                <w:sz w:val="22"/>
              </w:rPr>
              <w:br/>
            </w:r>
            <w:r>
              <w:rPr>
                <w:rFonts w:cstheme="minorBidi"/>
                <w:b/>
                <w:noProof/>
                <w:sz w:val="20"/>
              </w:rPr>
              <w:t>2017</w:t>
            </w:r>
          </w:p>
        </w:tc>
        <w:tc>
          <w:tcPr>
            <w:tcW w:w="2604" w:type="dxa"/>
            <w:gridSpan w:val="3"/>
            <w:vAlign w:val="center"/>
          </w:tcPr>
          <w:p>
            <w:pPr>
              <w:spacing w:before="0" w:after="200" w:line="276" w:lineRule="auto"/>
              <w:rPr>
                <w:rFonts w:cstheme="minorBidi"/>
                <w:noProof/>
                <w:sz w:val="18"/>
              </w:rPr>
            </w:pPr>
            <w:r>
              <w:rPr>
                <w:rFonts w:cstheme="minorBidi"/>
                <w:noProof/>
                <w:sz w:val="18"/>
              </w:rPr>
              <w:t xml:space="preserve">Lata </w:t>
            </w:r>
          </w:p>
          <w:p>
            <w:pPr>
              <w:spacing w:before="0" w:after="200" w:line="276" w:lineRule="auto"/>
              <w:rPr>
                <w:rFonts w:cstheme="minorBidi"/>
                <w:b/>
                <w:noProof/>
                <w:sz w:val="18"/>
              </w:rPr>
            </w:pPr>
            <w:r>
              <w:rPr>
                <w:rFonts w:cstheme="minorBidi"/>
                <w:b/>
                <w:noProof/>
                <w:sz w:val="18"/>
              </w:rPr>
              <w:t>2018-2020</w:t>
            </w:r>
          </w:p>
        </w:tc>
        <w:tc>
          <w:tcPr>
            <w:tcW w:w="1777" w:type="dxa"/>
            <w:vAlign w:val="center"/>
          </w:tcPr>
          <w:p>
            <w:pPr>
              <w:spacing w:before="0" w:after="200" w:line="276" w:lineRule="auto"/>
              <w:rPr>
                <w:rFonts w:cstheme="minorBidi"/>
                <w:b/>
                <w:noProof/>
                <w:sz w:val="20"/>
              </w:rPr>
            </w:pPr>
            <w:r>
              <w:rPr>
                <w:rFonts w:cstheme="minorBidi"/>
                <w:b/>
                <w:noProof/>
                <w:sz w:val="20"/>
              </w:rPr>
              <w:t>OGÓŁEM</w:t>
            </w:r>
          </w:p>
        </w:tc>
      </w:tr>
      <w:tr>
        <w:trPr>
          <w:trHeight w:val="213"/>
        </w:trPr>
        <w:tc>
          <w:tcPr>
            <w:tcW w:w="6054" w:type="dxa"/>
            <w:gridSpan w:val="4"/>
            <w:vAlign w:val="center"/>
          </w:tcPr>
          <w:p>
            <w:pPr>
              <w:spacing w:before="20" w:after="20" w:line="276" w:lineRule="auto"/>
              <w:rPr>
                <w:rFonts w:cstheme="minorBidi"/>
                <w:noProof/>
                <w:sz w:val="21"/>
              </w:rPr>
            </w:pPr>
            <w:r>
              <w:rPr>
                <w:rFonts w:cstheme="minorBidi"/>
                <w:noProof/>
                <w:sz w:val="21"/>
              </w:rPr>
              <w:sym w:font="Wingdings" w:char="F09F"/>
            </w:r>
            <w:r>
              <w:rPr>
                <w:rFonts w:cstheme="minorBidi"/>
                <w:noProof/>
                <w:sz w:val="21"/>
              </w:rPr>
              <w:t xml:space="preserve"> Środki operacyjne </w:t>
            </w:r>
          </w:p>
        </w:tc>
        <w:tc>
          <w:tcPr>
            <w:tcW w:w="868" w:type="dxa"/>
            <w:vAlign w:val="center"/>
          </w:tcPr>
          <w:p>
            <w:pPr>
              <w:spacing w:before="0" w:after="200" w:line="276" w:lineRule="auto"/>
              <w:rPr>
                <w:rFonts w:cstheme="minorBidi"/>
                <w:noProof/>
                <w:sz w:val="20"/>
              </w:rPr>
            </w:pPr>
          </w:p>
        </w:tc>
        <w:tc>
          <w:tcPr>
            <w:tcW w:w="868" w:type="dxa"/>
            <w:vAlign w:val="center"/>
          </w:tcPr>
          <w:p>
            <w:pPr>
              <w:spacing w:before="0" w:after="200" w:line="276" w:lineRule="auto"/>
              <w:rPr>
                <w:rFonts w:cstheme="minorBidi"/>
                <w:noProof/>
                <w:sz w:val="20"/>
              </w:rPr>
            </w:pPr>
          </w:p>
        </w:tc>
        <w:tc>
          <w:tcPr>
            <w:tcW w:w="868" w:type="dxa"/>
            <w:vAlign w:val="center"/>
          </w:tcPr>
          <w:p>
            <w:pPr>
              <w:spacing w:before="0" w:after="200" w:line="276" w:lineRule="auto"/>
              <w:rPr>
                <w:rFonts w:cstheme="minorBidi"/>
                <w:noProof/>
                <w:sz w:val="20"/>
              </w:rPr>
            </w:pPr>
          </w:p>
        </w:tc>
        <w:tc>
          <w:tcPr>
            <w:tcW w:w="868" w:type="dxa"/>
            <w:vAlign w:val="center"/>
          </w:tcPr>
          <w:p>
            <w:pPr>
              <w:spacing w:before="0" w:after="200" w:line="276" w:lineRule="auto"/>
              <w:rPr>
                <w:rFonts w:cstheme="minorBidi"/>
                <w:noProof/>
                <w:sz w:val="20"/>
              </w:rPr>
            </w:pPr>
          </w:p>
        </w:tc>
        <w:tc>
          <w:tcPr>
            <w:tcW w:w="868" w:type="dxa"/>
            <w:vAlign w:val="center"/>
          </w:tcPr>
          <w:p>
            <w:pPr>
              <w:spacing w:before="0" w:after="200" w:line="276" w:lineRule="auto"/>
              <w:rPr>
                <w:rFonts w:cstheme="minorBidi"/>
                <w:noProof/>
                <w:sz w:val="20"/>
              </w:rPr>
            </w:pPr>
          </w:p>
        </w:tc>
        <w:tc>
          <w:tcPr>
            <w:tcW w:w="868" w:type="dxa"/>
            <w:vAlign w:val="center"/>
          </w:tcPr>
          <w:p>
            <w:pPr>
              <w:spacing w:before="0" w:after="200" w:line="276" w:lineRule="auto"/>
              <w:rPr>
                <w:rFonts w:cstheme="minorBidi"/>
                <w:noProof/>
                <w:sz w:val="20"/>
              </w:rPr>
            </w:pPr>
          </w:p>
        </w:tc>
        <w:tc>
          <w:tcPr>
            <w:tcW w:w="868" w:type="dxa"/>
            <w:vAlign w:val="center"/>
          </w:tcPr>
          <w:p>
            <w:pPr>
              <w:spacing w:before="0" w:after="200" w:line="276" w:lineRule="auto"/>
              <w:rPr>
                <w:rFonts w:cstheme="minorBidi"/>
                <w:b/>
                <w:noProof/>
                <w:sz w:val="20"/>
              </w:rPr>
            </w:pPr>
          </w:p>
        </w:tc>
        <w:tc>
          <w:tcPr>
            <w:tcW w:w="1777" w:type="dxa"/>
            <w:vAlign w:val="center"/>
          </w:tcPr>
          <w:p>
            <w:pPr>
              <w:spacing w:before="0" w:after="200" w:line="276" w:lineRule="auto"/>
              <w:rPr>
                <w:rFonts w:cstheme="minorBidi"/>
                <w:b/>
                <w:noProof/>
                <w:sz w:val="20"/>
              </w:rPr>
            </w:pPr>
          </w:p>
        </w:tc>
      </w:tr>
      <w:tr>
        <w:trPr>
          <w:trHeight w:val="277"/>
        </w:trPr>
        <w:tc>
          <w:tcPr>
            <w:tcW w:w="3960" w:type="dxa"/>
            <w:vMerge w:val="restart"/>
            <w:vAlign w:val="center"/>
          </w:tcPr>
          <w:p>
            <w:pPr>
              <w:spacing w:before="0" w:after="200" w:line="276" w:lineRule="auto"/>
              <w:rPr>
                <w:rFonts w:cstheme="minorBidi"/>
                <w:noProof/>
                <w:sz w:val="22"/>
              </w:rPr>
            </w:pPr>
            <w:r>
              <w:rPr>
                <w:rFonts w:cstheme="minorBidi"/>
                <w:noProof/>
                <w:sz w:val="20"/>
              </w:rPr>
              <w:t>Numer linii budżetowej 01 0305</w:t>
            </w:r>
          </w:p>
        </w:tc>
        <w:tc>
          <w:tcPr>
            <w:tcW w:w="1440" w:type="dxa"/>
            <w:vAlign w:val="center"/>
          </w:tcPr>
          <w:p>
            <w:pPr>
              <w:spacing w:before="20" w:after="20" w:line="276" w:lineRule="auto"/>
              <w:rPr>
                <w:rFonts w:cstheme="minorBidi"/>
                <w:noProof/>
                <w:sz w:val="18"/>
              </w:rPr>
            </w:pPr>
            <w:r>
              <w:rPr>
                <w:rFonts w:cstheme="minorBidi"/>
                <w:noProof/>
                <w:sz w:val="18"/>
              </w:rPr>
              <w:t>Środki na zobowiązania</w:t>
            </w:r>
          </w:p>
        </w:tc>
        <w:tc>
          <w:tcPr>
            <w:tcW w:w="654" w:type="dxa"/>
            <w:gridSpan w:val="2"/>
            <w:vAlign w:val="center"/>
          </w:tcPr>
          <w:p>
            <w:pPr>
              <w:spacing w:before="20" w:after="20" w:line="276" w:lineRule="auto"/>
              <w:rPr>
                <w:rFonts w:cstheme="minorBidi"/>
                <w:noProof/>
                <w:sz w:val="14"/>
              </w:rPr>
            </w:pPr>
            <w:r>
              <w:rPr>
                <w:rFonts w:cstheme="minorBidi"/>
                <w:noProof/>
                <w:sz w:val="14"/>
              </w:rPr>
              <w:t>(1)</w:t>
            </w:r>
          </w:p>
        </w:tc>
        <w:tc>
          <w:tcPr>
            <w:tcW w:w="868" w:type="dxa"/>
            <w:vAlign w:val="center"/>
          </w:tcPr>
          <w:p>
            <w:pPr>
              <w:spacing w:before="20" w:after="20" w:line="276" w:lineRule="auto"/>
              <w:rPr>
                <w:rFonts w:cstheme="minorBidi"/>
                <w:noProof/>
                <w:sz w:val="20"/>
              </w:rPr>
            </w:pPr>
            <w:r>
              <w:rPr>
                <w:rFonts w:cstheme="minorBidi"/>
                <w:noProof/>
                <w:sz w:val="20"/>
              </w:rPr>
              <w:t>p.m.</w:t>
            </w:r>
          </w:p>
        </w:tc>
        <w:tc>
          <w:tcPr>
            <w:tcW w:w="868" w:type="dxa"/>
            <w:vAlign w:val="center"/>
          </w:tcPr>
          <w:p>
            <w:pPr>
              <w:spacing w:before="20" w:after="20" w:line="276" w:lineRule="auto"/>
              <w:rPr>
                <w:rFonts w:cstheme="minorBidi"/>
                <w:noProof/>
                <w:sz w:val="20"/>
              </w:rPr>
            </w:pPr>
            <w:r>
              <w:rPr>
                <w:rFonts w:cstheme="minorBidi"/>
                <w:noProof/>
                <w:sz w:val="20"/>
              </w:rPr>
              <w:t>p.m.</w:t>
            </w:r>
          </w:p>
        </w:tc>
        <w:tc>
          <w:tcPr>
            <w:tcW w:w="868" w:type="dxa"/>
            <w:vAlign w:val="center"/>
          </w:tcPr>
          <w:p>
            <w:pPr>
              <w:spacing w:before="20" w:after="20" w:line="276" w:lineRule="auto"/>
              <w:rPr>
                <w:rFonts w:cstheme="minorBidi"/>
                <w:noProof/>
                <w:sz w:val="20"/>
              </w:rPr>
            </w:pPr>
            <w:r>
              <w:rPr>
                <w:rFonts w:cstheme="minorBidi"/>
                <w:noProof/>
                <w:sz w:val="20"/>
              </w:rPr>
              <w:t>p.m.</w:t>
            </w:r>
          </w:p>
        </w:tc>
        <w:tc>
          <w:tcPr>
            <w:tcW w:w="868" w:type="dxa"/>
            <w:vAlign w:val="center"/>
          </w:tcPr>
          <w:p>
            <w:pPr>
              <w:spacing w:before="20" w:after="20" w:line="276" w:lineRule="auto"/>
              <w:rPr>
                <w:rFonts w:cstheme="minorBidi"/>
                <w:noProof/>
                <w:sz w:val="20"/>
              </w:rPr>
            </w:pPr>
            <w:r>
              <w:rPr>
                <w:rFonts w:cstheme="minorBidi"/>
                <w:noProof/>
                <w:sz w:val="20"/>
              </w:rPr>
              <w:t>p.m.</w:t>
            </w:r>
          </w:p>
        </w:tc>
        <w:tc>
          <w:tcPr>
            <w:tcW w:w="868" w:type="dxa"/>
            <w:vAlign w:val="center"/>
          </w:tcPr>
          <w:p>
            <w:pPr>
              <w:spacing w:before="20" w:after="20" w:line="276" w:lineRule="auto"/>
              <w:rPr>
                <w:rFonts w:cstheme="minorBidi"/>
                <w:b/>
                <w:noProof/>
                <w:sz w:val="20"/>
              </w:rPr>
            </w:pPr>
            <w:r>
              <w:rPr>
                <w:rFonts w:cstheme="minorBidi"/>
                <w:b/>
                <w:noProof/>
                <w:sz w:val="20"/>
              </w:rPr>
              <w:t>p.m.</w:t>
            </w:r>
          </w:p>
        </w:tc>
        <w:tc>
          <w:tcPr>
            <w:tcW w:w="868" w:type="dxa"/>
            <w:vAlign w:val="center"/>
          </w:tcPr>
          <w:p>
            <w:pPr>
              <w:spacing w:before="20" w:after="20" w:line="276" w:lineRule="auto"/>
              <w:rPr>
                <w:rFonts w:cstheme="minorBidi"/>
                <w:b/>
                <w:noProof/>
                <w:sz w:val="20"/>
              </w:rPr>
            </w:pPr>
            <w:r>
              <w:rPr>
                <w:rFonts w:cstheme="minorBidi"/>
                <w:b/>
                <w:noProof/>
                <w:sz w:val="20"/>
              </w:rPr>
              <w:t>p.m.</w:t>
            </w:r>
          </w:p>
        </w:tc>
        <w:tc>
          <w:tcPr>
            <w:tcW w:w="868" w:type="dxa"/>
            <w:vAlign w:val="center"/>
          </w:tcPr>
          <w:p>
            <w:pPr>
              <w:spacing w:before="20" w:after="20" w:line="276" w:lineRule="auto"/>
              <w:rPr>
                <w:rFonts w:cstheme="minorBidi"/>
                <w:b/>
                <w:noProof/>
                <w:sz w:val="20"/>
              </w:rPr>
            </w:pPr>
            <w:r>
              <w:rPr>
                <w:rFonts w:cstheme="minorBidi"/>
                <w:b/>
                <w:noProof/>
                <w:sz w:val="20"/>
              </w:rPr>
              <w:t>p.m.</w:t>
            </w:r>
          </w:p>
        </w:tc>
        <w:tc>
          <w:tcPr>
            <w:tcW w:w="1777" w:type="dxa"/>
            <w:vAlign w:val="center"/>
          </w:tcPr>
          <w:p>
            <w:pPr>
              <w:spacing w:before="20" w:after="20" w:line="276" w:lineRule="auto"/>
              <w:rPr>
                <w:rFonts w:cstheme="minorBidi"/>
                <w:b/>
                <w:noProof/>
                <w:sz w:val="20"/>
              </w:rPr>
            </w:pPr>
            <w:r>
              <w:rPr>
                <w:rFonts w:cstheme="minorBidi"/>
                <w:b/>
                <w:noProof/>
                <w:sz w:val="20"/>
              </w:rPr>
              <w:t>p.m.</w:t>
            </w:r>
          </w:p>
        </w:tc>
      </w:tr>
      <w:tr>
        <w:tc>
          <w:tcPr>
            <w:tcW w:w="3960" w:type="dxa"/>
            <w:vMerge/>
          </w:tcPr>
          <w:p>
            <w:pPr>
              <w:spacing w:before="0" w:after="200" w:line="276" w:lineRule="auto"/>
              <w:rPr>
                <w:rFonts w:cstheme="minorBidi"/>
                <w:noProof/>
                <w:sz w:val="20"/>
              </w:rPr>
            </w:pPr>
          </w:p>
        </w:tc>
        <w:tc>
          <w:tcPr>
            <w:tcW w:w="1440" w:type="dxa"/>
            <w:vAlign w:val="center"/>
          </w:tcPr>
          <w:p>
            <w:pPr>
              <w:spacing w:before="20" w:after="20" w:line="276" w:lineRule="auto"/>
              <w:rPr>
                <w:rFonts w:cstheme="minorBidi"/>
                <w:noProof/>
                <w:sz w:val="18"/>
              </w:rPr>
            </w:pPr>
            <w:r>
              <w:rPr>
                <w:rFonts w:cstheme="minorBidi"/>
                <w:noProof/>
                <w:sz w:val="18"/>
              </w:rPr>
              <w:t>Środki na płatności</w:t>
            </w:r>
          </w:p>
        </w:tc>
        <w:tc>
          <w:tcPr>
            <w:tcW w:w="654" w:type="dxa"/>
            <w:gridSpan w:val="2"/>
            <w:vAlign w:val="center"/>
          </w:tcPr>
          <w:p>
            <w:pPr>
              <w:spacing w:before="20" w:after="20" w:line="276" w:lineRule="auto"/>
              <w:rPr>
                <w:rFonts w:cstheme="minorBidi"/>
                <w:noProof/>
                <w:sz w:val="14"/>
              </w:rPr>
            </w:pPr>
            <w:r>
              <w:rPr>
                <w:rFonts w:cstheme="minorBidi"/>
                <w:noProof/>
                <w:sz w:val="14"/>
              </w:rPr>
              <w:t>(2)</w:t>
            </w:r>
          </w:p>
        </w:tc>
        <w:tc>
          <w:tcPr>
            <w:tcW w:w="868" w:type="dxa"/>
            <w:vAlign w:val="center"/>
          </w:tcPr>
          <w:p>
            <w:pPr>
              <w:spacing w:before="20" w:after="20" w:line="276" w:lineRule="auto"/>
              <w:rPr>
                <w:rFonts w:cstheme="minorBidi"/>
                <w:noProof/>
                <w:sz w:val="20"/>
              </w:rPr>
            </w:pPr>
            <w:r>
              <w:rPr>
                <w:rFonts w:cstheme="minorBidi"/>
                <w:noProof/>
                <w:sz w:val="20"/>
              </w:rPr>
              <w:t>p.m.</w:t>
            </w:r>
          </w:p>
        </w:tc>
        <w:tc>
          <w:tcPr>
            <w:tcW w:w="868" w:type="dxa"/>
            <w:vAlign w:val="center"/>
          </w:tcPr>
          <w:p>
            <w:pPr>
              <w:spacing w:before="20" w:after="20" w:line="276" w:lineRule="auto"/>
              <w:rPr>
                <w:rFonts w:cstheme="minorBidi"/>
                <w:noProof/>
                <w:sz w:val="20"/>
              </w:rPr>
            </w:pPr>
            <w:r>
              <w:rPr>
                <w:rFonts w:cstheme="minorBidi"/>
                <w:noProof/>
                <w:sz w:val="20"/>
              </w:rPr>
              <w:t>p.m.</w:t>
            </w:r>
          </w:p>
        </w:tc>
        <w:tc>
          <w:tcPr>
            <w:tcW w:w="868" w:type="dxa"/>
            <w:vAlign w:val="center"/>
          </w:tcPr>
          <w:p>
            <w:pPr>
              <w:spacing w:before="20" w:after="20" w:line="276" w:lineRule="auto"/>
              <w:rPr>
                <w:rFonts w:cstheme="minorBidi"/>
                <w:noProof/>
                <w:sz w:val="20"/>
              </w:rPr>
            </w:pPr>
            <w:r>
              <w:rPr>
                <w:rFonts w:cstheme="minorBidi"/>
                <w:noProof/>
                <w:sz w:val="20"/>
              </w:rPr>
              <w:t>p.m.</w:t>
            </w:r>
          </w:p>
        </w:tc>
        <w:tc>
          <w:tcPr>
            <w:tcW w:w="868" w:type="dxa"/>
            <w:vAlign w:val="center"/>
          </w:tcPr>
          <w:p>
            <w:pPr>
              <w:spacing w:before="20" w:after="20" w:line="276" w:lineRule="auto"/>
              <w:rPr>
                <w:rFonts w:cstheme="minorBidi"/>
                <w:noProof/>
                <w:sz w:val="20"/>
              </w:rPr>
            </w:pPr>
            <w:r>
              <w:rPr>
                <w:rFonts w:cstheme="minorBidi"/>
                <w:noProof/>
                <w:sz w:val="20"/>
              </w:rPr>
              <w:t>p.m.</w:t>
            </w:r>
          </w:p>
        </w:tc>
        <w:tc>
          <w:tcPr>
            <w:tcW w:w="868" w:type="dxa"/>
            <w:vAlign w:val="center"/>
          </w:tcPr>
          <w:p>
            <w:pPr>
              <w:spacing w:before="20" w:after="20" w:line="276" w:lineRule="auto"/>
              <w:rPr>
                <w:rFonts w:cstheme="minorBidi"/>
                <w:b/>
                <w:noProof/>
                <w:sz w:val="20"/>
              </w:rPr>
            </w:pPr>
            <w:r>
              <w:rPr>
                <w:rFonts w:cstheme="minorBidi"/>
                <w:b/>
                <w:noProof/>
                <w:sz w:val="20"/>
              </w:rPr>
              <w:t>p.m.</w:t>
            </w:r>
          </w:p>
        </w:tc>
        <w:tc>
          <w:tcPr>
            <w:tcW w:w="868" w:type="dxa"/>
            <w:vAlign w:val="center"/>
          </w:tcPr>
          <w:p>
            <w:pPr>
              <w:spacing w:before="20" w:after="20" w:line="276" w:lineRule="auto"/>
              <w:rPr>
                <w:rFonts w:cstheme="minorBidi"/>
                <w:b/>
                <w:noProof/>
                <w:sz w:val="20"/>
              </w:rPr>
            </w:pPr>
            <w:r>
              <w:rPr>
                <w:rFonts w:cstheme="minorBidi"/>
                <w:b/>
                <w:noProof/>
                <w:sz w:val="20"/>
              </w:rPr>
              <w:t>p.m.</w:t>
            </w:r>
          </w:p>
        </w:tc>
        <w:tc>
          <w:tcPr>
            <w:tcW w:w="868" w:type="dxa"/>
            <w:vAlign w:val="center"/>
          </w:tcPr>
          <w:p>
            <w:pPr>
              <w:spacing w:before="20" w:after="20" w:line="276" w:lineRule="auto"/>
              <w:rPr>
                <w:rFonts w:cstheme="minorBidi"/>
                <w:b/>
                <w:noProof/>
                <w:sz w:val="20"/>
              </w:rPr>
            </w:pPr>
            <w:r>
              <w:rPr>
                <w:rFonts w:cstheme="minorBidi"/>
                <w:b/>
                <w:noProof/>
                <w:sz w:val="20"/>
              </w:rPr>
              <w:t>p.m.</w:t>
            </w:r>
          </w:p>
        </w:tc>
        <w:tc>
          <w:tcPr>
            <w:tcW w:w="1777" w:type="dxa"/>
            <w:vAlign w:val="center"/>
          </w:tcPr>
          <w:p>
            <w:pPr>
              <w:spacing w:before="20" w:after="20" w:line="276" w:lineRule="auto"/>
              <w:rPr>
                <w:rFonts w:cstheme="minorBidi"/>
                <w:b/>
                <w:noProof/>
                <w:sz w:val="20"/>
              </w:rPr>
            </w:pPr>
            <w:r>
              <w:rPr>
                <w:rFonts w:cstheme="minorBidi"/>
                <w:b/>
                <w:noProof/>
                <w:sz w:val="20"/>
              </w:rPr>
              <w:t>p.m.</w:t>
            </w:r>
          </w:p>
        </w:tc>
      </w:tr>
      <w:tr>
        <w:tc>
          <w:tcPr>
            <w:tcW w:w="3960" w:type="dxa"/>
            <w:vMerge w:val="restart"/>
            <w:vAlign w:val="center"/>
          </w:tcPr>
          <w:p>
            <w:pPr>
              <w:spacing w:before="0" w:after="200" w:line="276" w:lineRule="auto"/>
              <w:rPr>
                <w:rFonts w:cstheme="minorBidi"/>
                <w:noProof/>
                <w:sz w:val="22"/>
              </w:rPr>
            </w:pPr>
            <w:r>
              <w:rPr>
                <w:rFonts w:cstheme="minorBidi"/>
                <w:noProof/>
                <w:sz w:val="20"/>
              </w:rPr>
              <w:t>Numer linii budżetowej 01 0306</w:t>
            </w:r>
          </w:p>
        </w:tc>
        <w:tc>
          <w:tcPr>
            <w:tcW w:w="1440" w:type="dxa"/>
            <w:vAlign w:val="center"/>
          </w:tcPr>
          <w:p>
            <w:pPr>
              <w:spacing w:before="20" w:after="20" w:line="276" w:lineRule="auto"/>
              <w:rPr>
                <w:rFonts w:cstheme="minorBidi"/>
                <w:noProof/>
                <w:sz w:val="18"/>
              </w:rPr>
            </w:pPr>
            <w:r>
              <w:rPr>
                <w:rFonts w:cstheme="minorBidi"/>
                <w:noProof/>
                <w:sz w:val="18"/>
              </w:rPr>
              <w:t>Dodatkowe środki na zobowiązania</w:t>
            </w:r>
          </w:p>
        </w:tc>
        <w:tc>
          <w:tcPr>
            <w:tcW w:w="654" w:type="dxa"/>
            <w:gridSpan w:val="2"/>
            <w:vAlign w:val="center"/>
          </w:tcPr>
          <w:p>
            <w:pPr>
              <w:spacing w:before="20" w:after="20" w:line="276" w:lineRule="auto"/>
              <w:rPr>
                <w:rFonts w:cstheme="minorBidi"/>
                <w:noProof/>
                <w:sz w:val="14"/>
              </w:rPr>
            </w:pPr>
            <w:r>
              <w:rPr>
                <w:rFonts w:cstheme="minorBidi"/>
                <w:noProof/>
                <w:sz w:val="14"/>
              </w:rPr>
              <w:t>(1a)</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b/>
                <w:noProof/>
                <w:sz w:val="20"/>
              </w:rPr>
            </w:pPr>
            <w:r>
              <w:rPr>
                <w:rFonts w:cstheme="minorBidi"/>
                <w:b/>
                <w:noProof/>
                <w:sz w:val="20"/>
              </w:rPr>
              <w:t>+ 4</w:t>
            </w:r>
          </w:p>
        </w:tc>
        <w:tc>
          <w:tcPr>
            <w:tcW w:w="868" w:type="dxa"/>
            <w:vAlign w:val="center"/>
          </w:tcPr>
          <w:p>
            <w:pPr>
              <w:spacing w:before="20" w:after="20" w:line="276" w:lineRule="auto"/>
              <w:rPr>
                <w:rFonts w:cstheme="minorBidi"/>
                <w:b/>
                <w:noProof/>
                <w:sz w:val="20"/>
              </w:rPr>
            </w:pPr>
            <w:r>
              <w:rPr>
                <w:rFonts w:cstheme="minorBidi"/>
                <w:b/>
                <w:noProof/>
                <w:sz w:val="20"/>
              </w:rPr>
              <w:t>+ 32</w:t>
            </w:r>
          </w:p>
        </w:tc>
        <w:tc>
          <w:tcPr>
            <w:tcW w:w="868" w:type="dxa"/>
            <w:vAlign w:val="center"/>
          </w:tcPr>
          <w:p>
            <w:pPr>
              <w:spacing w:before="20" w:after="20" w:line="276" w:lineRule="auto"/>
              <w:rPr>
                <w:rFonts w:cstheme="minorBidi"/>
                <w:b/>
                <w:noProof/>
                <w:sz w:val="20"/>
              </w:rPr>
            </w:pPr>
            <w:r>
              <w:rPr>
                <w:rFonts w:cstheme="minorBidi"/>
                <w:b/>
                <w:noProof/>
                <w:sz w:val="20"/>
              </w:rPr>
              <w:t>+ 79</w:t>
            </w:r>
          </w:p>
        </w:tc>
        <w:tc>
          <w:tcPr>
            <w:tcW w:w="1777" w:type="dxa"/>
            <w:vAlign w:val="center"/>
          </w:tcPr>
          <w:p>
            <w:pPr>
              <w:spacing w:before="20" w:after="20" w:line="276" w:lineRule="auto"/>
              <w:rPr>
                <w:rFonts w:cstheme="minorBidi"/>
                <w:b/>
                <w:noProof/>
                <w:sz w:val="20"/>
              </w:rPr>
            </w:pPr>
            <w:r>
              <w:rPr>
                <w:rFonts w:cstheme="minorBidi"/>
                <w:b/>
                <w:noProof/>
                <w:sz w:val="20"/>
              </w:rPr>
              <w:t>+ 115</w:t>
            </w:r>
          </w:p>
        </w:tc>
      </w:tr>
      <w:tr>
        <w:tc>
          <w:tcPr>
            <w:tcW w:w="3960" w:type="dxa"/>
            <w:vMerge/>
          </w:tcPr>
          <w:p>
            <w:pPr>
              <w:spacing w:before="0" w:after="200" w:line="276" w:lineRule="auto"/>
              <w:rPr>
                <w:rFonts w:cstheme="minorBidi"/>
                <w:noProof/>
                <w:sz w:val="20"/>
              </w:rPr>
            </w:pPr>
          </w:p>
        </w:tc>
        <w:tc>
          <w:tcPr>
            <w:tcW w:w="1440" w:type="dxa"/>
            <w:vAlign w:val="center"/>
          </w:tcPr>
          <w:p>
            <w:pPr>
              <w:spacing w:before="20" w:after="20" w:line="276" w:lineRule="auto"/>
              <w:rPr>
                <w:rFonts w:cstheme="minorBidi"/>
                <w:noProof/>
                <w:sz w:val="18"/>
              </w:rPr>
            </w:pPr>
            <w:r>
              <w:rPr>
                <w:rFonts w:cstheme="minorBidi"/>
                <w:noProof/>
                <w:sz w:val="18"/>
              </w:rPr>
              <w:t>Dodatkowe środki na płatności</w:t>
            </w:r>
          </w:p>
        </w:tc>
        <w:tc>
          <w:tcPr>
            <w:tcW w:w="654" w:type="dxa"/>
            <w:gridSpan w:val="2"/>
            <w:vAlign w:val="center"/>
          </w:tcPr>
          <w:p>
            <w:pPr>
              <w:spacing w:before="20" w:after="20" w:line="276" w:lineRule="auto"/>
              <w:rPr>
                <w:rFonts w:cstheme="minorBidi"/>
                <w:noProof/>
                <w:sz w:val="14"/>
              </w:rPr>
            </w:pPr>
            <w:r>
              <w:rPr>
                <w:rFonts w:cstheme="minorBidi"/>
                <w:noProof/>
                <w:sz w:val="14"/>
              </w:rPr>
              <w:t>(2a)</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b/>
                <w:noProof/>
                <w:sz w:val="20"/>
              </w:rPr>
            </w:pPr>
            <w:r>
              <w:rPr>
                <w:rFonts w:cstheme="minorBidi"/>
                <w:b/>
                <w:noProof/>
                <w:sz w:val="20"/>
              </w:rPr>
              <w:t>+ 4</w:t>
            </w:r>
          </w:p>
        </w:tc>
        <w:tc>
          <w:tcPr>
            <w:tcW w:w="868" w:type="dxa"/>
            <w:vAlign w:val="center"/>
          </w:tcPr>
          <w:p>
            <w:pPr>
              <w:spacing w:before="20" w:after="20" w:line="276" w:lineRule="auto"/>
              <w:rPr>
                <w:rFonts w:cstheme="minorBidi"/>
                <w:b/>
                <w:noProof/>
                <w:sz w:val="20"/>
              </w:rPr>
            </w:pPr>
            <w:r>
              <w:rPr>
                <w:rFonts w:cstheme="minorBidi"/>
                <w:b/>
                <w:noProof/>
                <w:sz w:val="20"/>
              </w:rPr>
              <w:t>+ 32</w:t>
            </w:r>
          </w:p>
        </w:tc>
        <w:tc>
          <w:tcPr>
            <w:tcW w:w="868" w:type="dxa"/>
            <w:vAlign w:val="center"/>
          </w:tcPr>
          <w:p>
            <w:pPr>
              <w:spacing w:before="20" w:after="20" w:line="276" w:lineRule="auto"/>
              <w:rPr>
                <w:rFonts w:cstheme="minorBidi"/>
                <w:b/>
                <w:noProof/>
                <w:sz w:val="20"/>
              </w:rPr>
            </w:pPr>
            <w:r>
              <w:rPr>
                <w:rFonts w:cstheme="minorBidi"/>
                <w:b/>
                <w:noProof/>
                <w:sz w:val="20"/>
              </w:rPr>
              <w:t>+ 79</w:t>
            </w:r>
          </w:p>
        </w:tc>
        <w:tc>
          <w:tcPr>
            <w:tcW w:w="1777" w:type="dxa"/>
            <w:vAlign w:val="center"/>
          </w:tcPr>
          <w:p>
            <w:pPr>
              <w:spacing w:before="20" w:after="20" w:line="276" w:lineRule="auto"/>
              <w:rPr>
                <w:rFonts w:cstheme="minorBidi"/>
                <w:b/>
                <w:noProof/>
                <w:sz w:val="20"/>
              </w:rPr>
            </w:pPr>
            <w:r>
              <w:rPr>
                <w:rFonts w:cstheme="minorBidi"/>
                <w:b/>
                <w:noProof/>
                <w:sz w:val="20"/>
              </w:rPr>
              <w:t>+ 115</w:t>
            </w:r>
          </w:p>
        </w:tc>
      </w:tr>
      <w:tr>
        <w:trPr>
          <w:trHeight w:val="231"/>
        </w:trPr>
        <w:tc>
          <w:tcPr>
            <w:tcW w:w="6054" w:type="dxa"/>
            <w:gridSpan w:val="4"/>
            <w:vAlign w:val="center"/>
          </w:tcPr>
          <w:p>
            <w:pPr>
              <w:spacing w:before="20" w:after="20" w:line="276" w:lineRule="auto"/>
              <w:rPr>
                <w:rFonts w:cstheme="minorBidi"/>
                <w:noProof/>
                <w:sz w:val="22"/>
              </w:rPr>
            </w:pPr>
            <w:r>
              <w:rPr>
                <w:rFonts w:cstheme="minorBidi"/>
                <w:noProof/>
                <w:sz w:val="21"/>
              </w:rPr>
              <w:t>Środki administracyjne finansowane ze środków przydzielonych na określone programy operacyjne</w:t>
            </w:r>
            <w:r>
              <w:rPr>
                <w:rStyle w:val="FootnoteReference"/>
                <w:noProof/>
              </w:rPr>
              <w:footnoteReference w:id="15"/>
            </w:r>
            <w:r>
              <w:rPr>
                <w:rFonts w:cstheme="minorBidi"/>
                <w:noProof/>
                <w:sz w:val="21"/>
              </w:rPr>
              <w:t xml:space="preserve"> </w:t>
            </w:r>
          </w:p>
          <w:p>
            <w:pPr>
              <w:spacing w:before="0" w:after="0" w:line="276" w:lineRule="auto"/>
              <w:rPr>
                <w:rFonts w:cstheme="minorBidi"/>
                <w:noProof/>
                <w:sz w:val="22"/>
              </w:rPr>
            </w:pPr>
          </w:p>
        </w:tc>
        <w:tc>
          <w:tcPr>
            <w:tcW w:w="868" w:type="dxa"/>
            <w:vAlign w:val="center"/>
          </w:tcPr>
          <w:p>
            <w:pPr>
              <w:spacing w:before="0" w:after="200" w:line="276" w:lineRule="auto"/>
              <w:rPr>
                <w:rFonts w:cstheme="minorBidi"/>
                <w:b/>
                <w:noProof/>
                <w:sz w:val="20"/>
              </w:rPr>
            </w:pPr>
          </w:p>
        </w:tc>
        <w:tc>
          <w:tcPr>
            <w:tcW w:w="868" w:type="dxa"/>
            <w:vAlign w:val="center"/>
          </w:tcPr>
          <w:p>
            <w:pPr>
              <w:spacing w:before="0" w:after="200" w:line="276" w:lineRule="auto"/>
              <w:rPr>
                <w:rFonts w:cstheme="minorBidi"/>
                <w:b/>
                <w:noProof/>
                <w:sz w:val="20"/>
              </w:rPr>
            </w:pPr>
          </w:p>
        </w:tc>
        <w:tc>
          <w:tcPr>
            <w:tcW w:w="868" w:type="dxa"/>
            <w:vAlign w:val="center"/>
          </w:tcPr>
          <w:p>
            <w:pPr>
              <w:spacing w:before="0" w:after="200" w:line="276" w:lineRule="auto"/>
              <w:rPr>
                <w:rFonts w:cstheme="minorBidi"/>
                <w:b/>
                <w:noProof/>
                <w:sz w:val="20"/>
              </w:rPr>
            </w:pPr>
          </w:p>
        </w:tc>
        <w:tc>
          <w:tcPr>
            <w:tcW w:w="868" w:type="dxa"/>
            <w:vAlign w:val="center"/>
          </w:tcPr>
          <w:p>
            <w:pPr>
              <w:spacing w:before="0" w:after="200" w:line="276" w:lineRule="auto"/>
              <w:rPr>
                <w:rFonts w:cstheme="minorBidi"/>
                <w:b/>
                <w:noProof/>
                <w:sz w:val="20"/>
              </w:rPr>
            </w:pPr>
          </w:p>
        </w:tc>
        <w:tc>
          <w:tcPr>
            <w:tcW w:w="868" w:type="dxa"/>
            <w:vAlign w:val="center"/>
          </w:tcPr>
          <w:p>
            <w:pPr>
              <w:spacing w:before="0" w:after="200" w:line="276" w:lineRule="auto"/>
              <w:rPr>
                <w:rFonts w:cstheme="minorBidi"/>
                <w:b/>
                <w:noProof/>
                <w:sz w:val="20"/>
              </w:rPr>
            </w:pPr>
          </w:p>
        </w:tc>
        <w:tc>
          <w:tcPr>
            <w:tcW w:w="868" w:type="dxa"/>
            <w:vAlign w:val="center"/>
          </w:tcPr>
          <w:p>
            <w:pPr>
              <w:spacing w:before="0" w:after="200" w:line="276" w:lineRule="auto"/>
              <w:rPr>
                <w:rFonts w:cstheme="minorBidi"/>
                <w:b/>
                <w:noProof/>
                <w:sz w:val="20"/>
              </w:rPr>
            </w:pPr>
          </w:p>
        </w:tc>
        <w:tc>
          <w:tcPr>
            <w:tcW w:w="868" w:type="dxa"/>
            <w:vAlign w:val="center"/>
          </w:tcPr>
          <w:p>
            <w:pPr>
              <w:spacing w:before="0" w:after="200" w:line="276" w:lineRule="auto"/>
              <w:rPr>
                <w:rFonts w:cstheme="minorBidi"/>
                <w:b/>
                <w:noProof/>
                <w:sz w:val="20"/>
              </w:rPr>
            </w:pPr>
          </w:p>
        </w:tc>
        <w:tc>
          <w:tcPr>
            <w:tcW w:w="1777" w:type="dxa"/>
            <w:vAlign w:val="center"/>
          </w:tcPr>
          <w:p>
            <w:pPr>
              <w:spacing w:before="0" w:after="200" w:line="276" w:lineRule="auto"/>
              <w:rPr>
                <w:rFonts w:cstheme="minorBidi"/>
                <w:b/>
                <w:noProof/>
                <w:sz w:val="20"/>
              </w:rPr>
            </w:pPr>
          </w:p>
        </w:tc>
      </w:tr>
      <w:tr>
        <w:trPr>
          <w:trHeight w:val="319"/>
        </w:trPr>
        <w:tc>
          <w:tcPr>
            <w:tcW w:w="3960" w:type="dxa"/>
            <w:vAlign w:val="center"/>
          </w:tcPr>
          <w:p>
            <w:pPr>
              <w:spacing w:before="60" w:after="60" w:line="276" w:lineRule="auto"/>
              <w:rPr>
                <w:rFonts w:cstheme="minorBidi"/>
                <w:noProof/>
                <w:sz w:val="22"/>
              </w:rPr>
            </w:pPr>
            <w:r>
              <w:rPr>
                <w:rFonts w:cstheme="minorBidi"/>
                <w:noProof/>
                <w:sz w:val="20"/>
              </w:rPr>
              <w:t>Numer linii budżetowej</w:t>
            </w:r>
          </w:p>
        </w:tc>
        <w:tc>
          <w:tcPr>
            <w:tcW w:w="1440" w:type="dxa"/>
            <w:vAlign w:val="center"/>
          </w:tcPr>
          <w:p>
            <w:pPr>
              <w:spacing w:before="40" w:after="40" w:line="276" w:lineRule="auto"/>
              <w:rPr>
                <w:rFonts w:cstheme="minorBidi"/>
                <w:noProof/>
                <w:sz w:val="18"/>
              </w:rPr>
            </w:pPr>
          </w:p>
        </w:tc>
        <w:tc>
          <w:tcPr>
            <w:tcW w:w="654" w:type="dxa"/>
            <w:gridSpan w:val="2"/>
            <w:vAlign w:val="center"/>
          </w:tcPr>
          <w:p>
            <w:pPr>
              <w:spacing w:before="40" w:after="40" w:line="276" w:lineRule="auto"/>
              <w:rPr>
                <w:rFonts w:cstheme="minorBidi"/>
                <w:noProof/>
                <w:sz w:val="14"/>
              </w:rPr>
            </w:pPr>
            <w:r>
              <w:rPr>
                <w:rFonts w:cstheme="minorBidi"/>
                <w:noProof/>
                <w:sz w:val="14"/>
              </w:rPr>
              <w:t>(3)</w:t>
            </w:r>
          </w:p>
        </w:tc>
        <w:tc>
          <w:tcPr>
            <w:tcW w:w="868" w:type="dxa"/>
            <w:vAlign w:val="center"/>
          </w:tcPr>
          <w:p>
            <w:pPr>
              <w:spacing w:before="40" w:after="40" w:line="276" w:lineRule="auto"/>
              <w:rPr>
                <w:rFonts w:cstheme="minorBidi"/>
                <w:b/>
                <w:noProof/>
                <w:sz w:val="20"/>
              </w:rPr>
            </w:pPr>
          </w:p>
        </w:tc>
        <w:tc>
          <w:tcPr>
            <w:tcW w:w="868" w:type="dxa"/>
            <w:vAlign w:val="center"/>
          </w:tcPr>
          <w:p>
            <w:pPr>
              <w:spacing w:before="40" w:after="40" w:line="276" w:lineRule="auto"/>
              <w:rPr>
                <w:rFonts w:cstheme="minorBidi"/>
                <w:b/>
                <w:noProof/>
                <w:sz w:val="20"/>
              </w:rPr>
            </w:pPr>
          </w:p>
        </w:tc>
        <w:tc>
          <w:tcPr>
            <w:tcW w:w="868" w:type="dxa"/>
            <w:vAlign w:val="center"/>
          </w:tcPr>
          <w:p>
            <w:pPr>
              <w:spacing w:before="40" w:after="40" w:line="276" w:lineRule="auto"/>
              <w:rPr>
                <w:rFonts w:cstheme="minorBidi"/>
                <w:b/>
                <w:noProof/>
                <w:sz w:val="20"/>
              </w:rPr>
            </w:pPr>
          </w:p>
        </w:tc>
        <w:tc>
          <w:tcPr>
            <w:tcW w:w="868" w:type="dxa"/>
            <w:vAlign w:val="center"/>
          </w:tcPr>
          <w:p>
            <w:pPr>
              <w:spacing w:before="40" w:after="40" w:line="276" w:lineRule="auto"/>
              <w:rPr>
                <w:rFonts w:cstheme="minorBidi"/>
                <w:b/>
                <w:noProof/>
                <w:sz w:val="20"/>
              </w:rPr>
            </w:pPr>
          </w:p>
        </w:tc>
        <w:tc>
          <w:tcPr>
            <w:tcW w:w="868" w:type="dxa"/>
            <w:vAlign w:val="center"/>
          </w:tcPr>
          <w:p>
            <w:pPr>
              <w:spacing w:before="40" w:after="40" w:line="276" w:lineRule="auto"/>
              <w:rPr>
                <w:rFonts w:cstheme="minorBidi"/>
                <w:b/>
                <w:noProof/>
                <w:sz w:val="20"/>
              </w:rPr>
            </w:pPr>
          </w:p>
        </w:tc>
        <w:tc>
          <w:tcPr>
            <w:tcW w:w="868" w:type="dxa"/>
            <w:vAlign w:val="center"/>
          </w:tcPr>
          <w:p>
            <w:pPr>
              <w:spacing w:before="40" w:after="40" w:line="276" w:lineRule="auto"/>
              <w:rPr>
                <w:rFonts w:cstheme="minorBidi"/>
                <w:b/>
                <w:noProof/>
                <w:sz w:val="20"/>
              </w:rPr>
            </w:pPr>
          </w:p>
        </w:tc>
        <w:tc>
          <w:tcPr>
            <w:tcW w:w="868" w:type="dxa"/>
            <w:vAlign w:val="center"/>
          </w:tcPr>
          <w:p>
            <w:pPr>
              <w:spacing w:before="40" w:after="40" w:line="276" w:lineRule="auto"/>
              <w:rPr>
                <w:rFonts w:cstheme="minorBidi"/>
                <w:b/>
                <w:noProof/>
                <w:sz w:val="20"/>
              </w:rPr>
            </w:pPr>
          </w:p>
        </w:tc>
        <w:tc>
          <w:tcPr>
            <w:tcW w:w="1777" w:type="dxa"/>
            <w:vAlign w:val="center"/>
          </w:tcPr>
          <w:p>
            <w:pPr>
              <w:spacing w:before="40" w:after="40" w:line="276" w:lineRule="auto"/>
              <w:rPr>
                <w:rFonts w:cstheme="minorBidi"/>
                <w:b/>
                <w:noProof/>
                <w:sz w:val="20"/>
              </w:rPr>
            </w:pPr>
          </w:p>
        </w:tc>
      </w:tr>
      <w:tr>
        <w:tc>
          <w:tcPr>
            <w:tcW w:w="3960" w:type="dxa"/>
            <w:vMerge w:val="restart"/>
            <w:vAlign w:val="center"/>
          </w:tcPr>
          <w:p>
            <w:pPr>
              <w:spacing w:before="0" w:after="200" w:line="276" w:lineRule="auto"/>
              <w:rPr>
                <w:rFonts w:cstheme="minorBidi"/>
                <w:b/>
                <w:noProof/>
                <w:sz w:val="22"/>
              </w:rPr>
            </w:pPr>
            <w:r>
              <w:rPr>
                <w:rFonts w:cstheme="minorBidi"/>
                <w:b/>
                <w:noProof/>
                <w:sz w:val="22"/>
              </w:rPr>
              <w:t>OGÓŁEM środki</w:t>
            </w:r>
            <w:r>
              <w:rPr>
                <w:rFonts w:cstheme="minorBidi"/>
                <w:noProof/>
                <w:sz w:val="22"/>
              </w:rPr>
              <w:br/>
            </w:r>
            <w:r>
              <w:rPr>
                <w:rFonts w:cstheme="minorBidi"/>
                <w:b/>
                <w:noProof/>
                <w:sz w:val="22"/>
              </w:rPr>
              <w:t xml:space="preserve">dla Dyrekcji Generalnej </w:t>
            </w:r>
            <w:r>
              <w:rPr>
                <w:rFonts w:cstheme="minorBidi"/>
                <w:noProof/>
                <w:sz w:val="22"/>
              </w:rPr>
              <w:t>&lt;…….&gt;</w:t>
            </w:r>
          </w:p>
        </w:tc>
        <w:tc>
          <w:tcPr>
            <w:tcW w:w="1440" w:type="dxa"/>
            <w:vAlign w:val="center"/>
          </w:tcPr>
          <w:p>
            <w:pPr>
              <w:spacing w:before="0" w:after="200" w:line="276" w:lineRule="auto"/>
              <w:rPr>
                <w:rFonts w:cstheme="minorBidi"/>
                <w:noProof/>
                <w:sz w:val="18"/>
              </w:rPr>
            </w:pPr>
            <w:r>
              <w:rPr>
                <w:rFonts w:cstheme="minorBidi"/>
                <w:noProof/>
                <w:sz w:val="18"/>
              </w:rPr>
              <w:t>Środki na zobowiązania</w:t>
            </w:r>
          </w:p>
        </w:tc>
        <w:tc>
          <w:tcPr>
            <w:tcW w:w="654" w:type="dxa"/>
            <w:gridSpan w:val="2"/>
            <w:vAlign w:val="center"/>
          </w:tcPr>
          <w:p>
            <w:pPr>
              <w:spacing w:before="0" w:after="200" w:line="276" w:lineRule="auto"/>
              <w:rPr>
                <w:rFonts w:cstheme="minorBidi"/>
                <w:noProof/>
                <w:sz w:val="14"/>
              </w:rPr>
            </w:pPr>
            <w:r>
              <w:rPr>
                <w:rFonts w:cstheme="minorBidi"/>
                <w:noProof/>
                <w:sz w:val="14"/>
              </w:rPr>
              <w:t>=1+1a +3</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b/>
                <w:noProof/>
                <w:sz w:val="20"/>
              </w:rPr>
            </w:pPr>
          </w:p>
        </w:tc>
        <w:tc>
          <w:tcPr>
            <w:tcW w:w="1777" w:type="dxa"/>
            <w:vAlign w:val="center"/>
          </w:tcPr>
          <w:p>
            <w:pPr>
              <w:spacing w:before="20" w:after="20" w:line="276" w:lineRule="auto"/>
              <w:rPr>
                <w:rFonts w:cstheme="minorBidi"/>
                <w:b/>
                <w:noProof/>
                <w:sz w:val="20"/>
              </w:rPr>
            </w:pPr>
          </w:p>
        </w:tc>
      </w:tr>
      <w:tr>
        <w:tc>
          <w:tcPr>
            <w:tcW w:w="3960" w:type="dxa"/>
            <w:vMerge/>
          </w:tcPr>
          <w:p>
            <w:pPr>
              <w:spacing w:before="0" w:after="200" w:line="276" w:lineRule="auto"/>
              <w:rPr>
                <w:rFonts w:cstheme="minorBidi"/>
                <w:noProof/>
                <w:sz w:val="20"/>
              </w:rPr>
            </w:pPr>
          </w:p>
        </w:tc>
        <w:tc>
          <w:tcPr>
            <w:tcW w:w="1440" w:type="dxa"/>
            <w:vAlign w:val="center"/>
          </w:tcPr>
          <w:p>
            <w:pPr>
              <w:spacing w:before="0" w:after="200" w:line="276" w:lineRule="auto"/>
              <w:rPr>
                <w:rFonts w:cstheme="minorBidi"/>
                <w:noProof/>
                <w:sz w:val="18"/>
              </w:rPr>
            </w:pPr>
            <w:r>
              <w:rPr>
                <w:rFonts w:cstheme="minorBidi"/>
                <w:noProof/>
                <w:sz w:val="18"/>
              </w:rPr>
              <w:t>Środki na płatności</w:t>
            </w:r>
          </w:p>
        </w:tc>
        <w:tc>
          <w:tcPr>
            <w:tcW w:w="654" w:type="dxa"/>
            <w:gridSpan w:val="2"/>
            <w:vAlign w:val="center"/>
          </w:tcPr>
          <w:p>
            <w:pPr>
              <w:spacing w:before="0" w:after="200" w:line="276" w:lineRule="auto"/>
              <w:rPr>
                <w:rFonts w:cstheme="minorBidi"/>
                <w:noProof/>
                <w:sz w:val="14"/>
              </w:rPr>
            </w:pPr>
            <w:r>
              <w:rPr>
                <w:rFonts w:cstheme="minorBidi"/>
                <w:noProof/>
                <w:sz w:val="14"/>
              </w:rPr>
              <w:t>=2+2a</w:t>
            </w:r>
          </w:p>
          <w:p>
            <w:pPr>
              <w:spacing w:before="0" w:after="200" w:line="276" w:lineRule="auto"/>
              <w:rPr>
                <w:rFonts w:cstheme="minorBidi"/>
                <w:noProof/>
                <w:sz w:val="14"/>
              </w:rPr>
            </w:pPr>
            <w:r>
              <w:rPr>
                <w:rFonts w:cstheme="minorBidi"/>
                <w:noProof/>
                <w:sz w:val="14"/>
              </w:rPr>
              <w:t>+3</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b/>
                <w:noProof/>
                <w:sz w:val="20"/>
              </w:rPr>
            </w:pPr>
            <w:r>
              <w:rPr>
                <w:rFonts w:cstheme="minorBidi"/>
                <w:b/>
                <w:noProof/>
                <w:sz w:val="20"/>
              </w:rPr>
              <w:t>+ 4</w:t>
            </w:r>
          </w:p>
        </w:tc>
        <w:tc>
          <w:tcPr>
            <w:tcW w:w="868" w:type="dxa"/>
            <w:vAlign w:val="center"/>
          </w:tcPr>
          <w:p>
            <w:pPr>
              <w:spacing w:before="20" w:after="20" w:line="276" w:lineRule="auto"/>
              <w:rPr>
                <w:rFonts w:cstheme="minorBidi"/>
                <w:b/>
                <w:noProof/>
                <w:sz w:val="20"/>
              </w:rPr>
            </w:pPr>
            <w:r>
              <w:rPr>
                <w:rFonts w:cstheme="minorBidi"/>
                <w:b/>
                <w:noProof/>
                <w:sz w:val="20"/>
              </w:rPr>
              <w:t>+ 32</w:t>
            </w:r>
          </w:p>
        </w:tc>
        <w:tc>
          <w:tcPr>
            <w:tcW w:w="868" w:type="dxa"/>
            <w:vAlign w:val="center"/>
          </w:tcPr>
          <w:p>
            <w:pPr>
              <w:spacing w:before="20" w:after="20" w:line="276" w:lineRule="auto"/>
              <w:rPr>
                <w:rFonts w:cstheme="minorBidi"/>
                <w:b/>
                <w:noProof/>
                <w:sz w:val="20"/>
              </w:rPr>
            </w:pPr>
            <w:r>
              <w:rPr>
                <w:rFonts w:cstheme="minorBidi"/>
                <w:b/>
                <w:noProof/>
                <w:sz w:val="20"/>
              </w:rPr>
              <w:t>+ 79</w:t>
            </w:r>
          </w:p>
        </w:tc>
        <w:tc>
          <w:tcPr>
            <w:tcW w:w="1777" w:type="dxa"/>
            <w:vAlign w:val="center"/>
          </w:tcPr>
          <w:p>
            <w:pPr>
              <w:spacing w:before="20" w:after="20" w:line="276" w:lineRule="auto"/>
              <w:rPr>
                <w:rFonts w:cstheme="minorBidi"/>
                <w:b/>
                <w:noProof/>
                <w:sz w:val="20"/>
              </w:rPr>
            </w:pPr>
            <w:r>
              <w:rPr>
                <w:rFonts w:cstheme="minorBidi"/>
                <w:b/>
                <w:noProof/>
                <w:sz w:val="20"/>
              </w:rPr>
              <w:t>+ 115</w:t>
            </w:r>
          </w:p>
        </w:tc>
      </w:tr>
    </w:tbl>
    <w:p>
      <w:pPr>
        <w:spacing w:before="0" w:after="200" w:line="276" w:lineRule="auto"/>
        <w:rPr>
          <w:rFonts w:cstheme="minorBidi"/>
          <w:noProof/>
          <w:sz w:val="22"/>
        </w:rPr>
      </w:pPr>
      <w:r>
        <w:rPr>
          <w:rFonts w:cstheme="minorBidi"/>
          <w:noProof/>
          <w:sz w:val="22"/>
        </w:rPr>
        <w:br/>
      </w:r>
      <w:r>
        <w:rPr>
          <w:rFonts w:cstheme="minorBidi"/>
          <w:noProof/>
          <w:sz w:val="22"/>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line="276" w:lineRule="auto"/>
              <w:rPr>
                <w:rFonts w:cstheme="minorBidi"/>
                <w:noProof/>
                <w:sz w:val="22"/>
              </w:rPr>
            </w:pPr>
            <w:r>
              <w:rPr>
                <w:noProof/>
              </w:rPr>
              <w:br w:type="page"/>
            </w:r>
            <w:r>
              <w:rPr>
                <w:rFonts w:cstheme="minorBidi"/>
                <w:noProof/>
                <w:sz w:val="21"/>
              </w:rPr>
              <w:sym w:font="Wingdings" w:char="F09F"/>
            </w:r>
            <w:r>
              <w:rPr>
                <w:rFonts w:cstheme="minorBidi"/>
                <w:noProof/>
                <w:sz w:val="21"/>
              </w:rPr>
              <w:t xml:space="preserve"> OGÓŁEM środki operacyjne </w:t>
            </w:r>
          </w:p>
        </w:tc>
        <w:tc>
          <w:tcPr>
            <w:tcW w:w="1440" w:type="dxa"/>
            <w:vAlign w:val="center"/>
          </w:tcPr>
          <w:p>
            <w:pPr>
              <w:spacing w:beforeLines="20" w:before="48" w:afterLines="20" w:after="48" w:line="276" w:lineRule="auto"/>
              <w:rPr>
                <w:rFonts w:cstheme="minorBidi"/>
                <w:noProof/>
                <w:sz w:val="18"/>
              </w:rPr>
            </w:pPr>
            <w:r>
              <w:rPr>
                <w:rFonts w:cstheme="minorBidi"/>
                <w:noProof/>
                <w:sz w:val="18"/>
              </w:rPr>
              <w:t>Środki na zobowiązania</w:t>
            </w:r>
          </w:p>
        </w:tc>
        <w:tc>
          <w:tcPr>
            <w:tcW w:w="654" w:type="dxa"/>
            <w:vAlign w:val="center"/>
          </w:tcPr>
          <w:p>
            <w:pPr>
              <w:spacing w:beforeLines="20" w:before="48" w:afterLines="20" w:after="48" w:line="276" w:lineRule="auto"/>
              <w:rPr>
                <w:rFonts w:cstheme="minorBidi"/>
                <w:noProof/>
                <w:sz w:val="14"/>
              </w:rPr>
            </w:pPr>
            <w:r>
              <w:rPr>
                <w:rFonts w:cstheme="minorBidi"/>
                <w:noProof/>
                <w:sz w:val="14"/>
              </w:rPr>
              <w:t>(4)</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b/>
                <w:noProof/>
                <w:sz w:val="20"/>
              </w:rPr>
            </w:pPr>
            <w:r>
              <w:rPr>
                <w:rFonts w:cstheme="minorBidi"/>
                <w:b/>
                <w:noProof/>
                <w:sz w:val="20"/>
              </w:rPr>
              <w:t>+ 4</w:t>
            </w:r>
          </w:p>
        </w:tc>
        <w:tc>
          <w:tcPr>
            <w:tcW w:w="868" w:type="dxa"/>
            <w:vAlign w:val="center"/>
          </w:tcPr>
          <w:p>
            <w:pPr>
              <w:spacing w:before="20" w:after="20" w:line="276" w:lineRule="auto"/>
              <w:rPr>
                <w:rFonts w:cstheme="minorBidi"/>
                <w:b/>
                <w:noProof/>
                <w:sz w:val="20"/>
              </w:rPr>
            </w:pPr>
            <w:r>
              <w:rPr>
                <w:rFonts w:cstheme="minorBidi"/>
                <w:b/>
                <w:noProof/>
                <w:sz w:val="20"/>
              </w:rPr>
              <w:t>+ 32</w:t>
            </w:r>
          </w:p>
        </w:tc>
        <w:tc>
          <w:tcPr>
            <w:tcW w:w="868" w:type="dxa"/>
            <w:vAlign w:val="center"/>
          </w:tcPr>
          <w:p>
            <w:pPr>
              <w:spacing w:before="20" w:after="20" w:line="276" w:lineRule="auto"/>
              <w:rPr>
                <w:rFonts w:cstheme="minorBidi"/>
                <w:b/>
                <w:noProof/>
                <w:sz w:val="20"/>
              </w:rPr>
            </w:pPr>
            <w:r>
              <w:rPr>
                <w:rFonts w:cstheme="minorBidi"/>
                <w:b/>
                <w:noProof/>
                <w:sz w:val="20"/>
              </w:rPr>
              <w:t>+ 79</w:t>
            </w:r>
          </w:p>
        </w:tc>
        <w:tc>
          <w:tcPr>
            <w:tcW w:w="1777" w:type="dxa"/>
            <w:vAlign w:val="center"/>
          </w:tcPr>
          <w:p>
            <w:pPr>
              <w:spacing w:before="20" w:after="20" w:line="276" w:lineRule="auto"/>
              <w:rPr>
                <w:rFonts w:cstheme="minorBidi"/>
                <w:b/>
                <w:noProof/>
                <w:sz w:val="20"/>
              </w:rPr>
            </w:pPr>
            <w:r>
              <w:rPr>
                <w:rFonts w:cstheme="minorBidi"/>
                <w:b/>
                <w:noProof/>
                <w:sz w:val="20"/>
              </w:rPr>
              <w:t>+ 115</w:t>
            </w:r>
          </w:p>
        </w:tc>
      </w:tr>
      <w:tr>
        <w:tc>
          <w:tcPr>
            <w:tcW w:w="3960" w:type="dxa"/>
            <w:vMerge/>
          </w:tcPr>
          <w:p>
            <w:pPr>
              <w:spacing w:before="0" w:after="200" w:line="276" w:lineRule="auto"/>
              <w:rPr>
                <w:rFonts w:cstheme="minorBidi"/>
                <w:noProof/>
                <w:sz w:val="20"/>
              </w:rPr>
            </w:pPr>
          </w:p>
        </w:tc>
        <w:tc>
          <w:tcPr>
            <w:tcW w:w="1440" w:type="dxa"/>
            <w:vAlign w:val="center"/>
          </w:tcPr>
          <w:p>
            <w:pPr>
              <w:spacing w:beforeLines="20" w:before="48" w:afterLines="20" w:after="48" w:line="276" w:lineRule="auto"/>
              <w:rPr>
                <w:rFonts w:cstheme="minorBidi"/>
                <w:noProof/>
                <w:sz w:val="18"/>
              </w:rPr>
            </w:pPr>
            <w:r>
              <w:rPr>
                <w:rFonts w:cstheme="minorBidi"/>
                <w:noProof/>
                <w:sz w:val="18"/>
              </w:rPr>
              <w:t>Środki na płatności</w:t>
            </w:r>
          </w:p>
        </w:tc>
        <w:tc>
          <w:tcPr>
            <w:tcW w:w="654" w:type="dxa"/>
            <w:vAlign w:val="center"/>
          </w:tcPr>
          <w:p>
            <w:pPr>
              <w:spacing w:beforeLines="20" w:before="48" w:afterLines="20" w:after="48" w:line="276" w:lineRule="auto"/>
              <w:rPr>
                <w:rFonts w:cstheme="minorBidi"/>
                <w:noProof/>
                <w:sz w:val="14"/>
              </w:rPr>
            </w:pPr>
            <w:r>
              <w:rPr>
                <w:rFonts w:cstheme="minorBidi"/>
                <w:noProof/>
                <w:sz w:val="14"/>
              </w:rPr>
              <w:t>(5)</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b/>
                <w:noProof/>
                <w:sz w:val="20"/>
              </w:rPr>
            </w:pPr>
            <w:r>
              <w:rPr>
                <w:rFonts w:cstheme="minorBidi"/>
                <w:b/>
                <w:noProof/>
                <w:sz w:val="20"/>
              </w:rPr>
              <w:t>+ 4</w:t>
            </w:r>
          </w:p>
        </w:tc>
        <w:tc>
          <w:tcPr>
            <w:tcW w:w="868" w:type="dxa"/>
            <w:vAlign w:val="center"/>
          </w:tcPr>
          <w:p>
            <w:pPr>
              <w:spacing w:before="20" w:after="20" w:line="276" w:lineRule="auto"/>
              <w:rPr>
                <w:rFonts w:cstheme="minorBidi"/>
                <w:b/>
                <w:noProof/>
                <w:sz w:val="20"/>
              </w:rPr>
            </w:pPr>
            <w:r>
              <w:rPr>
                <w:rFonts w:cstheme="minorBidi"/>
                <w:b/>
                <w:noProof/>
                <w:sz w:val="20"/>
              </w:rPr>
              <w:t>+ 32</w:t>
            </w:r>
          </w:p>
        </w:tc>
        <w:tc>
          <w:tcPr>
            <w:tcW w:w="868" w:type="dxa"/>
            <w:vAlign w:val="center"/>
          </w:tcPr>
          <w:p>
            <w:pPr>
              <w:spacing w:before="20" w:after="20" w:line="276" w:lineRule="auto"/>
              <w:rPr>
                <w:rFonts w:cstheme="minorBidi"/>
                <w:b/>
                <w:noProof/>
                <w:sz w:val="20"/>
              </w:rPr>
            </w:pPr>
            <w:r>
              <w:rPr>
                <w:rFonts w:cstheme="minorBidi"/>
                <w:b/>
                <w:noProof/>
                <w:sz w:val="20"/>
              </w:rPr>
              <w:t>+ 79</w:t>
            </w:r>
          </w:p>
        </w:tc>
        <w:tc>
          <w:tcPr>
            <w:tcW w:w="1777" w:type="dxa"/>
            <w:vAlign w:val="center"/>
          </w:tcPr>
          <w:p>
            <w:pPr>
              <w:spacing w:before="20" w:after="20" w:line="276" w:lineRule="auto"/>
              <w:rPr>
                <w:rFonts w:cstheme="minorBidi"/>
                <w:b/>
                <w:noProof/>
                <w:sz w:val="20"/>
              </w:rPr>
            </w:pPr>
            <w:r>
              <w:rPr>
                <w:rFonts w:cstheme="minorBidi"/>
                <w:b/>
                <w:noProof/>
                <w:sz w:val="20"/>
              </w:rPr>
              <w:t>+ 115</w:t>
            </w:r>
          </w:p>
        </w:tc>
      </w:tr>
      <w:tr>
        <w:trPr>
          <w:trHeight w:val="533"/>
        </w:trPr>
        <w:tc>
          <w:tcPr>
            <w:tcW w:w="5400" w:type="dxa"/>
            <w:gridSpan w:val="2"/>
            <w:vAlign w:val="center"/>
          </w:tcPr>
          <w:p>
            <w:pPr>
              <w:spacing w:beforeLines="20" w:before="48" w:afterLines="20" w:after="48" w:line="276" w:lineRule="auto"/>
              <w:rPr>
                <w:rFonts w:cstheme="minorBidi"/>
                <w:noProof/>
                <w:sz w:val="22"/>
              </w:rPr>
            </w:pPr>
            <w:r>
              <w:rPr>
                <w:rFonts w:cstheme="minorBidi"/>
                <w:noProof/>
                <w:sz w:val="21"/>
              </w:rPr>
              <w:sym w:font="Wingdings" w:char="F09F"/>
            </w:r>
            <w:r>
              <w:rPr>
                <w:rFonts w:cstheme="minorBidi"/>
                <w:noProof/>
                <w:sz w:val="21"/>
              </w:rPr>
              <w:t xml:space="preserve"> OGÓŁEM środki administracyjne finansowane ze środków przydzielonych na określone programy operacyjne </w:t>
            </w:r>
          </w:p>
        </w:tc>
        <w:tc>
          <w:tcPr>
            <w:tcW w:w="654" w:type="dxa"/>
            <w:vAlign w:val="center"/>
          </w:tcPr>
          <w:p>
            <w:pPr>
              <w:spacing w:beforeLines="20" w:before="48" w:afterLines="20" w:after="48" w:line="276" w:lineRule="auto"/>
              <w:rPr>
                <w:rFonts w:cstheme="minorBidi"/>
                <w:noProof/>
                <w:sz w:val="14"/>
              </w:rPr>
            </w:pPr>
            <w:r>
              <w:rPr>
                <w:rFonts w:cstheme="minorBidi"/>
                <w:noProof/>
                <w:sz w:val="14"/>
              </w:rPr>
              <w:t>(6)</w:t>
            </w:r>
          </w:p>
        </w:tc>
        <w:tc>
          <w:tcPr>
            <w:tcW w:w="868" w:type="dxa"/>
            <w:vAlign w:val="center"/>
          </w:tcPr>
          <w:p>
            <w:pPr>
              <w:spacing w:before="20" w:after="20" w:line="276" w:lineRule="auto"/>
              <w:rPr>
                <w:rFonts w:cstheme="minorBidi"/>
                <w:b/>
                <w:noProof/>
                <w:sz w:val="20"/>
              </w:rPr>
            </w:pPr>
          </w:p>
        </w:tc>
        <w:tc>
          <w:tcPr>
            <w:tcW w:w="868" w:type="dxa"/>
            <w:vAlign w:val="center"/>
          </w:tcPr>
          <w:p>
            <w:pPr>
              <w:spacing w:before="20" w:after="20" w:line="276" w:lineRule="auto"/>
              <w:rPr>
                <w:rFonts w:cstheme="minorBidi"/>
                <w:b/>
                <w:noProof/>
                <w:sz w:val="20"/>
              </w:rPr>
            </w:pPr>
          </w:p>
        </w:tc>
        <w:tc>
          <w:tcPr>
            <w:tcW w:w="868" w:type="dxa"/>
            <w:vAlign w:val="center"/>
          </w:tcPr>
          <w:p>
            <w:pPr>
              <w:spacing w:before="20" w:after="20" w:line="276" w:lineRule="auto"/>
              <w:rPr>
                <w:rFonts w:cstheme="minorBidi"/>
                <w:b/>
                <w:noProof/>
                <w:sz w:val="20"/>
              </w:rPr>
            </w:pPr>
          </w:p>
        </w:tc>
        <w:tc>
          <w:tcPr>
            <w:tcW w:w="868" w:type="dxa"/>
            <w:vAlign w:val="center"/>
          </w:tcPr>
          <w:p>
            <w:pPr>
              <w:spacing w:before="20" w:after="20" w:line="276" w:lineRule="auto"/>
              <w:rPr>
                <w:rFonts w:cstheme="minorBidi"/>
                <w:b/>
                <w:noProof/>
                <w:sz w:val="20"/>
              </w:rPr>
            </w:pPr>
          </w:p>
        </w:tc>
        <w:tc>
          <w:tcPr>
            <w:tcW w:w="868" w:type="dxa"/>
            <w:vAlign w:val="center"/>
          </w:tcPr>
          <w:p>
            <w:pPr>
              <w:spacing w:before="20" w:after="20" w:line="276" w:lineRule="auto"/>
              <w:rPr>
                <w:rFonts w:cstheme="minorBidi"/>
                <w:b/>
                <w:noProof/>
                <w:sz w:val="20"/>
              </w:rPr>
            </w:pPr>
          </w:p>
        </w:tc>
        <w:tc>
          <w:tcPr>
            <w:tcW w:w="868" w:type="dxa"/>
            <w:vAlign w:val="center"/>
          </w:tcPr>
          <w:p>
            <w:pPr>
              <w:spacing w:before="20" w:after="20" w:line="276" w:lineRule="auto"/>
              <w:rPr>
                <w:rFonts w:cstheme="minorBidi"/>
                <w:b/>
                <w:noProof/>
                <w:sz w:val="20"/>
              </w:rPr>
            </w:pPr>
          </w:p>
        </w:tc>
        <w:tc>
          <w:tcPr>
            <w:tcW w:w="868" w:type="dxa"/>
            <w:vAlign w:val="center"/>
          </w:tcPr>
          <w:p>
            <w:pPr>
              <w:spacing w:before="20" w:after="20" w:line="276" w:lineRule="auto"/>
              <w:rPr>
                <w:rFonts w:cstheme="minorBidi"/>
                <w:b/>
                <w:noProof/>
                <w:sz w:val="20"/>
              </w:rPr>
            </w:pPr>
          </w:p>
        </w:tc>
        <w:tc>
          <w:tcPr>
            <w:tcW w:w="1777" w:type="dxa"/>
            <w:vAlign w:val="center"/>
          </w:tcPr>
          <w:p>
            <w:pPr>
              <w:spacing w:before="20" w:after="20" w:line="276" w:lineRule="auto"/>
              <w:rPr>
                <w:rFonts w:cstheme="minorBidi"/>
                <w:b/>
                <w:noProof/>
                <w:sz w:val="20"/>
              </w:rPr>
            </w:pPr>
          </w:p>
        </w:tc>
      </w:tr>
      <w:tr>
        <w:tc>
          <w:tcPr>
            <w:tcW w:w="3960" w:type="dxa"/>
            <w:vMerge w:val="restart"/>
            <w:shd w:val="thinDiagStripe" w:color="C0C0C0" w:fill="auto"/>
            <w:vAlign w:val="center"/>
          </w:tcPr>
          <w:p>
            <w:pPr>
              <w:spacing w:before="0" w:after="200" w:line="276" w:lineRule="auto"/>
              <w:rPr>
                <w:rFonts w:cstheme="minorBidi"/>
                <w:b/>
                <w:noProof/>
                <w:sz w:val="22"/>
              </w:rPr>
            </w:pPr>
            <w:r>
              <w:rPr>
                <w:rFonts w:cstheme="minorBidi"/>
                <w:b/>
                <w:noProof/>
                <w:sz w:val="22"/>
              </w:rPr>
              <w:t>OGÓŁEM środki</w:t>
            </w:r>
            <w:r>
              <w:rPr>
                <w:rFonts w:cstheme="minorBidi"/>
                <w:noProof/>
                <w:sz w:val="22"/>
              </w:rPr>
              <w:br/>
            </w:r>
            <w:r>
              <w:rPr>
                <w:rFonts w:cstheme="minorBidi"/>
                <w:b/>
                <w:noProof/>
                <w:sz w:val="22"/>
              </w:rPr>
              <w:t>na DZIAŁ 4</w:t>
            </w:r>
            <w:r>
              <w:rPr>
                <w:rFonts w:cstheme="minorBidi"/>
                <w:noProof/>
                <w:sz w:val="22"/>
              </w:rPr>
              <w:br/>
              <w:t>wieloletnich ram finansowych</w:t>
            </w:r>
          </w:p>
        </w:tc>
        <w:tc>
          <w:tcPr>
            <w:tcW w:w="1440" w:type="dxa"/>
            <w:vAlign w:val="center"/>
          </w:tcPr>
          <w:p>
            <w:pPr>
              <w:spacing w:before="0" w:after="200" w:line="276" w:lineRule="auto"/>
              <w:rPr>
                <w:rFonts w:cstheme="minorBidi"/>
                <w:noProof/>
                <w:sz w:val="18"/>
              </w:rPr>
            </w:pPr>
            <w:r>
              <w:rPr>
                <w:rFonts w:cstheme="minorBidi"/>
                <w:noProof/>
                <w:sz w:val="18"/>
              </w:rPr>
              <w:t>Środki na zobowiązania</w:t>
            </w:r>
          </w:p>
        </w:tc>
        <w:tc>
          <w:tcPr>
            <w:tcW w:w="654" w:type="dxa"/>
            <w:vAlign w:val="center"/>
          </w:tcPr>
          <w:p>
            <w:pPr>
              <w:spacing w:before="0" w:after="200" w:line="276" w:lineRule="auto"/>
              <w:rPr>
                <w:rFonts w:cstheme="minorBidi"/>
                <w:noProof/>
                <w:sz w:val="14"/>
              </w:rPr>
            </w:pPr>
            <w:r>
              <w:rPr>
                <w:rFonts w:cstheme="minorBidi"/>
                <w:noProof/>
                <w:sz w:val="14"/>
              </w:rPr>
              <w:t>=4+ 6</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b/>
                <w:noProof/>
                <w:sz w:val="20"/>
              </w:rPr>
            </w:pPr>
            <w:r>
              <w:rPr>
                <w:rFonts w:cstheme="minorBidi"/>
                <w:b/>
                <w:noProof/>
                <w:sz w:val="20"/>
              </w:rPr>
              <w:t>+ 4</w:t>
            </w:r>
          </w:p>
        </w:tc>
        <w:tc>
          <w:tcPr>
            <w:tcW w:w="868" w:type="dxa"/>
            <w:vAlign w:val="center"/>
          </w:tcPr>
          <w:p>
            <w:pPr>
              <w:spacing w:before="20" w:after="20" w:line="276" w:lineRule="auto"/>
              <w:rPr>
                <w:rFonts w:cstheme="minorBidi"/>
                <w:b/>
                <w:noProof/>
                <w:sz w:val="20"/>
              </w:rPr>
            </w:pPr>
            <w:r>
              <w:rPr>
                <w:rFonts w:cstheme="minorBidi"/>
                <w:b/>
                <w:noProof/>
                <w:sz w:val="20"/>
              </w:rPr>
              <w:t>+ 32</w:t>
            </w:r>
          </w:p>
        </w:tc>
        <w:tc>
          <w:tcPr>
            <w:tcW w:w="868" w:type="dxa"/>
            <w:vAlign w:val="center"/>
          </w:tcPr>
          <w:p>
            <w:pPr>
              <w:spacing w:before="20" w:after="20" w:line="276" w:lineRule="auto"/>
              <w:rPr>
                <w:rFonts w:cstheme="minorBidi"/>
                <w:b/>
                <w:noProof/>
                <w:sz w:val="20"/>
              </w:rPr>
            </w:pPr>
            <w:r>
              <w:rPr>
                <w:rFonts w:cstheme="minorBidi"/>
                <w:b/>
                <w:noProof/>
                <w:sz w:val="20"/>
              </w:rPr>
              <w:t>+ 79</w:t>
            </w:r>
          </w:p>
        </w:tc>
        <w:tc>
          <w:tcPr>
            <w:tcW w:w="1777" w:type="dxa"/>
            <w:vAlign w:val="center"/>
          </w:tcPr>
          <w:p>
            <w:pPr>
              <w:spacing w:before="20" w:after="20" w:line="276" w:lineRule="auto"/>
              <w:rPr>
                <w:rFonts w:cstheme="minorBidi"/>
                <w:b/>
                <w:noProof/>
                <w:sz w:val="20"/>
              </w:rPr>
            </w:pPr>
            <w:r>
              <w:rPr>
                <w:rFonts w:cstheme="minorBidi"/>
                <w:b/>
                <w:noProof/>
                <w:sz w:val="20"/>
              </w:rPr>
              <w:t>+ 115</w:t>
            </w:r>
          </w:p>
        </w:tc>
      </w:tr>
      <w:tr>
        <w:tc>
          <w:tcPr>
            <w:tcW w:w="3960" w:type="dxa"/>
            <w:vMerge/>
            <w:shd w:val="thinDiagStripe" w:color="C0C0C0" w:fill="auto"/>
          </w:tcPr>
          <w:p>
            <w:pPr>
              <w:spacing w:before="0" w:after="200" w:line="276" w:lineRule="auto"/>
              <w:rPr>
                <w:rFonts w:cstheme="minorBidi"/>
                <w:noProof/>
                <w:sz w:val="20"/>
              </w:rPr>
            </w:pPr>
          </w:p>
        </w:tc>
        <w:tc>
          <w:tcPr>
            <w:tcW w:w="1440" w:type="dxa"/>
            <w:vAlign w:val="center"/>
          </w:tcPr>
          <w:p>
            <w:pPr>
              <w:spacing w:before="0" w:after="200" w:line="276" w:lineRule="auto"/>
              <w:rPr>
                <w:rFonts w:cstheme="minorBidi"/>
                <w:noProof/>
                <w:sz w:val="18"/>
              </w:rPr>
            </w:pPr>
            <w:r>
              <w:rPr>
                <w:rFonts w:cstheme="minorBidi"/>
                <w:noProof/>
                <w:sz w:val="18"/>
              </w:rPr>
              <w:t>Środki na płatności</w:t>
            </w:r>
          </w:p>
        </w:tc>
        <w:tc>
          <w:tcPr>
            <w:tcW w:w="654" w:type="dxa"/>
            <w:vAlign w:val="center"/>
          </w:tcPr>
          <w:p>
            <w:pPr>
              <w:spacing w:before="0" w:after="200" w:line="276" w:lineRule="auto"/>
              <w:rPr>
                <w:rFonts w:cstheme="minorBidi"/>
                <w:noProof/>
                <w:sz w:val="14"/>
              </w:rPr>
            </w:pPr>
            <w:r>
              <w:rPr>
                <w:rFonts w:cstheme="minorBidi"/>
                <w:noProof/>
                <w:sz w:val="14"/>
              </w:rPr>
              <w:t>=5+ 6</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b/>
                <w:noProof/>
                <w:sz w:val="20"/>
              </w:rPr>
            </w:pPr>
            <w:r>
              <w:rPr>
                <w:rFonts w:cstheme="minorBidi"/>
                <w:b/>
                <w:noProof/>
                <w:sz w:val="20"/>
              </w:rPr>
              <w:t>+ 4</w:t>
            </w:r>
          </w:p>
        </w:tc>
        <w:tc>
          <w:tcPr>
            <w:tcW w:w="868" w:type="dxa"/>
            <w:vAlign w:val="center"/>
          </w:tcPr>
          <w:p>
            <w:pPr>
              <w:spacing w:before="20" w:after="20" w:line="276" w:lineRule="auto"/>
              <w:rPr>
                <w:rFonts w:cstheme="minorBidi"/>
                <w:b/>
                <w:noProof/>
                <w:sz w:val="20"/>
              </w:rPr>
            </w:pPr>
            <w:r>
              <w:rPr>
                <w:rFonts w:cstheme="minorBidi"/>
                <w:b/>
                <w:noProof/>
                <w:sz w:val="20"/>
              </w:rPr>
              <w:t>+ 32</w:t>
            </w:r>
          </w:p>
        </w:tc>
        <w:tc>
          <w:tcPr>
            <w:tcW w:w="868" w:type="dxa"/>
            <w:vAlign w:val="center"/>
          </w:tcPr>
          <w:p>
            <w:pPr>
              <w:spacing w:before="20" w:after="20" w:line="276" w:lineRule="auto"/>
              <w:rPr>
                <w:rFonts w:cstheme="minorBidi"/>
                <w:b/>
                <w:noProof/>
                <w:sz w:val="20"/>
              </w:rPr>
            </w:pPr>
            <w:r>
              <w:rPr>
                <w:rFonts w:cstheme="minorBidi"/>
                <w:b/>
                <w:noProof/>
                <w:sz w:val="20"/>
              </w:rPr>
              <w:t>+ 79</w:t>
            </w:r>
          </w:p>
        </w:tc>
        <w:tc>
          <w:tcPr>
            <w:tcW w:w="1777" w:type="dxa"/>
            <w:vAlign w:val="center"/>
          </w:tcPr>
          <w:p>
            <w:pPr>
              <w:spacing w:before="20" w:after="20" w:line="276" w:lineRule="auto"/>
              <w:rPr>
                <w:rFonts w:cstheme="minorBidi"/>
                <w:b/>
                <w:noProof/>
                <w:sz w:val="20"/>
              </w:rPr>
            </w:pPr>
            <w:r>
              <w:rPr>
                <w:rFonts w:cstheme="minorBidi"/>
                <w:b/>
                <w:noProof/>
                <w:sz w:val="20"/>
              </w:rPr>
              <w:t>+ 115</w:t>
            </w:r>
          </w:p>
        </w:tc>
      </w:tr>
    </w:tbl>
    <w:p>
      <w:pPr>
        <w:spacing w:before="0" w:after="200" w:line="276" w:lineRule="auto"/>
        <w:rPr>
          <w:rFonts w:cstheme="minorBidi"/>
          <w:noProof/>
          <w:sz w:val="22"/>
        </w:rPr>
      </w:pPr>
    </w:p>
    <w:p>
      <w:pPr>
        <w:spacing w:before="0" w:after="200" w:line="276" w:lineRule="auto"/>
        <w:rPr>
          <w:rFonts w:cstheme="minorBidi"/>
          <w:noProof/>
          <w:sz w:val="22"/>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line="276" w:lineRule="auto"/>
              <w:rPr>
                <w:rFonts w:cstheme="minorBidi"/>
                <w:b/>
                <w:noProof/>
                <w:sz w:val="22"/>
              </w:rPr>
            </w:pPr>
            <w:r>
              <w:rPr>
                <w:noProof/>
              </w:rPr>
              <w:br w:type="page"/>
            </w:r>
            <w:r>
              <w:rPr>
                <w:rFonts w:cstheme="minorBidi"/>
                <w:b/>
                <w:noProof/>
                <w:sz w:val="22"/>
              </w:rPr>
              <w:t>Dział wieloletnich ram</w:t>
            </w:r>
            <w:r>
              <w:rPr>
                <w:rFonts w:cstheme="minorBidi"/>
                <w:noProof/>
                <w:sz w:val="22"/>
              </w:rPr>
              <w:br/>
            </w:r>
            <w:r>
              <w:rPr>
                <w:rFonts w:cstheme="minorBidi"/>
                <w:b/>
                <w:noProof/>
                <w:sz w:val="22"/>
              </w:rPr>
              <w:t xml:space="preserve">finansowych </w:t>
            </w:r>
          </w:p>
        </w:tc>
        <w:tc>
          <w:tcPr>
            <w:tcW w:w="1080" w:type="dxa"/>
            <w:shd w:val="thinDiagStripe" w:color="C0C0C0" w:fill="auto"/>
            <w:vAlign w:val="center"/>
          </w:tcPr>
          <w:p>
            <w:pPr>
              <w:spacing w:before="60" w:after="60" w:line="276" w:lineRule="auto"/>
              <w:rPr>
                <w:rFonts w:cstheme="minorBidi"/>
                <w:noProof/>
                <w:sz w:val="22"/>
              </w:rPr>
            </w:pPr>
            <w:r>
              <w:rPr>
                <w:rFonts w:cstheme="minorBidi"/>
                <w:b/>
                <w:noProof/>
                <w:sz w:val="22"/>
              </w:rPr>
              <w:t>5</w:t>
            </w:r>
          </w:p>
        </w:tc>
        <w:tc>
          <w:tcPr>
            <w:tcW w:w="7817" w:type="dxa"/>
            <w:vAlign w:val="center"/>
          </w:tcPr>
          <w:p>
            <w:pPr>
              <w:spacing w:before="60" w:after="60" w:line="276" w:lineRule="auto"/>
              <w:rPr>
                <w:rFonts w:cstheme="minorBidi"/>
                <w:noProof/>
                <w:sz w:val="22"/>
              </w:rPr>
            </w:pPr>
            <w:r>
              <w:rPr>
                <w:rFonts w:cstheme="minorBidi"/>
                <w:noProof/>
                <w:sz w:val="22"/>
              </w:rPr>
              <w:t xml:space="preserve">„Wydatki administracyjne” </w:t>
            </w:r>
            <w:r>
              <w:rPr>
                <w:rFonts w:cstheme="minorBidi"/>
                <w:b/>
                <w:noProof/>
                <w:sz w:val="22"/>
              </w:rPr>
              <w:t>Brak dodatkowych kosztów administracyjnych</w:t>
            </w:r>
          </w:p>
        </w:tc>
      </w:tr>
    </w:tbl>
    <w:p>
      <w:pPr>
        <w:spacing w:before="0" w:after="200" w:line="276" w:lineRule="auto"/>
        <w:rPr>
          <w:rFonts w:cstheme="minorBidi"/>
          <w:noProof/>
          <w:sz w:val="20"/>
        </w:rPr>
      </w:pPr>
      <w:r>
        <w:rPr>
          <w:rFonts w:cstheme="minorBidi"/>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spacing w:before="0" w:after="200" w:line="276" w:lineRule="auto"/>
              <w:rPr>
                <w:rFonts w:cstheme="minorBidi"/>
                <w:noProof/>
                <w:sz w:val="22"/>
              </w:rPr>
            </w:pPr>
          </w:p>
        </w:tc>
        <w:tc>
          <w:tcPr>
            <w:tcW w:w="1560" w:type="dxa"/>
            <w:tcBorders>
              <w:top w:val="nil"/>
              <w:left w:val="nil"/>
              <w:right w:val="nil"/>
            </w:tcBorders>
          </w:tcPr>
          <w:p>
            <w:pPr>
              <w:spacing w:before="0" w:after="200" w:line="276" w:lineRule="auto"/>
              <w:rPr>
                <w:rFonts w:cstheme="minorBidi"/>
                <w:noProof/>
                <w:sz w:val="20"/>
              </w:rPr>
            </w:pPr>
          </w:p>
        </w:tc>
        <w:tc>
          <w:tcPr>
            <w:tcW w:w="534" w:type="dxa"/>
            <w:tcBorders>
              <w:top w:val="nil"/>
              <w:left w:val="nil"/>
            </w:tcBorders>
          </w:tcPr>
          <w:p>
            <w:pPr>
              <w:spacing w:before="0" w:after="200" w:line="276" w:lineRule="auto"/>
              <w:rPr>
                <w:rFonts w:cstheme="minorBidi"/>
                <w:noProof/>
                <w:sz w:val="20"/>
              </w:rPr>
            </w:pPr>
          </w:p>
        </w:tc>
        <w:tc>
          <w:tcPr>
            <w:tcW w:w="868" w:type="dxa"/>
            <w:vAlign w:val="center"/>
          </w:tcPr>
          <w:p>
            <w:pPr>
              <w:spacing w:before="0" w:after="200" w:line="276" w:lineRule="auto"/>
              <w:rPr>
                <w:rFonts w:cstheme="minorBidi"/>
                <w:noProof/>
                <w:sz w:val="20"/>
              </w:rPr>
            </w:pPr>
            <w:r>
              <w:rPr>
                <w:rFonts w:cstheme="minorBidi"/>
                <w:noProof/>
                <w:sz w:val="20"/>
              </w:rPr>
              <w:t>Rok</w:t>
            </w:r>
            <w:r>
              <w:rPr>
                <w:rFonts w:cstheme="minorBidi"/>
                <w:noProof/>
                <w:sz w:val="22"/>
              </w:rPr>
              <w:br/>
            </w:r>
            <w:r>
              <w:rPr>
                <w:rFonts w:cstheme="minorBidi"/>
                <w:b/>
                <w:noProof/>
                <w:sz w:val="20"/>
              </w:rPr>
              <w:t>N</w:t>
            </w:r>
          </w:p>
        </w:tc>
        <w:tc>
          <w:tcPr>
            <w:tcW w:w="868" w:type="dxa"/>
            <w:vAlign w:val="center"/>
          </w:tcPr>
          <w:p>
            <w:pPr>
              <w:spacing w:before="0" w:after="200" w:line="276" w:lineRule="auto"/>
              <w:rPr>
                <w:rFonts w:cstheme="minorBidi"/>
                <w:noProof/>
                <w:sz w:val="20"/>
              </w:rPr>
            </w:pPr>
            <w:r>
              <w:rPr>
                <w:rFonts w:cstheme="minorBidi"/>
                <w:noProof/>
                <w:sz w:val="20"/>
              </w:rPr>
              <w:t>Rok</w:t>
            </w:r>
            <w:r>
              <w:rPr>
                <w:rFonts w:cstheme="minorBidi"/>
                <w:noProof/>
                <w:sz w:val="22"/>
              </w:rPr>
              <w:br/>
            </w:r>
            <w:r>
              <w:rPr>
                <w:rFonts w:cstheme="minorBidi"/>
                <w:b/>
                <w:noProof/>
                <w:sz w:val="20"/>
              </w:rPr>
              <w:t>N+1</w:t>
            </w:r>
          </w:p>
        </w:tc>
        <w:tc>
          <w:tcPr>
            <w:tcW w:w="868" w:type="dxa"/>
            <w:vAlign w:val="center"/>
          </w:tcPr>
          <w:p>
            <w:pPr>
              <w:spacing w:before="0" w:after="200" w:line="276" w:lineRule="auto"/>
              <w:rPr>
                <w:rFonts w:cstheme="minorBidi"/>
                <w:noProof/>
                <w:sz w:val="20"/>
              </w:rPr>
            </w:pPr>
            <w:r>
              <w:rPr>
                <w:rFonts w:cstheme="minorBidi"/>
                <w:noProof/>
                <w:sz w:val="20"/>
              </w:rPr>
              <w:t>Rok</w:t>
            </w:r>
            <w:r>
              <w:rPr>
                <w:rFonts w:cstheme="minorBidi"/>
                <w:noProof/>
                <w:sz w:val="22"/>
              </w:rPr>
              <w:br/>
            </w:r>
            <w:r>
              <w:rPr>
                <w:rFonts w:cstheme="minorBidi"/>
                <w:b/>
                <w:noProof/>
                <w:sz w:val="20"/>
              </w:rPr>
              <w:t>N+2</w:t>
            </w:r>
          </w:p>
        </w:tc>
        <w:tc>
          <w:tcPr>
            <w:tcW w:w="868" w:type="dxa"/>
            <w:vAlign w:val="center"/>
          </w:tcPr>
          <w:p>
            <w:pPr>
              <w:spacing w:before="0" w:after="200" w:line="276" w:lineRule="auto"/>
              <w:rPr>
                <w:rFonts w:cstheme="minorBidi"/>
                <w:noProof/>
                <w:sz w:val="20"/>
              </w:rPr>
            </w:pPr>
            <w:r>
              <w:rPr>
                <w:rFonts w:cstheme="minorBidi"/>
                <w:noProof/>
                <w:sz w:val="20"/>
              </w:rPr>
              <w:t>Rok</w:t>
            </w:r>
            <w:r>
              <w:rPr>
                <w:rFonts w:cstheme="minorBidi"/>
                <w:noProof/>
                <w:sz w:val="22"/>
              </w:rPr>
              <w:br/>
            </w:r>
            <w:r>
              <w:rPr>
                <w:rFonts w:cstheme="minorBidi"/>
                <w:b/>
                <w:noProof/>
                <w:sz w:val="20"/>
              </w:rPr>
              <w:t>N+3</w:t>
            </w:r>
          </w:p>
        </w:tc>
        <w:tc>
          <w:tcPr>
            <w:tcW w:w="2604" w:type="dxa"/>
            <w:gridSpan w:val="3"/>
            <w:vAlign w:val="center"/>
          </w:tcPr>
          <w:p>
            <w:pPr>
              <w:spacing w:before="0" w:after="200" w:line="276" w:lineRule="auto"/>
              <w:rPr>
                <w:rFonts w:cstheme="minorBidi"/>
                <w:b/>
                <w:noProof/>
                <w:sz w:val="18"/>
              </w:rPr>
            </w:pPr>
            <w:r>
              <w:rPr>
                <w:rFonts w:cstheme="minorBidi"/>
                <w:noProof/>
                <w:sz w:val="18"/>
              </w:rPr>
              <w:t xml:space="preserve">Wprowadzić taką liczbę kolumn dla poszczególnych lat, jaka jest niezbędna, by odzwierciedlić cały okres wpływu (por. pkt 1.6) </w:t>
            </w:r>
          </w:p>
        </w:tc>
        <w:tc>
          <w:tcPr>
            <w:tcW w:w="1777" w:type="dxa"/>
            <w:vAlign w:val="center"/>
          </w:tcPr>
          <w:p>
            <w:pPr>
              <w:spacing w:before="0" w:after="200" w:line="276" w:lineRule="auto"/>
              <w:rPr>
                <w:rFonts w:cstheme="minorBidi"/>
                <w:b/>
                <w:noProof/>
                <w:sz w:val="20"/>
              </w:rPr>
            </w:pPr>
            <w:r>
              <w:rPr>
                <w:rFonts w:cstheme="minorBidi"/>
                <w:b/>
                <w:noProof/>
                <w:sz w:val="20"/>
              </w:rPr>
              <w:t>OGÓŁEM</w:t>
            </w:r>
          </w:p>
        </w:tc>
      </w:tr>
      <w:tr>
        <w:trPr>
          <w:gridAfter w:val="10"/>
          <w:wAfter w:w="9947" w:type="dxa"/>
        </w:trPr>
        <w:tc>
          <w:tcPr>
            <w:tcW w:w="3960" w:type="dxa"/>
            <w:vAlign w:val="center"/>
          </w:tcPr>
          <w:p>
            <w:pPr>
              <w:spacing w:before="60" w:after="60" w:line="276" w:lineRule="auto"/>
              <w:rPr>
                <w:rFonts w:cstheme="minorBidi"/>
                <w:noProof/>
                <w:sz w:val="22"/>
              </w:rPr>
            </w:pPr>
            <w:r>
              <w:rPr>
                <w:rFonts w:cstheme="minorBidi"/>
                <w:noProof/>
                <w:sz w:val="22"/>
              </w:rPr>
              <w:t>Dyrekcja Generalna: &lt;…….&gt;</w:t>
            </w:r>
          </w:p>
        </w:tc>
      </w:tr>
      <w:tr>
        <w:trPr>
          <w:trHeight w:val="313"/>
        </w:trPr>
        <w:tc>
          <w:tcPr>
            <w:tcW w:w="6054" w:type="dxa"/>
            <w:gridSpan w:val="3"/>
            <w:vAlign w:val="center"/>
          </w:tcPr>
          <w:p>
            <w:pPr>
              <w:spacing w:before="20" w:after="20" w:line="276" w:lineRule="auto"/>
              <w:rPr>
                <w:rFonts w:cstheme="minorBidi"/>
                <w:noProof/>
                <w:sz w:val="22"/>
              </w:rPr>
            </w:pPr>
            <w:r>
              <w:rPr>
                <w:rFonts w:cstheme="minorBidi"/>
                <w:noProof/>
                <w:sz w:val="22"/>
              </w:rPr>
              <w:sym w:font="Wingdings" w:char="F09F"/>
            </w:r>
            <w:r>
              <w:rPr>
                <w:rFonts w:cstheme="minorBidi"/>
                <w:noProof/>
                <w:sz w:val="22"/>
              </w:rPr>
              <w:t xml:space="preserve"> Zasoby ludzkie </w:t>
            </w: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b/>
                <w:noProof/>
                <w:sz w:val="20"/>
              </w:rPr>
            </w:pPr>
          </w:p>
        </w:tc>
        <w:tc>
          <w:tcPr>
            <w:tcW w:w="1777" w:type="dxa"/>
            <w:vAlign w:val="center"/>
          </w:tcPr>
          <w:p>
            <w:pPr>
              <w:spacing w:before="20" w:after="20" w:line="276" w:lineRule="auto"/>
              <w:rPr>
                <w:rFonts w:cstheme="minorBidi"/>
                <w:b/>
                <w:noProof/>
                <w:sz w:val="20"/>
              </w:rPr>
            </w:pPr>
          </w:p>
        </w:tc>
      </w:tr>
      <w:tr>
        <w:trPr>
          <w:trHeight w:val="351"/>
        </w:trPr>
        <w:tc>
          <w:tcPr>
            <w:tcW w:w="6054" w:type="dxa"/>
            <w:gridSpan w:val="3"/>
            <w:vAlign w:val="center"/>
          </w:tcPr>
          <w:p>
            <w:pPr>
              <w:spacing w:before="20" w:after="20" w:line="276" w:lineRule="auto"/>
              <w:rPr>
                <w:rFonts w:cstheme="minorBidi"/>
                <w:noProof/>
                <w:sz w:val="22"/>
              </w:rPr>
            </w:pPr>
            <w:r>
              <w:rPr>
                <w:rFonts w:cstheme="minorBidi"/>
                <w:noProof/>
                <w:sz w:val="22"/>
              </w:rPr>
              <w:sym w:font="Wingdings" w:char="F09F"/>
            </w:r>
            <w:r>
              <w:rPr>
                <w:rFonts w:cstheme="minorBidi"/>
                <w:noProof/>
                <w:sz w:val="22"/>
              </w:rPr>
              <w:t xml:space="preserve"> Pozostałe wydatki administracyjne </w:t>
            </w:r>
          </w:p>
        </w:tc>
        <w:tc>
          <w:tcPr>
            <w:tcW w:w="868" w:type="dxa"/>
            <w:vAlign w:val="center"/>
          </w:tcPr>
          <w:p>
            <w:pPr>
              <w:spacing w:before="20" w:after="20" w:line="276" w:lineRule="auto"/>
              <w:rPr>
                <w:rFonts w:cstheme="minorBidi"/>
                <w:b/>
                <w:noProof/>
                <w:sz w:val="20"/>
              </w:rPr>
            </w:pPr>
          </w:p>
        </w:tc>
        <w:tc>
          <w:tcPr>
            <w:tcW w:w="868" w:type="dxa"/>
            <w:vAlign w:val="center"/>
          </w:tcPr>
          <w:p>
            <w:pPr>
              <w:spacing w:before="20" w:after="20" w:line="276" w:lineRule="auto"/>
              <w:rPr>
                <w:rFonts w:cstheme="minorBidi"/>
                <w:b/>
                <w:noProof/>
                <w:sz w:val="20"/>
              </w:rPr>
            </w:pPr>
          </w:p>
        </w:tc>
        <w:tc>
          <w:tcPr>
            <w:tcW w:w="868" w:type="dxa"/>
            <w:vAlign w:val="center"/>
          </w:tcPr>
          <w:p>
            <w:pPr>
              <w:spacing w:before="20" w:after="20" w:line="276" w:lineRule="auto"/>
              <w:rPr>
                <w:rFonts w:cstheme="minorBidi"/>
                <w:b/>
                <w:noProof/>
                <w:sz w:val="20"/>
              </w:rPr>
            </w:pPr>
          </w:p>
        </w:tc>
        <w:tc>
          <w:tcPr>
            <w:tcW w:w="868" w:type="dxa"/>
            <w:vAlign w:val="center"/>
          </w:tcPr>
          <w:p>
            <w:pPr>
              <w:spacing w:before="20" w:after="20" w:line="276" w:lineRule="auto"/>
              <w:rPr>
                <w:rFonts w:cstheme="minorBidi"/>
                <w:b/>
                <w:noProof/>
                <w:sz w:val="20"/>
              </w:rPr>
            </w:pPr>
          </w:p>
        </w:tc>
        <w:tc>
          <w:tcPr>
            <w:tcW w:w="868" w:type="dxa"/>
            <w:vAlign w:val="center"/>
          </w:tcPr>
          <w:p>
            <w:pPr>
              <w:spacing w:before="20" w:after="20" w:line="276" w:lineRule="auto"/>
              <w:rPr>
                <w:rFonts w:cstheme="minorBidi"/>
                <w:b/>
                <w:noProof/>
                <w:sz w:val="20"/>
              </w:rPr>
            </w:pPr>
          </w:p>
        </w:tc>
        <w:tc>
          <w:tcPr>
            <w:tcW w:w="868" w:type="dxa"/>
            <w:vAlign w:val="center"/>
          </w:tcPr>
          <w:p>
            <w:pPr>
              <w:spacing w:before="20" w:after="20" w:line="276" w:lineRule="auto"/>
              <w:rPr>
                <w:rFonts w:cstheme="minorBidi"/>
                <w:b/>
                <w:noProof/>
                <w:sz w:val="20"/>
              </w:rPr>
            </w:pPr>
          </w:p>
        </w:tc>
        <w:tc>
          <w:tcPr>
            <w:tcW w:w="868" w:type="dxa"/>
            <w:vAlign w:val="center"/>
          </w:tcPr>
          <w:p>
            <w:pPr>
              <w:spacing w:before="20" w:after="20" w:line="276" w:lineRule="auto"/>
              <w:rPr>
                <w:rFonts w:cstheme="minorBidi"/>
                <w:b/>
                <w:noProof/>
                <w:sz w:val="20"/>
              </w:rPr>
            </w:pPr>
          </w:p>
        </w:tc>
        <w:tc>
          <w:tcPr>
            <w:tcW w:w="1777" w:type="dxa"/>
            <w:vAlign w:val="center"/>
          </w:tcPr>
          <w:p>
            <w:pPr>
              <w:spacing w:before="20" w:after="20" w:line="276" w:lineRule="auto"/>
              <w:rPr>
                <w:rFonts w:cstheme="minorBidi"/>
                <w:b/>
                <w:noProof/>
                <w:sz w:val="20"/>
              </w:rPr>
            </w:pPr>
          </w:p>
        </w:tc>
      </w:tr>
      <w:tr>
        <w:tc>
          <w:tcPr>
            <w:tcW w:w="3960" w:type="dxa"/>
            <w:vAlign w:val="center"/>
          </w:tcPr>
          <w:p>
            <w:pPr>
              <w:spacing w:before="0" w:after="200" w:line="276" w:lineRule="auto"/>
              <w:rPr>
                <w:rFonts w:cstheme="minorBidi"/>
                <w:b/>
                <w:noProof/>
                <w:sz w:val="22"/>
              </w:rPr>
            </w:pPr>
            <w:r>
              <w:rPr>
                <w:rFonts w:cstheme="minorBidi"/>
                <w:b/>
                <w:noProof/>
                <w:sz w:val="22"/>
              </w:rPr>
              <w:t xml:space="preserve">OGÓŁEM Dyrekcja Generalna </w:t>
            </w:r>
            <w:r>
              <w:rPr>
                <w:rFonts w:cstheme="minorBidi"/>
                <w:noProof/>
                <w:sz w:val="22"/>
              </w:rPr>
              <w:t>&lt;…….&gt;</w:t>
            </w:r>
          </w:p>
        </w:tc>
        <w:tc>
          <w:tcPr>
            <w:tcW w:w="2094" w:type="dxa"/>
            <w:gridSpan w:val="2"/>
            <w:vAlign w:val="center"/>
          </w:tcPr>
          <w:p>
            <w:pPr>
              <w:spacing w:before="0" w:after="200" w:line="276" w:lineRule="auto"/>
              <w:rPr>
                <w:rFonts w:cstheme="minorBidi"/>
                <w:noProof/>
                <w:sz w:val="14"/>
              </w:rPr>
            </w:pPr>
            <w:r>
              <w:rPr>
                <w:rFonts w:cstheme="minorBidi"/>
                <w:noProof/>
                <w:sz w:val="18"/>
              </w:rPr>
              <w:t xml:space="preserve">Środki </w:t>
            </w:r>
          </w:p>
        </w:tc>
        <w:tc>
          <w:tcPr>
            <w:tcW w:w="868" w:type="dxa"/>
            <w:vAlign w:val="center"/>
          </w:tcPr>
          <w:p>
            <w:pPr>
              <w:spacing w:before="60" w:after="6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b/>
                <w:noProof/>
                <w:sz w:val="20"/>
              </w:rPr>
            </w:pPr>
          </w:p>
        </w:tc>
        <w:tc>
          <w:tcPr>
            <w:tcW w:w="1777" w:type="dxa"/>
            <w:vAlign w:val="center"/>
          </w:tcPr>
          <w:p>
            <w:pPr>
              <w:spacing w:before="20" w:after="20" w:line="276" w:lineRule="auto"/>
              <w:rPr>
                <w:rFonts w:cstheme="minorBidi"/>
                <w:b/>
                <w:noProof/>
                <w:sz w:val="20"/>
              </w:rPr>
            </w:pPr>
          </w:p>
        </w:tc>
      </w:tr>
    </w:tbl>
    <w:p>
      <w:pPr>
        <w:spacing w:before="0" w:after="200" w:line="276" w:lineRule="auto"/>
        <w:rPr>
          <w:rFonts w:cstheme="minorBidi"/>
          <w:noProof/>
          <w:sz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spacing w:before="0" w:after="200" w:line="276" w:lineRule="auto"/>
              <w:rPr>
                <w:rFonts w:cstheme="minorBidi"/>
                <w:b/>
                <w:noProof/>
                <w:sz w:val="22"/>
              </w:rPr>
            </w:pPr>
            <w:r>
              <w:rPr>
                <w:rFonts w:cstheme="minorBidi"/>
                <w:b/>
                <w:noProof/>
                <w:sz w:val="22"/>
              </w:rPr>
              <w:t>OGÓŁEM środki</w:t>
            </w:r>
            <w:r>
              <w:rPr>
                <w:rFonts w:cstheme="minorBidi"/>
                <w:noProof/>
                <w:sz w:val="22"/>
              </w:rPr>
              <w:br/>
            </w:r>
            <w:r>
              <w:rPr>
                <w:rFonts w:cstheme="minorBidi"/>
                <w:b/>
                <w:noProof/>
                <w:sz w:val="22"/>
              </w:rPr>
              <w:t>na DZIAŁ 5</w:t>
            </w:r>
            <w:r>
              <w:rPr>
                <w:rFonts w:cstheme="minorBidi"/>
                <w:noProof/>
                <w:sz w:val="22"/>
              </w:rPr>
              <w:br/>
              <w:t>wieloletnich ram finansowych</w:t>
            </w:r>
            <w:r>
              <w:rPr>
                <w:rFonts w:cstheme="minorBidi"/>
                <w:b/>
                <w:noProof/>
                <w:sz w:val="22"/>
              </w:rPr>
              <w:t xml:space="preserve"> </w:t>
            </w:r>
          </w:p>
        </w:tc>
        <w:tc>
          <w:tcPr>
            <w:tcW w:w="2094" w:type="dxa"/>
            <w:vAlign w:val="center"/>
          </w:tcPr>
          <w:p>
            <w:pPr>
              <w:spacing w:before="40" w:after="40" w:line="276" w:lineRule="auto"/>
              <w:rPr>
                <w:rFonts w:cstheme="minorBidi"/>
                <w:noProof/>
                <w:sz w:val="22"/>
              </w:rPr>
            </w:pPr>
            <w:r>
              <w:rPr>
                <w:rFonts w:cstheme="minorBidi"/>
                <w:noProof/>
                <w:sz w:val="18"/>
              </w:rPr>
              <w:t>(Środki na zobowiązania ogółem = środki na płatności ogółem)</w:t>
            </w: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noProof/>
                <w:sz w:val="20"/>
              </w:rPr>
            </w:pPr>
          </w:p>
        </w:tc>
        <w:tc>
          <w:tcPr>
            <w:tcW w:w="868" w:type="dxa"/>
            <w:vAlign w:val="center"/>
          </w:tcPr>
          <w:p>
            <w:pPr>
              <w:spacing w:before="20" w:after="20" w:line="276" w:lineRule="auto"/>
              <w:rPr>
                <w:rFonts w:cstheme="minorBidi"/>
                <w:b/>
                <w:noProof/>
                <w:sz w:val="20"/>
              </w:rPr>
            </w:pPr>
          </w:p>
        </w:tc>
        <w:tc>
          <w:tcPr>
            <w:tcW w:w="1777" w:type="dxa"/>
            <w:vAlign w:val="center"/>
          </w:tcPr>
          <w:p>
            <w:pPr>
              <w:spacing w:before="20" w:after="20" w:line="276" w:lineRule="auto"/>
              <w:rPr>
                <w:rFonts w:cstheme="minorBidi"/>
                <w:b/>
                <w:noProof/>
                <w:sz w:val="20"/>
              </w:rPr>
            </w:pPr>
          </w:p>
        </w:tc>
      </w:tr>
    </w:tbl>
    <w:p>
      <w:pPr>
        <w:spacing w:before="0" w:after="200" w:line="276" w:lineRule="auto"/>
        <w:rPr>
          <w:rFonts w:cstheme="minorBidi"/>
          <w:noProof/>
          <w:sz w:val="20"/>
        </w:rPr>
      </w:pPr>
      <w:r>
        <w:rPr>
          <w:rFonts w:cstheme="minorBidi"/>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spacing w:before="0" w:after="200" w:line="276" w:lineRule="auto"/>
              <w:rPr>
                <w:rFonts w:cstheme="minorBidi"/>
                <w:noProof/>
                <w:sz w:val="22"/>
              </w:rPr>
            </w:pPr>
          </w:p>
        </w:tc>
        <w:tc>
          <w:tcPr>
            <w:tcW w:w="1560" w:type="dxa"/>
            <w:tcBorders>
              <w:top w:val="nil"/>
              <w:left w:val="nil"/>
              <w:right w:val="nil"/>
            </w:tcBorders>
          </w:tcPr>
          <w:p>
            <w:pPr>
              <w:spacing w:before="0" w:after="200" w:line="276" w:lineRule="auto"/>
              <w:rPr>
                <w:rFonts w:cstheme="minorBidi"/>
                <w:noProof/>
                <w:sz w:val="20"/>
              </w:rPr>
            </w:pPr>
          </w:p>
        </w:tc>
        <w:tc>
          <w:tcPr>
            <w:tcW w:w="534" w:type="dxa"/>
            <w:tcBorders>
              <w:top w:val="nil"/>
              <w:left w:val="nil"/>
            </w:tcBorders>
          </w:tcPr>
          <w:p>
            <w:pPr>
              <w:spacing w:before="0" w:after="200" w:line="276" w:lineRule="auto"/>
              <w:rPr>
                <w:rFonts w:cstheme="minorBidi"/>
                <w:noProof/>
                <w:sz w:val="20"/>
              </w:rPr>
            </w:pPr>
          </w:p>
        </w:tc>
        <w:tc>
          <w:tcPr>
            <w:tcW w:w="868" w:type="dxa"/>
            <w:vAlign w:val="center"/>
          </w:tcPr>
          <w:p>
            <w:pPr>
              <w:spacing w:before="0" w:after="200" w:line="276" w:lineRule="auto"/>
              <w:rPr>
                <w:rFonts w:cstheme="minorBidi"/>
                <w:noProof/>
                <w:sz w:val="20"/>
              </w:rPr>
            </w:pPr>
            <w:r>
              <w:rPr>
                <w:rFonts w:cstheme="minorBidi"/>
                <w:noProof/>
                <w:sz w:val="20"/>
              </w:rPr>
              <w:t>Rok</w:t>
            </w:r>
            <w:r>
              <w:rPr>
                <w:rFonts w:cstheme="minorBidi"/>
                <w:noProof/>
                <w:sz w:val="22"/>
              </w:rPr>
              <w:br/>
            </w:r>
            <w:r>
              <w:rPr>
                <w:rFonts w:cstheme="minorBidi"/>
                <w:b/>
                <w:noProof/>
                <w:sz w:val="20"/>
              </w:rPr>
              <w:t>2014</w:t>
            </w:r>
          </w:p>
        </w:tc>
        <w:tc>
          <w:tcPr>
            <w:tcW w:w="868" w:type="dxa"/>
            <w:vAlign w:val="center"/>
          </w:tcPr>
          <w:p>
            <w:pPr>
              <w:spacing w:before="0" w:after="200" w:line="276" w:lineRule="auto"/>
              <w:rPr>
                <w:rFonts w:cstheme="minorBidi"/>
                <w:noProof/>
                <w:sz w:val="20"/>
              </w:rPr>
            </w:pPr>
            <w:r>
              <w:rPr>
                <w:rFonts w:cstheme="minorBidi"/>
                <w:noProof/>
                <w:sz w:val="20"/>
              </w:rPr>
              <w:t>Rok</w:t>
            </w:r>
            <w:r>
              <w:rPr>
                <w:rFonts w:cstheme="minorBidi"/>
                <w:noProof/>
                <w:sz w:val="22"/>
              </w:rPr>
              <w:br/>
            </w:r>
            <w:r>
              <w:rPr>
                <w:rFonts w:cstheme="minorBidi"/>
                <w:b/>
                <w:noProof/>
                <w:sz w:val="20"/>
              </w:rPr>
              <w:t>2015</w:t>
            </w:r>
          </w:p>
        </w:tc>
        <w:tc>
          <w:tcPr>
            <w:tcW w:w="868" w:type="dxa"/>
            <w:vAlign w:val="center"/>
          </w:tcPr>
          <w:p>
            <w:pPr>
              <w:spacing w:before="0" w:after="200" w:line="276" w:lineRule="auto"/>
              <w:rPr>
                <w:rFonts w:cstheme="minorBidi"/>
                <w:noProof/>
                <w:sz w:val="20"/>
              </w:rPr>
            </w:pPr>
            <w:r>
              <w:rPr>
                <w:rFonts w:cstheme="minorBidi"/>
                <w:noProof/>
                <w:sz w:val="20"/>
              </w:rPr>
              <w:t>Rok</w:t>
            </w:r>
            <w:r>
              <w:rPr>
                <w:rFonts w:cstheme="minorBidi"/>
                <w:noProof/>
                <w:sz w:val="22"/>
              </w:rPr>
              <w:br/>
            </w:r>
            <w:r>
              <w:rPr>
                <w:rFonts w:cstheme="minorBidi"/>
                <w:b/>
                <w:noProof/>
                <w:sz w:val="20"/>
              </w:rPr>
              <w:t>2016</w:t>
            </w:r>
          </w:p>
        </w:tc>
        <w:tc>
          <w:tcPr>
            <w:tcW w:w="868" w:type="dxa"/>
            <w:vAlign w:val="center"/>
          </w:tcPr>
          <w:p>
            <w:pPr>
              <w:spacing w:before="0" w:after="200" w:line="276" w:lineRule="auto"/>
              <w:rPr>
                <w:rFonts w:cstheme="minorBidi"/>
                <w:noProof/>
                <w:sz w:val="20"/>
              </w:rPr>
            </w:pPr>
            <w:r>
              <w:rPr>
                <w:rFonts w:cstheme="minorBidi"/>
                <w:noProof/>
                <w:sz w:val="20"/>
              </w:rPr>
              <w:t>Rok</w:t>
            </w:r>
            <w:r>
              <w:rPr>
                <w:rFonts w:cstheme="minorBidi"/>
                <w:noProof/>
                <w:sz w:val="22"/>
              </w:rPr>
              <w:br/>
            </w:r>
            <w:r>
              <w:rPr>
                <w:rFonts w:cstheme="minorBidi"/>
                <w:b/>
                <w:noProof/>
                <w:sz w:val="20"/>
              </w:rPr>
              <w:t>2017</w:t>
            </w:r>
          </w:p>
        </w:tc>
        <w:tc>
          <w:tcPr>
            <w:tcW w:w="2604" w:type="dxa"/>
            <w:gridSpan w:val="3"/>
            <w:vAlign w:val="center"/>
          </w:tcPr>
          <w:p>
            <w:pPr>
              <w:spacing w:before="0" w:after="200" w:line="276" w:lineRule="auto"/>
              <w:rPr>
                <w:rFonts w:cstheme="minorBidi"/>
                <w:b/>
                <w:noProof/>
                <w:sz w:val="18"/>
              </w:rPr>
            </w:pPr>
            <w:r>
              <w:rPr>
                <w:rFonts w:cstheme="minorBidi"/>
                <w:b/>
                <w:noProof/>
                <w:sz w:val="18"/>
              </w:rPr>
              <w:t>Lata</w:t>
            </w:r>
          </w:p>
          <w:p>
            <w:pPr>
              <w:spacing w:before="0" w:after="200" w:line="276" w:lineRule="auto"/>
              <w:rPr>
                <w:rFonts w:cstheme="minorBidi"/>
                <w:b/>
                <w:noProof/>
                <w:sz w:val="18"/>
              </w:rPr>
            </w:pPr>
            <w:r>
              <w:rPr>
                <w:rFonts w:cstheme="minorBidi"/>
                <w:b/>
                <w:noProof/>
                <w:sz w:val="18"/>
              </w:rPr>
              <w:t>2018 – 2020</w:t>
            </w:r>
          </w:p>
          <w:p>
            <w:pPr>
              <w:spacing w:before="0" w:after="200" w:line="276" w:lineRule="auto"/>
              <w:rPr>
                <w:rFonts w:cstheme="minorBidi"/>
                <w:b/>
                <w:noProof/>
                <w:sz w:val="18"/>
              </w:rPr>
            </w:pPr>
          </w:p>
        </w:tc>
        <w:tc>
          <w:tcPr>
            <w:tcW w:w="1777" w:type="dxa"/>
            <w:vAlign w:val="center"/>
          </w:tcPr>
          <w:p>
            <w:pPr>
              <w:spacing w:before="0" w:after="200" w:line="276" w:lineRule="auto"/>
              <w:rPr>
                <w:rFonts w:cstheme="minorBidi"/>
                <w:b/>
                <w:noProof/>
                <w:sz w:val="20"/>
              </w:rPr>
            </w:pPr>
            <w:r>
              <w:rPr>
                <w:rFonts w:cstheme="minorBidi"/>
                <w:b/>
                <w:noProof/>
                <w:sz w:val="20"/>
              </w:rPr>
              <w:t>OGÓŁEM</w:t>
            </w:r>
          </w:p>
        </w:tc>
      </w:tr>
      <w:tr>
        <w:tc>
          <w:tcPr>
            <w:tcW w:w="3960" w:type="dxa"/>
            <w:vMerge w:val="restart"/>
            <w:shd w:val="clear" w:color="auto" w:fill="C0C0C0"/>
            <w:vAlign w:val="center"/>
          </w:tcPr>
          <w:p>
            <w:pPr>
              <w:spacing w:before="0" w:after="200" w:line="276" w:lineRule="auto"/>
              <w:rPr>
                <w:rFonts w:cstheme="minorBidi"/>
                <w:b/>
                <w:noProof/>
                <w:sz w:val="22"/>
              </w:rPr>
            </w:pPr>
            <w:r>
              <w:rPr>
                <w:rFonts w:cstheme="minorBidi"/>
                <w:b/>
                <w:noProof/>
                <w:sz w:val="22"/>
              </w:rPr>
              <w:t>OGÓŁEM środki</w:t>
            </w:r>
            <w:r>
              <w:rPr>
                <w:rFonts w:cstheme="minorBidi"/>
                <w:noProof/>
                <w:sz w:val="22"/>
              </w:rPr>
              <w:br/>
            </w:r>
            <w:r>
              <w:rPr>
                <w:rFonts w:cstheme="minorBidi"/>
                <w:b/>
                <w:noProof/>
                <w:sz w:val="22"/>
              </w:rPr>
              <w:t>na DZIAŁY 1 do 5</w:t>
            </w:r>
            <w:r>
              <w:rPr>
                <w:rFonts w:cstheme="minorBidi"/>
                <w:noProof/>
                <w:sz w:val="22"/>
              </w:rPr>
              <w:br/>
              <w:t>wieloletnich ram finansowych</w:t>
            </w:r>
            <w:r>
              <w:rPr>
                <w:rFonts w:cstheme="minorBidi"/>
                <w:b/>
                <w:noProof/>
                <w:sz w:val="22"/>
              </w:rPr>
              <w:t xml:space="preserve"> </w:t>
            </w:r>
          </w:p>
        </w:tc>
        <w:tc>
          <w:tcPr>
            <w:tcW w:w="2094" w:type="dxa"/>
            <w:gridSpan w:val="2"/>
            <w:vAlign w:val="center"/>
          </w:tcPr>
          <w:p>
            <w:pPr>
              <w:spacing w:before="0" w:after="200" w:line="276" w:lineRule="auto"/>
              <w:rPr>
                <w:rFonts w:cstheme="minorBidi"/>
                <w:noProof/>
                <w:sz w:val="14"/>
              </w:rPr>
            </w:pPr>
            <w:r>
              <w:rPr>
                <w:rFonts w:cstheme="minorBidi"/>
                <w:noProof/>
                <w:sz w:val="18"/>
              </w:rPr>
              <w:t>Środki na zobowiązania</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b/>
                <w:noProof/>
                <w:sz w:val="20"/>
              </w:rPr>
            </w:pPr>
            <w:r>
              <w:rPr>
                <w:rFonts w:cstheme="minorBidi"/>
                <w:b/>
                <w:noProof/>
                <w:sz w:val="20"/>
              </w:rPr>
              <w:t>+ 4</w:t>
            </w:r>
          </w:p>
        </w:tc>
        <w:tc>
          <w:tcPr>
            <w:tcW w:w="868" w:type="dxa"/>
            <w:vAlign w:val="center"/>
          </w:tcPr>
          <w:p>
            <w:pPr>
              <w:spacing w:before="20" w:after="20" w:line="276" w:lineRule="auto"/>
              <w:rPr>
                <w:rFonts w:cstheme="minorBidi"/>
                <w:b/>
                <w:noProof/>
                <w:sz w:val="20"/>
              </w:rPr>
            </w:pPr>
            <w:r>
              <w:rPr>
                <w:rFonts w:cstheme="minorBidi"/>
                <w:b/>
                <w:noProof/>
                <w:sz w:val="20"/>
              </w:rPr>
              <w:t>+ 32</w:t>
            </w:r>
          </w:p>
        </w:tc>
        <w:tc>
          <w:tcPr>
            <w:tcW w:w="868" w:type="dxa"/>
            <w:vAlign w:val="center"/>
          </w:tcPr>
          <w:p>
            <w:pPr>
              <w:spacing w:before="20" w:after="20" w:line="276" w:lineRule="auto"/>
              <w:rPr>
                <w:rFonts w:cstheme="minorBidi"/>
                <w:b/>
                <w:noProof/>
                <w:sz w:val="20"/>
              </w:rPr>
            </w:pPr>
            <w:r>
              <w:rPr>
                <w:rFonts w:cstheme="minorBidi"/>
                <w:b/>
                <w:noProof/>
                <w:sz w:val="20"/>
              </w:rPr>
              <w:t>+ 79</w:t>
            </w:r>
          </w:p>
        </w:tc>
        <w:tc>
          <w:tcPr>
            <w:tcW w:w="1777" w:type="dxa"/>
            <w:vAlign w:val="center"/>
          </w:tcPr>
          <w:p>
            <w:pPr>
              <w:spacing w:before="20" w:after="20" w:line="276" w:lineRule="auto"/>
              <w:rPr>
                <w:rFonts w:cstheme="minorBidi"/>
                <w:b/>
                <w:noProof/>
                <w:sz w:val="20"/>
              </w:rPr>
            </w:pPr>
            <w:r>
              <w:rPr>
                <w:rFonts w:cstheme="minorBidi"/>
                <w:b/>
                <w:noProof/>
                <w:sz w:val="20"/>
              </w:rPr>
              <w:t>+ 115</w:t>
            </w:r>
          </w:p>
        </w:tc>
      </w:tr>
      <w:tr>
        <w:tc>
          <w:tcPr>
            <w:tcW w:w="3960" w:type="dxa"/>
            <w:vMerge/>
            <w:shd w:val="clear" w:color="auto" w:fill="C0C0C0"/>
          </w:tcPr>
          <w:p>
            <w:pPr>
              <w:spacing w:before="0" w:after="200" w:line="276" w:lineRule="auto"/>
              <w:rPr>
                <w:rFonts w:cstheme="minorBidi"/>
                <w:noProof/>
                <w:sz w:val="20"/>
              </w:rPr>
            </w:pPr>
          </w:p>
        </w:tc>
        <w:tc>
          <w:tcPr>
            <w:tcW w:w="2094" w:type="dxa"/>
            <w:gridSpan w:val="2"/>
            <w:vAlign w:val="center"/>
          </w:tcPr>
          <w:p>
            <w:pPr>
              <w:spacing w:before="0" w:after="200" w:line="276" w:lineRule="auto"/>
              <w:rPr>
                <w:rFonts w:cstheme="minorBidi"/>
                <w:noProof/>
                <w:sz w:val="14"/>
              </w:rPr>
            </w:pPr>
            <w:r>
              <w:rPr>
                <w:rFonts w:cstheme="minorBidi"/>
                <w:noProof/>
                <w:sz w:val="18"/>
              </w:rPr>
              <w:t>Środki na płatności</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noProof/>
                <w:sz w:val="20"/>
              </w:rPr>
            </w:pPr>
            <w:r>
              <w:rPr>
                <w:rFonts w:cstheme="minorBidi"/>
                <w:noProof/>
                <w:sz w:val="20"/>
              </w:rPr>
              <w:t>-</w:t>
            </w:r>
          </w:p>
        </w:tc>
        <w:tc>
          <w:tcPr>
            <w:tcW w:w="868" w:type="dxa"/>
            <w:vAlign w:val="center"/>
          </w:tcPr>
          <w:p>
            <w:pPr>
              <w:spacing w:before="20" w:after="20" w:line="276" w:lineRule="auto"/>
              <w:rPr>
                <w:rFonts w:cstheme="minorBidi"/>
                <w:b/>
                <w:noProof/>
                <w:sz w:val="20"/>
              </w:rPr>
            </w:pPr>
            <w:r>
              <w:rPr>
                <w:rFonts w:cstheme="minorBidi"/>
                <w:b/>
                <w:noProof/>
                <w:sz w:val="20"/>
              </w:rPr>
              <w:t>+ 4</w:t>
            </w:r>
          </w:p>
        </w:tc>
        <w:tc>
          <w:tcPr>
            <w:tcW w:w="868" w:type="dxa"/>
            <w:vAlign w:val="center"/>
          </w:tcPr>
          <w:p>
            <w:pPr>
              <w:spacing w:before="20" w:after="20" w:line="276" w:lineRule="auto"/>
              <w:rPr>
                <w:rFonts w:cstheme="minorBidi"/>
                <w:b/>
                <w:noProof/>
                <w:sz w:val="20"/>
              </w:rPr>
            </w:pPr>
            <w:r>
              <w:rPr>
                <w:rFonts w:cstheme="minorBidi"/>
                <w:b/>
                <w:noProof/>
                <w:sz w:val="20"/>
              </w:rPr>
              <w:t>+ 32</w:t>
            </w:r>
          </w:p>
        </w:tc>
        <w:tc>
          <w:tcPr>
            <w:tcW w:w="868" w:type="dxa"/>
            <w:vAlign w:val="center"/>
          </w:tcPr>
          <w:p>
            <w:pPr>
              <w:spacing w:before="20" w:after="20" w:line="276" w:lineRule="auto"/>
              <w:rPr>
                <w:rFonts w:cstheme="minorBidi"/>
                <w:b/>
                <w:noProof/>
                <w:sz w:val="20"/>
              </w:rPr>
            </w:pPr>
            <w:r>
              <w:rPr>
                <w:rFonts w:cstheme="minorBidi"/>
                <w:b/>
                <w:noProof/>
                <w:sz w:val="20"/>
              </w:rPr>
              <w:t>+ 79</w:t>
            </w:r>
          </w:p>
        </w:tc>
        <w:tc>
          <w:tcPr>
            <w:tcW w:w="1777" w:type="dxa"/>
            <w:vAlign w:val="center"/>
          </w:tcPr>
          <w:p>
            <w:pPr>
              <w:spacing w:before="20" w:after="20" w:line="276" w:lineRule="auto"/>
              <w:rPr>
                <w:rFonts w:cstheme="minorBidi"/>
                <w:b/>
                <w:noProof/>
                <w:sz w:val="20"/>
              </w:rPr>
            </w:pPr>
            <w:r>
              <w:rPr>
                <w:rFonts w:cstheme="minorBidi"/>
                <w:b/>
                <w:noProof/>
                <w:sz w:val="20"/>
              </w:rPr>
              <w:t>+ 115</w:t>
            </w:r>
          </w:p>
        </w:tc>
      </w:tr>
    </w:tbl>
    <w:p>
      <w:pPr>
        <w:spacing w:before="0" w:after="200" w:line="276" w:lineRule="auto"/>
        <w:rPr>
          <w:rFonts w:cstheme="minorBidi"/>
          <w:noProof/>
          <w:sz w:val="22"/>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noProof/>
        </w:rPr>
      </w:pPr>
      <w:r>
        <w:rPr>
          <w:noProof/>
        </w:rPr>
        <w:t>3.2.2.</w:t>
      </w:r>
      <w:r>
        <w:rPr>
          <w:noProof/>
        </w:rPr>
        <w:tab/>
        <w:t xml:space="preserve">Szacunkowy wpływ na środki operacyjne </w:t>
      </w:r>
    </w:p>
    <w:p>
      <w:pPr>
        <w:tabs>
          <w:tab w:val="num" w:pos="1134"/>
        </w:tabs>
        <w:spacing w:before="0" w:after="200" w:line="276" w:lineRule="auto"/>
        <w:ind w:left="1134" w:hanging="283"/>
        <w:rPr>
          <w:rFonts w:eastAsia="Times New Roman" w:cstheme="minorBidi"/>
          <w:noProof/>
          <w:sz w:val="22"/>
        </w:rPr>
      </w:pPr>
      <w:r>
        <w:rPr>
          <w:rFonts w:cstheme="minorBidi"/>
          <w:noProof/>
          <w:sz w:val="22"/>
        </w:rPr>
        <w:t>X</w:t>
      </w:r>
      <w:r>
        <w:rPr>
          <w:noProof/>
        </w:rPr>
        <w:tab/>
      </w:r>
      <w:r>
        <w:rPr>
          <w:rFonts w:cstheme="minorBidi"/>
          <w:noProof/>
          <w:sz w:val="22"/>
        </w:rPr>
        <w:t>Wniosek/inicjatywa wiąże się z koniecznością wykorzystania środków operacyjnych, jak określono poniżej:</w:t>
      </w:r>
    </w:p>
    <w:p>
      <w:pPr>
        <w:spacing w:before="0" w:after="200" w:line="276" w:lineRule="auto"/>
        <w:rPr>
          <w:rFonts w:cstheme="minorBidi"/>
          <w:noProof/>
          <w:sz w:val="20"/>
        </w:rPr>
      </w:pPr>
      <w:r>
        <w:rPr>
          <w:rFonts w:cstheme="minorBidi"/>
          <w:noProof/>
          <w:sz w:val="20"/>
        </w:rPr>
        <w:t>Środki na zobowiązania w mln EUR (do trzech miejsc po przecinku)</w:t>
      </w:r>
    </w:p>
    <w:tbl>
      <w:tblPr>
        <w:tblW w:w="13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89"/>
        <w:gridCol w:w="789"/>
        <w:gridCol w:w="504"/>
        <w:gridCol w:w="750"/>
        <w:gridCol w:w="425"/>
        <w:gridCol w:w="671"/>
        <w:gridCol w:w="642"/>
        <w:gridCol w:w="720"/>
        <w:gridCol w:w="732"/>
        <w:gridCol w:w="850"/>
        <w:gridCol w:w="426"/>
        <w:gridCol w:w="800"/>
        <w:gridCol w:w="432"/>
        <w:gridCol w:w="720"/>
        <w:gridCol w:w="457"/>
        <w:gridCol w:w="803"/>
        <w:gridCol w:w="855"/>
        <w:gridCol w:w="1058"/>
      </w:tblGrid>
      <w:tr>
        <w:trPr>
          <w:jc w:val="center"/>
        </w:trPr>
        <w:tc>
          <w:tcPr>
            <w:tcW w:w="1423" w:type="dxa"/>
            <w:vMerge w:val="restart"/>
            <w:vAlign w:val="center"/>
          </w:tcPr>
          <w:p>
            <w:pPr>
              <w:spacing w:before="0" w:after="200" w:line="276" w:lineRule="auto"/>
              <w:ind w:right="-29"/>
              <w:rPr>
                <w:rFonts w:cstheme="minorBidi"/>
                <w:b/>
                <w:noProof/>
                <w:sz w:val="18"/>
                <w:szCs w:val="18"/>
              </w:rPr>
            </w:pPr>
            <w:r>
              <w:rPr>
                <w:rFonts w:cstheme="minorBidi"/>
                <w:b/>
                <w:noProof/>
                <w:sz w:val="18"/>
              </w:rPr>
              <w:t xml:space="preserve">Określić cele i produkty </w:t>
            </w:r>
          </w:p>
          <w:p>
            <w:pPr>
              <w:spacing w:before="0" w:after="200" w:line="276" w:lineRule="auto"/>
              <w:ind w:right="-29"/>
              <w:rPr>
                <w:rFonts w:cstheme="minorBidi"/>
                <w:b/>
                <w:noProof/>
                <w:sz w:val="18"/>
                <w:szCs w:val="18"/>
              </w:rPr>
            </w:pPr>
          </w:p>
          <w:p>
            <w:pPr>
              <w:spacing w:before="0" w:after="200" w:line="276" w:lineRule="auto"/>
              <w:ind w:right="-29"/>
              <w:rPr>
                <w:rFonts w:cstheme="minorBidi"/>
                <w:noProof/>
                <w:sz w:val="18"/>
                <w:szCs w:val="18"/>
              </w:rPr>
            </w:pPr>
            <w:r>
              <w:rPr>
                <w:rFonts w:cstheme="minorBidi"/>
                <w:noProof/>
                <w:sz w:val="18"/>
              </w:rPr>
              <w:sym w:font="Wingdings" w:char="F0F2"/>
            </w:r>
          </w:p>
        </w:tc>
        <w:tc>
          <w:tcPr>
            <w:tcW w:w="789" w:type="dxa"/>
            <w:vAlign w:val="center"/>
          </w:tcPr>
          <w:p>
            <w:pPr>
              <w:spacing w:before="0" w:after="200" w:line="276" w:lineRule="auto"/>
              <w:ind w:right="-29"/>
              <w:rPr>
                <w:rFonts w:cstheme="minorBidi"/>
                <w:noProof/>
                <w:sz w:val="18"/>
                <w:szCs w:val="18"/>
              </w:rPr>
            </w:pPr>
          </w:p>
        </w:tc>
        <w:tc>
          <w:tcPr>
            <w:tcW w:w="789" w:type="dxa"/>
            <w:vAlign w:val="center"/>
          </w:tcPr>
          <w:p>
            <w:pPr>
              <w:spacing w:before="0" w:after="200" w:line="276" w:lineRule="auto"/>
              <w:ind w:right="-29"/>
              <w:rPr>
                <w:rFonts w:cstheme="minorBidi"/>
                <w:noProof/>
                <w:sz w:val="18"/>
                <w:szCs w:val="18"/>
              </w:rPr>
            </w:pPr>
          </w:p>
        </w:tc>
        <w:tc>
          <w:tcPr>
            <w:tcW w:w="1254" w:type="dxa"/>
            <w:gridSpan w:val="2"/>
            <w:tcBorders>
              <w:left w:val="nil"/>
            </w:tcBorders>
            <w:vAlign w:val="center"/>
          </w:tcPr>
          <w:p>
            <w:pPr>
              <w:spacing w:before="0" w:after="200" w:line="276" w:lineRule="auto"/>
              <w:ind w:right="-29"/>
              <w:rPr>
                <w:rFonts w:cstheme="minorBidi"/>
                <w:noProof/>
                <w:sz w:val="18"/>
                <w:szCs w:val="18"/>
              </w:rPr>
            </w:pPr>
            <w:r>
              <w:rPr>
                <w:rFonts w:cstheme="minorBidi"/>
                <w:noProof/>
                <w:sz w:val="18"/>
              </w:rPr>
              <w:t>Rok</w:t>
            </w:r>
            <w:r>
              <w:rPr>
                <w:rFonts w:cstheme="minorBidi"/>
                <w:noProof/>
                <w:sz w:val="22"/>
              </w:rPr>
              <w:br/>
            </w:r>
            <w:r>
              <w:rPr>
                <w:rFonts w:cstheme="minorBidi"/>
                <w:b/>
                <w:noProof/>
                <w:sz w:val="18"/>
              </w:rPr>
              <w:t>2014</w:t>
            </w:r>
          </w:p>
        </w:tc>
        <w:tc>
          <w:tcPr>
            <w:tcW w:w="1096" w:type="dxa"/>
            <w:gridSpan w:val="2"/>
            <w:vAlign w:val="center"/>
          </w:tcPr>
          <w:p>
            <w:pPr>
              <w:spacing w:before="0" w:after="200" w:line="276" w:lineRule="auto"/>
              <w:ind w:right="-29"/>
              <w:rPr>
                <w:rFonts w:cstheme="minorBidi"/>
                <w:noProof/>
                <w:sz w:val="18"/>
                <w:szCs w:val="18"/>
              </w:rPr>
            </w:pPr>
            <w:r>
              <w:rPr>
                <w:rFonts w:cstheme="minorBidi"/>
                <w:noProof/>
                <w:sz w:val="18"/>
              </w:rPr>
              <w:t>Rok</w:t>
            </w:r>
            <w:r>
              <w:rPr>
                <w:rFonts w:cstheme="minorBidi"/>
                <w:noProof/>
                <w:sz w:val="22"/>
              </w:rPr>
              <w:br/>
            </w:r>
            <w:r>
              <w:rPr>
                <w:rFonts w:cstheme="minorBidi"/>
                <w:b/>
                <w:noProof/>
                <w:sz w:val="18"/>
              </w:rPr>
              <w:t>2015</w:t>
            </w:r>
          </w:p>
        </w:tc>
        <w:tc>
          <w:tcPr>
            <w:tcW w:w="1362" w:type="dxa"/>
            <w:gridSpan w:val="2"/>
            <w:vAlign w:val="center"/>
          </w:tcPr>
          <w:p>
            <w:pPr>
              <w:spacing w:before="0" w:after="200" w:line="276" w:lineRule="auto"/>
              <w:ind w:right="-29"/>
              <w:rPr>
                <w:rFonts w:cstheme="minorBidi"/>
                <w:noProof/>
                <w:sz w:val="18"/>
                <w:szCs w:val="18"/>
              </w:rPr>
            </w:pPr>
            <w:r>
              <w:rPr>
                <w:rFonts w:cstheme="minorBidi"/>
                <w:noProof/>
                <w:sz w:val="18"/>
              </w:rPr>
              <w:t>Rok</w:t>
            </w:r>
            <w:r>
              <w:rPr>
                <w:rFonts w:cstheme="minorBidi"/>
                <w:noProof/>
                <w:sz w:val="22"/>
              </w:rPr>
              <w:br/>
            </w:r>
            <w:r>
              <w:rPr>
                <w:rFonts w:cstheme="minorBidi"/>
                <w:b/>
                <w:noProof/>
                <w:sz w:val="18"/>
              </w:rPr>
              <w:t>2016</w:t>
            </w:r>
          </w:p>
        </w:tc>
        <w:tc>
          <w:tcPr>
            <w:tcW w:w="1582" w:type="dxa"/>
            <w:gridSpan w:val="2"/>
            <w:vAlign w:val="center"/>
          </w:tcPr>
          <w:p>
            <w:pPr>
              <w:spacing w:before="0" w:after="200" w:line="276" w:lineRule="auto"/>
              <w:ind w:right="-29"/>
              <w:rPr>
                <w:rFonts w:cstheme="minorBidi"/>
                <w:noProof/>
                <w:sz w:val="18"/>
                <w:szCs w:val="18"/>
              </w:rPr>
            </w:pPr>
            <w:r>
              <w:rPr>
                <w:rFonts w:cstheme="minorBidi"/>
                <w:noProof/>
                <w:sz w:val="18"/>
              </w:rPr>
              <w:t>Rok</w:t>
            </w:r>
            <w:r>
              <w:rPr>
                <w:rFonts w:cstheme="minorBidi"/>
                <w:noProof/>
                <w:sz w:val="22"/>
              </w:rPr>
              <w:br/>
            </w:r>
            <w:r>
              <w:rPr>
                <w:rFonts w:cstheme="minorBidi"/>
                <w:b/>
                <w:noProof/>
                <w:sz w:val="18"/>
              </w:rPr>
              <w:t>2017</w:t>
            </w:r>
          </w:p>
        </w:tc>
        <w:tc>
          <w:tcPr>
            <w:tcW w:w="3638" w:type="dxa"/>
            <w:gridSpan w:val="6"/>
            <w:vAlign w:val="center"/>
          </w:tcPr>
          <w:p>
            <w:pPr>
              <w:spacing w:before="0" w:after="200" w:line="276" w:lineRule="auto"/>
              <w:rPr>
                <w:rFonts w:cstheme="minorBidi"/>
                <w:b/>
                <w:noProof/>
                <w:sz w:val="18"/>
                <w:szCs w:val="18"/>
              </w:rPr>
            </w:pPr>
            <w:r>
              <w:rPr>
                <w:rFonts w:cstheme="minorBidi"/>
                <w:b/>
                <w:noProof/>
                <w:sz w:val="18"/>
              </w:rPr>
              <w:t>Lata</w:t>
            </w:r>
          </w:p>
          <w:p>
            <w:pPr>
              <w:spacing w:before="0" w:after="200" w:line="276" w:lineRule="auto"/>
              <w:rPr>
                <w:rFonts w:cstheme="minorBidi"/>
                <w:b/>
                <w:noProof/>
                <w:sz w:val="18"/>
                <w:szCs w:val="18"/>
              </w:rPr>
            </w:pPr>
            <w:r>
              <w:rPr>
                <w:rFonts w:cstheme="minorBidi"/>
                <w:b/>
                <w:noProof/>
                <w:sz w:val="18"/>
              </w:rPr>
              <w:t>2018 – 2020</w:t>
            </w:r>
          </w:p>
          <w:p>
            <w:pPr>
              <w:spacing w:before="0" w:after="200" w:line="276" w:lineRule="auto"/>
              <w:rPr>
                <w:rFonts w:cstheme="minorBidi"/>
                <w:b/>
                <w:noProof/>
                <w:sz w:val="18"/>
                <w:szCs w:val="18"/>
              </w:rPr>
            </w:pPr>
          </w:p>
        </w:tc>
        <w:tc>
          <w:tcPr>
            <w:tcW w:w="1913" w:type="dxa"/>
            <w:gridSpan w:val="2"/>
            <w:tcBorders>
              <w:left w:val="nil"/>
              <w:bottom w:val="nil"/>
            </w:tcBorders>
            <w:vAlign w:val="center"/>
          </w:tcPr>
          <w:p>
            <w:pPr>
              <w:spacing w:before="0" w:after="200" w:line="276" w:lineRule="auto"/>
              <w:ind w:right="-29"/>
              <w:rPr>
                <w:rFonts w:cstheme="minorBidi"/>
                <w:noProof/>
                <w:sz w:val="18"/>
                <w:szCs w:val="18"/>
              </w:rPr>
            </w:pPr>
            <w:r>
              <w:rPr>
                <w:rFonts w:cstheme="minorBidi"/>
                <w:b/>
                <w:noProof/>
                <w:sz w:val="18"/>
              </w:rPr>
              <w:t>OGÓŁEM</w:t>
            </w:r>
          </w:p>
        </w:tc>
      </w:tr>
      <w:tr>
        <w:trPr>
          <w:jc w:val="center"/>
        </w:trPr>
        <w:tc>
          <w:tcPr>
            <w:tcW w:w="1423" w:type="dxa"/>
            <w:vMerge/>
            <w:vAlign w:val="center"/>
          </w:tcPr>
          <w:p>
            <w:pPr>
              <w:spacing w:before="0" w:after="200" w:line="276" w:lineRule="auto"/>
              <w:ind w:right="-29"/>
              <w:rPr>
                <w:rFonts w:cstheme="minorBidi"/>
                <w:noProof/>
                <w:sz w:val="18"/>
                <w:szCs w:val="18"/>
              </w:rPr>
            </w:pPr>
          </w:p>
        </w:tc>
        <w:tc>
          <w:tcPr>
            <w:tcW w:w="12423" w:type="dxa"/>
            <w:gridSpan w:val="18"/>
            <w:vAlign w:val="center"/>
          </w:tcPr>
          <w:p>
            <w:pPr>
              <w:spacing w:before="60" w:after="60" w:line="276" w:lineRule="auto"/>
              <w:ind w:right="-29"/>
              <w:rPr>
                <w:rFonts w:cstheme="minorBidi"/>
                <w:noProof/>
                <w:sz w:val="18"/>
                <w:szCs w:val="18"/>
              </w:rPr>
            </w:pPr>
            <w:r>
              <w:rPr>
                <w:rFonts w:cstheme="minorBidi"/>
                <w:b/>
                <w:noProof/>
                <w:sz w:val="18"/>
              </w:rPr>
              <w:t>PRODUKT</w:t>
            </w:r>
          </w:p>
        </w:tc>
      </w:tr>
      <w:tr>
        <w:trPr>
          <w:cantSplit/>
          <w:trHeight w:val="1134"/>
          <w:jc w:val="center"/>
        </w:trPr>
        <w:tc>
          <w:tcPr>
            <w:tcW w:w="1423" w:type="dxa"/>
            <w:vMerge/>
            <w:vAlign w:val="center"/>
          </w:tcPr>
          <w:p>
            <w:pPr>
              <w:spacing w:before="0" w:after="200" w:line="276" w:lineRule="auto"/>
              <w:rPr>
                <w:rFonts w:cstheme="minorBidi"/>
                <w:noProof/>
                <w:sz w:val="18"/>
                <w:szCs w:val="18"/>
              </w:rPr>
            </w:pPr>
          </w:p>
        </w:tc>
        <w:tc>
          <w:tcPr>
            <w:tcW w:w="789" w:type="dxa"/>
            <w:vAlign w:val="center"/>
          </w:tcPr>
          <w:p>
            <w:pPr>
              <w:spacing w:before="0" w:after="200" w:line="276" w:lineRule="auto"/>
              <w:rPr>
                <w:rFonts w:cstheme="minorBidi"/>
                <w:noProof/>
                <w:sz w:val="18"/>
                <w:szCs w:val="18"/>
              </w:rPr>
            </w:pPr>
            <w:r>
              <w:rPr>
                <w:rFonts w:cstheme="minorBidi"/>
                <w:noProof/>
                <w:sz w:val="18"/>
              </w:rPr>
              <w:t>Rodzaj</w:t>
            </w:r>
            <w:r>
              <w:rPr>
                <w:rStyle w:val="FootnoteReference"/>
                <w:noProof/>
              </w:rPr>
              <w:footnoteReference w:id="16"/>
            </w:r>
          </w:p>
          <w:p>
            <w:pPr>
              <w:spacing w:before="0" w:after="0" w:line="276" w:lineRule="auto"/>
              <w:rPr>
                <w:rFonts w:cstheme="minorBidi"/>
                <w:noProof/>
                <w:sz w:val="18"/>
                <w:szCs w:val="18"/>
              </w:rPr>
            </w:pPr>
          </w:p>
        </w:tc>
        <w:tc>
          <w:tcPr>
            <w:tcW w:w="789" w:type="dxa"/>
            <w:vAlign w:val="center"/>
          </w:tcPr>
          <w:p>
            <w:pPr>
              <w:spacing w:before="0" w:after="200" w:line="276" w:lineRule="auto"/>
              <w:rPr>
                <w:rFonts w:cstheme="minorBidi"/>
                <w:noProof/>
                <w:sz w:val="18"/>
                <w:szCs w:val="18"/>
              </w:rPr>
            </w:pPr>
            <w:r>
              <w:rPr>
                <w:rFonts w:cstheme="minorBidi"/>
                <w:noProof/>
                <w:sz w:val="18"/>
              </w:rPr>
              <w:t>Średni koszt</w:t>
            </w:r>
          </w:p>
        </w:tc>
        <w:tc>
          <w:tcPr>
            <w:tcW w:w="504" w:type="dxa"/>
            <w:tcBorders>
              <w:left w:val="nil"/>
              <w:right w:val="dashSmallGap" w:sz="4" w:space="0" w:color="auto"/>
            </w:tcBorders>
            <w:shd w:val="pct10" w:color="auto" w:fill="auto"/>
            <w:textDirection w:val="btLr"/>
            <w:vAlign w:val="center"/>
          </w:tcPr>
          <w:p>
            <w:pPr>
              <w:spacing w:before="0" w:after="200" w:line="276" w:lineRule="auto"/>
              <w:ind w:left="113" w:right="113"/>
              <w:rPr>
                <w:rFonts w:cstheme="minorBidi"/>
                <w:noProof/>
                <w:sz w:val="18"/>
                <w:szCs w:val="18"/>
              </w:rPr>
            </w:pPr>
            <w:r>
              <w:rPr>
                <w:rFonts w:cstheme="minorBidi"/>
                <w:noProof/>
                <w:sz w:val="18"/>
              </w:rPr>
              <w:t>Liczba</w:t>
            </w:r>
          </w:p>
        </w:tc>
        <w:tc>
          <w:tcPr>
            <w:tcW w:w="750" w:type="dxa"/>
            <w:tcBorders>
              <w:left w:val="dashSmallGap" w:sz="4" w:space="0" w:color="auto"/>
            </w:tcBorders>
            <w:shd w:val="pct10" w:color="auto" w:fill="auto"/>
            <w:vAlign w:val="center"/>
          </w:tcPr>
          <w:p>
            <w:pPr>
              <w:spacing w:before="0" w:after="200" w:line="276" w:lineRule="auto"/>
              <w:rPr>
                <w:rFonts w:cstheme="minorBidi"/>
                <w:noProof/>
                <w:sz w:val="18"/>
                <w:szCs w:val="18"/>
              </w:rPr>
            </w:pPr>
            <w:r>
              <w:rPr>
                <w:rFonts w:cstheme="minorBidi"/>
                <w:noProof/>
                <w:sz w:val="18"/>
              </w:rPr>
              <w:t>Koszt</w:t>
            </w:r>
          </w:p>
        </w:tc>
        <w:tc>
          <w:tcPr>
            <w:tcW w:w="425" w:type="dxa"/>
            <w:tcBorders>
              <w:right w:val="dashSmallGap" w:sz="4" w:space="0" w:color="auto"/>
            </w:tcBorders>
            <w:shd w:val="pct10" w:color="auto" w:fill="auto"/>
            <w:textDirection w:val="btLr"/>
            <w:vAlign w:val="center"/>
          </w:tcPr>
          <w:p>
            <w:pPr>
              <w:spacing w:before="0" w:after="200" w:line="276" w:lineRule="auto"/>
              <w:ind w:left="113" w:right="113"/>
              <w:rPr>
                <w:rFonts w:cstheme="minorBidi"/>
                <w:noProof/>
                <w:sz w:val="18"/>
                <w:szCs w:val="18"/>
              </w:rPr>
            </w:pPr>
            <w:r>
              <w:rPr>
                <w:rFonts w:cstheme="minorBidi"/>
                <w:noProof/>
                <w:sz w:val="18"/>
              </w:rPr>
              <w:t>Liczba</w:t>
            </w:r>
          </w:p>
        </w:tc>
        <w:tc>
          <w:tcPr>
            <w:tcW w:w="671" w:type="dxa"/>
            <w:tcBorders>
              <w:left w:val="dashSmallGap" w:sz="4" w:space="0" w:color="auto"/>
            </w:tcBorders>
            <w:shd w:val="pct10" w:color="auto" w:fill="auto"/>
            <w:vAlign w:val="center"/>
          </w:tcPr>
          <w:p>
            <w:pPr>
              <w:spacing w:before="0" w:after="200" w:line="276" w:lineRule="auto"/>
              <w:rPr>
                <w:rFonts w:cstheme="minorBidi"/>
                <w:noProof/>
                <w:sz w:val="18"/>
                <w:szCs w:val="18"/>
              </w:rPr>
            </w:pPr>
            <w:r>
              <w:rPr>
                <w:rFonts w:cstheme="minorBidi"/>
                <w:noProof/>
                <w:sz w:val="18"/>
              </w:rPr>
              <w:t>Koszt</w:t>
            </w:r>
          </w:p>
        </w:tc>
        <w:tc>
          <w:tcPr>
            <w:tcW w:w="642" w:type="dxa"/>
            <w:tcBorders>
              <w:right w:val="dashSmallGap" w:sz="4" w:space="0" w:color="auto"/>
            </w:tcBorders>
            <w:shd w:val="pct10" w:color="auto" w:fill="auto"/>
            <w:textDirection w:val="btLr"/>
            <w:vAlign w:val="center"/>
          </w:tcPr>
          <w:p>
            <w:pPr>
              <w:spacing w:before="0" w:after="200" w:line="276" w:lineRule="auto"/>
              <w:ind w:left="113" w:right="113"/>
              <w:rPr>
                <w:rFonts w:cstheme="minorBidi"/>
                <w:noProof/>
                <w:sz w:val="18"/>
                <w:szCs w:val="18"/>
              </w:rPr>
            </w:pPr>
            <w:r>
              <w:rPr>
                <w:rFonts w:cstheme="minorBidi"/>
                <w:noProof/>
                <w:sz w:val="18"/>
              </w:rPr>
              <w:t>Liczba</w:t>
            </w:r>
          </w:p>
        </w:tc>
        <w:tc>
          <w:tcPr>
            <w:tcW w:w="720" w:type="dxa"/>
            <w:tcBorders>
              <w:left w:val="dashSmallGap" w:sz="4" w:space="0" w:color="auto"/>
            </w:tcBorders>
            <w:shd w:val="pct10" w:color="auto" w:fill="auto"/>
            <w:vAlign w:val="center"/>
          </w:tcPr>
          <w:p>
            <w:pPr>
              <w:spacing w:before="0" w:after="200" w:line="276" w:lineRule="auto"/>
              <w:rPr>
                <w:rFonts w:cstheme="minorBidi"/>
                <w:noProof/>
                <w:sz w:val="18"/>
                <w:szCs w:val="18"/>
              </w:rPr>
            </w:pPr>
            <w:r>
              <w:rPr>
                <w:rFonts w:cstheme="minorBidi"/>
                <w:noProof/>
                <w:sz w:val="18"/>
              </w:rPr>
              <w:t>Koszt</w:t>
            </w:r>
          </w:p>
        </w:tc>
        <w:tc>
          <w:tcPr>
            <w:tcW w:w="732" w:type="dxa"/>
            <w:tcBorders>
              <w:right w:val="dashSmallGap" w:sz="4" w:space="0" w:color="auto"/>
            </w:tcBorders>
            <w:shd w:val="pct10" w:color="auto" w:fill="auto"/>
            <w:textDirection w:val="btLr"/>
            <w:vAlign w:val="center"/>
          </w:tcPr>
          <w:p>
            <w:pPr>
              <w:spacing w:before="0" w:after="200" w:line="276" w:lineRule="auto"/>
              <w:ind w:left="113" w:right="113"/>
              <w:rPr>
                <w:rFonts w:cstheme="minorBidi"/>
                <w:noProof/>
                <w:sz w:val="18"/>
                <w:szCs w:val="18"/>
              </w:rPr>
            </w:pPr>
            <w:r>
              <w:rPr>
                <w:rFonts w:cstheme="minorBidi"/>
                <w:noProof/>
                <w:sz w:val="18"/>
              </w:rPr>
              <w:t>Liczba</w:t>
            </w:r>
          </w:p>
        </w:tc>
        <w:tc>
          <w:tcPr>
            <w:tcW w:w="850" w:type="dxa"/>
            <w:tcBorders>
              <w:left w:val="dashSmallGap" w:sz="4" w:space="0" w:color="auto"/>
            </w:tcBorders>
            <w:shd w:val="pct10" w:color="auto" w:fill="auto"/>
            <w:vAlign w:val="center"/>
          </w:tcPr>
          <w:p>
            <w:pPr>
              <w:spacing w:before="0" w:after="200" w:line="276" w:lineRule="auto"/>
              <w:rPr>
                <w:rFonts w:cstheme="minorBidi"/>
                <w:noProof/>
                <w:sz w:val="18"/>
                <w:szCs w:val="18"/>
              </w:rPr>
            </w:pPr>
            <w:r>
              <w:rPr>
                <w:rFonts w:cstheme="minorBidi"/>
                <w:noProof/>
                <w:sz w:val="18"/>
              </w:rPr>
              <w:t>Koszt</w:t>
            </w:r>
          </w:p>
        </w:tc>
        <w:tc>
          <w:tcPr>
            <w:tcW w:w="426" w:type="dxa"/>
            <w:tcBorders>
              <w:right w:val="dashSmallGap" w:sz="4" w:space="0" w:color="auto"/>
            </w:tcBorders>
            <w:shd w:val="pct10" w:color="auto" w:fill="auto"/>
            <w:textDirection w:val="btLr"/>
            <w:vAlign w:val="center"/>
          </w:tcPr>
          <w:p>
            <w:pPr>
              <w:spacing w:before="0" w:after="200" w:line="276" w:lineRule="auto"/>
              <w:ind w:left="113" w:right="113"/>
              <w:rPr>
                <w:rFonts w:cstheme="minorBidi"/>
                <w:noProof/>
                <w:sz w:val="18"/>
                <w:szCs w:val="18"/>
              </w:rPr>
            </w:pPr>
            <w:r>
              <w:rPr>
                <w:rFonts w:cstheme="minorBidi"/>
                <w:noProof/>
                <w:sz w:val="18"/>
              </w:rPr>
              <w:t>Liczba</w:t>
            </w:r>
          </w:p>
        </w:tc>
        <w:tc>
          <w:tcPr>
            <w:tcW w:w="800" w:type="dxa"/>
            <w:tcBorders>
              <w:left w:val="dashSmallGap" w:sz="4" w:space="0" w:color="auto"/>
            </w:tcBorders>
            <w:shd w:val="pct10" w:color="auto" w:fill="auto"/>
            <w:vAlign w:val="center"/>
          </w:tcPr>
          <w:p>
            <w:pPr>
              <w:spacing w:before="0" w:after="200" w:line="276" w:lineRule="auto"/>
              <w:rPr>
                <w:rFonts w:cstheme="minorBidi"/>
                <w:noProof/>
                <w:sz w:val="18"/>
                <w:szCs w:val="18"/>
              </w:rPr>
            </w:pPr>
            <w:r>
              <w:rPr>
                <w:rFonts w:cstheme="minorBidi"/>
                <w:noProof/>
                <w:sz w:val="18"/>
              </w:rPr>
              <w:t>Koszt</w:t>
            </w:r>
          </w:p>
        </w:tc>
        <w:tc>
          <w:tcPr>
            <w:tcW w:w="432" w:type="dxa"/>
            <w:tcBorders>
              <w:right w:val="dashSmallGap" w:sz="4" w:space="0" w:color="auto"/>
            </w:tcBorders>
            <w:shd w:val="pct10" w:color="auto" w:fill="auto"/>
            <w:textDirection w:val="btLr"/>
            <w:vAlign w:val="center"/>
          </w:tcPr>
          <w:p>
            <w:pPr>
              <w:spacing w:before="0" w:after="200" w:line="276" w:lineRule="auto"/>
              <w:ind w:left="113" w:right="113"/>
              <w:rPr>
                <w:rFonts w:cstheme="minorBidi"/>
                <w:noProof/>
                <w:sz w:val="18"/>
                <w:szCs w:val="18"/>
              </w:rPr>
            </w:pPr>
            <w:r>
              <w:rPr>
                <w:rFonts w:cstheme="minorBidi"/>
                <w:noProof/>
                <w:sz w:val="18"/>
              </w:rPr>
              <w:t>Liczba</w:t>
            </w:r>
          </w:p>
        </w:tc>
        <w:tc>
          <w:tcPr>
            <w:tcW w:w="720" w:type="dxa"/>
            <w:tcBorders>
              <w:left w:val="dashSmallGap" w:sz="4" w:space="0" w:color="auto"/>
            </w:tcBorders>
            <w:shd w:val="pct10" w:color="auto" w:fill="auto"/>
            <w:vAlign w:val="center"/>
          </w:tcPr>
          <w:p>
            <w:pPr>
              <w:spacing w:before="0" w:after="200" w:line="276" w:lineRule="auto"/>
              <w:rPr>
                <w:rFonts w:cstheme="minorBidi"/>
                <w:noProof/>
                <w:sz w:val="18"/>
                <w:szCs w:val="18"/>
              </w:rPr>
            </w:pPr>
            <w:r>
              <w:rPr>
                <w:rFonts w:cstheme="minorBidi"/>
                <w:noProof/>
                <w:sz w:val="18"/>
              </w:rPr>
              <w:t>Koszt</w:t>
            </w:r>
          </w:p>
        </w:tc>
        <w:tc>
          <w:tcPr>
            <w:tcW w:w="457" w:type="dxa"/>
            <w:tcBorders>
              <w:right w:val="dashSmallGap" w:sz="4" w:space="0" w:color="auto"/>
            </w:tcBorders>
            <w:shd w:val="pct10" w:color="auto" w:fill="auto"/>
            <w:textDirection w:val="btLr"/>
            <w:vAlign w:val="center"/>
          </w:tcPr>
          <w:p>
            <w:pPr>
              <w:spacing w:before="0" w:after="200" w:line="276" w:lineRule="auto"/>
              <w:ind w:left="113" w:right="113"/>
              <w:rPr>
                <w:rFonts w:cstheme="minorBidi"/>
                <w:noProof/>
                <w:sz w:val="18"/>
                <w:szCs w:val="18"/>
              </w:rPr>
            </w:pPr>
            <w:r>
              <w:rPr>
                <w:rFonts w:cstheme="minorBidi"/>
                <w:noProof/>
                <w:sz w:val="18"/>
              </w:rPr>
              <w:t>Liczba</w:t>
            </w:r>
          </w:p>
        </w:tc>
        <w:tc>
          <w:tcPr>
            <w:tcW w:w="803" w:type="dxa"/>
            <w:tcBorders>
              <w:left w:val="dashSmallGap" w:sz="4" w:space="0" w:color="auto"/>
            </w:tcBorders>
            <w:shd w:val="pct10" w:color="auto" w:fill="auto"/>
            <w:vAlign w:val="center"/>
          </w:tcPr>
          <w:p>
            <w:pPr>
              <w:spacing w:before="0" w:after="200" w:line="276" w:lineRule="auto"/>
              <w:rPr>
                <w:rFonts w:cstheme="minorBidi"/>
                <w:noProof/>
                <w:sz w:val="18"/>
                <w:szCs w:val="18"/>
              </w:rPr>
            </w:pPr>
            <w:r>
              <w:rPr>
                <w:rFonts w:cstheme="minorBidi"/>
                <w:noProof/>
                <w:sz w:val="18"/>
              </w:rPr>
              <w:t>Koszt</w:t>
            </w:r>
          </w:p>
        </w:tc>
        <w:tc>
          <w:tcPr>
            <w:tcW w:w="855" w:type="dxa"/>
            <w:tcBorders>
              <w:right w:val="dashSmallGap" w:sz="4" w:space="0" w:color="auto"/>
            </w:tcBorders>
            <w:shd w:val="pct10" w:color="auto" w:fill="auto"/>
            <w:vAlign w:val="center"/>
          </w:tcPr>
          <w:p>
            <w:pPr>
              <w:spacing w:before="0" w:after="200" w:line="276" w:lineRule="auto"/>
              <w:rPr>
                <w:rFonts w:cstheme="minorBidi"/>
                <w:noProof/>
                <w:sz w:val="18"/>
                <w:szCs w:val="18"/>
              </w:rPr>
            </w:pPr>
            <w:r>
              <w:rPr>
                <w:rFonts w:cstheme="minorBidi"/>
                <w:noProof/>
                <w:sz w:val="18"/>
              </w:rPr>
              <w:t>Liczba ogółem</w:t>
            </w:r>
          </w:p>
        </w:tc>
        <w:tc>
          <w:tcPr>
            <w:tcW w:w="1058" w:type="dxa"/>
            <w:tcBorders>
              <w:left w:val="dashSmallGap" w:sz="4" w:space="0" w:color="auto"/>
            </w:tcBorders>
            <w:shd w:val="pct10" w:color="auto" w:fill="auto"/>
            <w:vAlign w:val="center"/>
          </w:tcPr>
          <w:p>
            <w:pPr>
              <w:spacing w:before="0" w:after="200" w:line="276" w:lineRule="auto"/>
              <w:rPr>
                <w:rFonts w:cstheme="minorBidi"/>
                <w:noProof/>
                <w:sz w:val="18"/>
                <w:szCs w:val="18"/>
              </w:rPr>
            </w:pPr>
            <w:r>
              <w:rPr>
                <w:rFonts w:cstheme="minorBidi"/>
                <w:noProof/>
                <w:sz w:val="18"/>
              </w:rPr>
              <w:t>Koszt całkowity</w:t>
            </w:r>
          </w:p>
        </w:tc>
      </w:tr>
      <w:tr>
        <w:trPr>
          <w:jc w:val="center"/>
        </w:trPr>
        <w:tc>
          <w:tcPr>
            <w:tcW w:w="3001" w:type="dxa"/>
            <w:gridSpan w:val="3"/>
            <w:vAlign w:val="center"/>
          </w:tcPr>
          <w:p>
            <w:pPr>
              <w:spacing w:before="60" w:after="60" w:line="276" w:lineRule="auto"/>
              <w:ind w:right="-29"/>
              <w:rPr>
                <w:rFonts w:cstheme="minorBidi"/>
                <w:noProof/>
                <w:sz w:val="18"/>
              </w:rPr>
            </w:pPr>
            <w:r>
              <w:rPr>
                <w:rFonts w:cstheme="minorBidi"/>
                <w:noProof/>
                <w:sz w:val="18"/>
              </w:rPr>
              <w:t xml:space="preserve">CEL SZCZEGÓŁOWY nr 2 </w:t>
            </w:r>
          </w:p>
          <w:p>
            <w:pPr>
              <w:spacing w:before="60" w:after="60" w:line="276" w:lineRule="auto"/>
              <w:ind w:right="-29"/>
              <w:rPr>
                <w:rFonts w:cstheme="minorBidi"/>
                <w:noProof/>
                <w:sz w:val="18"/>
                <w:szCs w:val="18"/>
              </w:rPr>
            </w:pPr>
            <w:r>
              <w:rPr>
                <w:rFonts w:cstheme="minorBidi"/>
                <w:noProof/>
                <w:sz w:val="18"/>
              </w:rPr>
              <w:t>Polepszenie profilu UE, jej reprezentacji na zewnątrz oraz stosunków z EBI i EBOiR, innymi międzynarodowymi instytucjami finansowymi oraz właściwymi forami gospodarczymi, służące zwiększeniu konwergencji między ich strategiami i działaniami a priorytetami polityki zewnętrznej UE</w:t>
            </w:r>
          </w:p>
        </w:tc>
        <w:tc>
          <w:tcPr>
            <w:tcW w:w="504" w:type="dxa"/>
            <w:tcBorders>
              <w:top w:val="nil"/>
              <w:left w:val="nil"/>
              <w:bottom w:val="nil"/>
              <w:right w:val="nil"/>
            </w:tcBorders>
          </w:tcPr>
          <w:p>
            <w:pPr>
              <w:spacing w:before="60" w:after="60" w:line="276" w:lineRule="auto"/>
              <w:ind w:right="-29"/>
              <w:rPr>
                <w:rFonts w:cstheme="minorBidi"/>
                <w:b/>
                <w:noProof/>
                <w:sz w:val="18"/>
                <w:szCs w:val="18"/>
              </w:rPr>
            </w:pPr>
          </w:p>
        </w:tc>
        <w:tc>
          <w:tcPr>
            <w:tcW w:w="750" w:type="dxa"/>
            <w:tcBorders>
              <w:top w:val="nil"/>
              <w:left w:val="nil"/>
              <w:bottom w:val="nil"/>
              <w:right w:val="nil"/>
            </w:tcBorders>
          </w:tcPr>
          <w:p>
            <w:pPr>
              <w:spacing w:before="60" w:after="60" w:line="276" w:lineRule="auto"/>
              <w:ind w:right="-29"/>
              <w:rPr>
                <w:rFonts w:cstheme="minorBidi"/>
                <w:b/>
                <w:noProof/>
                <w:sz w:val="18"/>
                <w:szCs w:val="18"/>
              </w:rPr>
            </w:pPr>
            <w:r>
              <w:rPr>
                <w:rFonts w:cstheme="minorBidi"/>
                <w:b/>
                <w:noProof/>
                <w:sz w:val="18"/>
              </w:rPr>
              <w:t>-</w:t>
            </w:r>
          </w:p>
        </w:tc>
        <w:tc>
          <w:tcPr>
            <w:tcW w:w="425" w:type="dxa"/>
            <w:tcBorders>
              <w:top w:val="nil"/>
              <w:left w:val="nil"/>
              <w:bottom w:val="nil"/>
              <w:right w:val="nil"/>
            </w:tcBorders>
          </w:tcPr>
          <w:p>
            <w:pPr>
              <w:spacing w:before="60" w:after="60" w:line="276" w:lineRule="auto"/>
              <w:ind w:right="-29"/>
              <w:rPr>
                <w:rFonts w:cstheme="minorBidi"/>
                <w:b/>
                <w:noProof/>
                <w:sz w:val="18"/>
                <w:szCs w:val="18"/>
              </w:rPr>
            </w:pPr>
          </w:p>
        </w:tc>
        <w:tc>
          <w:tcPr>
            <w:tcW w:w="671" w:type="dxa"/>
            <w:tcBorders>
              <w:top w:val="nil"/>
              <w:left w:val="nil"/>
              <w:bottom w:val="nil"/>
              <w:right w:val="nil"/>
            </w:tcBorders>
          </w:tcPr>
          <w:p>
            <w:pPr>
              <w:spacing w:before="60" w:after="60" w:line="276" w:lineRule="auto"/>
              <w:ind w:right="-29"/>
              <w:rPr>
                <w:rFonts w:cstheme="minorBidi"/>
                <w:b/>
                <w:noProof/>
                <w:sz w:val="18"/>
                <w:szCs w:val="18"/>
              </w:rPr>
            </w:pPr>
            <w:r>
              <w:rPr>
                <w:rFonts w:cstheme="minorBidi"/>
                <w:b/>
                <w:noProof/>
                <w:sz w:val="18"/>
              </w:rPr>
              <w:t>-</w:t>
            </w:r>
          </w:p>
        </w:tc>
        <w:tc>
          <w:tcPr>
            <w:tcW w:w="642" w:type="dxa"/>
            <w:tcBorders>
              <w:top w:val="nil"/>
              <w:left w:val="nil"/>
              <w:bottom w:val="nil"/>
              <w:right w:val="nil"/>
            </w:tcBorders>
          </w:tcPr>
          <w:p>
            <w:pPr>
              <w:spacing w:before="60" w:after="60" w:line="276" w:lineRule="auto"/>
              <w:ind w:right="-29"/>
              <w:rPr>
                <w:rFonts w:cstheme="minorBidi"/>
                <w:b/>
                <w:noProof/>
                <w:sz w:val="18"/>
                <w:szCs w:val="18"/>
              </w:rPr>
            </w:pPr>
          </w:p>
        </w:tc>
        <w:tc>
          <w:tcPr>
            <w:tcW w:w="720" w:type="dxa"/>
            <w:tcBorders>
              <w:top w:val="nil"/>
              <w:left w:val="nil"/>
              <w:bottom w:val="nil"/>
              <w:right w:val="nil"/>
            </w:tcBorders>
          </w:tcPr>
          <w:p>
            <w:pPr>
              <w:spacing w:before="60" w:after="60" w:line="276" w:lineRule="auto"/>
              <w:ind w:right="-29"/>
              <w:rPr>
                <w:rFonts w:cstheme="minorBidi"/>
                <w:b/>
                <w:noProof/>
                <w:sz w:val="18"/>
                <w:szCs w:val="18"/>
              </w:rPr>
            </w:pPr>
            <w:r>
              <w:rPr>
                <w:rFonts w:cstheme="minorBidi"/>
                <w:b/>
                <w:noProof/>
                <w:sz w:val="18"/>
              </w:rPr>
              <w:t>-</w:t>
            </w:r>
          </w:p>
        </w:tc>
        <w:tc>
          <w:tcPr>
            <w:tcW w:w="732" w:type="dxa"/>
            <w:tcBorders>
              <w:top w:val="nil"/>
              <w:left w:val="nil"/>
              <w:bottom w:val="nil"/>
              <w:right w:val="nil"/>
            </w:tcBorders>
          </w:tcPr>
          <w:p>
            <w:pPr>
              <w:spacing w:before="60" w:after="60" w:line="276" w:lineRule="auto"/>
              <w:ind w:right="-29"/>
              <w:rPr>
                <w:rFonts w:cstheme="minorBidi"/>
                <w:b/>
                <w:noProof/>
                <w:sz w:val="18"/>
                <w:szCs w:val="18"/>
              </w:rPr>
            </w:pPr>
          </w:p>
        </w:tc>
        <w:tc>
          <w:tcPr>
            <w:tcW w:w="850" w:type="dxa"/>
            <w:tcBorders>
              <w:top w:val="nil"/>
              <w:left w:val="nil"/>
              <w:bottom w:val="nil"/>
              <w:right w:val="nil"/>
            </w:tcBorders>
          </w:tcPr>
          <w:p>
            <w:pPr>
              <w:spacing w:before="60" w:after="60" w:line="276" w:lineRule="auto"/>
              <w:ind w:right="-29"/>
              <w:rPr>
                <w:rFonts w:cstheme="minorBidi"/>
                <w:b/>
                <w:noProof/>
                <w:sz w:val="18"/>
                <w:szCs w:val="18"/>
              </w:rPr>
            </w:pPr>
            <w:r>
              <w:rPr>
                <w:rFonts w:cstheme="minorBidi"/>
                <w:b/>
                <w:noProof/>
                <w:sz w:val="18"/>
              </w:rPr>
              <w:t>-</w:t>
            </w:r>
          </w:p>
        </w:tc>
        <w:tc>
          <w:tcPr>
            <w:tcW w:w="426" w:type="dxa"/>
            <w:tcBorders>
              <w:top w:val="nil"/>
              <w:left w:val="nil"/>
              <w:bottom w:val="nil"/>
              <w:right w:val="nil"/>
            </w:tcBorders>
          </w:tcPr>
          <w:p>
            <w:pPr>
              <w:spacing w:before="60" w:after="60" w:line="276" w:lineRule="auto"/>
              <w:ind w:right="-29"/>
              <w:rPr>
                <w:rFonts w:cstheme="minorBidi"/>
                <w:b/>
                <w:noProof/>
                <w:sz w:val="18"/>
                <w:szCs w:val="18"/>
              </w:rPr>
            </w:pPr>
          </w:p>
        </w:tc>
        <w:tc>
          <w:tcPr>
            <w:tcW w:w="800" w:type="dxa"/>
            <w:tcBorders>
              <w:top w:val="nil"/>
              <w:left w:val="nil"/>
              <w:bottom w:val="nil"/>
              <w:right w:val="nil"/>
            </w:tcBorders>
          </w:tcPr>
          <w:p>
            <w:pPr>
              <w:spacing w:before="60" w:after="60" w:line="276" w:lineRule="auto"/>
              <w:ind w:right="-29"/>
              <w:rPr>
                <w:rFonts w:cstheme="minorBidi"/>
                <w:b/>
                <w:noProof/>
                <w:sz w:val="18"/>
                <w:szCs w:val="18"/>
              </w:rPr>
            </w:pPr>
            <w:r>
              <w:rPr>
                <w:rFonts w:cstheme="minorBidi"/>
                <w:b/>
                <w:noProof/>
                <w:sz w:val="18"/>
              </w:rPr>
              <w:t>+ 4</w:t>
            </w:r>
          </w:p>
        </w:tc>
        <w:tc>
          <w:tcPr>
            <w:tcW w:w="432" w:type="dxa"/>
            <w:tcBorders>
              <w:top w:val="nil"/>
              <w:left w:val="nil"/>
              <w:bottom w:val="nil"/>
              <w:right w:val="nil"/>
            </w:tcBorders>
          </w:tcPr>
          <w:p>
            <w:pPr>
              <w:spacing w:before="60" w:after="60" w:line="276" w:lineRule="auto"/>
              <w:ind w:right="-29"/>
              <w:rPr>
                <w:rFonts w:cstheme="minorBidi"/>
                <w:b/>
                <w:noProof/>
                <w:sz w:val="18"/>
                <w:szCs w:val="18"/>
              </w:rPr>
            </w:pPr>
          </w:p>
        </w:tc>
        <w:tc>
          <w:tcPr>
            <w:tcW w:w="720" w:type="dxa"/>
            <w:tcBorders>
              <w:top w:val="nil"/>
              <w:left w:val="nil"/>
              <w:bottom w:val="nil"/>
              <w:right w:val="nil"/>
            </w:tcBorders>
          </w:tcPr>
          <w:p>
            <w:pPr>
              <w:spacing w:before="60" w:after="60" w:line="276" w:lineRule="auto"/>
              <w:ind w:right="-29"/>
              <w:rPr>
                <w:rFonts w:cstheme="minorBidi"/>
                <w:b/>
                <w:noProof/>
                <w:sz w:val="18"/>
                <w:szCs w:val="18"/>
              </w:rPr>
            </w:pPr>
            <w:r>
              <w:rPr>
                <w:rFonts w:cstheme="minorBidi"/>
                <w:b/>
                <w:noProof/>
                <w:sz w:val="18"/>
              </w:rPr>
              <w:t>+ 32</w:t>
            </w:r>
          </w:p>
        </w:tc>
        <w:tc>
          <w:tcPr>
            <w:tcW w:w="457" w:type="dxa"/>
            <w:tcBorders>
              <w:top w:val="nil"/>
              <w:left w:val="nil"/>
              <w:bottom w:val="nil"/>
              <w:right w:val="nil"/>
            </w:tcBorders>
          </w:tcPr>
          <w:p>
            <w:pPr>
              <w:spacing w:before="60" w:after="60" w:line="276" w:lineRule="auto"/>
              <w:ind w:right="-29"/>
              <w:rPr>
                <w:rFonts w:cstheme="minorBidi"/>
                <w:b/>
                <w:noProof/>
                <w:sz w:val="18"/>
                <w:szCs w:val="18"/>
              </w:rPr>
            </w:pPr>
          </w:p>
        </w:tc>
        <w:tc>
          <w:tcPr>
            <w:tcW w:w="803" w:type="dxa"/>
            <w:tcBorders>
              <w:top w:val="nil"/>
              <w:left w:val="nil"/>
              <w:bottom w:val="nil"/>
              <w:right w:val="nil"/>
            </w:tcBorders>
          </w:tcPr>
          <w:p>
            <w:pPr>
              <w:spacing w:before="60" w:after="60" w:line="276" w:lineRule="auto"/>
              <w:ind w:right="-29"/>
              <w:rPr>
                <w:rFonts w:cstheme="minorBidi"/>
                <w:b/>
                <w:noProof/>
                <w:sz w:val="18"/>
                <w:szCs w:val="18"/>
              </w:rPr>
            </w:pPr>
            <w:r>
              <w:rPr>
                <w:rFonts w:cstheme="minorBidi"/>
                <w:b/>
                <w:noProof/>
                <w:sz w:val="18"/>
              </w:rPr>
              <w:t>+ 79</w:t>
            </w:r>
          </w:p>
        </w:tc>
        <w:tc>
          <w:tcPr>
            <w:tcW w:w="855" w:type="dxa"/>
            <w:tcBorders>
              <w:top w:val="nil"/>
              <w:left w:val="nil"/>
              <w:bottom w:val="nil"/>
              <w:right w:val="nil"/>
            </w:tcBorders>
          </w:tcPr>
          <w:p>
            <w:pPr>
              <w:spacing w:before="60" w:after="60" w:line="276" w:lineRule="auto"/>
              <w:ind w:right="-29"/>
              <w:rPr>
                <w:rFonts w:cstheme="minorBidi"/>
                <w:b/>
                <w:noProof/>
                <w:sz w:val="18"/>
                <w:szCs w:val="18"/>
              </w:rPr>
            </w:pPr>
          </w:p>
        </w:tc>
        <w:tc>
          <w:tcPr>
            <w:tcW w:w="1058" w:type="dxa"/>
            <w:tcBorders>
              <w:top w:val="nil"/>
              <w:left w:val="nil"/>
              <w:bottom w:val="nil"/>
              <w:right w:val="nil"/>
            </w:tcBorders>
          </w:tcPr>
          <w:p>
            <w:pPr>
              <w:spacing w:before="60" w:after="60" w:line="276" w:lineRule="auto"/>
              <w:ind w:right="-29"/>
              <w:rPr>
                <w:rFonts w:cstheme="minorBidi"/>
                <w:b/>
                <w:noProof/>
                <w:sz w:val="18"/>
                <w:szCs w:val="18"/>
              </w:rPr>
            </w:pPr>
            <w:r>
              <w:rPr>
                <w:rFonts w:cstheme="minorBidi"/>
                <w:b/>
                <w:noProof/>
                <w:sz w:val="18"/>
              </w:rPr>
              <w:t>+ 115</w:t>
            </w:r>
          </w:p>
        </w:tc>
      </w:tr>
      <w:tr>
        <w:trPr>
          <w:jc w:val="center"/>
        </w:trPr>
        <w:tc>
          <w:tcPr>
            <w:tcW w:w="3001" w:type="dxa"/>
            <w:gridSpan w:val="3"/>
            <w:tcBorders>
              <w:bottom w:val="single" w:sz="12" w:space="0" w:color="auto"/>
            </w:tcBorders>
            <w:vAlign w:val="center"/>
          </w:tcPr>
          <w:p>
            <w:pPr>
              <w:spacing w:before="0" w:after="200" w:line="276" w:lineRule="auto"/>
              <w:ind w:right="-29"/>
              <w:rPr>
                <w:rFonts w:cstheme="minorBidi"/>
                <w:noProof/>
                <w:sz w:val="18"/>
                <w:szCs w:val="18"/>
              </w:rPr>
            </w:pPr>
            <w:r>
              <w:rPr>
                <w:rFonts w:cstheme="minorBidi"/>
                <w:noProof/>
                <w:sz w:val="18"/>
              </w:rPr>
              <w:t>Cel szczegółowy nr 2 – suma cząstkowa</w:t>
            </w:r>
          </w:p>
        </w:tc>
        <w:tc>
          <w:tcPr>
            <w:tcW w:w="504" w:type="dxa"/>
            <w:tcBorders>
              <w:bottom w:val="single" w:sz="12" w:space="0" w:color="auto"/>
            </w:tcBorders>
          </w:tcPr>
          <w:p>
            <w:pPr>
              <w:spacing w:before="60" w:after="60" w:line="276" w:lineRule="auto"/>
              <w:ind w:right="-29"/>
              <w:rPr>
                <w:rFonts w:cstheme="minorBidi"/>
                <w:b/>
                <w:noProof/>
                <w:sz w:val="18"/>
                <w:szCs w:val="18"/>
              </w:rPr>
            </w:pPr>
          </w:p>
        </w:tc>
        <w:tc>
          <w:tcPr>
            <w:tcW w:w="750" w:type="dxa"/>
            <w:tcBorders>
              <w:bottom w:val="single" w:sz="12" w:space="0" w:color="auto"/>
            </w:tcBorders>
          </w:tcPr>
          <w:p>
            <w:pPr>
              <w:spacing w:before="60" w:after="60" w:line="276" w:lineRule="auto"/>
              <w:ind w:right="-29"/>
              <w:rPr>
                <w:rFonts w:cstheme="minorBidi"/>
                <w:b/>
                <w:noProof/>
                <w:sz w:val="18"/>
                <w:szCs w:val="18"/>
              </w:rPr>
            </w:pPr>
            <w:r>
              <w:rPr>
                <w:rFonts w:cstheme="minorBidi"/>
                <w:b/>
                <w:noProof/>
                <w:sz w:val="18"/>
              </w:rPr>
              <w:t>-</w:t>
            </w:r>
          </w:p>
        </w:tc>
        <w:tc>
          <w:tcPr>
            <w:tcW w:w="425" w:type="dxa"/>
            <w:tcBorders>
              <w:bottom w:val="single" w:sz="12" w:space="0" w:color="auto"/>
            </w:tcBorders>
          </w:tcPr>
          <w:p>
            <w:pPr>
              <w:spacing w:before="60" w:after="60" w:line="276" w:lineRule="auto"/>
              <w:ind w:right="-29"/>
              <w:rPr>
                <w:rFonts w:cstheme="minorBidi"/>
                <w:b/>
                <w:noProof/>
                <w:sz w:val="18"/>
                <w:szCs w:val="18"/>
              </w:rPr>
            </w:pPr>
          </w:p>
        </w:tc>
        <w:tc>
          <w:tcPr>
            <w:tcW w:w="671" w:type="dxa"/>
            <w:tcBorders>
              <w:bottom w:val="single" w:sz="12" w:space="0" w:color="auto"/>
            </w:tcBorders>
          </w:tcPr>
          <w:p>
            <w:pPr>
              <w:spacing w:before="60" w:after="60" w:line="276" w:lineRule="auto"/>
              <w:ind w:right="-29"/>
              <w:rPr>
                <w:rFonts w:cstheme="minorBidi"/>
                <w:b/>
                <w:noProof/>
                <w:sz w:val="18"/>
                <w:szCs w:val="18"/>
              </w:rPr>
            </w:pPr>
            <w:r>
              <w:rPr>
                <w:rFonts w:cstheme="minorBidi"/>
                <w:b/>
                <w:noProof/>
                <w:sz w:val="18"/>
              </w:rPr>
              <w:t>-</w:t>
            </w:r>
          </w:p>
        </w:tc>
        <w:tc>
          <w:tcPr>
            <w:tcW w:w="642" w:type="dxa"/>
            <w:tcBorders>
              <w:bottom w:val="single" w:sz="12" w:space="0" w:color="auto"/>
            </w:tcBorders>
          </w:tcPr>
          <w:p>
            <w:pPr>
              <w:spacing w:before="60" w:after="60" w:line="276" w:lineRule="auto"/>
              <w:ind w:right="-29"/>
              <w:rPr>
                <w:rFonts w:cstheme="minorBidi"/>
                <w:b/>
                <w:noProof/>
                <w:sz w:val="18"/>
                <w:szCs w:val="18"/>
              </w:rPr>
            </w:pPr>
          </w:p>
        </w:tc>
        <w:tc>
          <w:tcPr>
            <w:tcW w:w="720" w:type="dxa"/>
            <w:tcBorders>
              <w:bottom w:val="single" w:sz="12" w:space="0" w:color="auto"/>
            </w:tcBorders>
          </w:tcPr>
          <w:p>
            <w:pPr>
              <w:spacing w:before="60" w:after="60" w:line="276" w:lineRule="auto"/>
              <w:ind w:right="-29"/>
              <w:rPr>
                <w:rFonts w:cstheme="minorBidi"/>
                <w:b/>
                <w:noProof/>
                <w:sz w:val="18"/>
                <w:szCs w:val="18"/>
              </w:rPr>
            </w:pPr>
            <w:r>
              <w:rPr>
                <w:rFonts w:cstheme="minorBidi"/>
                <w:b/>
                <w:noProof/>
                <w:sz w:val="18"/>
              </w:rPr>
              <w:t>-</w:t>
            </w:r>
          </w:p>
        </w:tc>
        <w:tc>
          <w:tcPr>
            <w:tcW w:w="732" w:type="dxa"/>
            <w:tcBorders>
              <w:bottom w:val="single" w:sz="12" w:space="0" w:color="auto"/>
            </w:tcBorders>
          </w:tcPr>
          <w:p>
            <w:pPr>
              <w:spacing w:before="60" w:after="60" w:line="276" w:lineRule="auto"/>
              <w:ind w:right="-29"/>
              <w:rPr>
                <w:rFonts w:cstheme="minorBidi"/>
                <w:b/>
                <w:noProof/>
                <w:sz w:val="18"/>
                <w:szCs w:val="18"/>
              </w:rPr>
            </w:pPr>
          </w:p>
        </w:tc>
        <w:tc>
          <w:tcPr>
            <w:tcW w:w="850" w:type="dxa"/>
            <w:tcBorders>
              <w:bottom w:val="single" w:sz="12" w:space="0" w:color="auto"/>
            </w:tcBorders>
          </w:tcPr>
          <w:p>
            <w:pPr>
              <w:spacing w:before="60" w:after="60" w:line="276" w:lineRule="auto"/>
              <w:ind w:right="-29"/>
              <w:rPr>
                <w:rFonts w:cstheme="minorBidi"/>
                <w:b/>
                <w:noProof/>
                <w:sz w:val="18"/>
                <w:szCs w:val="18"/>
              </w:rPr>
            </w:pPr>
            <w:r>
              <w:rPr>
                <w:rFonts w:cstheme="minorBidi"/>
                <w:b/>
                <w:noProof/>
                <w:sz w:val="18"/>
              </w:rPr>
              <w:t>-</w:t>
            </w:r>
          </w:p>
        </w:tc>
        <w:tc>
          <w:tcPr>
            <w:tcW w:w="426" w:type="dxa"/>
            <w:tcBorders>
              <w:bottom w:val="single" w:sz="12" w:space="0" w:color="auto"/>
            </w:tcBorders>
          </w:tcPr>
          <w:p>
            <w:pPr>
              <w:spacing w:before="60" w:after="60" w:line="276" w:lineRule="auto"/>
              <w:ind w:right="-29"/>
              <w:rPr>
                <w:rFonts w:cstheme="minorBidi"/>
                <w:b/>
                <w:noProof/>
                <w:sz w:val="18"/>
                <w:szCs w:val="18"/>
              </w:rPr>
            </w:pPr>
          </w:p>
        </w:tc>
        <w:tc>
          <w:tcPr>
            <w:tcW w:w="800" w:type="dxa"/>
            <w:tcBorders>
              <w:bottom w:val="single" w:sz="12" w:space="0" w:color="auto"/>
            </w:tcBorders>
          </w:tcPr>
          <w:p>
            <w:pPr>
              <w:spacing w:before="60" w:after="60" w:line="276" w:lineRule="auto"/>
              <w:ind w:right="-29"/>
              <w:rPr>
                <w:rFonts w:cstheme="minorBidi"/>
                <w:b/>
                <w:noProof/>
                <w:sz w:val="18"/>
                <w:szCs w:val="18"/>
              </w:rPr>
            </w:pPr>
            <w:r>
              <w:rPr>
                <w:rFonts w:cstheme="minorBidi"/>
                <w:b/>
                <w:noProof/>
                <w:sz w:val="18"/>
              </w:rPr>
              <w:t>+ 4</w:t>
            </w:r>
          </w:p>
        </w:tc>
        <w:tc>
          <w:tcPr>
            <w:tcW w:w="432" w:type="dxa"/>
            <w:tcBorders>
              <w:bottom w:val="single" w:sz="12" w:space="0" w:color="auto"/>
            </w:tcBorders>
          </w:tcPr>
          <w:p>
            <w:pPr>
              <w:spacing w:before="60" w:after="60" w:line="276" w:lineRule="auto"/>
              <w:ind w:right="-29"/>
              <w:rPr>
                <w:rFonts w:cstheme="minorBidi"/>
                <w:b/>
                <w:noProof/>
                <w:sz w:val="18"/>
                <w:szCs w:val="18"/>
              </w:rPr>
            </w:pPr>
          </w:p>
        </w:tc>
        <w:tc>
          <w:tcPr>
            <w:tcW w:w="720" w:type="dxa"/>
            <w:tcBorders>
              <w:bottom w:val="single" w:sz="12" w:space="0" w:color="auto"/>
            </w:tcBorders>
          </w:tcPr>
          <w:p>
            <w:pPr>
              <w:spacing w:before="60" w:after="60" w:line="276" w:lineRule="auto"/>
              <w:ind w:right="-29"/>
              <w:rPr>
                <w:rFonts w:cstheme="minorBidi"/>
                <w:b/>
                <w:noProof/>
                <w:sz w:val="18"/>
                <w:szCs w:val="18"/>
              </w:rPr>
            </w:pPr>
            <w:r>
              <w:rPr>
                <w:rFonts w:cstheme="minorBidi"/>
                <w:b/>
                <w:noProof/>
                <w:sz w:val="18"/>
              </w:rPr>
              <w:t>+ 32</w:t>
            </w:r>
          </w:p>
        </w:tc>
        <w:tc>
          <w:tcPr>
            <w:tcW w:w="457" w:type="dxa"/>
            <w:tcBorders>
              <w:bottom w:val="single" w:sz="12" w:space="0" w:color="auto"/>
            </w:tcBorders>
          </w:tcPr>
          <w:p>
            <w:pPr>
              <w:spacing w:before="60" w:after="60" w:line="276" w:lineRule="auto"/>
              <w:ind w:right="-29"/>
              <w:rPr>
                <w:rFonts w:cstheme="minorBidi"/>
                <w:b/>
                <w:noProof/>
                <w:sz w:val="18"/>
                <w:szCs w:val="18"/>
              </w:rPr>
            </w:pPr>
          </w:p>
        </w:tc>
        <w:tc>
          <w:tcPr>
            <w:tcW w:w="803" w:type="dxa"/>
            <w:tcBorders>
              <w:bottom w:val="single" w:sz="12" w:space="0" w:color="auto"/>
            </w:tcBorders>
          </w:tcPr>
          <w:p>
            <w:pPr>
              <w:spacing w:before="60" w:after="60" w:line="276" w:lineRule="auto"/>
              <w:ind w:right="-29"/>
              <w:rPr>
                <w:rFonts w:cstheme="minorBidi"/>
                <w:b/>
                <w:noProof/>
                <w:sz w:val="18"/>
                <w:szCs w:val="18"/>
              </w:rPr>
            </w:pPr>
            <w:r>
              <w:rPr>
                <w:rFonts w:cstheme="minorBidi"/>
                <w:b/>
                <w:noProof/>
                <w:sz w:val="18"/>
              </w:rPr>
              <w:t>+ 79</w:t>
            </w:r>
          </w:p>
        </w:tc>
        <w:tc>
          <w:tcPr>
            <w:tcW w:w="855" w:type="dxa"/>
            <w:tcBorders>
              <w:bottom w:val="single" w:sz="12" w:space="0" w:color="auto"/>
            </w:tcBorders>
          </w:tcPr>
          <w:p>
            <w:pPr>
              <w:spacing w:before="60" w:after="60" w:line="276" w:lineRule="auto"/>
              <w:ind w:right="-29"/>
              <w:rPr>
                <w:rFonts w:cstheme="minorBidi"/>
                <w:b/>
                <w:noProof/>
                <w:sz w:val="18"/>
                <w:szCs w:val="18"/>
              </w:rPr>
            </w:pPr>
          </w:p>
        </w:tc>
        <w:tc>
          <w:tcPr>
            <w:tcW w:w="1058" w:type="dxa"/>
            <w:tcBorders>
              <w:bottom w:val="single" w:sz="12" w:space="0" w:color="auto"/>
            </w:tcBorders>
          </w:tcPr>
          <w:p>
            <w:pPr>
              <w:spacing w:before="60" w:after="60" w:line="276" w:lineRule="auto"/>
              <w:ind w:right="-29"/>
              <w:rPr>
                <w:rFonts w:cstheme="minorBidi"/>
                <w:b/>
                <w:noProof/>
                <w:sz w:val="18"/>
                <w:szCs w:val="18"/>
              </w:rPr>
            </w:pPr>
            <w:r>
              <w:rPr>
                <w:rFonts w:cstheme="minorBidi"/>
                <w:b/>
                <w:noProof/>
                <w:sz w:val="18"/>
              </w:rPr>
              <w:t>+ 115</w:t>
            </w:r>
          </w:p>
        </w:tc>
      </w:tr>
      <w:tr>
        <w:trPr>
          <w:jc w:val="center"/>
        </w:trPr>
        <w:tc>
          <w:tcPr>
            <w:tcW w:w="3001" w:type="dxa"/>
            <w:gridSpan w:val="3"/>
            <w:tcBorders>
              <w:top w:val="single" w:sz="12" w:space="0" w:color="auto"/>
              <w:left w:val="single" w:sz="12" w:space="0" w:color="auto"/>
              <w:bottom w:val="single" w:sz="12" w:space="0" w:color="auto"/>
            </w:tcBorders>
            <w:vAlign w:val="center"/>
          </w:tcPr>
          <w:p>
            <w:pPr>
              <w:spacing w:before="0" w:after="200" w:line="276" w:lineRule="auto"/>
              <w:ind w:right="-29"/>
              <w:rPr>
                <w:rFonts w:cstheme="minorBidi"/>
                <w:noProof/>
                <w:sz w:val="18"/>
                <w:szCs w:val="18"/>
              </w:rPr>
            </w:pPr>
            <w:r>
              <w:rPr>
                <w:rFonts w:cstheme="minorBidi"/>
                <w:b/>
                <w:noProof/>
                <w:sz w:val="18"/>
              </w:rPr>
              <w:t>KOSZT OGÓŁEM</w:t>
            </w:r>
          </w:p>
        </w:tc>
        <w:tc>
          <w:tcPr>
            <w:tcW w:w="504" w:type="dxa"/>
            <w:tcBorders>
              <w:top w:val="single" w:sz="12" w:space="0" w:color="auto"/>
              <w:bottom w:val="single" w:sz="12" w:space="0" w:color="auto"/>
            </w:tcBorders>
          </w:tcPr>
          <w:p>
            <w:pPr>
              <w:spacing w:before="60" w:after="60" w:line="276" w:lineRule="auto"/>
              <w:ind w:right="-29"/>
              <w:rPr>
                <w:rFonts w:cstheme="minorBidi"/>
                <w:b/>
                <w:noProof/>
                <w:sz w:val="18"/>
                <w:szCs w:val="18"/>
              </w:rPr>
            </w:pPr>
          </w:p>
        </w:tc>
        <w:tc>
          <w:tcPr>
            <w:tcW w:w="750" w:type="dxa"/>
            <w:tcBorders>
              <w:top w:val="single" w:sz="12" w:space="0" w:color="auto"/>
              <w:bottom w:val="single" w:sz="12" w:space="0" w:color="auto"/>
            </w:tcBorders>
          </w:tcPr>
          <w:p>
            <w:pPr>
              <w:spacing w:before="60" w:after="60" w:line="276" w:lineRule="auto"/>
              <w:ind w:right="-29"/>
              <w:rPr>
                <w:rFonts w:cstheme="minorBidi"/>
                <w:b/>
                <w:noProof/>
                <w:sz w:val="18"/>
                <w:szCs w:val="18"/>
              </w:rPr>
            </w:pPr>
            <w:r>
              <w:rPr>
                <w:rFonts w:cstheme="minorBidi"/>
                <w:b/>
                <w:noProof/>
                <w:sz w:val="18"/>
              </w:rPr>
              <w:t>-</w:t>
            </w:r>
          </w:p>
        </w:tc>
        <w:tc>
          <w:tcPr>
            <w:tcW w:w="425" w:type="dxa"/>
            <w:tcBorders>
              <w:top w:val="single" w:sz="12" w:space="0" w:color="auto"/>
              <w:bottom w:val="single" w:sz="12" w:space="0" w:color="auto"/>
            </w:tcBorders>
          </w:tcPr>
          <w:p>
            <w:pPr>
              <w:spacing w:before="60" w:after="60" w:line="276" w:lineRule="auto"/>
              <w:ind w:right="-29"/>
              <w:rPr>
                <w:rFonts w:cstheme="minorBidi"/>
                <w:b/>
                <w:noProof/>
                <w:sz w:val="18"/>
                <w:szCs w:val="18"/>
              </w:rPr>
            </w:pPr>
          </w:p>
        </w:tc>
        <w:tc>
          <w:tcPr>
            <w:tcW w:w="671" w:type="dxa"/>
            <w:tcBorders>
              <w:top w:val="single" w:sz="12" w:space="0" w:color="auto"/>
              <w:bottom w:val="single" w:sz="12" w:space="0" w:color="auto"/>
            </w:tcBorders>
          </w:tcPr>
          <w:p>
            <w:pPr>
              <w:spacing w:before="60" w:after="60" w:line="276" w:lineRule="auto"/>
              <w:ind w:right="-29"/>
              <w:rPr>
                <w:rFonts w:cstheme="minorBidi"/>
                <w:b/>
                <w:noProof/>
                <w:sz w:val="18"/>
                <w:szCs w:val="18"/>
              </w:rPr>
            </w:pPr>
            <w:r>
              <w:rPr>
                <w:rFonts w:cstheme="minorBidi"/>
                <w:b/>
                <w:noProof/>
                <w:sz w:val="18"/>
              </w:rPr>
              <w:t>-</w:t>
            </w:r>
          </w:p>
        </w:tc>
        <w:tc>
          <w:tcPr>
            <w:tcW w:w="642" w:type="dxa"/>
            <w:tcBorders>
              <w:top w:val="single" w:sz="12" w:space="0" w:color="auto"/>
              <w:bottom w:val="single" w:sz="12" w:space="0" w:color="auto"/>
            </w:tcBorders>
          </w:tcPr>
          <w:p>
            <w:pPr>
              <w:spacing w:before="60" w:after="60" w:line="276" w:lineRule="auto"/>
              <w:ind w:right="-29"/>
              <w:rPr>
                <w:rFonts w:cstheme="minorBidi"/>
                <w:b/>
                <w:noProof/>
                <w:sz w:val="18"/>
                <w:szCs w:val="18"/>
              </w:rPr>
            </w:pPr>
          </w:p>
        </w:tc>
        <w:tc>
          <w:tcPr>
            <w:tcW w:w="720" w:type="dxa"/>
            <w:tcBorders>
              <w:top w:val="single" w:sz="12" w:space="0" w:color="auto"/>
              <w:bottom w:val="single" w:sz="12" w:space="0" w:color="auto"/>
            </w:tcBorders>
          </w:tcPr>
          <w:p>
            <w:pPr>
              <w:spacing w:before="60" w:after="60" w:line="276" w:lineRule="auto"/>
              <w:ind w:right="-29"/>
              <w:rPr>
                <w:rFonts w:cstheme="minorBidi"/>
                <w:b/>
                <w:noProof/>
                <w:sz w:val="18"/>
                <w:szCs w:val="18"/>
              </w:rPr>
            </w:pPr>
            <w:r>
              <w:rPr>
                <w:rFonts w:cstheme="minorBidi"/>
                <w:b/>
                <w:noProof/>
                <w:sz w:val="18"/>
              </w:rPr>
              <w:t>-</w:t>
            </w:r>
          </w:p>
        </w:tc>
        <w:tc>
          <w:tcPr>
            <w:tcW w:w="732" w:type="dxa"/>
            <w:tcBorders>
              <w:top w:val="single" w:sz="12" w:space="0" w:color="auto"/>
              <w:bottom w:val="single" w:sz="12" w:space="0" w:color="auto"/>
            </w:tcBorders>
          </w:tcPr>
          <w:p>
            <w:pPr>
              <w:spacing w:before="60" w:after="60" w:line="276" w:lineRule="auto"/>
              <w:ind w:right="-29"/>
              <w:rPr>
                <w:rFonts w:cstheme="minorBidi"/>
                <w:b/>
                <w:noProof/>
                <w:sz w:val="18"/>
                <w:szCs w:val="18"/>
              </w:rPr>
            </w:pPr>
          </w:p>
        </w:tc>
        <w:tc>
          <w:tcPr>
            <w:tcW w:w="850" w:type="dxa"/>
            <w:tcBorders>
              <w:top w:val="single" w:sz="12" w:space="0" w:color="auto"/>
              <w:bottom w:val="single" w:sz="12" w:space="0" w:color="auto"/>
            </w:tcBorders>
          </w:tcPr>
          <w:p>
            <w:pPr>
              <w:spacing w:before="60" w:after="60" w:line="276" w:lineRule="auto"/>
              <w:ind w:right="-29"/>
              <w:rPr>
                <w:rFonts w:cstheme="minorBidi"/>
                <w:b/>
                <w:noProof/>
                <w:sz w:val="18"/>
                <w:szCs w:val="18"/>
              </w:rPr>
            </w:pPr>
            <w:r>
              <w:rPr>
                <w:rFonts w:cstheme="minorBidi"/>
                <w:b/>
                <w:noProof/>
                <w:sz w:val="18"/>
              </w:rPr>
              <w:t>-</w:t>
            </w:r>
          </w:p>
        </w:tc>
        <w:tc>
          <w:tcPr>
            <w:tcW w:w="426" w:type="dxa"/>
            <w:tcBorders>
              <w:top w:val="single" w:sz="12" w:space="0" w:color="auto"/>
              <w:bottom w:val="single" w:sz="12" w:space="0" w:color="auto"/>
            </w:tcBorders>
          </w:tcPr>
          <w:p>
            <w:pPr>
              <w:spacing w:before="60" w:after="60" w:line="276" w:lineRule="auto"/>
              <w:ind w:right="-29"/>
              <w:rPr>
                <w:rFonts w:cstheme="minorBidi"/>
                <w:b/>
                <w:noProof/>
                <w:sz w:val="18"/>
                <w:szCs w:val="18"/>
              </w:rPr>
            </w:pPr>
          </w:p>
        </w:tc>
        <w:tc>
          <w:tcPr>
            <w:tcW w:w="800" w:type="dxa"/>
            <w:tcBorders>
              <w:top w:val="single" w:sz="12" w:space="0" w:color="auto"/>
              <w:bottom w:val="single" w:sz="12" w:space="0" w:color="auto"/>
            </w:tcBorders>
          </w:tcPr>
          <w:p>
            <w:pPr>
              <w:spacing w:before="60" w:after="60" w:line="276" w:lineRule="auto"/>
              <w:ind w:right="-29"/>
              <w:rPr>
                <w:rFonts w:cstheme="minorBidi"/>
                <w:b/>
                <w:noProof/>
                <w:sz w:val="18"/>
                <w:szCs w:val="18"/>
              </w:rPr>
            </w:pPr>
            <w:r>
              <w:rPr>
                <w:rFonts w:cstheme="minorBidi"/>
                <w:b/>
                <w:noProof/>
                <w:sz w:val="18"/>
              </w:rPr>
              <w:t>+ 4</w:t>
            </w:r>
          </w:p>
        </w:tc>
        <w:tc>
          <w:tcPr>
            <w:tcW w:w="432" w:type="dxa"/>
            <w:tcBorders>
              <w:top w:val="single" w:sz="12" w:space="0" w:color="auto"/>
              <w:bottom w:val="single" w:sz="12" w:space="0" w:color="auto"/>
            </w:tcBorders>
          </w:tcPr>
          <w:p>
            <w:pPr>
              <w:spacing w:before="60" w:after="60" w:line="276" w:lineRule="auto"/>
              <w:ind w:right="-29"/>
              <w:rPr>
                <w:rFonts w:cstheme="minorBidi"/>
                <w:b/>
                <w:noProof/>
                <w:sz w:val="18"/>
                <w:szCs w:val="18"/>
              </w:rPr>
            </w:pPr>
          </w:p>
        </w:tc>
        <w:tc>
          <w:tcPr>
            <w:tcW w:w="720" w:type="dxa"/>
            <w:tcBorders>
              <w:top w:val="single" w:sz="12" w:space="0" w:color="auto"/>
              <w:bottom w:val="single" w:sz="12" w:space="0" w:color="auto"/>
            </w:tcBorders>
          </w:tcPr>
          <w:p>
            <w:pPr>
              <w:spacing w:before="60" w:after="60" w:line="276" w:lineRule="auto"/>
              <w:ind w:right="-29"/>
              <w:rPr>
                <w:rFonts w:cstheme="minorBidi"/>
                <w:b/>
                <w:noProof/>
                <w:sz w:val="18"/>
                <w:szCs w:val="18"/>
              </w:rPr>
            </w:pPr>
            <w:r>
              <w:rPr>
                <w:rFonts w:cstheme="minorBidi"/>
                <w:b/>
                <w:noProof/>
                <w:sz w:val="18"/>
              </w:rPr>
              <w:t>+ 32</w:t>
            </w:r>
          </w:p>
        </w:tc>
        <w:tc>
          <w:tcPr>
            <w:tcW w:w="457" w:type="dxa"/>
            <w:tcBorders>
              <w:top w:val="single" w:sz="12" w:space="0" w:color="auto"/>
              <w:bottom w:val="single" w:sz="12" w:space="0" w:color="auto"/>
            </w:tcBorders>
          </w:tcPr>
          <w:p>
            <w:pPr>
              <w:spacing w:before="60" w:after="60" w:line="276" w:lineRule="auto"/>
              <w:ind w:right="-29"/>
              <w:rPr>
                <w:rFonts w:cstheme="minorBidi"/>
                <w:b/>
                <w:noProof/>
                <w:sz w:val="18"/>
                <w:szCs w:val="18"/>
              </w:rPr>
            </w:pPr>
          </w:p>
        </w:tc>
        <w:tc>
          <w:tcPr>
            <w:tcW w:w="803" w:type="dxa"/>
            <w:tcBorders>
              <w:top w:val="single" w:sz="12" w:space="0" w:color="auto"/>
              <w:bottom w:val="single" w:sz="12" w:space="0" w:color="auto"/>
            </w:tcBorders>
          </w:tcPr>
          <w:p>
            <w:pPr>
              <w:spacing w:before="60" w:after="60" w:line="276" w:lineRule="auto"/>
              <w:ind w:right="-29"/>
              <w:rPr>
                <w:rFonts w:cstheme="minorBidi"/>
                <w:b/>
                <w:noProof/>
                <w:sz w:val="18"/>
                <w:szCs w:val="18"/>
              </w:rPr>
            </w:pPr>
            <w:r>
              <w:rPr>
                <w:rFonts w:cstheme="minorBidi"/>
                <w:b/>
                <w:noProof/>
                <w:sz w:val="18"/>
              </w:rPr>
              <w:t>+ 79</w:t>
            </w:r>
          </w:p>
        </w:tc>
        <w:tc>
          <w:tcPr>
            <w:tcW w:w="855" w:type="dxa"/>
            <w:tcBorders>
              <w:top w:val="single" w:sz="12" w:space="0" w:color="auto"/>
              <w:bottom w:val="single" w:sz="12" w:space="0" w:color="auto"/>
            </w:tcBorders>
          </w:tcPr>
          <w:p>
            <w:pPr>
              <w:spacing w:before="60" w:after="60" w:line="276" w:lineRule="auto"/>
              <w:ind w:right="-29"/>
              <w:rPr>
                <w:rFonts w:cstheme="minorBidi"/>
                <w:b/>
                <w:noProof/>
                <w:sz w:val="18"/>
                <w:szCs w:val="18"/>
              </w:rPr>
            </w:pPr>
          </w:p>
        </w:tc>
        <w:tc>
          <w:tcPr>
            <w:tcW w:w="1058" w:type="dxa"/>
            <w:tcBorders>
              <w:top w:val="single" w:sz="12" w:space="0" w:color="auto"/>
              <w:bottom w:val="single" w:sz="12" w:space="0" w:color="auto"/>
              <w:right w:val="single" w:sz="12" w:space="0" w:color="auto"/>
            </w:tcBorders>
          </w:tcPr>
          <w:p>
            <w:pPr>
              <w:spacing w:before="60" w:after="60" w:line="276" w:lineRule="auto"/>
              <w:ind w:right="-29"/>
              <w:rPr>
                <w:rFonts w:cstheme="minorBidi"/>
                <w:b/>
                <w:noProof/>
                <w:sz w:val="18"/>
                <w:szCs w:val="18"/>
              </w:rPr>
            </w:pPr>
            <w:r>
              <w:rPr>
                <w:rFonts w:cstheme="minorBidi"/>
                <w:b/>
                <w:noProof/>
                <w:sz w:val="18"/>
              </w:rPr>
              <w:t>+ 115</w:t>
            </w:r>
          </w:p>
        </w:tc>
      </w:tr>
    </w:tbl>
    <w:p>
      <w:pPr>
        <w:spacing w:before="0" w:after="200" w:line="276" w:lineRule="auto"/>
        <w:rPr>
          <w:rFonts w:cstheme="minorBidi"/>
          <w:noProof/>
          <w:sz w:val="22"/>
        </w:rPr>
      </w:pPr>
    </w:p>
    <w:p>
      <w:pPr>
        <w:spacing w:before="0" w:after="200" w:line="276" w:lineRule="auto"/>
        <w:rPr>
          <w:rFonts w:cstheme="minorBidi"/>
          <w:noProof/>
          <w:sz w:val="22"/>
        </w:rPr>
      </w:pPr>
      <w:r>
        <w:rPr>
          <w:rFonts w:cstheme="minorBidi"/>
          <w:noProof/>
          <w:sz w:val="22"/>
        </w:rPr>
        <w:t>Szacunkowy wpływ na środki operacyjne można podsumować następująco:</w:t>
      </w:r>
    </w:p>
    <w:p>
      <w:pPr>
        <w:spacing w:before="0" w:after="200" w:line="276" w:lineRule="auto"/>
        <w:rPr>
          <w:rFonts w:cstheme="minorBidi"/>
          <w:noProof/>
          <w:sz w:val="22"/>
        </w:rPr>
      </w:pPr>
      <w:r>
        <w:rPr>
          <w:rFonts w:cstheme="minorBidi"/>
          <w:noProof/>
          <w:sz w:val="22"/>
        </w:rPr>
        <w:t>• 01 0305 – „Gwarancja UE dotycząca udzielonych przez EBI pożyczek i gwarancji na zabezpieczenie pożyczek na działania w państwach trzecich”</w:t>
      </w:r>
    </w:p>
    <w:p>
      <w:pPr>
        <w:spacing w:before="0" w:after="200" w:line="276" w:lineRule="auto"/>
        <w:rPr>
          <w:rFonts w:cstheme="minorBidi"/>
          <w:noProof/>
          <w:sz w:val="22"/>
        </w:rPr>
      </w:pPr>
      <w:r>
        <w:rPr>
          <w:rFonts w:cstheme="minorBidi"/>
          <w:noProof/>
          <w:sz w:val="22"/>
        </w:rPr>
        <w:t>Wpis w budżecie („p.m.”) odzwierciedlający gwarancję budżetową obejmującą pożyczki EBI dla państw trzecich zostanie uruchomiony tylko w razie faktycznego uruchomienia gwarancji na pokrycie kwot, które nie mogą zostać w całości pokryte z funduszu gwarancyjnego.</w:t>
      </w:r>
    </w:p>
    <w:p>
      <w:pPr>
        <w:spacing w:before="0" w:after="200" w:line="276" w:lineRule="auto"/>
        <w:rPr>
          <w:rFonts w:cstheme="minorBidi"/>
          <w:noProof/>
          <w:sz w:val="22"/>
        </w:rPr>
      </w:pPr>
      <w:r>
        <w:rPr>
          <w:rFonts w:cstheme="minorBidi"/>
          <w:noProof/>
          <w:sz w:val="22"/>
        </w:rPr>
        <w:t>• 01 0306 – „Finansowanie funduszu gwarancyjnego”</w:t>
      </w:r>
    </w:p>
    <w:p>
      <w:pPr>
        <w:spacing w:before="0" w:after="200" w:line="276" w:lineRule="auto"/>
        <w:rPr>
          <w:rFonts w:cstheme="minorBidi"/>
          <w:noProof/>
          <w:sz w:val="22"/>
        </w:rPr>
      </w:pPr>
      <w:r>
        <w:rPr>
          <w:rFonts w:cstheme="minorBidi"/>
          <w:noProof/>
          <w:sz w:val="22"/>
        </w:rPr>
        <w:t>Fundusz Gwarancyjny dla działań zewnętrznych musi być zasilany zgodnie z rozporządzeniem w sprawie funduszu gwarancyjnego (rozporządzenie Rady (WE, Euratom) nr 480/2009). Zgodnie z tym rozporządzeniem wpłaty są dokonywane na podstawie kwoty pożyczki pozostającej do spłaty na koniec roku. Wysokość wpłaty jest obliczana na początku roku „n” jako różnica pomiędzy kwotą docelową (wynoszącą 9 % kwoty pozostającej do spłaty) a wartością aktywów netto funduszu na koniec roku „n-1”. Obliczona w ten sposób wysokość wpłaty jest włączana w roku „n” do projektu budżetu na rok „n+1” i faktycznie wpłacana do funduszu gwarancyjnego w ramach jednej transakcji na początku roku „n+1” z pozycji w budżecie nr 01 0306.</w:t>
      </w:r>
    </w:p>
    <w:p>
      <w:pPr>
        <w:spacing w:before="0" w:after="200" w:line="276" w:lineRule="auto"/>
        <w:rPr>
          <w:rFonts w:cstheme="minorBidi"/>
          <w:noProof/>
          <w:sz w:val="22"/>
        </w:rPr>
      </w:pPr>
      <w:r>
        <w:rPr>
          <w:rFonts w:cstheme="minorBidi"/>
          <w:noProof/>
          <w:sz w:val="22"/>
        </w:rPr>
        <w:t>Fundusz gwarancyjny obejmuje również pomoc makrofinansową i pożyczki Euratomu, które nie są objęte zakresem proponowanej decyzji. W związku z tym szacowane zapotrzebowanie na środki budżetowe uwzględnia zarówno istniejące zatwierdzone działania, jak i nowe działania w ramach tych dwóch typów działalności. Faktyczne roczne potrzeby finansowe funduszu gwarancyjnego w latach 2014–2020 będą ostatecznie zależeć od faktycznego rytmu zatwierdzenia, wypłat i spłat pożyczek na te trzy rodzaje działalności, jak również od zmiany stanu aktywów funduszu gwarancyjnego.</w:t>
      </w:r>
    </w:p>
    <w:p>
      <w:pPr>
        <w:spacing w:before="0" w:after="200" w:line="276" w:lineRule="auto"/>
        <w:rPr>
          <w:rFonts w:cstheme="minorBidi"/>
          <w:noProof/>
          <w:sz w:val="22"/>
        </w:rPr>
      </w:pPr>
      <w:r>
        <w:rPr>
          <w:rFonts w:cstheme="minorBidi"/>
          <w:noProof/>
          <w:sz w:val="22"/>
        </w:rPr>
        <w:t>Poniższa tabela zawiera zestawienie planowanych działań zewnętrznych objętych funduszem gwarancyjnym w latach 2014–2026 (wolumen zatwierdzonych pożyczek i wypłaconych kwot z ich tytułu).</w:t>
      </w:r>
    </w:p>
    <w:p>
      <w:pPr>
        <w:spacing w:before="0" w:after="200" w:line="276" w:lineRule="auto"/>
        <w:rPr>
          <w:rFonts w:cstheme="minorBidi"/>
          <w:noProof/>
          <w:sz w:val="22"/>
        </w:rPr>
      </w:pPr>
    </w:p>
    <w:p>
      <w:pPr>
        <w:spacing w:before="0" w:after="200" w:line="276" w:lineRule="auto"/>
        <w:jc w:val="center"/>
        <w:rPr>
          <w:rFonts w:cstheme="minorBidi"/>
          <w:b/>
          <w:noProof/>
          <w:sz w:val="18"/>
          <w:szCs w:val="18"/>
        </w:rPr>
      </w:pPr>
      <w:r>
        <w:rPr>
          <w:rFonts w:cstheme="minorBidi"/>
          <w:b/>
          <w:noProof/>
          <w:sz w:val="18"/>
        </w:rPr>
        <w:t>Prognoza dotycząca stanu należności (32,3 mld EUR) w latach 2014–2026 z tytułu pożyczek EBI, Euratomu i w ramach pomocy makrofinansowej (MFA)</w:t>
      </w:r>
    </w:p>
    <w:tbl>
      <w:tblPr>
        <w:tblW w:w="908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605"/>
        <w:gridCol w:w="606"/>
        <w:gridCol w:w="605"/>
        <w:gridCol w:w="606"/>
        <w:gridCol w:w="605"/>
        <w:gridCol w:w="606"/>
        <w:gridCol w:w="605"/>
        <w:gridCol w:w="606"/>
        <w:gridCol w:w="605"/>
        <w:gridCol w:w="606"/>
        <w:gridCol w:w="605"/>
        <w:gridCol w:w="606"/>
        <w:gridCol w:w="606"/>
      </w:tblGrid>
      <w:tr>
        <w:trPr>
          <w:trHeight w:val="315"/>
          <w:jc w:val="center"/>
        </w:trPr>
        <w:tc>
          <w:tcPr>
            <w:tcW w:w="1215" w:type="dxa"/>
            <w:shd w:val="clear" w:color="auto" w:fill="FFFFFF"/>
            <w:noWrap/>
            <w:vAlign w:val="bottom"/>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STAN NALEŻNOŚCI OGÓŁEM (EBI + EURATOM + MFA)</w:t>
            </w:r>
          </w:p>
        </w:tc>
        <w:tc>
          <w:tcPr>
            <w:tcW w:w="605" w:type="dxa"/>
            <w:shd w:val="clear" w:color="auto" w:fill="auto"/>
            <w:noWrap/>
            <w:vAlign w:val="center"/>
            <w:hideMark/>
          </w:tcPr>
          <w:p>
            <w:pPr>
              <w:spacing w:before="0" w:after="0" w:line="276" w:lineRule="auto"/>
              <w:jc w:val="center"/>
              <w:rPr>
                <w:rFonts w:eastAsia="Times New Roman" w:cstheme="minorBidi"/>
                <w:b/>
                <w:bCs/>
                <w:noProof/>
                <w:sz w:val="12"/>
                <w:szCs w:val="12"/>
              </w:rPr>
            </w:pPr>
            <w:r>
              <w:rPr>
                <w:rFonts w:cstheme="minorBidi"/>
                <w:b/>
                <w:noProof/>
                <w:sz w:val="12"/>
              </w:rPr>
              <w:t>Koniec 2014 r.</w:t>
            </w:r>
          </w:p>
        </w:tc>
        <w:tc>
          <w:tcPr>
            <w:tcW w:w="606" w:type="dxa"/>
            <w:shd w:val="clear" w:color="auto" w:fill="auto"/>
            <w:noWrap/>
            <w:vAlign w:val="center"/>
            <w:hideMark/>
          </w:tcPr>
          <w:p>
            <w:pPr>
              <w:spacing w:before="0" w:after="0" w:line="276" w:lineRule="auto"/>
              <w:jc w:val="center"/>
              <w:rPr>
                <w:rFonts w:eastAsia="Times New Roman" w:cstheme="minorBidi"/>
                <w:b/>
                <w:bCs/>
                <w:noProof/>
                <w:sz w:val="12"/>
                <w:szCs w:val="12"/>
              </w:rPr>
            </w:pPr>
            <w:r>
              <w:rPr>
                <w:rFonts w:cstheme="minorBidi"/>
                <w:b/>
                <w:noProof/>
                <w:sz w:val="12"/>
              </w:rPr>
              <w:t>Koniec 2015 r.</w:t>
            </w:r>
          </w:p>
        </w:tc>
        <w:tc>
          <w:tcPr>
            <w:tcW w:w="605" w:type="dxa"/>
            <w:shd w:val="clear" w:color="auto" w:fill="auto"/>
            <w:noWrap/>
            <w:vAlign w:val="center"/>
            <w:hideMark/>
          </w:tcPr>
          <w:p>
            <w:pPr>
              <w:spacing w:before="0" w:after="0" w:line="276" w:lineRule="auto"/>
              <w:jc w:val="center"/>
              <w:rPr>
                <w:rFonts w:eastAsia="Times New Roman" w:cstheme="minorBidi"/>
                <w:b/>
                <w:bCs/>
                <w:noProof/>
                <w:sz w:val="12"/>
                <w:szCs w:val="12"/>
              </w:rPr>
            </w:pPr>
            <w:r>
              <w:rPr>
                <w:rFonts w:cstheme="minorBidi"/>
                <w:b/>
                <w:noProof/>
                <w:sz w:val="12"/>
              </w:rPr>
              <w:t>Koniec 2016 r.</w:t>
            </w:r>
          </w:p>
        </w:tc>
        <w:tc>
          <w:tcPr>
            <w:tcW w:w="606" w:type="dxa"/>
            <w:shd w:val="clear" w:color="auto" w:fill="auto"/>
            <w:noWrap/>
            <w:vAlign w:val="center"/>
            <w:hideMark/>
          </w:tcPr>
          <w:p>
            <w:pPr>
              <w:spacing w:before="0" w:after="0" w:line="276" w:lineRule="auto"/>
              <w:jc w:val="center"/>
              <w:rPr>
                <w:rFonts w:eastAsia="Times New Roman" w:cstheme="minorBidi"/>
                <w:b/>
                <w:bCs/>
                <w:noProof/>
                <w:sz w:val="12"/>
                <w:szCs w:val="12"/>
              </w:rPr>
            </w:pPr>
            <w:r>
              <w:rPr>
                <w:rFonts w:cstheme="minorBidi"/>
                <w:b/>
                <w:noProof/>
                <w:sz w:val="12"/>
              </w:rPr>
              <w:t>Koniec 2017 r.</w:t>
            </w:r>
          </w:p>
        </w:tc>
        <w:tc>
          <w:tcPr>
            <w:tcW w:w="605" w:type="dxa"/>
            <w:shd w:val="clear" w:color="auto" w:fill="auto"/>
            <w:noWrap/>
            <w:vAlign w:val="center"/>
            <w:hideMark/>
          </w:tcPr>
          <w:p>
            <w:pPr>
              <w:spacing w:before="0" w:after="0" w:line="276" w:lineRule="auto"/>
              <w:jc w:val="center"/>
              <w:rPr>
                <w:rFonts w:eastAsia="Times New Roman" w:cstheme="minorBidi"/>
                <w:b/>
                <w:bCs/>
                <w:noProof/>
                <w:sz w:val="12"/>
                <w:szCs w:val="12"/>
              </w:rPr>
            </w:pPr>
            <w:r>
              <w:rPr>
                <w:rFonts w:cstheme="minorBidi"/>
                <w:b/>
                <w:noProof/>
                <w:sz w:val="12"/>
              </w:rPr>
              <w:t>Koniec 2018 r.</w:t>
            </w:r>
          </w:p>
        </w:tc>
        <w:tc>
          <w:tcPr>
            <w:tcW w:w="606" w:type="dxa"/>
            <w:shd w:val="clear" w:color="auto" w:fill="auto"/>
            <w:noWrap/>
            <w:vAlign w:val="center"/>
            <w:hideMark/>
          </w:tcPr>
          <w:p>
            <w:pPr>
              <w:spacing w:before="0" w:after="0" w:line="276" w:lineRule="auto"/>
              <w:jc w:val="center"/>
              <w:rPr>
                <w:rFonts w:eastAsia="Times New Roman" w:cstheme="minorBidi"/>
                <w:b/>
                <w:bCs/>
                <w:noProof/>
                <w:sz w:val="12"/>
                <w:szCs w:val="12"/>
              </w:rPr>
            </w:pPr>
            <w:r>
              <w:rPr>
                <w:rFonts w:cstheme="minorBidi"/>
                <w:b/>
                <w:noProof/>
                <w:sz w:val="12"/>
              </w:rPr>
              <w:t>Koniec 2019 r.</w:t>
            </w:r>
          </w:p>
        </w:tc>
        <w:tc>
          <w:tcPr>
            <w:tcW w:w="605" w:type="dxa"/>
            <w:shd w:val="clear" w:color="auto" w:fill="auto"/>
            <w:noWrap/>
            <w:vAlign w:val="center"/>
            <w:hideMark/>
          </w:tcPr>
          <w:p>
            <w:pPr>
              <w:spacing w:before="0" w:after="0" w:line="276" w:lineRule="auto"/>
              <w:jc w:val="center"/>
              <w:rPr>
                <w:rFonts w:eastAsia="Times New Roman" w:cstheme="minorBidi"/>
                <w:b/>
                <w:bCs/>
                <w:noProof/>
                <w:sz w:val="12"/>
                <w:szCs w:val="12"/>
              </w:rPr>
            </w:pPr>
            <w:r>
              <w:rPr>
                <w:rFonts w:cstheme="minorBidi"/>
                <w:b/>
                <w:noProof/>
                <w:sz w:val="12"/>
              </w:rPr>
              <w:t>Koniec 2020 r.</w:t>
            </w:r>
          </w:p>
        </w:tc>
        <w:tc>
          <w:tcPr>
            <w:tcW w:w="606" w:type="dxa"/>
            <w:shd w:val="clear" w:color="auto" w:fill="auto"/>
            <w:noWrap/>
            <w:vAlign w:val="center"/>
            <w:hideMark/>
          </w:tcPr>
          <w:p>
            <w:pPr>
              <w:spacing w:before="0" w:after="0" w:line="276" w:lineRule="auto"/>
              <w:jc w:val="center"/>
              <w:rPr>
                <w:rFonts w:eastAsia="Times New Roman" w:cstheme="minorBidi"/>
                <w:b/>
                <w:bCs/>
                <w:noProof/>
                <w:sz w:val="12"/>
                <w:szCs w:val="12"/>
              </w:rPr>
            </w:pPr>
            <w:r>
              <w:rPr>
                <w:rFonts w:cstheme="minorBidi"/>
                <w:b/>
                <w:noProof/>
                <w:sz w:val="12"/>
              </w:rPr>
              <w:t>Koniec 2021 r.</w:t>
            </w:r>
          </w:p>
        </w:tc>
        <w:tc>
          <w:tcPr>
            <w:tcW w:w="605" w:type="dxa"/>
            <w:shd w:val="clear" w:color="auto" w:fill="auto"/>
            <w:noWrap/>
            <w:vAlign w:val="center"/>
            <w:hideMark/>
          </w:tcPr>
          <w:p>
            <w:pPr>
              <w:spacing w:before="0" w:after="0" w:line="276" w:lineRule="auto"/>
              <w:jc w:val="center"/>
              <w:rPr>
                <w:rFonts w:eastAsia="Times New Roman" w:cstheme="minorBidi"/>
                <w:b/>
                <w:bCs/>
                <w:noProof/>
                <w:sz w:val="12"/>
                <w:szCs w:val="12"/>
              </w:rPr>
            </w:pPr>
            <w:r>
              <w:rPr>
                <w:rFonts w:cstheme="minorBidi"/>
                <w:b/>
                <w:noProof/>
                <w:sz w:val="12"/>
              </w:rPr>
              <w:t>Koniec 2022 r.</w:t>
            </w:r>
          </w:p>
        </w:tc>
        <w:tc>
          <w:tcPr>
            <w:tcW w:w="606" w:type="dxa"/>
            <w:shd w:val="clear" w:color="auto" w:fill="auto"/>
            <w:noWrap/>
            <w:vAlign w:val="center"/>
            <w:hideMark/>
          </w:tcPr>
          <w:p>
            <w:pPr>
              <w:spacing w:before="0" w:after="0" w:line="276" w:lineRule="auto"/>
              <w:jc w:val="center"/>
              <w:rPr>
                <w:rFonts w:eastAsia="Times New Roman" w:cstheme="minorBidi"/>
                <w:b/>
                <w:bCs/>
                <w:noProof/>
                <w:sz w:val="12"/>
                <w:szCs w:val="12"/>
              </w:rPr>
            </w:pPr>
            <w:r>
              <w:rPr>
                <w:rFonts w:cstheme="minorBidi"/>
                <w:b/>
                <w:noProof/>
                <w:sz w:val="12"/>
              </w:rPr>
              <w:t>Koniec 2023 r.</w:t>
            </w:r>
          </w:p>
        </w:tc>
        <w:tc>
          <w:tcPr>
            <w:tcW w:w="605" w:type="dxa"/>
            <w:shd w:val="clear" w:color="auto" w:fill="auto"/>
            <w:noWrap/>
            <w:vAlign w:val="center"/>
            <w:hideMark/>
          </w:tcPr>
          <w:p>
            <w:pPr>
              <w:spacing w:before="0" w:after="0" w:line="276" w:lineRule="auto"/>
              <w:jc w:val="center"/>
              <w:rPr>
                <w:rFonts w:eastAsia="Times New Roman" w:cstheme="minorBidi"/>
                <w:b/>
                <w:bCs/>
                <w:noProof/>
                <w:sz w:val="12"/>
                <w:szCs w:val="12"/>
              </w:rPr>
            </w:pPr>
            <w:r>
              <w:rPr>
                <w:rFonts w:cstheme="minorBidi"/>
                <w:b/>
                <w:noProof/>
                <w:sz w:val="12"/>
              </w:rPr>
              <w:t>Koniec 2024 r.</w:t>
            </w:r>
          </w:p>
        </w:tc>
        <w:tc>
          <w:tcPr>
            <w:tcW w:w="606" w:type="dxa"/>
            <w:shd w:val="clear" w:color="auto" w:fill="auto"/>
            <w:noWrap/>
            <w:vAlign w:val="center"/>
            <w:hideMark/>
          </w:tcPr>
          <w:p>
            <w:pPr>
              <w:spacing w:before="0" w:after="0" w:line="276" w:lineRule="auto"/>
              <w:jc w:val="center"/>
              <w:rPr>
                <w:rFonts w:eastAsia="Times New Roman" w:cstheme="minorBidi"/>
                <w:b/>
                <w:bCs/>
                <w:noProof/>
                <w:sz w:val="12"/>
                <w:szCs w:val="12"/>
              </w:rPr>
            </w:pPr>
            <w:r>
              <w:rPr>
                <w:rFonts w:cstheme="minorBidi"/>
                <w:b/>
                <w:noProof/>
                <w:sz w:val="12"/>
              </w:rPr>
              <w:t>Koniec 2025 r.</w:t>
            </w:r>
          </w:p>
        </w:tc>
        <w:tc>
          <w:tcPr>
            <w:tcW w:w="606" w:type="dxa"/>
            <w:shd w:val="clear" w:color="auto" w:fill="auto"/>
            <w:noWrap/>
            <w:vAlign w:val="center"/>
            <w:hideMark/>
          </w:tcPr>
          <w:p>
            <w:pPr>
              <w:spacing w:before="0" w:after="0" w:line="276" w:lineRule="auto"/>
              <w:jc w:val="center"/>
              <w:rPr>
                <w:rFonts w:eastAsia="Times New Roman" w:cstheme="minorBidi"/>
                <w:b/>
                <w:bCs/>
                <w:noProof/>
                <w:sz w:val="12"/>
                <w:szCs w:val="12"/>
              </w:rPr>
            </w:pPr>
            <w:r>
              <w:rPr>
                <w:rFonts w:cstheme="minorBidi"/>
                <w:b/>
                <w:noProof/>
                <w:sz w:val="12"/>
              </w:rPr>
              <w:t>Koniec 2026 r.</w:t>
            </w:r>
          </w:p>
        </w:tc>
      </w:tr>
      <w:tr>
        <w:trPr>
          <w:trHeight w:val="300"/>
          <w:jc w:val="center"/>
        </w:trPr>
        <w:tc>
          <w:tcPr>
            <w:tcW w:w="1215" w:type="dxa"/>
            <w:shd w:val="clear" w:color="auto" w:fill="auto"/>
            <w:noWrap/>
            <w:vAlign w:val="bottom"/>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Stan należności</w:t>
            </w:r>
          </w:p>
        </w:tc>
        <w:tc>
          <w:tcPr>
            <w:tcW w:w="605" w:type="dxa"/>
            <w:shd w:val="clear" w:color="auto" w:fill="FFFFFF"/>
            <w:noWrap/>
            <w:vAlign w:val="center"/>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26 353</w:t>
            </w:r>
          </w:p>
        </w:tc>
        <w:tc>
          <w:tcPr>
            <w:tcW w:w="606" w:type="dxa"/>
            <w:shd w:val="clear" w:color="auto" w:fill="FFFFFF"/>
            <w:noWrap/>
            <w:vAlign w:val="center"/>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28 451</w:t>
            </w:r>
          </w:p>
        </w:tc>
        <w:tc>
          <w:tcPr>
            <w:tcW w:w="605" w:type="dxa"/>
            <w:shd w:val="clear" w:color="auto" w:fill="FFFFFF"/>
            <w:noWrap/>
            <w:vAlign w:val="center"/>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30 744</w:t>
            </w:r>
          </w:p>
        </w:tc>
        <w:tc>
          <w:tcPr>
            <w:tcW w:w="606" w:type="dxa"/>
            <w:shd w:val="clear" w:color="auto" w:fill="FFFFFF"/>
            <w:noWrap/>
            <w:vAlign w:val="center"/>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32 730</w:t>
            </w:r>
          </w:p>
        </w:tc>
        <w:tc>
          <w:tcPr>
            <w:tcW w:w="605" w:type="dxa"/>
            <w:shd w:val="clear" w:color="auto" w:fill="FFFFFF"/>
            <w:noWrap/>
            <w:vAlign w:val="center"/>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35 198</w:t>
            </w:r>
          </w:p>
        </w:tc>
        <w:tc>
          <w:tcPr>
            <w:tcW w:w="606" w:type="dxa"/>
            <w:shd w:val="clear" w:color="auto" w:fill="FFFFFF"/>
            <w:noWrap/>
            <w:vAlign w:val="center"/>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36 654</w:t>
            </w:r>
          </w:p>
        </w:tc>
        <w:tc>
          <w:tcPr>
            <w:tcW w:w="605" w:type="dxa"/>
            <w:shd w:val="clear" w:color="auto" w:fill="FFFFFF"/>
            <w:noWrap/>
            <w:vAlign w:val="center"/>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37 713</w:t>
            </w:r>
          </w:p>
        </w:tc>
        <w:tc>
          <w:tcPr>
            <w:tcW w:w="606" w:type="dxa"/>
            <w:shd w:val="clear" w:color="auto" w:fill="FFFFFF"/>
            <w:noWrap/>
            <w:vAlign w:val="center"/>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38 278</w:t>
            </w:r>
          </w:p>
        </w:tc>
        <w:tc>
          <w:tcPr>
            <w:tcW w:w="605" w:type="dxa"/>
            <w:shd w:val="clear" w:color="auto" w:fill="FFFFFF"/>
            <w:noWrap/>
            <w:vAlign w:val="center"/>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37 981</w:t>
            </w:r>
          </w:p>
        </w:tc>
        <w:tc>
          <w:tcPr>
            <w:tcW w:w="606" w:type="dxa"/>
            <w:shd w:val="clear" w:color="auto" w:fill="FFFFFF"/>
            <w:noWrap/>
            <w:vAlign w:val="center"/>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36 841</w:t>
            </w:r>
          </w:p>
        </w:tc>
        <w:tc>
          <w:tcPr>
            <w:tcW w:w="605" w:type="dxa"/>
            <w:shd w:val="clear" w:color="auto" w:fill="FFFFFF"/>
            <w:noWrap/>
            <w:vAlign w:val="center"/>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34 568</w:t>
            </w:r>
          </w:p>
        </w:tc>
        <w:tc>
          <w:tcPr>
            <w:tcW w:w="606" w:type="dxa"/>
            <w:shd w:val="clear" w:color="auto" w:fill="FFFFFF"/>
            <w:noWrap/>
            <w:vAlign w:val="center"/>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32 562</w:t>
            </w:r>
          </w:p>
        </w:tc>
        <w:tc>
          <w:tcPr>
            <w:tcW w:w="606" w:type="dxa"/>
            <w:shd w:val="clear" w:color="auto" w:fill="FFFFFF"/>
            <w:noWrap/>
            <w:vAlign w:val="center"/>
            <w:hideMark/>
          </w:tcPr>
          <w:p>
            <w:pPr>
              <w:spacing w:before="0" w:after="0" w:line="276" w:lineRule="auto"/>
              <w:jc w:val="center"/>
              <w:rPr>
                <w:rFonts w:eastAsia="Times New Roman" w:cstheme="minorBidi"/>
                <w:b/>
                <w:bCs/>
                <w:noProof/>
                <w:color w:val="000000"/>
                <w:sz w:val="12"/>
                <w:szCs w:val="12"/>
              </w:rPr>
            </w:pPr>
            <w:r>
              <w:rPr>
                <w:rFonts w:cstheme="minorBidi"/>
                <w:b/>
                <w:noProof/>
                <w:color w:val="000000"/>
                <w:sz w:val="12"/>
              </w:rPr>
              <w:t>30 320</w:t>
            </w:r>
          </w:p>
        </w:tc>
      </w:tr>
    </w:tbl>
    <w:p>
      <w:pPr>
        <w:spacing w:before="0" w:after="200" w:line="276" w:lineRule="auto"/>
        <w:jc w:val="center"/>
        <w:rPr>
          <w:rFonts w:cstheme="minorBidi"/>
          <w:noProof/>
          <w:sz w:val="22"/>
        </w:rPr>
        <w:sectPr>
          <w:pgSz w:w="16840" w:h="11907" w:orient="landscape" w:code="9"/>
          <w:pgMar w:top="1134" w:right="1418" w:bottom="567" w:left="1418" w:header="709" w:footer="709" w:gutter="0"/>
          <w:cols w:space="708"/>
          <w:docGrid w:linePitch="360"/>
        </w:sectPr>
      </w:pPr>
      <w:r>
        <w:rPr>
          <w:rFonts w:cstheme="minorBidi"/>
          <w:noProof/>
          <w:sz w:val="16"/>
        </w:rPr>
        <w:t>Spadek stanu należności odnotowywany od 2021 r. wiąże się z brakiem prognoz na kolejny okres, na jaki zostanie udzielone upoważnienie EBI.</w:t>
      </w:r>
    </w:p>
    <w:p>
      <w:pPr>
        <w:pStyle w:val="ManualHeading3"/>
        <w:rPr>
          <w:noProof/>
        </w:rPr>
      </w:pPr>
      <w:r>
        <w:rPr>
          <w:noProof/>
        </w:rPr>
        <w:t>3.2.3.</w:t>
      </w:r>
      <w:r>
        <w:rPr>
          <w:noProof/>
        </w:rPr>
        <w:tab/>
        <w:t xml:space="preserve">Zgodność z obowiązującymi wieloletnimi ramami finansowymi </w:t>
      </w:r>
    </w:p>
    <w:p>
      <w:pPr>
        <w:spacing w:before="0" w:after="200" w:line="276" w:lineRule="auto"/>
        <w:jc w:val="left"/>
        <w:rPr>
          <w:rFonts w:eastAsia="Calibri" w:cstheme="minorBidi"/>
          <w:noProof/>
          <w:sz w:val="22"/>
        </w:rPr>
      </w:pPr>
      <w:r>
        <w:rPr>
          <w:rFonts w:cstheme="minorBidi"/>
          <w:noProof/>
          <w:sz w:val="22"/>
        </w:rPr>
        <w:t>X</w:t>
      </w:r>
      <w:r>
        <w:rPr>
          <w:noProof/>
        </w:rPr>
        <w:tab/>
      </w:r>
      <w:r>
        <w:rPr>
          <w:rFonts w:cstheme="minorBidi"/>
          <w:noProof/>
          <w:sz w:val="22"/>
        </w:rPr>
        <w:t>Wniosek/inicjatywa wymaga przeprogramowania odpowiedniego działu w wieloletnich ramach finansowych.</w:t>
      </w:r>
    </w:p>
    <w:p>
      <w:pPr>
        <w:pBdr>
          <w:top w:val="single" w:sz="4" w:space="1" w:color="auto"/>
          <w:left w:val="single" w:sz="4" w:space="4" w:color="auto"/>
          <w:bottom w:val="single" w:sz="4" w:space="1" w:color="auto"/>
          <w:right w:val="single" w:sz="4" w:space="4" w:color="auto"/>
        </w:pBdr>
        <w:ind w:left="850"/>
        <w:rPr>
          <w:rFonts w:cstheme="minorBidi"/>
          <w:noProof/>
          <w:sz w:val="22"/>
        </w:rPr>
      </w:pPr>
      <w:r>
        <w:rPr>
          <w:rFonts w:cstheme="minorBidi"/>
          <w:noProof/>
          <w:sz w:val="22"/>
        </w:rPr>
        <w:t>Szacowane dodatkowe zapotrzebowanie na środki budżetowe jest wskazane w powyższej sekcji „Szacunkowy wpływ na wydatki” (115 mln EUR w latach 2018–2020); zostanie ono pokryte za pomocą przesunięcia środków w ramach działu 4 lub – w ostateczności – z nieprzydzielonego marginesu.</w:t>
      </w:r>
    </w:p>
    <w:p>
      <w:pPr>
        <w:tabs>
          <w:tab w:val="num" w:pos="1134"/>
        </w:tabs>
        <w:spacing w:before="0" w:after="200" w:line="276" w:lineRule="auto"/>
        <w:ind w:left="1134" w:hanging="283"/>
        <w:rPr>
          <w:rFonts w:eastAsia="Times New Roman" w:cstheme="minorBidi"/>
          <w:b/>
          <w:noProof/>
          <w:sz w:val="22"/>
        </w:rPr>
      </w:pPr>
    </w:p>
    <w:p>
      <w:pPr>
        <w:pStyle w:val="ManualHeading2"/>
        <w:rPr>
          <w:noProof/>
        </w:rPr>
      </w:pPr>
      <w:r>
        <w:rPr>
          <w:noProof/>
        </w:rPr>
        <w:t>3.3.</w:t>
      </w:r>
      <w:r>
        <w:rPr>
          <w:noProof/>
        </w:rPr>
        <w:tab/>
        <w:t xml:space="preserve">Szacunkowy wpływ na dochody </w:t>
      </w:r>
    </w:p>
    <w:p>
      <w:pPr>
        <w:tabs>
          <w:tab w:val="num" w:pos="1134"/>
        </w:tabs>
        <w:spacing w:before="0" w:after="200" w:line="276" w:lineRule="auto"/>
        <w:ind w:left="1134" w:hanging="283"/>
        <w:rPr>
          <w:rFonts w:eastAsia="Times New Roman" w:cstheme="minorBidi"/>
          <w:noProof/>
          <w:sz w:val="22"/>
        </w:rPr>
      </w:pPr>
      <w:r>
        <w:rPr>
          <w:rFonts w:cstheme="minorBidi"/>
          <w:noProof/>
          <w:sz w:val="22"/>
        </w:rPr>
        <w:t>X</w:t>
      </w:r>
      <w:r>
        <w:rPr>
          <w:noProof/>
        </w:rPr>
        <w:tab/>
      </w:r>
      <w:r>
        <w:rPr>
          <w:rFonts w:cstheme="minorBidi"/>
          <w:noProof/>
          <w:sz w:val="22"/>
        </w:rPr>
        <w:t>Wniosek/inicjatywa ma wpływ finansowy określony poniżej:</w:t>
      </w:r>
    </w:p>
    <w:p>
      <w:pPr>
        <w:numPr>
          <w:ilvl w:val="2"/>
          <w:numId w:val="0"/>
        </w:numPr>
        <w:tabs>
          <w:tab w:val="num" w:pos="2126"/>
        </w:tabs>
        <w:spacing w:before="0" w:after="200" w:line="276" w:lineRule="auto"/>
        <w:ind w:left="2126" w:hanging="709"/>
        <w:rPr>
          <w:rFonts w:eastAsia="Times New Roman" w:cstheme="minorBidi"/>
          <w:noProof/>
          <w:sz w:val="22"/>
        </w:rPr>
      </w:pPr>
      <w:r>
        <w:rPr>
          <w:rFonts w:eastAsia="Times New Roman" w:cstheme="minorBidi"/>
          <w:noProof/>
          <w:sz w:val="22"/>
        </w:rPr>
        <w:sym w:font="Wingdings" w:char="F0A8"/>
      </w:r>
      <w:r>
        <w:rPr>
          <w:noProof/>
        </w:rPr>
        <w:tab/>
      </w:r>
      <w:r>
        <w:rPr>
          <w:rFonts w:cstheme="minorBidi"/>
          <w:noProof/>
          <w:sz w:val="22"/>
        </w:rPr>
        <w:t xml:space="preserve">wpływ na zasoby własne </w:t>
      </w:r>
    </w:p>
    <w:p>
      <w:pPr>
        <w:numPr>
          <w:ilvl w:val="2"/>
          <w:numId w:val="0"/>
        </w:numPr>
        <w:tabs>
          <w:tab w:val="num" w:pos="2126"/>
        </w:tabs>
        <w:spacing w:before="0" w:after="200" w:line="276" w:lineRule="auto"/>
        <w:ind w:left="2126" w:hanging="709"/>
        <w:rPr>
          <w:rFonts w:eastAsia="Times New Roman" w:cstheme="minorBidi"/>
          <w:noProof/>
          <w:sz w:val="22"/>
        </w:rPr>
      </w:pPr>
      <w:r>
        <w:rPr>
          <w:rFonts w:cstheme="minorBidi"/>
          <w:b/>
          <w:noProof/>
          <w:sz w:val="22"/>
        </w:rPr>
        <w:t xml:space="preserve">X </w:t>
      </w:r>
      <w:r>
        <w:rPr>
          <w:noProof/>
        </w:rPr>
        <w:tab/>
      </w:r>
      <w:r>
        <w:rPr>
          <w:rFonts w:cstheme="minorBidi"/>
          <w:noProof/>
          <w:sz w:val="22"/>
        </w:rPr>
        <w:t xml:space="preserve">wpływ na dochody różne </w:t>
      </w:r>
    </w:p>
    <w:p>
      <w:pPr>
        <w:spacing w:before="0" w:after="200" w:line="276" w:lineRule="auto"/>
        <w:rPr>
          <w:rFonts w:cstheme="minorBidi"/>
          <w:i/>
          <w:noProof/>
          <w:sz w:val="20"/>
        </w:rPr>
      </w:pPr>
      <w:r>
        <w:rPr>
          <w:rFonts w:cstheme="minorBidi"/>
          <w:noProof/>
          <w:sz w:val="22"/>
        </w:rPr>
        <w:t>w mln EUR (do trzech miejsc po przecinku)</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line="276" w:lineRule="auto"/>
              <w:rPr>
                <w:rFonts w:cstheme="minorBidi"/>
                <w:noProof/>
                <w:sz w:val="18"/>
              </w:rPr>
            </w:pPr>
            <w:r>
              <w:rPr>
                <w:rFonts w:cstheme="minorBidi"/>
                <w:noProof/>
                <w:sz w:val="18"/>
              </w:rPr>
              <w:t>Linia budżetowa po stronie dochodów</w:t>
            </w:r>
          </w:p>
        </w:tc>
        <w:tc>
          <w:tcPr>
            <w:tcW w:w="1276" w:type="dxa"/>
            <w:vMerge w:val="restart"/>
            <w:vAlign w:val="center"/>
          </w:tcPr>
          <w:p>
            <w:pPr>
              <w:spacing w:before="0" w:after="200" w:line="276" w:lineRule="auto"/>
              <w:rPr>
                <w:rFonts w:cstheme="minorBidi"/>
                <w:noProof/>
                <w:sz w:val="18"/>
              </w:rPr>
            </w:pPr>
            <w:r>
              <w:rPr>
                <w:rFonts w:cstheme="minorBidi"/>
                <w:noProof/>
                <w:sz w:val="18"/>
              </w:rPr>
              <w:t>Środki zapisane w budżecie na bieżący rok budżetowy</w:t>
            </w:r>
          </w:p>
        </w:tc>
        <w:tc>
          <w:tcPr>
            <w:tcW w:w="7200" w:type="dxa"/>
            <w:gridSpan w:val="7"/>
            <w:vAlign w:val="center"/>
          </w:tcPr>
          <w:p>
            <w:pPr>
              <w:spacing w:before="0" w:after="200" w:line="276" w:lineRule="auto"/>
              <w:rPr>
                <w:rFonts w:cstheme="minorBidi"/>
                <w:noProof/>
                <w:sz w:val="18"/>
              </w:rPr>
            </w:pPr>
            <w:r>
              <w:rPr>
                <w:rFonts w:cstheme="minorBidi"/>
                <w:noProof/>
                <w:sz w:val="18"/>
              </w:rPr>
              <w:t>Wpływ wniosku/inicjatywy</w:t>
            </w:r>
            <w:r>
              <w:rPr>
                <w:rStyle w:val="FootnoteReference"/>
                <w:noProof/>
              </w:rPr>
              <w:footnoteReference w:id="17"/>
            </w:r>
          </w:p>
        </w:tc>
      </w:tr>
      <w:tr>
        <w:trPr>
          <w:trHeight w:val="388"/>
        </w:trPr>
        <w:tc>
          <w:tcPr>
            <w:tcW w:w="2144" w:type="dxa"/>
            <w:vMerge/>
          </w:tcPr>
          <w:p>
            <w:pPr>
              <w:spacing w:before="40" w:after="40" w:line="276" w:lineRule="auto"/>
              <w:rPr>
                <w:rFonts w:cstheme="minorBidi"/>
                <w:noProof/>
                <w:sz w:val="18"/>
              </w:rPr>
            </w:pPr>
          </w:p>
        </w:tc>
        <w:tc>
          <w:tcPr>
            <w:tcW w:w="1276" w:type="dxa"/>
            <w:vMerge/>
          </w:tcPr>
          <w:p>
            <w:pPr>
              <w:spacing w:beforeLines="40" w:before="96" w:afterLines="40" w:after="96" w:line="276" w:lineRule="auto"/>
              <w:rPr>
                <w:rFonts w:cstheme="minorBidi"/>
                <w:i/>
                <w:noProof/>
                <w:sz w:val="18"/>
              </w:rPr>
            </w:pPr>
          </w:p>
        </w:tc>
        <w:tc>
          <w:tcPr>
            <w:tcW w:w="1080" w:type="dxa"/>
            <w:vAlign w:val="center"/>
          </w:tcPr>
          <w:p>
            <w:pPr>
              <w:spacing w:before="0" w:after="200" w:line="276" w:lineRule="auto"/>
              <w:rPr>
                <w:rFonts w:cstheme="minorBidi"/>
                <w:noProof/>
                <w:sz w:val="18"/>
              </w:rPr>
            </w:pPr>
            <w:r>
              <w:rPr>
                <w:rFonts w:cstheme="minorBidi"/>
                <w:noProof/>
                <w:sz w:val="18"/>
              </w:rPr>
              <w:t>Rok</w:t>
            </w:r>
            <w:r>
              <w:rPr>
                <w:rFonts w:cstheme="minorBidi"/>
                <w:noProof/>
                <w:sz w:val="22"/>
              </w:rPr>
              <w:br/>
            </w:r>
            <w:r>
              <w:rPr>
                <w:rFonts w:cstheme="minorBidi"/>
                <w:b/>
                <w:noProof/>
                <w:sz w:val="18"/>
              </w:rPr>
              <w:t>N</w:t>
            </w:r>
          </w:p>
        </w:tc>
        <w:tc>
          <w:tcPr>
            <w:tcW w:w="900" w:type="dxa"/>
            <w:vAlign w:val="center"/>
          </w:tcPr>
          <w:p>
            <w:pPr>
              <w:spacing w:before="0" w:after="200" w:line="276" w:lineRule="auto"/>
              <w:rPr>
                <w:rFonts w:cstheme="minorBidi"/>
                <w:noProof/>
                <w:sz w:val="18"/>
              </w:rPr>
            </w:pPr>
            <w:r>
              <w:rPr>
                <w:rFonts w:cstheme="minorBidi"/>
                <w:noProof/>
                <w:sz w:val="18"/>
              </w:rPr>
              <w:t>Rok</w:t>
            </w:r>
            <w:r>
              <w:rPr>
                <w:rFonts w:cstheme="minorBidi"/>
                <w:noProof/>
                <w:sz w:val="22"/>
              </w:rPr>
              <w:br/>
            </w:r>
            <w:r>
              <w:rPr>
                <w:rFonts w:cstheme="minorBidi"/>
                <w:b/>
                <w:noProof/>
                <w:sz w:val="18"/>
              </w:rPr>
              <w:t>N+1</w:t>
            </w:r>
          </w:p>
        </w:tc>
        <w:tc>
          <w:tcPr>
            <w:tcW w:w="900" w:type="dxa"/>
            <w:vAlign w:val="center"/>
          </w:tcPr>
          <w:p>
            <w:pPr>
              <w:spacing w:before="0" w:after="200" w:line="276" w:lineRule="auto"/>
              <w:rPr>
                <w:rFonts w:cstheme="minorBidi"/>
                <w:noProof/>
                <w:sz w:val="18"/>
              </w:rPr>
            </w:pPr>
            <w:r>
              <w:rPr>
                <w:rFonts w:cstheme="minorBidi"/>
                <w:noProof/>
                <w:sz w:val="18"/>
              </w:rPr>
              <w:t>Rok</w:t>
            </w:r>
            <w:r>
              <w:rPr>
                <w:rFonts w:cstheme="minorBidi"/>
                <w:noProof/>
                <w:sz w:val="22"/>
              </w:rPr>
              <w:br/>
            </w:r>
            <w:r>
              <w:rPr>
                <w:rFonts w:cstheme="minorBidi"/>
                <w:b/>
                <w:noProof/>
                <w:sz w:val="18"/>
              </w:rPr>
              <w:t>N+2</w:t>
            </w:r>
          </w:p>
        </w:tc>
        <w:tc>
          <w:tcPr>
            <w:tcW w:w="1080" w:type="dxa"/>
            <w:vAlign w:val="center"/>
          </w:tcPr>
          <w:p>
            <w:pPr>
              <w:spacing w:before="0" w:after="200" w:line="276" w:lineRule="auto"/>
              <w:rPr>
                <w:rFonts w:cstheme="minorBidi"/>
                <w:noProof/>
                <w:sz w:val="18"/>
              </w:rPr>
            </w:pPr>
            <w:r>
              <w:rPr>
                <w:rFonts w:cstheme="minorBidi"/>
                <w:noProof/>
                <w:sz w:val="18"/>
              </w:rPr>
              <w:t>Rok</w:t>
            </w:r>
            <w:r>
              <w:rPr>
                <w:rFonts w:cstheme="minorBidi"/>
                <w:noProof/>
                <w:sz w:val="22"/>
              </w:rPr>
              <w:br/>
            </w:r>
            <w:r>
              <w:rPr>
                <w:rFonts w:cstheme="minorBidi"/>
                <w:b/>
                <w:noProof/>
                <w:sz w:val="18"/>
              </w:rPr>
              <w:t>N+3</w:t>
            </w:r>
          </w:p>
        </w:tc>
        <w:tc>
          <w:tcPr>
            <w:tcW w:w="3240" w:type="dxa"/>
            <w:gridSpan w:val="3"/>
            <w:vAlign w:val="center"/>
          </w:tcPr>
          <w:p>
            <w:pPr>
              <w:spacing w:before="0" w:after="200" w:line="276" w:lineRule="auto"/>
              <w:rPr>
                <w:rFonts w:cstheme="minorBidi"/>
                <w:b/>
                <w:noProof/>
                <w:sz w:val="18"/>
              </w:rPr>
            </w:pPr>
            <w:r>
              <w:rPr>
                <w:rFonts w:cstheme="minorBidi"/>
                <w:noProof/>
                <w:sz w:val="18"/>
              </w:rPr>
              <w:t>Wprowadzić taką liczbę kolumn dla poszczególnych lat, jaka jest niezbędna, by odzwierciedlić cały okres wpływu (por. pkt 1.6)</w:t>
            </w:r>
          </w:p>
        </w:tc>
      </w:tr>
      <w:tr>
        <w:trPr>
          <w:trHeight w:val="388"/>
        </w:trPr>
        <w:tc>
          <w:tcPr>
            <w:tcW w:w="2144" w:type="dxa"/>
            <w:vAlign w:val="center"/>
          </w:tcPr>
          <w:p>
            <w:pPr>
              <w:spacing w:before="40" w:after="40" w:line="276" w:lineRule="auto"/>
              <w:rPr>
                <w:rFonts w:cstheme="minorBidi"/>
                <w:noProof/>
                <w:sz w:val="18"/>
              </w:rPr>
            </w:pPr>
            <w:r>
              <w:rPr>
                <w:rFonts w:cstheme="minorBidi"/>
                <w:noProof/>
                <w:sz w:val="18"/>
              </w:rPr>
              <w:t>Artykuł …</w:t>
            </w:r>
          </w:p>
        </w:tc>
        <w:tc>
          <w:tcPr>
            <w:tcW w:w="1276" w:type="dxa"/>
          </w:tcPr>
          <w:p>
            <w:pPr>
              <w:spacing w:beforeLines="40" w:before="96" w:afterLines="40" w:after="96" w:line="276" w:lineRule="auto"/>
              <w:rPr>
                <w:rFonts w:cstheme="minorBidi"/>
                <w:i/>
                <w:noProof/>
                <w:sz w:val="18"/>
              </w:rPr>
            </w:pPr>
          </w:p>
        </w:tc>
        <w:tc>
          <w:tcPr>
            <w:tcW w:w="1080" w:type="dxa"/>
          </w:tcPr>
          <w:p>
            <w:pPr>
              <w:spacing w:beforeLines="40" w:before="96" w:afterLines="40" w:after="96" w:line="276" w:lineRule="auto"/>
              <w:rPr>
                <w:rFonts w:cstheme="minorBidi"/>
                <w:noProof/>
                <w:sz w:val="18"/>
              </w:rPr>
            </w:pPr>
          </w:p>
        </w:tc>
        <w:tc>
          <w:tcPr>
            <w:tcW w:w="900" w:type="dxa"/>
          </w:tcPr>
          <w:p>
            <w:pPr>
              <w:spacing w:beforeLines="40" w:before="96" w:afterLines="40" w:after="96" w:line="276" w:lineRule="auto"/>
              <w:rPr>
                <w:rFonts w:cstheme="minorBidi"/>
                <w:noProof/>
                <w:sz w:val="18"/>
              </w:rPr>
            </w:pPr>
          </w:p>
        </w:tc>
        <w:tc>
          <w:tcPr>
            <w:tcW w:w="900" w:type="dxa"/>
          </w:tcPr>
          <w:p>
            <w:pPr>
              <w:spacing w:beforeLines="40" w:before="96" w:afterLines="40" w:after="96" w:line="276" w:lineRule="auto"/>
              <w:rPr>
                <w:rFonts w:cstheme="minorBidi"/>
                <w:noProof/>
                <w:sz w:val="18"/>
              </w:rPr>
            </w:pPr>
          </w:p>
        </w:tc>
        <w:tc>
          <w:tcPr>
            <w:tcW w:w="1080" w:type="dxa"/>
          </w:tcPr>
          <w:p>
            <w:pPr>
              <w:spacing w:beforeLines="40" w:before="96" w:afterLines="40" w:after="96" w:line="276" w:lineRule="auto"/>
              <w:rPr>
                <w:rFonts w:cstheme="minorBidi"/>
                <w:noProof/>
                <w:sz w:val="18"/>
              </w:rPr>
            </w:pPr>
          </w:p>
        </w:tc>
        <w:tc>
          <w:tcPr>
            <w:tcW w:w="1080" w:type="dxa"/>
          </w:tcPr>
          <w:p>
            <w:pPr>
              <w:spacing w:beforeLines="40" w:before="96" w:afterLines="40" w:after="96" w:line="276" w:lineRule="auto"/>
              <w:rPr>
                <w:rFonts w:cstheme="minorBidi"/>
                <w:noProof/>
                <w:sz w:val="18"/>
              </w:rPr>
            </w:pPr>
          </w:p>
        </w:tc>
        <w:tc>
          <w:tcPr>
            <w:tcW w:w="1080" w:type="dxa"/>
          </w:tcPr>
          <w:p>
            <w:pPr>
              <w:spacing w:beforeLines="40" w:before="96" w:afterLines="40" w:after="96" w:line="276" w:lineRule="auto"/>
              <w:rPr>
                <w:rFonts w:cstheme="minorBidi"/>
                <w:noProof/>
                <w:sz w:val="18"/>
              </w:rPr>
            </w:pPr>
          </w:p>
        </w:tc>
        <w:tc>
          <w:tcPr>
            <w:tcW w:w="1080" w:type="dxa"/>
          </w:tcPr>
          <w:p>
            <w:pPr>
              <w:spacing w:beforeLines="40" w:before="96" w:afterLines="40" w:after="96" w:line="276" w:lineRule="auto"/>
              <w:rPr>
                <w:rFonts w:cstheme="minorBidi"/>
                <w:noProof/>
                <w:sz w:val="18"/>
              </w:rPr>
            </w:pPr>
          </w:p>
        </w:tc>
      </w:tr>
    </w:tbl>
    <w:p>
      <w:pPr>
        <w:spacing w:before="0" w:after="200" w:line="276" w:lineRule="auto"/>
        <w:ind w:left="850"/>
        <w:rPr>
          <w:rFonts w:cstheme="minorBidi"/>
          <w:noProof/>
          <w:sz w:val="20"/>
        </w:rPr>
      </w:pPr>
      <w:r>
        <w:rPr>
          <w:rFonts w:cstheme="minorBidi"/>
          <w:noProof/>
          <w:sz w:val="20"/>
        </w:rPr>
        <w:t>W przypadku wpływu na dochody różne „przeznaczone na określony cel” należy wskazać linie budżetowe po stronie wydatków, które ten wpływ obejmie.</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 xml:space="preserve">Jeżeli stan funduszu gwarancyjnego przekracza kwotę docelową, kwota nadwyżki jest zwracana do linii budżetu ogólnego. </w:t>
      </w:r>
    </w:p>
    <w:p>
      <w:pPr>
        <w:pBdr>
          <w:top w:val="single" w:sz="4" w:space="1" w:color="auto"/>
          <w:left w:val="single" w:sz="4" w:space="4" w:color="auto"/>
          <w:bottom w:val="single" w:sz="4" w:space="1" w:color="auto"/>
          <w:right w:val="single" w:sz="4" w:space="4" w:color="auto"/>
        </w:pBdr>
        <w:spacing w:before="0" w:after="200" w:line="276" w:lineRule="auto"/>
        <w:ind w:left="850"/>
        <w:rPr>
          <w:rFonts w:cstheme="minorBidi"/>
          <w:noProof/>
          <w:sz w:val="22"/>
        </w:rPr>
      </w:pPr>
      <w:r>
        <w:rPr>
          <w:rFonts w:cstheme="minorBidi"/>
          <w:noProof/>
          <w:sz w:val="22"/>
        </w:rPr>
        <w:t>Metodę obliczania ewentualnego wpływu na dochody szczegółowo opisano w powyższej sekcji „Szacunkowy wpływ na środki operacyjne” poświęconej mechanizmowi funkcjonowania funduszu gwarancyjnego.</w:t>
      </w:r>
    </w:p>
    <w:sectPr>
      <w:headerReference w:type="default" r:id="rId18"/>
      <w:footerReference w:type="default" r:id="rId19"/>
      <w:headerReference w:type="first" r:id="rId20"/>
      <w:footerReference w:type="first" r:id="rId2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COM(2016) 385 z 7.6.2016.</w:t>
      </w:r>
    </w:p>
  </w:footnote>
  <w:footnote w:id="2">
    <w:p>
      <w:pPr>
        <w:pStyle w:val="FootnoteText"/>
      </w:pPr>
      <w:r>
        <w:rPr>
          <w:rStyle w:val="FootnoteReference"/>
        </w:rPr>
        <w:footnoteRef/>
      </w:r>
      <w:r>
        <w:tab/>
        <w:t>Ocena Funduszu Gwarancyjnego dla działań zewnętrznych została opublikowana na stronie http://ec.europa.eu/dgs/economy_finance/evaluation/completed/index_en.htm</w:t>
      </w:r>
    </w:p>
  </w:footnote>
  <w:footnote w:id="3">
    <w:p>
      <w:pPr>
        <w:pStyle w:val="FootnoteText"/>
      </w:pPr>
      <w:r>
        <w:rPr>
          <w:rStyle w:val="FootnoteReference"/>
        </w:rPr>
        <w:footnoteRef/>
      </w:r>
      <w:r>
        <w:tab/>
        <w:t>Decyzja Parlamentu Europejskiego i Rady nr 466/2014/UE z dnia 16 kwietnia 2014 r. w sprawie udzielenia gwarancji UE dla Europejskiego Banku Inwestycyjnego na pokrycie strat poniesionych w związku z działaniami z zakresu finansowania wspierającymi projekty inwestycyjne poza granicami Unii (Dz.U. L 135 z 8.5.2014, s. 1).</w:t>
      </w:r>
    </w:p>
  </w:footnote>
  <w:footnote w:id="4">
    <w:p>
      <w:pPr>
        <w:pStyle w:val="FootnoteText"/>
      </w:pPr>
      <w:r>
        <w:rPr>
          <w:rStyle w:val="FootnoteReference"/>
        </w:rPr>
        <w:footnoteRef/>
      </w:r>
      <w:r>
        <w:tab/>
        <w:t>Decyzja Rady (UE) 2016/590 z dnia 11 kwietnia 2016 r. w sprawie podpisania, w imieniu Unii Europejskiej, porozumienia paryskiego przyjętego w ramach Ramowej konwencji Narodów Zjednoczonych w sprawie zmian klimatu (Dz.U. L 103 z 19.4.2016, s. 1).</w:t>
      </w:r>
    </w:p>
  </w:footnote>
  <w:footnote w:id="5">
    <w:p>
      <w:pPr>
        <w:pStyle w:val="FootnoteText"/>
        <w:ind w:left="0" w:firstLine="0"/>
      </w:pPr>
      <w:r>
        <w:rPr>
          <w:rStyle w:val="FootnoteReference"/>
        </w:rPr>
        <w:footnoteRef/>
      </w:r>
      <w:r>
        <w:tab/>
        <w:t>„Strategia klimatyczna EBI – Mobilizowanie środków finansowych na przejście do niskoemisyjnej i odpornej na zmianę klimatu gospodarki” przyjęta przez EBI w dniu 22 września 2015 r.</w:t>
      </w:r>
    </w:p>
  </w:footnote>
  <w:footnote w:id="6">
    <w:p>
      <w:pPr>
        <w:pStyle w:val="FootnoteText"/>
        <w:rPr>
          <w:szCs w:val="24"/>
        </w:rPr>
      </w:pPr>
      <w:r>
        <w:rPr>
          <w:rStyle w:val="FootnoteReference"/>
        </w:rPr>
        <w:footnoteRef/>
      </w:r>
      <w:r>
        <w:tab/>
        <w:t xml:space="preserve">ABM: </w:t>
      </w:r>
      <w:r>
        <w:rPr>
          <w:i/>
        </w:rPr>
        <w:t>activity-based management</w:t>
      </w:r>
      <w:r>
        <w:t xml:space="preserve">: zarządzanie kosztami działań; ABB: </w:t>
      </w:r>
      <w:r>
        <w:rPr>
          <w:i/>
        </w:rPr>
        <w:t>activity based budgeting</w:t>
      </w:r>
      <w:r>
        <w:t>: budżet zadaniowy.</w:t>
      </w:r>
    </w:p>
  </w:footnote>
  <w:footnote w:id="7">
    <w:p>
      <w:pPr>
        <w:pStyle w:val="FootnoteText"/>
        <w:rPr>
          <w:szCs w:val="24"/>
        </w:rPr>
      </w:pPr>
      <w:r>
        <w:rPr>
          <w:rStyle w:val="FootnoteReference"/>
        </w:rPr>
        <w:footnoteRef/>
      </w:r>
      <w:r>
        <w:tab/>
        <w:t>O którym mowa w art. 54 ust. 2 lit. a) lub b) rozporządzenia finansowego.</w:t>
      </w:r>
    </w:p>
  </w:footnote>
  <w:footnote w:id="8">
    <w:p>
      <w:pPr>
        <w:pStyle w:val="FootnoteText"/>
      </w:pPr>
      <w:r>
        <w:rPr>
          <w:rStyle w:val="FootnoteReference"/>
        </w:rPr>
        <w:footnoteRef/>
      </w:r>
      <w:r>
        <w:tab/>
      </w:r>
      <w:hyperlink r:id="rId1">
        <w:r>
          <w:rPr>
            <w:rStyle w:val="Hyperlink"/>
          </w:rPr>
          <w:t>http://www.eib.org/projects/cycle/monitoring/rem.htm</w:t>
        </w:r>
      </w:hyperlink>
    </w:p>
    <w:p>
      <w:pPr>
        <w:pStyle w:val="FootnoteText"/>
      </w:pPr>
    </w:p>
  </w:footnote>
  <w:footnote w:id="9">
    <w:p>
      <w:pPr>
        <w:pStyle w:val="FootnoteText"/>
        <w:rPr>
          <w:lang w:val="pt-PT"/>
        </w:rPr>
      </w:pPr>
      <w:r>
        <w:rPr>
          <w:rStyle w:val="FootnoteReference"/>
        </w:rPr>
        <w:footnoteRef/>
      </w:r>
      <w:r>
        <w:rPr>
          <w:lang w:val="pt-PT"/>
        </w:rPr>
        <w:tab/>
        <w:t>SWD (2016) XXX final z XX.XX.2016 r.</w:t>
      </w:r>
    </w:p>
  </w:footnote>
  <w:footnote w:id="10">
    <w:p>
      <w:pPr>
        <w:pStyle w:val="FootnoteText"/>
        <w:rPr>
          <w:szCs w:val="24"/>
        </w:rPr>
      </w:pPr>
      <w:r>
        <w:rPr>
          <w:rStyle w:val="FootnoteReference"/>
        </w:rPr>
        <w:footnoteRef/>
      </w:r>
      <w:r>
        <w:tab/>
        <w:t xml:space="preserve">Wyjaśnienia dotyczące trybów zarządzania oraz odniesienia do rozporządzenia finansowego znajdują się na następującej stronie: </w:t>
      </w:r>
      <w:hyperlink r:id="rId2">
        <w:r>
          <w:rPr>
            <w:rStyle w:val="Hyperlink"/>
            <w:sz w:val="18"/>
          </w:rPr>
          <w:t>http://www.cc.cec/budg/man/budgmanag/budgmanag_en.html</w:t>
        </w:r>
      </w:hyperlink>
    </w:p>
  </w:footnote>
  <w:footnote w:id="11">
    <w:p>
      <w:pPr>
        <w:pStyle w:val="FootnoteText"/>
        <w:rPr>
          <w:szCs w:val="24"/>
        </w:rPr>
      </w:pPr>
      <w:r>
        <w:rPr>
          <w:rStyle w:val="FootnoteReference"/>
        </w:rPr>
        <w:footnoteRef/>
      </w:r>
      <w:r>
        <w:tab/>
        <w:t>Środki zróżnicowane / środki niezróżnicowane</w:t>
      </w:r>
    </w:p>
  </w:footnote>
  <w:footnote w:id="12">
    <w:p>
      <w:pPr>
        <w:pStyle w:val="FootnoteText"/>
        <w:rPr>
          <w:szCs w:val="24"/>
        </w:rPr>
      </w:pPr>
      <w:r>
        <w:rPr>
          <w:rStyle w:val="FootnoteReference"/>
        </w:rPr>
        <w:footnoteRef/>
      </w:r>
      <w:r>
        <w:tab/>
        <w:t xml:space="preserve">EFTA: Europejskie Stowarzyszenie Wolnego Handlu </w:t>
      </w:r>
    </w:p>
  </w:footnote>
  <w:footnote w:id="13">
    <w:p>
      <w:pPr>
        <w:pStyle w:val="FootnoteText"/>
        <w:rPr>
          <w:szCs w:val="24"/>
        </w:rPr>
      </w:pPr>
      <w:r>
        <w:rPr>
          <w:rStyle w:val="FootnoteReference"/>
        </w:rPr>
        <w:footnoteRef/>
      </w:r>
      <w:r>
        <w:tab/>
        <w:t>Kraje kandydujące oraz w stosownych przypadkach potencjalne kraje kandydujące Bałkanów Zachodnich.</w:t>
      </w:r>
    </w:p>
  </w:footnote>
  <w:footnote w:id="14">
    <w:p>
      <w:pPr>
        <w:pStyle w:val="FootnoteText"/>
        <w:rPr>
          <w:szCs w:val="24"/>
        </w:rPr>
      </w:pPr>
      <w:r>
        <w:rPr>
          <w:rStyle w:val="FootnoteReference"/>
        </w:rPr>
        <w:footnoteRef/>
      </w:r>
      <w:r>
        <w:tab/>
        <w:t>Rok N jest rokiem, w którym rozpoczyna się wprowadzanie w życie wniosku/inicjatywy.</w:t>
      </w:r>
    </w:p>
  </w:footnote>
  <w:footnote w:id="15">
    <w:p>
      <w:pPr>
        <w:pStyle w:val="FootnoteText"/>
        <w:rPr>
          <w:szCs w:val="24"/>
        </w:rPr>
      </w:pPr>
      <w:r>
        <w:rPr>
          <w:rStyle w:val="FootnoteReference"/>
        </w:rPr>
        <w:footnoteRef/>
      </w:r>
      <w:r>
        <w:tab/>
        <w:t>Wsparcie techniczne lub administracyjne oraz wydatki na wsparcie w zakresie wprowadzania w życie programów lub działań UE (dawne linie „BA”), pośrednie badania naukowe, bezpośrednie badania naukowe.</w:t>
      </w:r>
    </w:p>
  </w:footnote>
  <w:footnote w:id="16">
    <w:p>
      <w:pPr>
        <w:pStyle w:val="FootnoteText"/>
        <w:rPr>
          <w:szCs w:val="24"/>
        </w:rPr>
      </w:pPr>
      <w:r>
        <w:rPr>
          <w:rStyle w:val="FootnoteReference"/>
        </w:rPr>
        <w:footnoteRef/>
      </w:r>
      <w:r>
        <w:tab/>
        <w:t>Produkty odnoszą się do produktów i usług, które zostaną zapewnione (np. liczba sfinansowanych wymian studentów, liczba kilometrów zbudowanych dróg itp.).</w:t>
      </w:r>
    </w:p>
  </w:footnote>
  <w:footnote w:id="17">
    <w:p>
      <w:pPr>
        <w:pStyle w:val="FootnoteText"/>
        <w:rPr>
          <w:szCs w:val="24"/>
        </w:rPr>
      </w:pPr>
      <w:r>
        <w:rPr>
          <w:rStyle w:val="FootnoteReference"/>
        </w:rPr>
        <w:footnoteRef/>
      </w:r>
      <w:r>
        <w:tab/>
        <w:t>W przypadku tradycyjnych zasobów własnych (opłaty celne, opłaty wyrównawcze od cukru) należy wskazać kwoty netto, tzn. kwoty brutto po odliczeniu 25 % na poczet kosztów poboru.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ED86C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49E9962"/>
    <w:lvl w:ilvl="0">
      <w:start w:val="1"/>
      <w:numFmt w:val="decimal"/>
      <w:pStyle w:val="ListNumber3"/>
      <w:lvlText w:val="%1."/>
      <w:lvlJc w:val="left"/>
      <w:pPr>
        <w:tabs>
          <w:tab w:val="num" w:pos="926"/>
        </w:tabs>
        <w:ind w:left="926" w:hanging="360"/>
      </w:pPr>
    </w:lvl>
  </w:abstractNum>
  <w:abstractNum w:abstractNumId="2">
    <w:nsid w:val="FFFFFF7F"/>
    <w:multiLevelType w:val="singleLevel"/>
    <w:tmpl w:val="E11213E2"/>
    <w:lvl w:ilvl="0">
      <w:start w:val="1"/>
      <w:numFmt w:val="decimal"/>
      <w:pStyle w:val="ListNumber2"/>
      <w:lvlText w:val="%1."/>
      <w:lvlJc w:val="left"/>
      <w:pPr>
        <w:tabs>
          <w:tab w:val="num" w:pos="643"/>
        </w:tabs>
        <w:ind w:left="643" w:hanging="360"/>
      </w:pPr>
    </w:lvl>
  </w:abstractNum>
  <w:abstractNum w:abstractNumId="3">
    <w:nsid w:val="FFFFFF81"/>
    <w:multiLevelType w:val="singleLevel"/>
    <w:tmpl w:val="1EEEEE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54631E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
  </w:num>
  <w:num w:numId="10">
    <w:abstractNumId w:val="1"/>
  </w:num>
  <w:num w:numId="11">
    <w:abstractNumId w:val="0"/>
  </w:num>
  <w:num w:numId="12">
    <w:abstractNumId w:val="16"/>
    <w:lvlOverride w:ilvl="0">
      <w:startOverride w:val="1"/>
    </w:lvlOverride>
  </w:num>
  <w:num w:numId="13">
    <w:abstractNumId w:val="18"/>
  </w:num>
  <w:num w:numId="14">
    <w:abstractNumId w:val="10"/>
  </w:num>
  <w:num w:numId="15">
    <w:abstractNumId w:val="21"/>
  </w:num>
  <w:num w:numId="16">
    <w:abstractNumId w:val="9"/>
  </w:num>
  <w:num w:numId="17">
    <w:abstractNumId w:val="11"/>
  </w:num>
  <w:num w:numId="18">
    <w:abstractNumId w:val="7"/>
  </w:num>
  <w:num w:numId="19">
    <w:abstractNumId w:val="20"/>
  </w:num>
  <w:num w:numId="20">
    <w:abstractNumId w:val="6"/>
  </w:num>
  <w:num w:numId="21">
    <w:abstractNumId w:val="12"/>
  </w:num>
  <w:num w:numId="22">
    <w:abstractNumId w:val="16"/>
  </w:num>
  <w:num w:numId="23">
    <w:abstractNumId w:val="17"/>
  </w:num>
  <w:num w:numId="24">
    <w:abstractNumId w:val="8"/>
  </w:num>
  <w:num w:numId="25">
    <w:abstractNumId w:val="15"/>
  </w:num>
  <w:num w:numId="26">
    <w:abstractNumId w:val="24"/>
  </w:num>
  <w:num w:numId="27">
    <w:abstractNumId w:val="18"/>
  </w:num>
  <w:num w:numId="28">
    <w:abstractNumId w:val="10"/>
  </w:num>
  <w:num w:numId="29">
    <w:abstractNumId w:val="21"/>
  </w:num>
  <w:num w:numId="30">
    <w:abstractNumId w:val="9"/>
  </w:num>
  <w:num w:numId="31">
    <w:abstractNumId w:val="11"/>
  </w:num>
  <w:num w:numId="32">
    <w:abstractNumId w:val="7"/>
  </w:num>
  <w:num w:numId="33">
    <w:abstractNumId w:val="20"/>
  </w:num>
  <w:num w:numId="34">
    <w:abstractNumId w:val="6"/>
  </w:num>
  <w:num w:numId="35">
    <w:abstractNumId w:val="12"/>
  </w:num>
  <w:num w:numId="36">
    <w:abstractNumId w:val="16"/>
  </w:num>
  <w:num w:numId="37">
    <w:abstractNumId w:val="17"/>
  </w:num>
  <w:num w:numId="38">
    <w:abstractNumId w:val="8"/>
  </w:num>
  <w:num w:numId="39">
    <w:abstractNumId w:val="15"/>
  </w:num>
  <w:num w:numId="40">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2"/>
  <w:hideSpellingErrors/>
  <w:hideGrammaticalErrors/>
  <w:attachedTemplate r:id="rId1"/>
  <w:revisionView w:markup="0"/>
  <w:defaultTabStop w:val="720"/>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03 09:34:5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0"/>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38067B7EF33D4F3AACDFA4680E0E0950"/>
    <w:docVar w:name="LW_CROSSREFERENCE" w:val="&lt;UNUSED&gt;"/>
    <w:docVar w:name="LW_DocType" w:val="COM"/>
    <w:docVar w:name="LW_EMISSION" w:val="14.9.2016"/>
    <w:docVar w:name="LW_EMISSION_ISODATE" w:val="2016-09-14"/>
    <w:docVar w:name="LW_EMISSION_LOCATION" w:val="BRX"/>
    <w:docVar w:name="LW_EMISSION_PREFIX" w:val="Bruksela, dnia "/>
    <w:docVar w:name="LW_EMISSION_SUFFIX" w:val=" r."/>
    <w:docVar w:name="LW_ID_DOCMODEL" w:val="SJ-026"/>
    <w:docVar w:name="LW_ID_DOCSIGNATURE" w:val="SJ-026"/>
    <w:docVar w:name="LW_ID_DOCSTRUCTURE" w:val="COM/PL/ORG"/>
    <w:docVar w:name="LW_ID_DOCTYPE" w:val="SJ-026"/>
    <w:docVar w:name="LW_ID_STATUT" w:val="SJ-026"/>
    <w:docVar w:name="LW_INTERETEEE.CP" w:val="&lt;UNUSED&gt;"/>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275"/>
    <w:docVar w:name="LW_REF.II.NEW.CP_YEAR" w:val="2016"/>
    <w:docVar w:name="LW_REF.INST.NEW" w:val="COM"/>
    <w:docVar w:name="LW_REF.INST.NEW_ADOPTED" w:val="final"/>
    <w:docVar w:name="LW_REF.INST.NEW_TEXT" w:val="(2016) 583"/>
    <w:docVar w:name="LW_REF.INTERNE" w:val="&lt;UNUSED&gt;"/>
    <w:docVar w:name="LW_SOUS.TITRE.OBJ.CP" w:val="&lt;UNUSED&gt;"/>
    <w:docVar w:name="LW_STATUT.CP" w:val="Wniosek"/>
    <w:docVar w:name="LW_SUPERTITRE" w:val="&lt;UNUSED&gt;"/>
    <w:docVar w:name="LW_TITRE.OBJ.CP" w:val="zmieniaj\u261?ca decyzj\u281? nr 466/2014/UE w sprawie udzielenia gwarancji UE dla Europejskiego Banku Inwestycyjnego na pokrycie strat poniesionych w zwi\u261?zku z dzia\u322?aniami z zakresu finansowania wspieraj\u261?cymi projekty inwestycyjne poza granicami Unii"/>
    <w:docVar w:name="LW_TYPE.DOC.CP" w:val="DECYZJA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character" w:styleId="CommentReference">
    <w:name w:val="annotation reference"/>
    <w:uiPriority w:val="99"/>
    <w:unhideWhenUsed/>
    <w:rPr>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l-PL"/>
    </w:rPr>
  </w:style>
  <w:style w:type="character" w:styleId="EndnoteReference">
    <w:name w:val="endnote reference"/>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character" w:styleId="CommentReference">
    <w:name w:val="annotation reference"/>
    <w:uiPriority w:val="99"/>
    <w:unhideWhenUsed/>
    <w:rPr>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l-PL"/>
    </w:rPr>
  </w:style>
  <w:style w:type="character" w:styleId="EndnoteReference">
    <w:name w:val="endnote reference"/>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36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dgs/economy_finance/evaluation/completed/index_en.htm"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en.html" TargetMode="External"/><Relationship Id="rId1" Type="http://schemas.openxmlformats.org/officeDocument/2006/relationships/hyperlink" Target="http://www.eib.org/projects/cycle/monitoring/rem.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9C14C-856D-46C6-8FD7-B5C7398D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37</Pages>
  <Words>9373</Words>
  <Characters>61021</Characters>
  <Application>Microsoft Office Word</Application>
  <DocSecurity>0</DocSecurity>
  <Lines>1564</Lines>
  <Paragraphs>683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2016-08-26T13:21:00Z</cp:lastPrinted>
  <dcterms:created xsi:type="dcterms:W3CDTF">2016-09-30T08:08:00Z</dcterms:created>
  <dcterms:modified xsi:type="dcterms:W3CDTF">2016-10-03T07:34:00Z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SJ-026</vt:lpwstr>
  </property>
  <property fmtid="{D5CDD505-2E9C-101B-9397-08002B2CF9AE}" pid="10" name="DQCStatus">
    <vt:lpwstr>Green (DQC version 03)</vt:lpwstr>
  </property>
</Properties>
</file>