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D25C393448D4BEE875B98410E2C87C2" style="width:450.35pt;height:470.05pt">
            <v:imagedata r:id="rId7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rFonts w:cstheme="minorBidi"/>
          <w:noProof/>
          <w:szCs w:val="24"/>
        </w:rPr>
      </w:pPr>
      <w:bookmarkStart w:id="1" w:name="_GoBack"/>
      <w:bookmarkEnd w:id="1"/>
    </w:p>
    <w:p>
      <w:pPr>
        <w:spacing w:before="0" w:after="200" w:line="276" w:lineRule="auto"/>
        <w:jc w:val="center"/>
        <w:rPr>
          <w:rFonts w:cstheme="minorBidi"/>
          <w:noProof/>
          <w:szCs w:val="24"/>
        </w:rPr>
      </w:pPr>
      <w:r>
        <w:rPr>
          <w:noProof/>
        </w:rPr>
        <w:t>REĠJUNI U PAJJIŻI ELIĠIBBLI</w:t>
      </w:r>
    </w:p>
    <w:p>
      <w:pPr>
        <w:widowControl w:val="0"/>
        <w:tabs>
          <w:tab w:val="left" w:pos="289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A. Pajjiżi fil-fażi ta' qabel l-adeżjoni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Kandidati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L-Albanija, l-Eks-Repubblika Jugoslava tal-Maċedonja, il-Montenegro, is-Serbja, it-Turkija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Kandidati potenzjali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Il-Bożnija-Ħerzegovina, il-Kosovo</w:t>
      </w: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  <w:shd w:val="clear" w:color="auto" w:fill="FFFFFF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B. Pajjiżi tal-Viċinat u tas-Sħubija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Pajjiżi Mediterranji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L-Alġerija, l-Eġittu, il-Ġordan, il-Libanu, il-Libja, il-Marokk, il-Palestina, it-Tuneżija</w:t>
      </w:r>
    </w:p>
    <w:p>
      <w:pPr>
        <w:widowControl w:val="0"/>
        <w:tabs>
          <w:tab w:val="left" w:pos="250"/>
        </w:tabs>
        <w:spacing w:before="0"/>
        <w:ind w:right="7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2. L-Ewropa tal-Lvant, il-Kawkasu tan-Nofsinhar u r-Russja</w:t>
      </w:r>
    </w:p>
    <w:p>
      <w:pPr>
        <w:widowControl w:val="0"/>
        <w:tabs>
          <w:tab w:val="left" w:pos="250"/>
        </w:tabs>
        <w:spacing w:before="0"/>
        <w:ind w:right="71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L-Ewropa tal-Lvant: il-Belarussja, ir-Repubblika tal-Moldova, l-Ukrajna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211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Il-Kawkasu tan-Nofsinhar: l-Armenja, l-Ażerbajġan, il-Ġeorġia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211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>Ir-Russja</w:t>
      </w: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  <w:shd w:val="clear" w:color="auto" w:fill="FFFFFF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C. L-Asja u l-Amerika Latina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L-Amerika Latina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</w:rPr>
      </w:pPr>
      <w:r>
        <w:rPr>
          <w:noProof/>
        </w:rPr>
        <w:t>L-Arġentina, il-Bolivja, il-Brażil, il-Kolombja, il-Kosta Rica, l-Ekwador, El Salvador, il-Gwatemala, il-Ħonduras, il-Messiku, in-Nikaragwa, il-Panama, il-Paragwaj, il-Perù, l-Urugwaj, il-Veneżwela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L-Asja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</w:rPr>
      </w:pPr>
      <w:r>
        <w:rPr>
          <w:noProof/>
        </w:rPr>
        <w:t>Il-Bangladesh, il-Bhutan, il-Kambodja, iċ-Ċina, l-Indja, l-Indonesja, l-Iraq, il-Laos, il-Malasja, il-Maldivi, il-Mongolja, il-Myanmar/Burma, in-Nepal, il-Pakistan, il-Filippini, is-Sri Lanka, it-Tajlandja, il-Vjetnam, il-Jemen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3. L-Asja Ċentrali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Il-Każakistan, il-Kirgiżistan, it-Taġikistan, it-Turkmenistan, l-Użbekistan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</w:p>
    <w:p>
      <w:pPr>
        <w:spacing w:before="0"/>
        <w:rPr>
          <w:rFonts w:cstheme="minorBidi"/>
          <w:noProof/>
          <w:szCs w:val="24"/>
        </w:rPr>
      </w:pPr>
      <w:r>
        <w:rPr>
          <w:noProof/>
        </w:rPr>
        <w:t>D. L-Afrika t'Isfel</w:t>
      </w:r>
    </w:p>
    <w:p>
      <w:pPr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L-Afrika t'Isfel</w:t>
      </w:r>
    </w:p>
    <w:p>
      <w:pPr>
        <w:spacing w:before="0"/>
        <w:rPr>
          <w:noProof/>
          <w:szCs w:val="24"/>
        </w:rPr>
      </w:pPr>
    </w:p>
    <w:p>
      <w:pPr>
        <w:spacing w:before="0" w:after="200" w:line="276" w:lineRule="auto"/>
        <w:jc w:val="center"/>
        <w:rPr>
          <w:noProof/>
          <w:szCs w:val="24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105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al-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1D25C393448D4BEE875B98410E2C87C2"/>
    <w:docVar w:name="LW_CROSSREFERENCE" w:val="&lt;UNUSED&gt;"/>
    <w:docVar w:name="LW_DocType" w:val="NORMAL"/>
    <w:docVar w:name="LW_EMISSION" w:val="14.9.2016"/>
    <w:docVar w:name="LW_EMISSION_ISODATE" w:val="2016-09-14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li temenda d-De\u267?i\u380?joni Nru 466/2014/UE tal-Parlament Ewropew u tal-Kunsill tas-16 ta' April 2014 li tag\u295?ti garanzija tal-UE lill-Bank Ewropew tal-Investiment kontra telf minn operazzjonijiet ta' finanzjament li jappo\u289?\u289?aw pro\u289?etti ta' investiment barra mill-Unjoni Ewrope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583"/>
    <w:docVar w:name="LW_REF.INTERNE" w:val="&lt;UNUSED&gt;"/>
    <w:docVar w:name="LW_SUPERTITRE" w:val="&lt;UNUSED&gt;"/>
    <w:docVar w:name="LW_TITRE.OBJ.CP" w:val="Re\u289?uni u pajji\u380?i eli\u289?ibbli"/>
    <w:docVar w:name="LW_TYPE.DOC.CP" w:val="ANNESS_x000b_"/>
    <w:docVar w:name="LW_TYPEACTEPRINCIPAL.CP" w:val="Proposta g\u295?al De\u267?i\u380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1096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 Monique (ECFIN)</dc:creator>
  <cp:lastModifiedBy>DIGIT/A3</cp:lastModifiedBy>
  <cp:revision>21</cp:revision>
  <cp:lastPrinted>2016-09-07T08:31:00Z</cp:lastPrinted>
  <dcterms:created xsi:type="dcterms:W3CDTF">2016-09-02T10:01:00Z</dcterms:created>
  <dcterms:modified xsi:type="dcterms:W3CDTF">2016-10-03T07:36:00Z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3</vt:lpwstr>
  </property>
  <property fmtid="{D5CDD505-2E9C-101B-9397-08002B2CF9AE}" pid="3" name="Last annex">
    <vt:lpwstr>3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