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A9" w:rsidRDefault="0026696E" w:rsidP="0026696E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2540164672CD4B648AD5BF1BCAE52DA7" style="width:450.75pt;height:379.5pt">
            <v:imagedata r:id="rId8" o:title=""/>
          </v:shape>
        </w:pict>
      </w:r>
    </w:p>
    <w:p w:rsidR="00097DA9" w:rsidRDefault="00097DA9">
      <w:pPr>
        <w:rPr>
          <w:noProof/>
        </w:rPr>
        <w:sectPr w:rsidR="00097DA9" w:rsidSect="002669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097DA9" w:rsidRDefault="0026696E"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INDOKOLÁS</w:t>
      </w:r>
    </w:p>
    <w:p w:rsidR="00097DA9" w:rsidRDefault="0026696E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A JAVASLAT HÁTTERE</w:t>
      </w:r>
    </w:p>
    <w:p w:rsidR="00097DA9" w:rsidRDefault="0026696E"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A javaslat indokai és céljai</w:t>
      </w:r>
    </w:p>
    <w:p w:rsidR="00097DA9" w:rsidRDefault="0026696E">
      <w:pPr>
        <w:rPr>
          <w:noProof/>
        </w:rPr>
      </w:pPr>
      <w:r>
        <w:rPr>
          <w:noProof/>
        </w:rPr>
        <w:t xml:space="preserve">A javasolt rendelet lehetővé teszi, hogy </w:t>
      </w:r>
      <w:r>
        <w:rPr>
          <w:noProof/>
        </w:rPr>
        <w:t>az Unió eleget tegyen a vakok, látássérültek és nyomtatott szöveget használni képtelen személyek megjelent művekhez való hozzáférésének megkönnyítéséről szóló marrákesi szerződés (a továbbiakban: a marrákesi szerződés) szerinti nemzetközi kötelezettségének</w:t>
      </w:r>
      <w:r>
        <w:rPr>
          <w:noProof/>
        </w:rPr>
        <w:t>. A marrákesi szerződést 2013-ban fogadták el a Szellemi Tulajdon Világszervezete (a továbbiakban: WIPO) keretében azzal a céllal, hogy világszerte megkönnyítse a hozzáférhető formátumú könyvek és egyéb nyomtatott anyagok elérhetőségét és nemzetközi cseréj</w:t>
      </w:r>
      <w:r>
        <w:rPr>
          <w:noProof/>
        </w:rPr>
        <w:t>ét. A marrákesi szerződést az Unió 2014 áprilisában írta alá</w:t>
      </w:r>
      <w:r>
        <w:rPr>
          <w:rStyle w:val="FootnoteReference"/>
          <w:noProof/>
        </w:rPr>
        <w:footnoteReference w:id="1"/>
      </w:r>
      <w:r>
        <w:rPr>
          <w:noProof/>
        </w:rPr>
        <w:t>. A szerződés előírja a részes feleknek, hogy a szerzői jog és a szomszédos jogok tekintetében alkalmazzanak kivételeket, illetve korlátozásokat a vakok, látássérültek és nyomtatott szöveget hasz</w:t>
      </w:r>
      <w:r>
        <w:rPr>
          <w:noProof/>
        </w:rPr>
        <w:t>nálni képtelen személyek javára, valamint lehetővé teszi a könyvek, hangoskönyvek és más nyomtatott anyagok különleges formátumú példányainak nemzetközi cseréjét a szerződéshez csatlakozott országok között.</w:t>
      </w:r>
    </w:p>
    <w:p w:rsidR="00097DA9" w:rsidRDefault="0026696E">
      <w:pPr>
        <w:rPr>
          <w:noProof/>
        </w:rPr>
      </w:pPr>
      <w:r>
        <w:rPr>
          <w:noProof/>
        </w:rPr>
        <w:t>Az Unió így politikai kötelezettségvállalást tett</w:t>
      </w:r>
      <w:r>
        <w:rPr>
          <w:noProof/>
        </w:rPr>
        <w:t xml:space="preserve"> a szerződés végrehajtására, amit azóta a Tanács és az Európai Parlament is megerősített. A Bizottság 2014 októberében tanácsi határozatra irányuló javaslatot terjesztett elő a marrákesi szerződés Unió általi ratifikálása érdekében. 2015 májusában a Tanács</w:t>
      </w:r>
      <w:r>
        <w:rPr>
          <w:noProof/>
        </w:rPr>
        <w:t xml:space="preserve"> az Európai Unió működéséről szóló szerződés (EUMSZ) 241. cikke alapján kérelmet nyújtott be a Bizottsághoz, amelyben hangsúlyozta teljes körű elkötelezettségét a marrákesi szerződés mielőbbi hatályba lépése mellett és felkérte a Bizottságot, hogy késedele</w:t>
      </w:r>
      <w:r>
        <w:rPr>
          <w:noProof/>
        </w:rPr>
        <w:t>m nélkül nyújtson be jogalkotási javaslatot az uniós jogi keretnek a szerződéssel összhangban történő módosítására.</w:t>
      </w:r>
    </w:p>
    <w:p w:rsidR="00097DA9" w:rsidRDefault="0026696E">
      <w:pPr>
        <w:rPr>
          <w:noProof/>
        </w:rPr>
      </w:pPr>
      <w:r>
        <w:rPr>
          <w:noProof/>
        </w:rPr>
        <w:t>A marrákesi szerződés kedvezményezettjei – a vakok, látássérültek és nyomtatott szöveget használni képtelen személyek – számos akadályba ütk</w:t>
      </w:r>
      <w:r>
        <w:rPr>
          <w:noProof/>
        </w:rPr>
        <w:t>öznek a szerzői és szomszédos jogok védelme alá tartozó könyvekhez és egyéb nyomtatott anyagokhoz való hozzáférés tekintetében. A nyomtatott szöveget használni képtelen személyek számára hozzáférhető formátumú könyvek elérhetősége a becslések szerint 7 %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</w:t>
      </w:r>
      <w:r>
        <w:rPr>
          <w:noProof/>
        </w:rPr>
        <w:t>és 20 %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között mozog annak ellenére, hogy a digitális technológia nagy mértékben megkönnyíti a hozzáférhető közzétételt</w:t>
      </w:r>
      <w:r>
        <w:rPr>
          <w:rStyle w:val="FootnoteReference"/>
          <w:noProof/>
        </w:rPr>
        <w:footnoteReference w:id="4"/>
      </w:r>
      <w:r>
        <w:rPr>
          <w:noProof/>
        </w:rPr>
        <w:t>. A hozzáférhető formátumok közé tartozik a Braille-írás, a nagyított betűs nyomtatás, a speciális navigációs e-könyvek és hangoskönyve</w:t>
      </w:r>
      <w:r>
        <w:rPr>
          <w:noProof/>
        </w:rPr>
        <w:t>k, a hangalámondás és a rádiós műsorszolgáltatás.</w:t>
      </w:r>
    </w:p>
    <w:p w:rsidR="00097DA9" w:rsidRDefault="0026696E">
      <w:pPr>
        <w:rPr>
          <w:noProof/>
        </w:rPr>
      </w:pPr>
      <w:r>
        <w:rPr>
          <w:noProof/>
        </w:rPr>
        <w:t>A marrákesi szerződés kötelezi a szerződő feleket, hogy egyfelől hozzák összhangba belső jogi rendelkezéseiket a szerződéssel, másfelől tegyék lehetővé a hozzáférhető formátumú, nemzeti kivételek és korláto</w:t>
      </w:r>
      <w:r>
        <w:rPr>
          <w:noProof/>
        </w:rPr>
        <w:t>zások értelmében előállított példányok nemzetközi cseréjét a szerződéshez csatlakozott harmadik országokkal. A marrákesi szerződés Unión belüli végrehajtása érdekében az [...] irányelv kötelező kivétel bevezetését írja elő a tagállamoknak a jogosultak egye</w:t>
      </w:r>
      <w:r>
        <w:rPr>
          <w:noProof/>
        </w:rPr>
        <w:t xml:space="preserve">s, uniós szinten harmonizált jogai tekintetében a kedvezményezett személyek </w:t>
      </w:r>
      <w:r>
        <w:rPr>
          <w:noProof/>
        </w:rPr>
        <w:lastRenderedPageBreak/>
        <w:t>érdekében, valamint hogy biztosítsák a különleges formátumú példányokhoz való hozzáférést a belső piacon. A javasolt rendelet célja a marrákesi szerződés szerinti uniós kötelezetts</w:t>
      </w:r>
      <w:r>
        <w:rPr>
          <w:noProof/>
        </w:rPr>
        <w:t>égek végrehajtása a hozzáférhető formátumú példányoknak az Unió és a marrákesi szerződéshez csatlakozott harmadik országok közötti, a kedvezményezett személyek érdekét szolgáló cseréje tekintetében.</w:t>
      </w:r>
    </w:p>
    <w:p w:rsidR="00097DA9" w:rsidRDefault="0026696E">
      <w:pPr>
        <w:rPr>
          <w:noProof/>
        </w:rPr>
      </w:pPr>
      <w:r>
        <w:rPr>
          <w:noProof/>
        </w:rPr>
        <w:t>A javasolt rendelet ezért biztosítja azt a lehetőséget, h</w:t>
      </w:r>
      <w:r>
        <w:rPr>
          <w:noProof/>
        </w:rPr>
        <w:t>ogy az [...] irányelvvel összhangban elfogadott nemzeti rendelkezéseknek megfelelően bármely tagállamban előállított, hozzáférhető formátumú példányokat exportálják a marrákesi szerződéshez csatlakozott harmadik országokba. A rendelet ezenkívül lehetővé te</w:t>
      </w:r>
      <w:r>
        <w:rPr>
          <w:noProof/>
        </w:rPr>
        <w:t>szi a marrákesi szerződéshez csatlakozott harmadik országokban a szerződésnek megfelelően előállított hozzáférhető formátumú példányoknak az Unióban található kedvezményezett személyek érdekében történő importálását. Az Unióban letelepedett kedvezményezett</w:t>
      </w:r>
      <w:r>
        <w:rPr>
          <w:noProof/>
        </w:rPr>
        <w:t xml:space="preserve"> személyek és felhatalmazott szervezetek számára egyaránt elérhetővé kell tenni a szóban forgó példányokat, és lehetővé kell tenni, hogy ezen példányok terjesztése a belső piacon ugyanolyan feltételek mellett történjen, mint az [...] irányelvvel összhangba</w:t>
      </w:r>
      <w:r>
        <w:rPr>
          <w:noProof/>
        </w:rPr>
        <w:t>n elfogadott nemzeti rendelkezéseknek megfelelően az Unióban előállított hozzáférhető formátumú példányoké.</w:t>
      </w:r>
    </w:p>
    <w:p w:rsidR="00097DA9" w:rsidRDefault="0026696E">
      <w:pPr>
        <w:spacing w:after="240"/>
        <w:rPr>
          <w:noProof/>
        </w:rPr>
      </w:pPr>
      <w:r>
        <w:rPr>
          <w:noProof/>
        </w:rPr>
        <w:t xml:space="preserve">A javasolt rendelet emellett összhangban van a fogyatékossággal élő személyek jogairól szóló ENSZ-egyezményből (a továbbiakban: UNCRPD) eredő uniós </w:t>
      </w:r>
      <w:r>
        <w:rPr>
          <w:noProof/>
        </w:rPr>
        <w:t>kötelezettségekkel.</w:t>
      </w:r>
      <w:r>
        <w:rPr>
          <w:noProof/>
          <w:color w:val="000000"/>
          <w:bdr w:val="none" w:sz="0" w:space="0" w:color="auto" w:frame="1"/>
        </w:rPr>
        <w:t xml:space="preserve"> </w:t>
      </w:r>
      <w:r>
        <w:rPr>
          <w:noProof/>
        </w:rPr>
        <w:t xml:space="preserve"> A 2010/48/EK tanácsi határozat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értelmében az Európai Unióra nézve 2011 januárja óta kötelező az említett egyezmény. Az UNCRPD rendelkezései tehát az uniós jogrend szerves részét képezik. Az UNCRPD rögzíti az információhoz való hozzáfé</w:t>
      </w:r>
      <w:r>
        <w:rPr>
          <w:noProof/>
        </w:rPr>
        <w:t>rés jogát és a fogyatékossággal élő személyeknek a kulturális életben másokkal azonos alapon való részvételhez való jogát. Az UNCRPD 30. cikke előírja a részes feleknek, hogy a nemzetközi joggal összhangban minden szükséges lépést tegyenek meg annak biztos</w:t>
      </w:r>
      <w:r>
        <w:rPr>
          <w:noProof/>
        </w:rPr>
        <w:t xml:space="preserve">ítására, hogy a szellemi tulajdonjogokat védő jogszabályok ne jelentsenek észszerűtlen vagy megkülönböztetést okozó akadályt a fogyatékossággal élő személyek kulturális anyagokhoz történő hozzáférésével szemben. Az Európai Unió első jelentésére vonatkozó, </w:t>
      </w:r>
      <w:r>
        <w:rPr>
          <w:noProof/>
        </w:rPr>
        <w:t>2015. szeptember 4-én elfogadott záró észrevételeiben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a fogyatékossággal élő személyek jogaival foglalkozó ENSZ-bizottság arra ösztönözte az Uniót, hogy minél előbb hozza meg a marrákesi szerződés végrehajtásához szükséges intézkedéseket.</w:t>
      </w:r>
    </w:p>
    <w:p w:rsidR="00097DA9" w:rsidRDefault="0026696E"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Összhang a sza</w:t>
      </w:r>
      <w:r>
        <w:rPr>
          <w:noProof/>
        </w:rPr>
        <w:t>bályozási terület jelenlegi rendelkezéseivel</w:t>
      </w:r>
    </w:p>
    <w:p w:rsidR="00097DA9" w:rsidRDefault="0026696E">
      <w:pPr>
        <w:rPr>
          <w:noProof/>
        </w:rPr>
      </w:pPr>
      <w:r>
        <w:rPr>
          <w:noProof/>
        </w:rPr>
        <w:t xml:space="preserve">A javasolt rendelet egyes, szerzői jog védelme alá tartozó tartalmak hozzáférhető formátumú példányainak az Unió és a marrákesi szerződéshez csatlakozott harmadik országok közötti cseréjére vonatkozik. Tehát az </w:t>
      </w:r>
      <w:r>
        <w:rPr>
          <w:noProof/>
        </w:rPr>
        <w:t>[...] irányelvvel együtt a marrákesi szerződésnek az uniós jogrenden belüli végrehajtását szolgálja. A javasolt rendelet lesz az első olyan uniós jogszabály, amely célzottan a hozzáférhető formátumú példányoknak a kedvezményezett személyek érdekében történ</w:t>
      </w:r>
      <w:r>
        <w:rPr>
          <w:noProof/>
        </w:rPr>
        <w:t>ő nemzetközi cseréjére irányuló rendelkezéseket vezet be.</w:t>
      </w:r>
    </w:p>
    <w:p w:rsidR="00097DA9" w:rsidRDefault="0026696E"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Összhang az Unió egyéb szakpolitikáival</w:t>
      </w:r>
    </w:p>
    <w:p w:rsidR="00097DA9" w:rsidRDefault="0026696E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Arial Unicode MS"/>
          <w:noProof/>
          <w:color w:val="000000"/>
          <w:szCs w:val="24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 xml:space="preserve">A javasolt rendelet – az [...] irányelvvel együtt – megfelel a fogyatékossággal élő személyek beilleszkedésével kapcsolatos, a fentiekben ismertetett uniós </w:t>
      </w:r>
      <w:r>
        <w:rPr>
          <w:noProof/>
          <w:color w:val="000000"/>
          <w:u w:color="000000"/>
          <w:bdr w:val="nil"/>
        </w:rPr>
        <w:t>vállalásoknak és kötelezettségeknek. A rendelet összhangban van az Unió e területen meglévő egyéb jogszabályaival és szakpolitikáival.</w:t>
      </w:r>
    </w:p>
    <w:p w:rsidR="00097DA9" w:rsidRDefault="0026696E">
      <w:pPr>
        <w:pStyle w:val="ManualHeading1"/>
        <w:rPr>
          <w:noProof/>
        </w:rPr>
      </w:pPr>
      <w:r>
        <w:rPr>
          <w:noProof/>
        </w:rPr>
        <w:lastRenderedPageBreak/>
        <w:t>2.</w:t>
      </w:r>
      <w:r>
        <w:rPr>
          <w:noProof/>
        </w:rPr>
        <w:tab/>
        <w:t>JOGALAP, SZUBSZIDIARITÁS ÉS ARÁNYOSSÁG</w:t>
      </w:r>
    </w:p>
    <w:p w:rsidR="00097DA9" w:rsidRDefault="0026696E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Jogalap</w:t>
      </w:r>
    </w:p>
    <w:p w:rsidR="00097DA9" w:rsidRDefault="0026696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javaslat jogalapja az Európai Unió működéséről szóló szerződés (EUM</w:t>
      </w:r>
      <w:r>
        <w:rPr>
          <w:noProof/>
        </w:rPr>
        <w:t>SZ) 207. cikke.</w:t>
      </w:r>
    </w:p>
    <w:p w:rsidR="00097DA9" w:rsidRDefault="0026696E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Arányosság</w:t>
      </w:r>
    </w:p>
    <w:p w:rsidR="00097DA9" w:rsidRDefault="0026696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Az Uniónak teljesítenie kell a marrákesi szerződés értelmében fennálló nemzetközi kötelezettségeit. E rendelet a hozzáférhető formátumú műveknek a marrákesi szerződéshez csatlakozott harmadik országokkal történő cseréjére vonat</w:t>
      </w:r>
      <w:r>
        <w:rPr>
          <w:noProof/>
        </w:rPr>
        <w:t>kozóan az említett szerződésben foglalt rendelkezések végrehajtását szolgálja. Tekintettel arra, hogy a művek és más tartalmak hozzáférhető formátumú példányainak cseréje a szellemi tulajdon kereskedelmi vetületeit érinti, ilyen intézkedéseket csak uniós s</w:t>
      </w:r>
      <w:r>
        <w:rPr>
          <w:noProof/>
        </w:rPr>
        <w:t>zinten lehet hozni. Ezért az egyetlen megfelelő jogi aktus a rendelet. Az Európai Unióról szóló szerződés 5. cikkében foglalt arányosság elvével összhangban ez a rendelet nem lépi túl az e cél eléréséhez szükséges mértéket.</w:t>
      </w:r>
    </w:p>
    <w:p w:rsidR="00097DA9" w:rsidRDefault="0026696E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 jogi aktus típusának megvála</w:t>
      </w:r>
      <w:r>
        <w:rPr>
          <w:noProof/>
        </w:rPr>
        <w:t>sztása</w:t>
      </w:r>
    </w:p>
    <w:p w:rsidR="00097DA9" w:rsidRDefault="0026696E">
      <w:pPr>
        <w:spacing w:after="240"/>
        <w:rPr>
          <w:rFonts w:eastAsia="Arial Unicode MS"/>
          <w:noProof/>
          <w:color w:val="000000"/>
          <w:szCs w:val="24"/>
          <w:bdr w:val="none" w:sz="0" w:space="0" w:color="auto" w:frame="1"/>
        </w:rPr>
      </w:pPr>
      <w:r>
        <w:rPr>
          <w:noProof/>
        </w:rPr>
        <w:t>Az EUMSZ 207. cikkének megfelelően a javasolt aktus: rendelet.</w:t>
      </w:r>
    </w:p>
    <w:p w:rsidR="00097DA9" w:rsidRDefault="0026696E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AZ UTÓLAGOS ÉRTÉKELÉSEK, AZ ÉRDEKELT FELEKKEL FOLYTATOTT KONZULTÁCIÓK ÉS A HATÁSVIZSGÁLATOK EREDMÉNYEI</w:t>
      </w:r>
    </w:p>
    <w:p w:rsidR="00097DA9" w:rsidRDefault="0026696E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 jelenleg hatályban lévő jogszabályok utólagos értékelése / célravezetőségi v</w:t>
      </w:r>
      <w:r>
        <w:rPr>
          <w:noProof/>
        </w:rPr>
        <w:t>izsgálata</w:t>
      </w:r>
    </w:p>
    <w:p w:rsidR="00097DA9" w:rsidRDefault="0026696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javasolt rendelet célja az uniós jog tekintetében fennálló, új nemzetközi kötelezettségek teljesítése. A szakpolitikai területen jelenleg hatályban lévő uniós jogszabályok visszamenőleges értékelése ezért ebben az összefüggésben nem releváns és</w:t>
      </w:r>
      <w:r>
        <w:rPr>
          <w:noProof/>
        </w:rPr>
        <w:t xml:space="preserve"> nem szükséges. A kapcsolódó uniós szabályozásra vonatkozóan rendelkezésre álló információkat ugyanakkor figyelembe vette a Bizottság, különös tekintettel a nyilvános konzultációk eredményeire és a szakértői véleményekre.</w:t>
      </w:r>
    </w:p>
    <w:p w:rsidR="00097DA9" w:rsidRDefault="0026696E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Az érdekelt felekkel folytatott </w:t>
      </w:r>
      <w:r>
        <w:rPr>
          <w:noProof/>
        </w:rPr>
        <w:t>konzultációk</w:t>
      </w:r>
    </w:p>
    <w:p w:rsidR="00097DA9" w:rsidRDefault="0026696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A javasolt rendelet nemzetközi szintű rendelkezések végrehajtására irányul, ezért nem került sor külön konzultációra az érdekelt felekkel. Az uniós szerzői jogi szabályok felülvizsgálata tárgyában a Bizottság által 2013 decembere és 2014 márci</w:t>
      </w:r>
      <w:r>
        <w:rPr>
          <w:noProof/>
          <w:color w:val="000000"/>
          <w:u w:color="000000"/>
          <w:bdr w:val="nil"/>
        </w:rPr>
        <w:t>usa között lefolytatott kiterjedt nyilvános konzultáció egyik szakasza, amely hivatkozott a marrákesi szerződésre, a fogyatékossággal élő személyek érdekében bevezetett korlátozásokat és kivételeket, valamint a hozzáférhető formátumú művek elérhetőségét és</w:t>
      </w:r>
      <w:r>
        <w:rPr>
          <w:noProof/>
          <w:color w:val="000000"/>
          <w:u w:color="000000"/>
          <w:bdr w:val="nil"/>
        </w:rPr>
        <w:t xml:space="preserve"> terjesztését érintette</w:t>
      </w:r>
      <w:r>
        <w:rPr>
          <w:rStyle w:val="FootnoteReference"/>
          <w:noProof/>
        </w:rPr>
        <w:footnoteReference w:id="7"/>
      </w:r>
      <w:r>
        <w:rPr>
          <w:noProof/>
          <w:color w:val="000000"/>
          <w:u w:color="000000"/>
          <w:bdr w:val="nil"/>
        </w:rPr>
        <w:t xml:space="preserve">. </w:t>
      </w:r>
      <w:r>
        <w:rPr>
          <w:noProof/>
        </w:rPr>
        <w:t>A végfelhasználók, fogyasztók és intézményi felhasználók, többek között a fogyatékossággal élők érdekeit szolgáló szervezetek és a könyvtárak által kifejezett vélemények egyebek mellett rámutattak arra, hogy eltérőek a kivételekre</w:t>
      </w:r>
      <w:r>
        <w:rPr>
          <w:noProof/>
        </w:rPr>
        <w:t xml:space="preserve"> és a korlátozásokra vonatkozó nemzeti rendelkezések, ami a jogbiztonság tekintetében bonyodalmakat okoz a nemzeti szerzői jogi kivételek és korlátozások értelmében előállított hozzáférhető formátumú példányok exportja, illetve importja során.</w:t>
      </w:r>
      <w:r>
        <w:rPr>
          <w:noProof/>
          <w:color w:val="000000"/>
          <w:bdr w:val="nil"/>
        </w:rPr>
        <w:t xml:space="preserve"> Az intézmény</w:t>
      </w:r>
      <w:r>
        <w:rPr>
          <w:noProof/>
          <w:color w:val="000000"/>
          <w:bdr w:val="nil"/>
        </w:rPr>
        <w:t xml:space="preserve">i válaszadók egyöntetűen azon a véleményen voltak, hogy a marrákesi szerződés kielégítő módon kezelné ezeket a problémákat. </w:t>
      </w:r>
      <w:r>
        <w:rPr>
          <w:noProof/>
        </w:rPr>
        <w:t>A jogosultak és a közös jogkezelést végző szervezetek általában úgy vélték, hogy az uniós jogszabályokban szabályozott opcionális ki</w:t>
      </w:r>
      <w:r>
        <w:rPr>
          <w:noProof/>
        </w:rPr>
        <w:t>vételek és korlátozások nemzeti végrehajtása nem okoz nehézségeket. Azt is megjegyezték, hogy a jelenlegi piaci mechanizmusok alkalmasak a fogyatékossággal élő személyek művekhez való hozzáférésének hatékony kezelésére. A végfelhasználók, a fogyasztók és a</w:t>
      </w:r>
      <w:r>
        <w:rPr>
          <w:noProof/>
        </w:rPr>
        <w:t>z intézményi felhasználók nem osztották ezt az álláspontot.</w:t>
      </w:r>
    </w:p>
    <w:p w:rsidR="00097DA9" w:rsidRDefault="0026696E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Szakértői vélemények beszerzése és felhasználása</w:t>
      </w:r>
    </w:p>
    <w:p w:rsidR="00097DA9" w:rsidRDefault="0026696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E javaslat elkészítése során külön szakértői vélemények beszerzésére nem került sor. A Bizottság figyelembe vett egy, a 2001/29/EK irányelv alkal</w:t>
      </w:r>
      <w:r>
        <w:rPr>
          <w:noProof/>
        </w:rPr>
        <w:t>mazásáról szóló, 2013-ban készült tanulmányt</w:t>
      </w:r>
      <w:r>
        <w:rPr>
          <w:rStyle w:val="FootnoteReference"/>
          <w:noProof/>
        </w:rPr>
        <w:footnoteReference w:id="8"/>
      </w:r>
      <w:r>
        <w:rPr>
          <w:noProof/>
        </w:rPr>
        <w:t>, amely többek között az említett irányelv 5. cikke (3) bekezdésének b) pontjában említett, a fogyatékos személyek tekintetében opcionálisan alkalmazható uniós kivételek, illetve korlátozások alkalmazását értéke</w:t>
      </w:r>
      <w:r>
        <w:rPr>
          <w:noProof/>
        </w:rPr>
        <w:t>lte tizenegy tagállamban.</w:t>
      </w:r>
    </w:p>
    <w:p w:rsidR="00097DA9" w:rsidRDefault="0026696E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Hatásvizsgálat</w:t>
      </w:r>
    </w:p>
    <w:p w:rsidR="00097DA9" w:rsidRDefault="0026696E">
      <w:pPr>
        <w:spacing w:after="240"/>
        <w:rPr>
          <w:rFonts w:eastAsia="Arial Unicode MS"/>
          <w:noProof/>
          <w:color w:val="000000"/>
          <w:szCs w:val="24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 xml:space="preserve">A javasolt rendelet témája a marrákesi szerződés által a hozzáférhető formátumú példányoknak az Unió és harmadik országok közötti cseréjére kifejtett hatás, célja pedig az, hogy ezen a területen összhangba hozza </w:t>
      </w:r>
      <w:r>
        <w:rPr>
          <w:noProof/>
          <w:color w:val="000000"/>
          <w:u w:color="000000"/>
          <w:bdr w:val="nil"/>
        </w:rPr>
        <w:t>az uniós jogot az említett szerződéssel. A minőségi jogalkotásra vonatkozó iránymutatás</w:t>
      </w:r>
      <w:r>
        <w:rPr>
          <w:rStyle w:val="FootnoteReference"/>
          <w:noProof/>
        </w:rPr>
        <w:footnoteReference w:id="9"/>
      </w:r>
      <w:r>
        <w:rPr>
          <w:noProof/>
          <w:color w:val="000000"/>
          <w:u w:color="000000"/>
          <w:bdr w:val="nil"/>
        </w:rPr>
        <w:t xml:space="preserve"> nem írja elő hatásvizsgálat elvégzését olyan esetben, amikor a Bizottságnak nincs mérlegelési jogköre az adott szakpolitikai területen.</w:t>
      </w:r>
    </w:p>
    <w:p w:rsidR="00097DA9" w:rsidRDefault="0026696E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Alapjogok</w:t>
      </w:r>
    </w:p>
    <w:p w:rsidR="00097DA9" w:rsidRDefault="0026696E">
      <w:pPr>
        <w:rPr>
          <w:noProof/>
        </w:rPr>
      </w:pPr>
      <w:r>
        <w:rPr>
          <w:noProof/>
          <w:color w:val="000000"/>
          <w:u w:color="000000"/>
          <w:bdr w:val="nil"/>
        </w:rPr>
        <w:t>A javasolt rendelet</w:t>
      </w:r>
      <w:r>
        <w:rPr>
          <w:noProof/>
        </w:rPr>
        <w:t xml:space="preserve"> – az Európai Unió Alapjogi Chartájának (a továbbiakban: Charta) 26. cikkében foglaltakkal összhangban – támogatja a fogyatékossággal élő személyek jogát az önállóságuk, társadalmi és foglalkozási beilleszkedésük, valamint a közösség életében való részvéte</w:t>
      </w:r>
      <w:r>
        <w:rPr>
          <w:noProof/>
        </w:rPr>
        <w:t xml:space="preserve">lük biztosítását célzó intézkedésekre. </w:t>
      </w:r>
      <w:r>
        <w:rPr>
          <w:noProof/>
          <w:color w:val="000000"/>
          <w:u w:color="000000"/>
          <w:bdr w:val="nil"/>
        </w:rPr>
        <w:t>A rendelet emellett az UNCRPD értelmében tett uniós vállalásokat is tükrözi.</w:t>
      </w:r>
      <w:r>
        <w:rPr>
          <w:noProof/>
        </w:rPr>
        <w:t xml:space="preserve"> Az UNCRPD biztosítja a fogyatékossággal élő személyek számára az információhoz való hozzáférés jogát, valamint a kulturális, gazdasági és tá</w:t>
      </w:r>
      <w:r>
        <w:rPr>
          <w:noProof/>
        </w:rPr>
        <w:t>rsadalmi életben másokkal azonos alapon való részvételhez való jogot.  Mindezek fényében indokolt a jogosultak szellemi tulajdonjogainak a Chartában foglalt uniós kötelezettségekkel összhangban történő korlátozása</w:t>
      </w:r>
      <w:r>
        <w:rPr>
          <w:rStyle w:val="FootnoteReference"/>
          <w:noProof/>
        </w:rPr>
        <w:footnoteReference w:id="10"/>
      </w:r>
      <w:r>
        <w:rPr>
          <w:noProof/>
        </w:rPr>
        <w:t>.</w:t>
      </w:r>
    </w:p>
    <w:p w:rsidR="00097DA9" w:rsidRDefault="0026696E">
      <w:pPr>
        <w:rPr>
          <w:noProof/>
        </w:rPr>
      </w:pPr>
      <w:r>
        <w:rPr>
          <w:noProof/>
        </w:rPr>
        <w:t>A javaslat korlátozott hatást gyakorolna</w:t>
      </w:r>
      <w:r>
        <w:rPr>
          <w:noProof/>
        </w:rPr>
        <w:t xml:space="preserve"> a szerzői jogra mint tulajdonjogra, a Chartában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foglaltaknak megfelelően (17. cikk, (2) bekezdés). Ebben az összefüggésben meg kell jegyezni, hogy az [...] irányelv az e javaslatban meghatározott kedvezményezett személyek javára a szerzői jogi szabályok </w:t>
      </w:r>
      <w:r>
        <w:rPr>
          <w:noProof/>
        </w:rPr>
        <w:t>alóli kötelező jellegű kivételt vezetett be. E rendelet hatása ezért korlátozott lesz: a hozzáférhető formátumú példányoknak az Unió és a marrákesi szerződéshez csatlakozott harmadik országok közötti cseréjét fogja szabályozni.</w:t>
      </w:r>
    </w:p>
    <w:p w:rsidR="00097DA9" w:rsidRDefault="0026696E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KÖLTSÉGVETÉSI VONZATOK</w:t>
      </w:r>
    </w:p>
    <w:p w:rsidR="00097DA9" w:rsidRDefault="0026696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</w:t>
      </w:r>
      <w:r>
        <w:rPr>
          <w:noProof/>
        </w:rPr>
        <w:t>javaslat nincs hatással az uniós költségvetésre.</w:t>
      </w:r>
    </w:p>
    <w:p w:rsidR="00097DA9" w:rsidRDefault="0026696E"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EGYÉB ELEMEK</w:t>
      </w:r>
    </w:p>
    <w:p w:rsidR="00097DA9" w:rsidRDefault="0026696E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Végrehajtási tervek, valamint a nyomon követés, az értékelés és a jelentéstétel szabályai</w:t>
      </w:r>
    </w:p>
    <w:p w:rsidR="00097DA9" w:rsidRDefault="0026696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minőségi jogalkotásra vonatkozó iránymutatásnak megfelelően, legkorábban öt évvel a rendelet alka</w:t>
      </w:r>
      <w:r>
        <w:rPr>
          <w:noProof/>
        </w:rPr>
        <w:t>lmazásának kezdetét követően a Bizottság elvégzi a rendelet értékelését és megküldi annak főbb eredményeit az Európai Parlamentnek, a Tanácsnak, valamint az Európai Gazdasági és Szociális Bizottságnak, adott esetben a rendelet módosítására irányuló javasla</w:t>
      </w:r>
      <w:r>
        <w:rPr>
          <w:noProof/>
        </w:rPr>
        <w:t>tok kíséretében. A Bizottság egyúttal az [...] irányelv értékelését is elvégzi.</w:t>
      </w:r>
    </w:p>
    <w:p w:rsidR="00097DA9" w:rsidRDefault="0026696E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 javaslat egyes rendelkezéseinek részletes magyarázata</w:t>
      </w:r>
    </w:p>
    <w:p w:rsidR="00097DA9" w:rsidRDefault="0026696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Az 1. cikk meghatározza a javaslat tárgyát és hatályát. A javasolt rendelet egyes, szerzői jog vagy szomszédos jogok v</w:t>
      </w:r>
      <w:r>
        <w:rPr>
          <w:noProof/>
        </w:rPr>
        <w:t xml:space="preserve">édelme alá tartozó művek és más tartalmak hozzáférhető formátumú példányainak az Unió és harmadik országok közötti, a marrákesi szerződésnek megfelelő cseréjét szabályozza. </w:t>
      </w:r>
    </w:p>
    <w:p w:rsidR="00097DA9" w:rsidRDefault="0026696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A 2. cikk meghatározza a javasolt rendelet alkalmazásában használandó fogalmakat: </w:t>
      </w:r>
      <w:r>
        <w:rPr>
          <w:noProof/>
        </w:rPr>
        <w:t>„mű vagy más tartalom”, „kedvezményezett személy”, „hozzáférhető formátumú példány”, „felhatalmazott szervezet”.</w:t>
      </w:r>
    </w:p>
    <w:p w:rsidR="00097DA9" w:rsidRDefault="0026696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3. cikk a hozzáférhető formátumú példányoknak az Unióból harmadik országokba történő exportjára irányuló rendelkezéseket tartalmaz.</w:t>
      </w:r>
    </w:p>
    <w:p w:rsidR="00097DA9" w:rsidRDefault="0026696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4. cikk</w:t>
      </w:r>
      <w:r>
        <w:rPr>
          <w:noProof/>
        </w:rPr>
        <w:t xml:space="preserve"> a hozzáférhető formátumú példányoknak harmadik országokból az Unióba történő importjára irányuló rendelkezéseket tartalmaz. </w:t>
      </w:r>
    </w:p>
    <w:p w:rsidR="00097DA9" w:rsidRDefault="0026696E">
      <w:pPr>
        <w:spacing w:before="0" w:after="240"/>
        <w:rPr>
          <w:rFonts w:eastAsia="Arial Unicode MS" w:hAnsi="Arial Unicode MS" w:cs="Arial Unicode MS"/>
          <w:noProof/>
          <w:color w:val="000000"/>
          <w:szCs w:val="24"/>
          <w:u w:color="000000"/>
        </w:rPr>
      </w:pPr>
      <w:r>
        <w:rPr>
          <w:rFonts w:hAnsi="Arial Unicode MS"/>
          <w:noProof/>
          <w:color w:val="000000"/>
          <w:u w:color="000000"/>
        </w:rPr>
        <w:t>Az 5. cikk a felhatalmazott szervezetek azon k</w:t>
      </w:r>
      <w:r>
        <w:rPr>
          <w:noProof/>
          <w:color w:val="000000"/>
          <w:u w:color="000000"/>
        </w:rPr>
        <w:t>ö</w:t>
      </w:r>
      <w:r>
        <w:rPr>
          <w:rFonts w:hAnsi="Arial Unicode MS"/>
          <w:noProof/>
          <w:color w:val="000000"/>
          <w:u w:color="000000"/>
        </w:rPr>
        <w:t>telezetts</w:t>
      </w:r>
      <w:r>
        <w:rPr>
          <w:noProof/>
          <w:color w:val="000000"/>
          <w:u w:color="000000"/>
        </w:rPr>
        <w:t>é</w:t>
      </w:r>
      <w:r>
        <w:rPr>
          <w:rFonts w:hAnsi="Arial Unicode MS"/>
          <w:noProof/>
          <w:color w:val="000000"/>
          <w:u w:color="000000"/>
        </w:rPr>
        <w:t xml:space="preserve">geit </w:t>
      </w:r>
      <w:r>
        <w:rPr>
          <w:noProof/>
          <w:color w:val="000000"/>
          <w:u w:color="000000"/>
        </w:rPr>
        <w:t>á</w:t>
      </w:r>
      <w:r>
        <w:rPr>
          <w:rFonts w:hAnsi="Arial Unicode MS"/>
          <w:noProof/>
          <w:color w:val="000000"/>
          <w:u w:color="000000"/>
        </w:rPr>
        <w:t>llap</w:t>
      </w:r>
      <w:r>
        <w:rPr>
          <w:noProof/>
          <w:color w:val="000000"/>
          <w:u w:color="000000"/>
        </w:rPr>
        <w:t>í</w:t>
      </w:r>
      <w:r>
        <w:rPr>
          <w:rFonts w:hAnsi="Arial Unicode MS"/>
          <w:noProof/>
          <w:color w:val="000000"/>
          <w:u w:color="000000"/>
        </w:rPr>
        <w:t>tja meg, amelyeket teljes</w:t>
      </w:r>
      <w:r>
        <w:rPr>
          <w:noProof/>
          <w:color w:val="000000"/>
          <w:u w:color="000000"/>
        </w:rPr>
        <w:t>í</w:t>
      </w:r>
      <w:r>
        <w:rPr>
          <w:rFonts w:hAnsi="Arial Unicode MS"/>
          <w:noProof/>
          <w:color w:val="000000"/>
          <w:u w:color="000000"/>
        </w:rPr>
        <w:t>teni</w:t>
      </w:r>
      <w:r>
        <w:rPr>
          <w:noProof/>
          <w:color w:val="000000"/>
          <w:u w:color="000000"/>
        </w:rPr>
        <w:t>ü</w:t>
      </w:r>
      <w:r>
        <w:rPr>
          <w:rFonts w:hAnsi="Arial Unicode MS"/>
          <w:noProof/>
          <w:color w:val="000000"/>
          <w:u w:color="000000"/>
        </w:rPr>
        <w:t>k kell a hozz</w:t>
      </w:r>
      <w:r>
        <w:rPr>
          <w:noProof/>
          <w:color w:val="000000"/>
          <w:u w:color="000000"/>
        </w:rPr>
        <w:t>á</w:t>
      </w:r>
      <w:r>
        <w:rPr>
          <w:rFonts w:hAnsi="Arial Unicode MS"/>
          <w:noProof/>
          <w:color w:val="000000"/>
          <w:u w:color="000000"/>
        </w:rPr>
        <w:t>f</w:t>
      </w:r>
      <w:r>
        <w:rPr>
          <w:noProof/>
          <w:color w:val="000000"/>
          <w:u w:color="000000"/>
        </w:rPr>
        <w:t>é</w:t>
      </w:r>
      <w:r>
        <w:rPr>
          <w:rFonts w:hAnsi="Arial Unicode MS"/>
          <w:noProof/>
          <w:color w:val="000000"/>
          <w:u w:color="000000"/>
        </w:rPr>
        <w:t>rhet</w:t>
      </w:r>
      <w:r>
        <w:rPr>
          <w:noProof/>
          <w:color w:val="000000"/>
          <w:u w:color="000000"/>
        </w:rPr>
        <w:t>ő</w:t>
      </w:r>
      <w:r>
        <w:rPr>
          <w:rFonts w:hAnsi="Arial Unicode MS"/>
          <w:noProof/>
          <w:color w:val="000000"/>
          <w:u w:color="000000"/>
        </w:rPr>
        <w:t xml:space="preserve"> form</w:t>
      </w:r>
      <w:r>
        <w:rPr>
          <w:noProof/>
          <w:color w:val="000000"/>
          <w:u w:color="000000"/>
        </w:rPr>
        <w:t>á</w:t>
      </w:r>
      <w:r>
        <w:rPr>
          <w:rFonts w:hAnsi="Arial Unicode MS"/>
          <w:noProof/>
          <w:color w:val="000000"/>
          <w:u w:color="000000"/>
        </w:rPr>
        <w:t>tum</w:t>
      </w:r>
      <w:r>
        <w:rPr>
          <w:noProof/>
          <w:color w:val="000000"/>
          <w:u w:color="000000"/>
        </w:rPr>
        <w:t>ú</w:t>
      </w:r>
      <w:r>
        <w:rPr>
          <w:rFonts w:hAnsi="Arial Unicode MS"/>
          <w:noProof/>
          <w:color w:val="000000"/>
          <w:u w:color="000000"/>
        </w:rPr>
        <w:t xml:space="preserve"> p</w:t>
      </w:r>
      <w:r>
        <w:rPr>
          <w:noProof/>
          <w:color w:val="000000"/>
          <w:u w:color="000000"/>
        </w:rPr>
        <w:t>é</w:t>
      </w:r>
      <w:r>
        <w:rPr>
          <w:rFonts w:hAnsi="Arial Unicode MS"/>
          <w:noProof/>
          <w:color w:val="000000"/>
          <w:u w:color="000000"/>
        </w:rPr>
        <w:t>ld</w:t>
      </w:r>
      <w:r>
        <w:rPr>
          <w:noProof/>
          <w:color w:val="000000"/>
          <w:u w:color="000000"/>
        </w:rPr>
        <w:t>á</w:t>
      </w:r>
      <w:r>
        <w:rPr>
          <w:rFonts w:hAnsi="Arial Unicode MS"/>
          <w:noProof/>
          <w:color w:val="000000"/>
          <w:u w:color="000000"/>
        </w:rPr>
        <w:t>nyoknak a harmadik orsz</w:t>
      </w:r>
      <w:r>
        <w:rPr>
          <w:noProof/>
          <w:color w:val="000000"/>
          <w:u w:color="000000"/>
        </w:rPr>
        <w:t>á</w:t>
      </w:r>
      <w:r>
        <w:rPr>
          <w:rFonts w:hAnsi="Arial Unicode MS"/>
          <w:noProof/>
          <w:color w:val="000000"/>
          <w:u w:color="000000"/>
        </w:rPr>
        <w:t>gokkal folytatott cser</w:t>
      </w:r>
      <w:r>
        <w:rPr>
          <w:noProof/>
          <w:color w:val="000000"/>
          <w:u w:color="000000"/>
        </w:rPr>
        <w:t>é</w:t>
      </w:r>
      <w:r>
        <w:rPr>
          <w:rFonts w:hAnsi="Arial Unicode MS"/>
          <w:noProof/>
          <w:color w:val="000000"/>
          <w:u w:color="000000"/>
        </w:rPr>
        <w:t>je sor</w:t>
      </w:r>
      <w:r>
        <w:rPr>
          <w:noProof/>
          <w:color w:val="000000"/>
          <w:u w:color="000000"/>
        </w:rPr>
        <w:t>á</w:t>
      </w:r>
      <w:r>
        <w:rPr>
          <w:rFonts w:hAnsi="Arial Unicode MS"/>
          <w:noProof/>
          <w:color w:val="000000"/>
          <w:u w:color="000000"/>
        </w:rPr>
        <w:t xml:space="preserve">n. </w:t>
      </w:r>
    </w:p>
    <w:p w:rsidR="00097DA9" w:rsidRDefault="0026696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6. cikk a személyes adatok védelmére vonatkozó szabályokat határozza meg. </w:t>
      </w:r>
    </w:p>
    <w:p w:rsidR="00097DA9" w:rsidRDefault="0026696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7. cikk meghatározza a rendeletnek a minőségi jogalkotás szabályaival összhangban történő értékelésének </w:t>
      </w:r>
      <w:r>
        <w:rPr>
          <w:noProof/>
        </w:rPr>
        <w:t>részleteit.</w:t>
      </w:r>
    </w:p>
    <w:p w:rsidR="00097DA9" w:rsidRDefault="0026696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8. cikk meghatározza a rendelet hatálybalépésének, a 9. cikk pedig az alkalmazása kezdetének időpontját.</w:t>
      </w:r>
    </w:p>
    <w:p w:rsidR="00097DA9" w:rsidRDefault="00097DA9">
      <w:pPr>
        <w:rPr>
          <w:noProof/>
        </w:rPr>
        <w:sectPr w:rsidR="00097DA9" w:rsidSect="0026696E"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097DA9" w:rsidRDefault="0026696E" w:rsidP="0026696E">
      <w:pPr>
        <w:pStyle w:val="Rfrenceinterinstitutionnelle"/>
        <w:rPr>
          <w:noProof/>
        </w:rPr>
      </w:pPr>
      <w:r w:rsidRPr="0026696E">
        <w:t>2016/0279 (COD)</w:t>
      </w:r>
    </w:p>
    <w:p w:rsidR="00097DA9" w:rsidRDefault="0026696E" w:rsidP="0026696E">
      <w:pPr>
        <w:pStyle w:val="Statut"/>
        <w:rPr>
          <w:noProof/>
        </w:rPr>
      </w:pPr>
      <w:r w:rsidRPr="0026696E">
        <w:t>Javaslat</w:t>
      </w:r>
    </w:p>
    <w:p w:rsidR="00097DA9" w:rsidRDefault="0026696E" w:rsidP="0026696E">
      <w:pPr>
        <w:pStyle w:val="Typedudocument"/>
        <w:rPr>
          <w:noProof/>
        </w:rPr>
      </w:pPr>
      <w:r w:rsidRPr="0026696E">
        <w:t xml:space="preserve">AZ EURÓPAI PARLAMENT </w:t>
      </w:r>
      <w:proofErr w:type="gramStart"/>
      <w:r w:rsidRPr="0026696E">
        <w:t>ÉS</w:t>
      </w:r>
      <w:proofErr w:type="gramEnd"/>
      <w:r w:rsidRPr="0026696E">
        <w:t xml:space="preserve"> A TANÁCS RENDELETE</w:t>
      </w:r>
    </w:p>
    <w:p w:rsidR="00097DA9" w:rsidRDefault="0026696E" w:rsidP="0026696E">
      <w:pPr>
        <w:pStyle w:val="Titreobjet"/>
        <w:rPr>
          <w:noProof/>
        </w:rPr>
      </w:pPr>
      <w:proofErr w:type="gramStart"/>
      <w:r w:rsidRPr="0026696E">
        <w:t>egyes</w:t>
      </w:r>
      <w:proofErr w:type="gramEnd"/>
      <w:r w:rsidRPr="0026696E">
        <w:t xml:space="preserve">, szerzői jog és szomszédos jogok védelme alá tartozó művek és más tartalmak hozzáférhető formátumú példányainak az Unió és harmadik országok közötti, a vakok, látássérültek és nyomtatott szöveget használni képtelen személyek érdekét szolgáló nemzetközi cseréjéről </w:t>
      </w:r>
    </w:p>
    <w:p w:rsidR="00097DA9" w:rsidRDefault="0026696E">
      <w:pPr>
        <w:pStyle w:val="Institutionquiagit"/>
        <w:rPr>
          <w:noProof/>
        </w:rPr>
      </w:pPr>
      <w:r>
        <w:rPr>
          <w:noProof/>
        </w:rPr>
        <w:t>AZ EURÓPAI PARLAMENT ÉS AZ EURÓPAI UNIÓ TANÁCSA,</w:t>
      </w:r>
    </w:p>
    <w:p w:rsidR="00097DA9" w:rsidRDefault="0026696E">
      <w:pPr>
        <w:rPr>
          <w:noProof/>
        </w:rPr>
      </w:pPr>
      <w:r>
        <w:rPr>
          <w:noProof/>
        </w:rPr>
        <w:t>tekintettel az Európai Unió működéséről szóló szerződésre és különösen annak 207. cikkére,</w:t>
      </w:r>
    </w:p>
    <w:p w:rsidR="00097DA9" w:rsidRDefault="0026696E">
      <w:pPr>
        <w:rPr>
          <w:noProof/>
        </w:rPr>
      </w:pPr>
      <w:r>
        <w:rPr>
          <w:noProof/>
        </w:rPr>
        <w:t>tekintettel az Európai Bizottság javaslatára,</w:t>
      </w:r>
    </w:p>
    <w:p w:rsidR="00097DA9" w:rsidRDefault="0026696E">
      <w:pPr>
        <w:rPr>
          <w:noProof/>
        </w:rPr>
      </w:pPr>
      <w:r>
        <w:rPr>
          <w:noProof/>
        </w:rPr>
        <w:t>a jogalkotási aktus te</w:t>
      </w:r>
      <w:r>
        <w:rPr>
          <w:noProof/>
        </w:rPr>
        <w:t>rvezete nemzeti parlamenteknek való megküldését követően,</w:t>
      </w:r>
    </w:p>
    <w:p w:rsidR="00097DA9" w:rsidRDefault="0026696E">
      <w:pPr>
        <w:rPr>
          <w:noProof/>
        </w:rPr>
      </w:pPr>
      <w:r>
        <w:rPr>
          <w:noProof/>
        </w:rPr>
        <w:t>rendes jogalkotási eljárás keretében,</w:t>
      </w:r>
    </w:p>
    <w:p w:rsidR="00097DA9" w:rsidRDefault="0026696E">
      <w:pPr>
        <w:rPr>
          <w:noProof/>
        </w:rPr>
      </w:pPr>
      <w:r>
        <w:rPr>
          <w:noProof/>
        </w:rPr>
        <w:t>mivel:</w:t>
      </w:r>
    </w:p>
    <w:p w:rsidR="00097DA9" w:rsidRDefault="0026696E"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A vakok, látássérültek és nyomtatott szöveget használni képtelen személyek továbbra is számos akadályba ütköznek a könyvekhez és egyéb nyomtatott any</w:t>
      </w:r>
      <w:r>
        <w:rPr>
          <w:noProof/>
        </w:rPr>
        <w:t>agokhoz való hozzáférés tekintetében. Nemzetközi szinten is elismerik, hogy növelni kell a művek és más tartalmak szóban forgó személyek számára hozzáférhető formátumú példányainak számát, és javítani kell ezek forgalmazását és terjesztését. A vakok, látás</w:t>
      </w:r>
      <w:r>
        <w:rPr>
          <w:noProof/>
        </w:rPr>
        <w:t>sérültek és nyomtatott szöveget használni képtelen személyek megjelent művekhez való hozzáférésének megkönnyítéséről szóló marrákesi szerződést (a továbbiakban: a marrákesi szerződés) az Unió nevében 2014. április 30-án írták alá</w:t>
      </w:r>
      <w:r>
        <w:rPr>
          <w:rStyle w:val="FootnoteReference"/>
          <w:noProof/>
        </w:rPr>
        <w:footnoteReference w:id="12"/>
      </w:r>
      <w:r>
        <w:rPr>
          <w:noProof/>
        </w:rPr>
        <w:t>. A szerződés előírja a sz</w:t>
      </w:r>
      <w:r>
        <w:rPr>
          <w:noProof/>
        </w:rPr>
        <w:t>erződő feleknek, hogy a szerzői jog és a szomszédos jogok jogosultjainak kizárólagos jogai tekintetében alkalmazzanak kivételeket és korlátozásokat egyes művek és más tartalmak hozzáférhető formátumú példányainak előállítása és terjesztése, valamint az eml</w:t>
      </w:r>
      <w:r>
        <w:rPr>
          <w:noProof/>
        </w:rPr>
        <w:t>ített hozzáférhető formátumú példányok nemzetközi cseréje tekintetében. A marrákesi szerződés kedvezményezettjei a vakok, látássérültek és az érzékelési vagy olvasási nehézséggel, többek között a diszlexiával küzdő személyek, akik ennek következtében képte</w:t>
      </w:r>
      <w:r>
        <w:rPr>
          <w:noProof/>
        </w:rPr>
        <w:t>lenek nyomtatott műveket a sérüléssel vagy nehézséggel nem küzdő személyekhez hasonlóan olvasni, továbbá azok, akik egyéb testi fogyatékosság miatt képtelenek könyvet tartani vagy lapozni, vagy az olvasást rendes esetben lehetővé tevő mértékben szemüket fó</w:t>
      </w:r>
      <w:r>
        <w:rPr>
          <w:noProof/>
        </w:rPr>
        <w:t>kuszálni, illetve mozgatni.</w:t>
      </w:r>
    </w:p>
    <w:p w:rsidR="00097DA9" w:rsidRDefault="0026696E"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 xml:space="preserve">az [...] irányelv célja a marrákesi szerződés szerinti uniós kötelezettségek összehangolt módon történő végrehajtása annak érdekében, hogy a kedvezményezettek számára elérhetőbbé váljanak a hozzáférhető formátumú példányok, </w:t>
      </w:r>
      <w:r>
        <w:rPr>
          <w:noProof/>
        </w:rPr>
        <w:t>valamint javuljon ezek terjesztése a belső piacon. Az irányelv kötelező kivétel bevezetését írja elő a tagállamoknak a jogosultak egyes, uniós szinten harmonizált jogai tekintetében. E rendelet célja a marrákesi szerződés szerinti kötelezettségek végrehajt</w:t>
      </w:r>
      <w:r>
        <w:rPr>
          <w:noProof/>
        </w:rPr>
        <w:t>ása a hozzáférhető formátumú példányoknak az Unió és a marrákesi szerződéshez csatlakozott harmadik országok közötti, a kedvezményezett személyek érdekét szolgáló exportja és importja tekintetében, valamint az említett exportálás és importálás feltételeine</w:t>
      </w:r>
      <w:r>
        <w:rPr>
          <w:noProof/>
        </w:rPr>
        <w:t>k meghatározása. Tekintettel arra, hogy a művek és más tartalmak hozzáférhető formátumú példányainak cseréje a szellemi tulajdon kereskedelmi vetületeit érinti, ilyen intézkedéseket csak uniós szinten lehet hozni. Az egyetlen megfelelő jogi aktus a rendele</w:t>
      </w:r>
      <w:r>
        <w:rPr>
          <w:noProof/>
        </w:rPr>
        <w:t>t.</w:t>
      </w:r>
    </w:p>
    <w:p w:rsidR="00097DA9" w:rsidRDefault="0026696E"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A rendeletnek biztosítania kell azt a lehetőséget, hogy a könyveknek, folyóiratoknak, újságoknak, magazinoknak és egyéb írásoknak, kottáknak és más nyomtatott anyagoknak az [...] irányelvvel összhangban elfogadott nemzeti rendelkezéseknek megfelelőe</w:t>
      </w:r>
      <w:r>
        <w:rPr>
          <w:noProof/>
        </w:rPr>
        <w:t>n bármely tagállamban előállított, hozzáférhető formátumú példányait exportálják a marrákesi szerződéshez csatlakozott harmadik országokba. A hozzáférhető formátumok közé tartozik a Braille-írás, a nagyított betűs nyomtatás, az adaptált e-könyvek, a hangos</w:t>
      </w:r>
      <w:r>
        <w:rPr>
          <w:noProof/>
        </w:rPr>
        <w:t>könyvek és a rádiós műsorszolgáltatás. A hozzáférhető formátumú példányoknak a nyomtatott szöveget használni képtelen személyek, illetve felhatalmazott szervezetek részére, harmadik országokban történő terjesztését, közvetítését és rendelkezésre bocsátását</w:t>
      </w:r>
      <w:r>
        <w:rPr>
          <w:noProof/>
        </w:rPr>
        <w:t xml:space="preserve"> kizárólag az Unióban letelepedett felhatalmazott szervezetek végezhetik, nonprofit alapon.</w:t>
      </w:r>
    </w:p>
    <w:p w:rsidR="00097DA9" w:rsidRDefault="0026696E"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E rendeletnek azt is lehetővé kell tennie, hogy az Unióban található kedvezményezett személyek, valamint az Unióban letelepedett felhatalmazott szervezetek a ma</w:t>
      </w:r>
      <w:r>
        <w:rPr>
          <w:noProof/>
        </w:rPr>
        <w:t>rrákesi szerződés végrehajtásának megfelelően előállított, hozzáférhető formátumú példányokat importáljanak harmadik országokból, illetve hozzáférjenek azokhoz. Lehetővé kell tenni, hogy a szóban forgó hozzáférhető formátumú példányok terjesztése a belső p</w:t>
      </w:r>
      <w:r>
        <w:rPr>
          <w:noProof/>
        </w:rPr>
        <w:t>iacon ugyanolyan feltételek mellett történjen, mint az [...] irányelvnek megfelelően az Unióban előállított hozzáférhető formátumú példányoké.</w:t>
      </w:r>
    </w:p>
    <w:p w:rsidR="00097DA9" w:rsidRDefault="0026696E"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A hozzáférhető formátumú példányok elérhetőségének javítása, valamint a művek és más tartalmak jogellenes ter</w:t>
      </w:r>
      <w:r>
        <w:rPr>
          <w:noProof/>
        </w:rPr>
        <w:t>jesztésének megakadályozása érdekében a hozzáférhető formátumú példányok terjesztésével és rendelkezésre bocsátásával foglalkozó felhatalmazott szervezeteknek teljesíteniük kell bizonyos kötelezettségeket.</w:t>
      </w:r>
    </w:p>
    <w:p w:rsidR="00097DA9" w:rsidRDefault="0026696E">
      <w:pPr>
        <w:pStyle w:val="ManualConsidrant"/>
        <w:rPr>
          <w:noProof/>
          <w:color w:val="000000" w:themeColor="text1"/>
        </w:rPr>
      </w:pPr>
      <w:r>
        <w:rPr>
          <w:noProof/>
        </w:rPr>
        <w:t>(6)</w:t>
      </w:r>
      <w:r>
        <w:rPr>
          <w:noProof/>
        </w:rPr>
        <w:tab/>
        <w:t>A személyes adatok e rendelet keretében történ</w:t>
      </w:r>
      <w:r>
        <w:rPr>
          <w:noProof/>
        </w:rPr>
        <w:t>ő feldolgozása során tiszteletben kell tartani az alapvető jogokat, ideértve a magán- és a családi élet tiszteletben tartásához és a személyes adatok védelméhez fűződő, az Európai Unió Alapjogi Chartájának 7. és 8. cikke szerinti jogot, továbbá meg kell fe</w:t>
      </w:r>
      <w:r>
        <w:rPr>
          <w:noProof/>
        </w:rPr>
        <w:t>lelni a 95/46/EK európai parlamenti és tanácsi irányelvnek</w:t>
      </w:r>
      <w:r>
        <w:rPr>
          <w:rStyle w:val="FootnoteReference"/>
          <w:noProof/>
        </w:rPr>
        <w:footnoteReference w:id="13"/>
      </w:r>
      <w:r>
        <w:rPr>
          <w:noProof/>
        </w:rPr>
        <w:t>, amely a személyes adatok feldolgozását szabályozza, és amelynek rendelkezései szerint a felhatalmazott szervezetek e rendelet keretei között, a tagállamok illetékes hatóságai, különösen a tagálla</w:t>
      </w:r>
      <w:r>
        <w:rPr>
          <w:noProof/>
        </w:rPr>
        <w:t xml:space="preserve">mok által kijelölt független hatóságok felügyelete alatt végezhetik az adatfeldolgozást. </w:t>
      </w:r>
    </w:p>
    <w:p w:rsidR="00097DA9" w:rsidRDefault="0026696E"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 xml:space="preserve">A fogyatékossággal élő személyek jogairól szóló ENSZ-egyezmény (a továbbiakban: UNCRPD) biztosítja a fogyatékossággal élő személyek számára az információhoz való </w:t>
      </w:r>
      <w:r>
        <w:rPr>
          <w:noProof/>
        </w:rPr>
        <w:t>hozzáférés jogát, valamint a kulturális, gazdasági és társadalmi életben másokkal azonos alapon való részvételhez való jogot. Az UNCRPD előírja a részes feleknek, hogy a nemzetközi joggal összhangban minden szükséges lépést tegyenek meg annak biztosítására</w:t>
      </w:r>
      <w:r>
        <w:rPr>
          <w:noProof/>
        </w:rPr>
        <w:t>, hogy a szellemi tulajdonjogokat védő jogszabályok ne jelentsenek észszerűtlen vagy megkülönböztetést okozó akadályt a fogyatékossággal élő személyek kulturális anyagokhoz történő hozzáférésével szemben.</w:t>
      </w:r>
    </w:p>
    <w:p w:rsidR="00097DA9" w:rsidRDefault="0026696E">
      <w:pPr>
        <w:pStyle w:val="ManualConsidrant"/>
        <w:rPr>
          <w:noProof/>
        </w:rPr>
      </w:pPr>
      <w:r>
        <w:rPr>
          <w:noProof/>
        </w:rPr>
        <w:t>(8)</w:t>
      </w:r>
      <w:r>
        <w:rPr>
          <w:noProof/>
        </w:rPr>
        <w:tab/>
        <w:t>E rendelet tiszteletben tartja az alapvető jogo</w:t>
      </w:r>
      <w:r>
        <w:rPr>
          <w:noProof/>
        </w:rPr>
        <w:t>kat, valamint az Európai Unió Alapjogi Chartájában elismert elveket. Ezt a rendeletet e jogokkal és elvekkel összhangban kell értelmezni és alkalmazni.</w:t>
      </w:r>
    </w:p>
    <w:p w:rsidR="00097DA9" w:rsidRDefault="0026696E">
      <w:pPr>
        <w:pStyle w:val="Formuledadoption"/>
        <w:rPr>
          <w:noProof/>
        </w:rPr>
      </w:pPr>
      <w:r>
        <w:rPr>
          <w:noProof/>
        </w:rPr>
        <w:t>ELFOGADTA EZT A RENDELETET:</w:t>
      </w:r>
    </w:p>
    <w:p w:rsidR="00097DA9" w:rsidRDefault="0026696E">
      <w:pPr>
        <w:pStyle w:val="Titrearticle"/>
        <w:rPr>
          <w:i w:val="0"/>
          <w:noProof/>
        </w:rPr>
      </w:pPr>
      <w:r>
        <w:rPr>
          <w:noProof/>
        </w:rPr>
        <w:t>1. cikk</w:t>
      </w:r>
      <w:r>
        <w:rPr>
          <w:noProof/>
        </w:rPr>
        <w:br/>
        <w:t>Tárgy és hatály</w:t>
      </w:r>
    </w:p>
    <w:p w:rsidR="00097DA9" w:rsidRDefault="0026696E">
      <w:pPr>
        <w:rPr>
          <w:noProof/>
        </w:rPr>
      </w:pPr>
      <w:r>
        <w:rPr>
          <w:noProof/>
        </w:rPr>
        <w:t xml:space="preserve">Ez a rendelet megállapítja egyes művek és más </w:t>
      </w:r>
      <w:r>
        <w:rPr>
          <w:noProof/>
        </w:rPr>
        <w:t>tartalmak hozzáférhető formátumú példányainak az Unió és a marrákesi szerződéshez csatlakozott harmadik országok közötti, a jogosult engedélye nélkül történő, a vakok, látássérültek és nyomtatott szöveget használni képtelen személyek érdekét szolgáló nemze</w:t>
      </w:r>
      <w:r>
        <w:rPr>
          <w:noProof/>
        </w:rPr>
        <w:t>tközi cseréjére vonatkozó szabályokat.</w:t>
      </w:r>
    </w:p>
    <w:p w:rsidR="00097DA9" w:rsidRDefault="0026696E">
      <w:pPr>
        <w:pStyle w:val="Titrearticle"/>
        <w:rPr>
          <w:i w:val="0"/>
          <w:noProof/>
        </w:rPr>
      </w:pPr>
      <w:r>
        <w:rPr>
          <w:noProof/>
        </w:rPr>
        <w:t>2. cikk</w:t>
      </w:r>
      <w:r>
        <w:rPr>
          <w:noProof/>
        </w:rPr>
        <w:br/>
        <w:t>Fogalommeghatározások</w:t>
      </w:r>
    </w:p>
    <w:p w:rsidR="00097DA9" w:rsidRDefault="0026696E">
      <w:pPr>
        <w:rPr>
          <w:noProof/>
        </w:rPr>
      </w:pPr>
      <w:r>
        <w:rPr>
          <w:noProof/>
        </w:rPr>
        <w:t>E rendelet alkalmazásában:</w:t>
      </w:r>
    </w:p>
    <w:p w:rsidR="00097DA9" w:rsidRDefault="0026696E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„mű vagy más tartalom”: bármely médiában, akár audio – mint például hangoskönyv – formátumban megjelent, vagy egyéb módon jogszerűen közzétett, szerzői jog v</w:t>
      </w:r>
      <w:r>
        <w:rPr>
          <w:noProof/>
        </w:rPr>
        <w:t>agy szomszédos jogok védelme alá tartozó, könyv, folyóirat, újság, magazin vagy egyéb írásos formában lévő mű, ideértve a kottákat és a kapcsolódó illusztrációkat;</w:t>
      </w:r>
    </w:p>
    <w:p w:rsidR="00097DA9" w:rsidRDefault="0026696E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„kedvezményezett személy”: </w:t>
      </w:r>
    </w:p>
    <w:p w:rsidR="00097DA9" w:rsidRDefault="0026696E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vak személy; </w:t>
      </w:r>
    </w:p>
    <w:p w:rsidR="00097DA9" w:rsidRDefault="0026696E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</w:r>
      <w:r>
        <w:rPr>
          <w:noProof/>
        </w:rPr>
        <w:t xml:space="preserve">olyan személy, akinek látássérülése nem javítható olyan mértékben, hogy látásfunkciója lényegében megegyezzen az említett sérüléssel nem küzdő személyek látásfunkciójával; </w:t>
      </w:r>
    </w:p>
    <w:p w:rsidR="00097DA9" w:rsidRDefault="0026696E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olyan személy, aki érzékelési vagy olvasási nehézséggel küzd, ideértve a diszlex</w:t>
      </w:r>
      <w:r>
        <w:rPr>
          <w:noProof/>
        </w:rPr>
        <w:t>iát is, és aki ennek következtében képtelen nyomtatott műveket a sérüléssel vagy nehézséggel nem küzdő személyekhez hasonlóan olvasni; vagy</w:t>
      </w:r>
    </w:p>
    <w:p w:rsidR="00097DA9" w:rsidRDefault="0026696E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egyéb testi fogyatékosság miatt könyvet tartani vagy lapozni képtelen személy, valamint az olvasást rendes esetbe</w:t>
      </w:r>
      <w:r>
        <w:rPr>
          <w:noProof/>
        </w:rPr>
        <w:t>n lehetővé tevő mértékben szemeit fókuszálni, illetve mozgatni képtelen személy;</w:t>
      </w:r>
    </w:p>
    <w:p w:rsidR="00097DA9" w:rsidRDefault="0026696E"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„hozzáférhető formátumú példány”: a megjelent mű vagy más tartalom formátumától eltérő módon vagy formában közzétett példány, amely a kedvezményezett személyek számára a mű</w:t>
      </w:r>
      <w:r>
        <w:rPr>
          <w:noProof/>
        </w:rPr>
        <w:t>vet vagy más tartalmat hozzáférhetővé teszi, többek között lehetővé téve, hogy a kedvezményezettek a látássérüléssel, illetve a 2. pontban említett bármely egyéb nehézséggel nem küzdő személyekhez hasonlóan, azonos kényelem mellett férjenek hozzá a műhöz v</w:t>
      </w:r>
      <w:r>
        <w:rPr>
          <w:noProof/>
        </w:rPr>
        <w:t>agy más tartalomhoz;</w:t>
      </w:r>
    </w:p>
    <w:p w:rsidR="00097DA9" w:rsidRDefault="0026696E"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„felhatalmazott szervezet”: olyan szervezet, amely fő tevékenysége, illetve egyik fő tevékenysége vagy közérdekű feladata keretében nonprofit alapon oktatást, speciális képzést, akadálymentesített olvasási lehetőségeket vagy informá</w:t>
      </w:r>
      <w:r>
        <w:rPr>
          <w:noProof/>
        </w:rPr>
        <w:t>ciókhoz való hozzáférést biztosít a kedvezményezett személyek számára.</w:t>
      </w:r>
    </w:p>
    <w:p w:rsidR="00097DA9" w:rsidRDefault="0026696E">
      <w:pPr>
        <w:pStyle w:val="Titrearticle"/>
        <w:rPr>
          <w:i w:val="0"/>
          <w:noProof/>
        </w:rPr>
      </w:pPr>
      <w:r>
        <w:rPr>
          <w:noProof/>
        </w:rPr>
        <w:t>3. cikk</w:t>
      </w:r>
      <w:r>
        <w:rPr>
          <w:noProof/>
        </w:rPr>
        <w:br/>
        <w:t>A hozzáférhető formátumú példányok harmadik országokba történő exportja</w:t>
      </w:r>
    </w:p>
    <w:p w:rsidR="00097DA9" w:rsidRDefault="0026696E">
      <w:pPr>
        <w:rPr>
          <w:noProof/>
        </w:rPr>
      </w:pPr>
      <w:r>
        <w:rPr>
          <w:noProof/>
        </w:rPr>
        <w:t>A valamely tagállamban letelepedett felhatalmazott szervezetek az [...] irányelvvel összhangban elfogadot</w:t>
      </w:r>
      <w:r>
        <w:rPr>
          <w:noProof/>
        </w:rPr>
        <w:t>t nemzeti jogszabályoknak megfelelően a marrákesi szerződéshez csatlakozott harmadik országokban letelepedett kedvezményezett személyek vagy felhatalmazott szervezetek körében terjeszthetik, közvetíthetik, illetve azok rendelkezésére bocsáthatják a hozzáfé</w:t>
      </w:r>
      <w:r>
        <w:rPr>
          <w:noProof/>
        </w:rPr>
        <w:t>rhető formátumú példányokat.</w:t>
      </w:r>
    </w:p>
    <w:p w:rsidR="00097DA9" w:rsidRDefault="0026696E">
      <w:pPr>
        <w:pStyle w:val="Titrearticle"/>
        <w:rPr>
          <w:i w:val="0"/>
          <w:noProof/>
        </w:rPr>
      </w:pPr>
      <w:r>
        <w:rPr>
          <w:noProof/>
        </w:rPr>
        <w:t>4. cikk</w:t>
      </w:r>
      <w:r>
        <w:rPr>
          <w:noProof/>
        </w:rPr>
        <w:br/>
        <w:t xml:space="preserve">A hozzáférhető formátumú példányok harmadik országokból történő importja </w:t>
      </w:r>
    </w:p>
    <w:p w:rsidR="00097DA9" w:rsidRDefault="0026696E">
      <w:pPr>
        <w:rPr>
          <w:noProof/>
        </w:rPr>
      </w:pPr>
      <w:r>
        <w:rPr>
          <w:noProof/>
        </w:rPr>
        <w:t>A valamely tagállamban letelepedett kedvezményezett személyek vagy felhatalmazott szervezetek az [...] irányelvvel összhangban elfogadott nemzeti</w:t>
      </w:r>
      <w:r>
        <w:rPr>
          <w:noProof/>
        </w:rPr>
        <w:t xml:space="preserve"> jogszabályoknak megfelelően importálhatják vagy egyéb módon megszerezhetik vagy elérhetik, majd felhasználhatják a marrákesi szerződéshez csatlakozott harmadik országokban letelepedett felhatalmazott szervezetek által kedvezményezett személyek vagy felhat</w:t>
      </w:r>
      <w:r>
        <w:rPr>
          <w:noProof/>
        </w:rPr>
        <w:t>almazott szervezetek körében terjesztett, közvetített, illetve azok rendelkezésére bocsátott hozzáférhető formátumú példányokat.</w:t>
      </w:r>
    </w:p>
    <w:p w:rsidR="00097DA9" w:rsidRDefault="0026696E">
      <w:pPr>
        <w:pStyle w:val="Titrearticle"/>
        <w:rPr>
          <w:i w:val="0"/>
          <w:noProof/>
        </w:rPr>
      </w:pPr>
      <w:r>
        <w:rPr>
          <w:noProof/>
        </w:rPr>
        <w:t>5. cikk</w:t>
      </w:r>
      <w:r>
        <w:rPr>
          <w:noProof/>
        </w:rPr>
        <w:br/>
        <w:t>A felhatalmazott szervezetek kötelezettségei</w:t>
      </w:r>
    </w:p>
    <w:p w:rsidR="00097DA9" w:rsidRDefault="0026696E">
      <w:pPr>
        <w:pStyle w:val="ManualNumPar1"/>
        <w:rPr>
          <w:noProof/>
        </w:rPr>
      </w:pPr>
      <w:r>
        <w:rPr>
          <w:noProof/>
        </w:rPr>
        <w:t>(1)</w:t>
      </w:r>
      <w:r>
        <w:rPr>
          <w:noProof/>
        </w:rPr>
        <w:tab/>
        <w:t>A 3. és a 4. cikkben említett tevékenységeket végző, valamely tagállam</w:t>
      </w:r>
      <w:r>
        <w:rPr>
          <w:noProof/>
        </w:rPr>
        <w:t>ban letelepedett felhatalmazott szervezetek szavatolják, hogy:</w:t>
      </w:r>
    </w:p>
    <w:p w:rsidR="00097DA9" w:rsidRDefault="0026696E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kizárólag kedvezményezett személyek vagy felhatalmazott szervezetek körében terjesztik, illetve csak azok rendelkezésére bocsátják a hozzáférhető formátumú példányokat;</w:t>
      </w:r>
    </w:p>
    <w:p w:rsidR="00097DA9" w:rsidRDefault="0026696E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megteszik a megfel</w:t>
      </w:r>
      <w:r>
        <w:rPr>
          <w:noProof/>
        </w:rPr>
        <w:t>elő lépéseket a hozzáférhető formátumú példányok jogellenes többszörözésének, terjesztésének, közvetítésének és rendelkezésre bocsátásának visszaszorítása érdekében;</w:t>
      </w:r>
    </w:p>
    <w:p w:rsidR="00097DA9" w:rsidRDefault="0026696E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a műveket és más tartalmakat, továbbá azok hozzáférhető formátumú példányait kellő gond</w:t>
      </w:r>
      <w:r>
        <w:rPr>
          <w:noProof/>
        </w:rPr>
        <w:t>ossággal kezelik, és azokról nyilvántartást vezetnek; valamint</w:t>
      </w:r>
    </w:p>
    <w:p w:rsidR="00097DA9" w:rsidRDefault="0026696E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adott esetben a weboldalaikon közzéteszik és frissítik az a)–c) pontban megállapított kötelezettségeknek való megfelelés módjára vonatkozó információkat.</w:t>
      </w:r>
    </w:p>
    <w:p w:rsidR="00097DA9" w:rsidRDefault="0026696E">
      <w:pPr>
        <w:pStyle w:val="ManualNumPar1"/>
        <w:rPr>
          <w:noProof/>
        </w:rPr>
      </w:pPr>
      <w:r>
        <w:rPr>
          <w:noProof/>
        </w:rPr>
        <w:t>(2)</w:t>
      </w:r>
      <w:r>
        <w:rPr>
          <w:noProof/>
        </w:rPr>
        <w:tab/>
        <w:t>A 3. és a 4. cikkben említett te</w:t>
      </w:r>
      <w:r>
        <w:rPr>
          <w:noProof/>
        </w:rPr>
        <w:t>vékenységeket végző, valamely tagállamban letelepedett felhatalmazott szervezetek kérésre bármely kedvezményezett személy vagy jogosult rendelkezésére bocsátják a következő információkat:</w:t>
      </w:r>
    </w:p>
    <w:p w:rsidR="00097DA9" w:rsidRDefault="0026696E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azon művek és más tartalmak jegyzéke, amelyek hozzáférhető formát</w:t>
      </w:r>
      <w:r>
        <w:rPr>
          <w:noProof/>
        </w:rPr>
        <w:t>umú példányaival rendelkeznek, és az elérhető formátumok; valamint</w:t>
      </w:r>
    </w:p>
    <w:p w:rsidR="00097DA9" w:rsidRDefault="0026696E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azon felhatalmazott szervezetek neve és adatai, amelyekkel a 3. és a 4. cikknek megfelelően hozzáférhető formátumú példányok cseréjét folytatja.</w:t>
      </w:r>
    </w:p>
    <w:p w:rsidR="00097DA9" w:rsidRDefault="0026696E">
      <w:pPr>
        <w:pStyle w:val="Titrearticle"/>
        <w:rPr>
          <w:noProof/>
        </w:rPr>
      </w:pPr>
      <w:r>
        <w:rPr>
          <w:noProof/>
        </w:rPr>
        <w:t>6. cikk</w:t>
      </w:r>
      <w:r>
        <w:rPr>
          <w:noProof/>
        </w:rPr>
        <w:br/>
        <w:t>A személyes adatok védelme</w:t>
      </w:r>
    </w:p>
    <w:p w:rsidR="00097DA9" w:rsidRDefault="0026696E">
      <w:pPr>
        <w:rPr>
          <w:noProof/>
        </w:rPr>
      </w:pPr>
      <w:r>
        <w:rPr>
          <w:noProof/>
        </w:rPr>
        <w:t>A szem</w:t>
      </w:r>
      <w:r>
        <w:rPr>
          <w:noProof/>
        </w:rPr>
        <w:t>élyes adatok e rendelet keretében történő feldolgozását a 95/46/EK irányelvnek megfelelően kell végezni.</w:t>
      </w:r>
    </w:p>
    <w:p w:rsidR="00097DA9" w:rsidRDefault="0026696E">
      <w:pPr>
        <w:pStyle w:val="Titrearticle"/>
        <w:rPr>
          <w:noProof/>
        </w:rPr>
      </w:pPr>
      <w:r>
        <w:rPr>
          <w:noProof/>
        </w:rPr>
        <w:t>7. cikk</w:t>
      </w:r>
      <w:r>
        <w:rPr>
          <w:noProof/>
        </w:rPr>
        <w:br/>
        <w:t>Felülvizsgálat</w:t>
      </w:r>
    </w:p>
    <w:p w:rsidR="00097DA9" w:rsidRDefault="0026696E">
      <w:pPr>
        <w:rPr>
          <w:noProof/>
        </w:rPr>
      </w:pPr>
      <w:r>
        <w:rPr>
          <w:noProof/>
        </w:rPr>
        <w:t>Legkorábban [five years after the date of application]-án/én a Bizottság elvégzi e rendelet értékelését és megküldi annak főbb e</w:t>
      </w:r>
      <w:r>
        <w:rPr>
          <w:noProof/>
        </w:rPr>
        <w:t>redményeit az Európai Parlamentnek, a Tanácsnak, valamint az Európai Gazdasági és Szociális Bizottságnak, adott esetben a rendelet módosítására irányuló javaslatok kíséretében.</w:t>
      </w:r>
    </w:p>
    <w:p w:rsidR="00097DA9" w:rsidRDefault="0026696E">
      <w:pPr>
        <w:rPr>
          <w:noProof/>
        </w:rPr>
      </w:pPr>
      <w:r>
        <w:rPr>
          <w:noProof/>
        </w:rPr>
        <w:t>A tagállamok a Bizottság rendelkezésére bocsátják az értékelő jelentés elkészít</w:t>
      </w:r>
      <w:r>
        <w:rPr>
          <w:noProof/>
        </w:rPr>
        <w:t>éséhez szükséges információkat.</w:t>
      </w:r>
    </w:p>
    <w:p w:rsidR="00097DA9" w:rsidRDefault="0026696E">
      <w:pPr>
        <w:pStyle w:val="Titrearticle"/>
        <w:rPr>
          <w:noProof/>
        </w:rPr>
      </w:pPr>
      <w:r>
        <w:rPr>
          <w:noProof/>
        </w:rPr>
        <w:t>8. cikk</w:t>
      </w:r>
      <w:r>
        <w:rPr>
          <w:noProof/>
        </w:rPr>
        <w:br/>
        <w:t>Hatálybalépés</w:t>
      </w:r>
    </w:p>
    <w:p w:rsidR="00097DA9" w:rsidRDefault="0026696E">
      <w:pPr>
        <w:rPr>
          <w:noProof/>
        </w:rPr>
      </w:pPr>
      <w:r>
        <w:rPr>
          <w:noProof/>
        </w:rPr>
        <w:t xml:space="preserve">Ez a rendelet az </w:t>
      </w:r>
      <w:r>
        <w:rPr>
          <w:i/>
          <w:noProof/>
        </w:rPr>
        <w:t>Európai Unió Hivatalos Lapjában</w:t>
      </w:r>
      <w:r>
        <w:rPr>
          <w:noProof/>
        </w:rPr>
        <w:t xml:space="preserve"> való kihirdetését követő huszadik napon lép hatályba.</w:t>
      </w:r>
    </w:p>
    <w:p w:rsidR="00097DA9" w:rsidRDefault="0026696E">
      <w:pPr>
        <w:pStyle w:val="Titrearticle"/>
        <w:rPr>
          <w:noProof/>
        </w:rPr>
      </w:pPr>
      <w:r>
        <w:rPr>
          <w:noProof/>
        </w:rPr>
        <w:t>9. cikk</w:t>
      </w:r>
      <w:r>
        <w:rPr>
          <w:noProof/>
        </w:rPr>
        <w:br/>
        <w:t>Az alkalmazás kezdetének időpontja</w:t>
      </w:r>
    </w:p>
    <w:p w:rsidR="00097DA9" w:rsidRDefault="0026696E">
      <w:pPr>
        <w:pStyle w:val="Applicationdirecte"/>
        <w:rPr>
          <w:noProof/>
        </w:rPr>
      </w:pPr>
      <w:r>
        <w:rPr>
          <w:noProof/>
        </w:rPr>
        <w:t>Ez a rendelet [date of transposition of Directive […]] -</w:t>
      </w:r>
      <w:r>
        <w:rPr>
          <w:noProof/>
        </w:rPr>
        <w:t>tól/től alkalmazandó.</w:t>
      </w:r>
    </w:p>
    <w:p w:rsidR="00097DA9" w:rsidRDefault="0026696E">
      <w:pPr>
        <w:pStyle w:val="Applicationdirecte"/>
        <w:rPr>
          <w:noProof/>
        </w:rPr>
      </w:pPr>
      <w:r>
        <w:rPr>
          <w:noProof/>
        </w:rPr>
        <w:t>Ez a rendelet teljes egészében kötelező és közvetlenül alkalmazandó valamennyi tagállamban.</w:t>
      </w:r>
    </w:p>
    <w:p w:rsidR="00097DA9" w:rsidRDefault="0026696E" w:rsidP="0026696E">
      <w:pPr>
        <w:pStyle w:val="Fait"/>
        <w:rPr>
          <w:noProof/>
        </w:rPr>
      </w:pPr>
      <w:r w:rsidRPr="0026696E">
        <w:t xml:space="preserve">Kelt Brüsszelben, </w:t>
      </w:r>
      <w:proofErr w:type="spellStart"/>
      <w:r w:rsidRPr="0026696E">
        <w:t>-án</w:t>
      </w:r>
      <w:proofErr w:type="spellEnd"/>
      <w:r w:rsidRPr="0026696E">
        <w:t>/</w:t>
      </w:r>
      <w:proofErr w:type="spellStart"/>
      <w:r w:rsidRPr="0026696E">
        <w:t>-én</w:t>
      </w:r>
      <w:proofErr w:type="spellEnd"/>
      <w:r w:rsidRPr="0026696E">
        <w:t>.</w:t>
      </w:r>
    </w:p>
    <w:p w:rsidR="00097DA9" w:rsidRDefault="0026696E">
      <w:pPr>
        <w:pStyle w:val="Institutionquisigne"/>
        <w:rPr>
          <w:noProof/>
        </w:rPr>
      </w:pPr>
      <w:r>
        <w:rPr>
          <w:noProof/>
        </w:rPr>
        <w:t>az Európai Parlament részéről</w:t>
      </w:r>
      <w:r>
        <w:rPr>
          <w:noProof/>
        </w:rPr>
        <w:tab/>
        <w:t>a Tanács részéről</w:t>
      </w:r>
    </w:p>
    <w:p w:rsidR="00097DA9" w:rsidRDefault="0026696E">
      <w:pPr>
        <w:pStyle w:val="Personnequisigne"/>
        <w:rPr>
          <w:noProof/>
        </w:rPr>
      </w:pPr>
      <w:r>
        <w:rPr>
          <w:noProof/>
        </w:rPr>
        <w:t>az elnök</w:t>
      </w:r>
      <w:r>
        <w:rPr>
          <w:noProof/>
        </w:rPr>
        <w:tab/>
        <w:t>az elnök</w:t>
      </w:r>
    </w:p>
    <w:sectPr w:rsidR="00097DA9" w:rsidSect="0026696E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A9" w:rsidRDefault="0026696E">
      <w:pPr>
        <w:spacing w:before="0" w:after="0"/>
      </w:pPr>
      <w:r>
        <w:separator/>
      </w:r>
    </w:p>
  </w:endnote>
  <w:endnote w:type="continuationSeparator" w:id="0">
    <w:p w:rsidR="00097DA9" w:rsidRDefault="002669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6E" w:rsidRPr="0026696E" w:rsidRDefault="0026696E" w:rsidP="002669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6E" w:rsidRPr="0026696E" w:rsidRDefault="0026696E" w:rsidP="0026696E">
    <w:pPr>
      <w:pStyle w:val="Footer"/>
      <w:rPr>
        <w:rFonts w:ascii="Arial" w:hAnsi="Arial" w:cs="Arial"/>
        <w:b/>
        <w:sz w:val="48"/>
      </w:rPr>
    </w:pPr>
    <w:proofErr w:type="gramStart"/>
    <w:r w:rsidRPr="0026696E">
      <w:rPr>
        <w:rFonts w:ascii="Arial" w:hAnsi="Arial" w:cs="Arial"/>
        <w:b/>
        <w:sz w:val="48"/>
      </w:rPr>
      <w:t>HU</w:t>
    </w:r>
    <w:proofErr w:type="gramEnd"/>
    <w:r w:rsidRPr="0026696E">
      <w:rPr>
        <w:rFonts w:ascii="Arial" w:hAnsi="Arial" w:cs="Arial"/>
        <w:b/>
        <w:sz w:val="48"/>
      </w:rPr>
      <w:tab/>
    </w:r>
    <w:r w:rsidRPr="0026696E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26696E">
      <w:tab/>
    </w:r>
    <w:proofErr w:type="spellStart"/>
    <w:r w:rsidRPr="0026696E">
      <w:rPr>
        <w:rFonts w:ascii="Arial" w:hAnsi="Arial" w:cs="Arial"/>
        <w:b/>
        <w:sz w:val="48"/>
      </w:rPr>
      <w:t>HU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6E" w:rsidRPr="0026696E" w:rsidRDefault="0026696E" w:rsidP="0026696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6E" w:rsidRPr="0026696E" w:rsidRDefault="0026696E" w:rsidP="0026696E">
    <w:pPr>
      <w:pStyle w:val="Footer"/>
      <w:rPr>
        <w:rFonts w:ascii="Arial" w:hAnsi="Arial" w:cs="Arial"/>
        <w:b/>
        <w:sz w:val="48"/>
      </w:rPr>
    </w:pPr>
    <w:proofErr w:type="gramStart"/>
    <w:r w:rsidRPr="0026696E">
      <w:rPr>
        <w:rFonts w:ascii="Arial" w:hAnsi="Arial" w:cs="Arial"/>
        <w:b/>
        <w:sz w:val="48"/>
      </w:rPr>
      <w:t>HU</w:t>
    </w:r>
    <w:proofErr w:type="gramEnd"/>
    <w:r w:rsidRPr="0026696E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26696E">
      <w:tab/>
    </w:r>
    <w:r w:rsidRPr="0026696E"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6E" w:rsidRPr="0026696E" w:rsidRDefault="0026696E" w:rsidP="002669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A9" w:rsidRDefault="0026696E">
      <w:pPr>
        <w:spacing w:before="0" w:after="0"/>
      </w:pPr>
      <w:r>
        <w:separator/>
      </w:r>
    </w:p>
  </w:footnote>
  <w:footnote w:type="continuationSeparator" w:id="0">
    <w:p w:rsidR="00097DA9" w:rsidRDefault="0026696E">
      <w:pPr>
        <w:spacing w:before="0" w:after="0"/>
      </w:pPr>
      <w:r>
        <w:continuationSeparator/>
      </w:r>
    </w:p>
  </w:footnote>
  <w:footnote w:id="1">
    <w:p w:rsidR="00097DA9" w:rsidRDefault="0026696E">
      <w:pPr>
        <w:pStyle w:val="FootnoteText"/>
      </w:pPr>
      <w:r>
        <w:rPr>
          <w:rStyle w:val="FootnoteReference"/>
        </w:rPr>
        <w:footnoteRef/>
      </w:r>
      <w:r>
        <w:tab/>
        <w:t xml:space="preserve">A Tanács 2014. április 14-i 2014/221/EU </w:t>
      </w:r>
      <w:r>
        <w:t xml:space="preserve">határozata a vakok, látássérültek és nyomtatott szöveget használni képtelen személyek megjelent művekhez való hozzáférésének megkönnyítéséről szóló </w:t>
      </w:r>
      <w:proofErr w:type="spellStart"/>
      <w:r>
        <w:t>marrakesh-i</w:t>
      </w:r>
      <w:proofErr w:type="spellEnd"/>
      <w:r>
        <w:t xml:space="preserve"> szerződésnek az Európai Unió nevében történő aláírásáról (HL L 115., 2014.4.17</w:t>
      </w:r>
      <w:proofErr w:type="gramStart"/>
      <w:r>
        <w:t>.,</w:t>
      </w:r>
      <w:proofErr w:type="gramEnd"/>
      <w:r>
        <w:t xml:space="preserve"> 1. o.)</w:t>
      </w:r>
    </w:p>
  </w:footnote>
  <w:footnote w:id="2">
    <w:p w:rsidR="00097DA9" w:rsidRDefault="0026696E">
      <w:pPr>
        <w:pStyle w:val="FootnoteText"/>
      </w:pPr>
      <w:r>
        <w:rPr>
          <w:rStyle w:val="FootnoteReference"/>
        </w:rPr>
        <w:footnoteRef/>
      </w:r>
      <w:r>
        <w:tab/>
        <w:t xml:space="preserve">LISU </w:t>
      </w:r>
      <w:proofErr w:type="spellStart"/>
      <w:r>
        <w:t>f</w:t>
      </w:r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Royal National Institute of </w:t>
      </w:r>
      <w:proofErr w:type="spellStart"/>
      <w:r>
        <w:t>Blind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(RNIB), ʻ</w:t>
      </w:r>
      <w:proofErr w:type="spellStart"/>
      <w:r>
        <w:t>Availability</w:t>
      </w:r>
      <w:proofErr w:type="spellEnd"/>
      <w:r>
        <w:t xml:space="preserve"> of </w:t>
      </w:r>
      <w:proofErr w:type="spellStart"/>
      <w:r>
        <w:t>accessible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 - 2011 updateʼ (Vakok Királyi Nemzeti Intézete, Könyvtári és információs statisztikai egység: „</w:t>
      </w:r>
      <w:proofErr w:type="gramStart"/>
      <w:r>
        <w:t>A</w:t>
      </w:r>
      <w:proofErr w:type="gramEnd"/>
      <w:r>
        <w:t xml:space="preserve"> hozzáférhető kiadványok elérhetősége – 2011-es változat”), 201</w:t>
      </w:r>
      <w:r>
        <w:t>1. október</w:t>
      </w:r>
    </w:p>
  </w:footnote>
  <w:footnote w:id="3">
    <w:p w:rsidR="00097DA9" w:rsidRDefault="0026696E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FootnoteReference"/>
        </w:rPr>
        <w:footnoteRef/>
      </w:r>
      <w:r>
        <w:t xml:space="preserve">Catherine </w:t>
      </w:r>
      <w:proofErr w:type="spellStart"/>
      <w:r>
        <w:t>Meyer-Lereculeur</w:t>
      </w:r>
      <w:proofErr w:type="spellEnd"/>
      <w:r>
        <w:t xml:space="preserve"> ʻ</w:t>
      </w:r>
      <w:proofErr w:type="spellStart"/>
      <w:r>
        <w:t>Exception</w:t>
      </w:r>
      <w:proofErr w:type="spellEnd"/>
      <w:r>
        <w:t xml:space="preserve"> ʻ</w:t>
      </w:r>
      <w:proofErr w:type="spellStart"/>
      <w:r>
        <w:t>handicap</w:t>
      </w:r>
      <w:proofErr w:type="spellEnd"/>
      <w:r>
        <w:t xml:space="preserve">ʼ au </w:t>
      </w:r>
      <w:proofErr w:type="spellStart"/>
      <w:r>
        <w:t>droit</w:t>
      </w:r>
      <w:proofErr w:type="spellEnd"/>
      <w:r>
        <w:t xml:space="preserve"> d’</w:t>
      </w:r>
      <w:proofErr w:type="spellStart"/>
      <w:r>
        <w:t>auteur</w:t>
      </w:r>
      <w:proofErr w:type="spellEnd"/>
      <w:r>
        <w:t xml:space="preserve"> et </w:t>
      </w:r>
      <w:proofErr w:type="spellStart"/>
      <w:r>
        <w:t>développement</w:t>
      </w:r>
      <w:proofErr w:type="spellEnd"/>
      <w:r>
        <w:t xml:space="preserve"> de l’</w:t>
      </w:r>
      <w:proofErr w:type="spellStart"/>
      <w:r>
        <w:t>offre</w:t>
      </w:r>
      <w:proofErr w:type="spellEnd"/>
      <w:r>
        <w:t xml:space="preserve"> de </w:t>
      </w:r>
      <w:proofErr w:type="spellStart"/>
      <w:r>
        <w:t>publications</w:t>
      </w:r>
      <w:proofErr w:type="spellEnd"/>
      <w:r>
        <w:t xml:space="preserve"> </w:t>
      </w:r>
      <w:proofErr w:type="spellStart"/>
      <w:r>
        <w:t>accessibles</w:t>
      </w:r>
      <w:proofErr w:type="spellEnd"/>
      <w:r>
        <w:t xml:space="preserve"> à l’</w:t>
      </w:r>
      <w:proofErr w:type="spellStart"/>
      <w:r>
        <w:t>ère</w:t>
      </w:r>
      <w:proofErr w:type="spellEnd"/>
      <w:r>
        <w:t xml:space="preserve"> </w:t>
      </w:r>
      <w:proofErr w:type="spellStart"/>
      <w:r>
        <w:t>numérique</w:t>
      </w:r>
      <w:proofErr w:type="spellEnd"/>
      <w:r>
        <w:t>ʼ („</w:t>
      </w:r>
      <w:proofErr w:type="gramStart"/>
      <w:r>
        <w:t>»Fogyatékossági</w:t>
      </w:r>
      <w:proofErr w:type="gramEnd"/>
      <w:r>
        <w:t>« kivétel a szerzői jog alól a digitális korban”), 2013. május</w:t>
      </w:r>
    </w:p>
  </w:footnote>
  <w:footnote w:id="4">
    <w:p w:rsidR="00097DA9" w:rsidRDefault="0026696E">
      <w:pPr>
        <w:pStyle w:val="FootnoteText"/>
      </w:pPr>
      <w:r>
        <w:rPr>
          <w:rStyle w:val="FootnoteReference"/>
        </w:rPr>
        <w:footnoteRef/>
      </w:r>
      <w:r>
        <w:tab/>
        <w:t>Ezek az adatok a h</w:t>
      </w:r>
      <w:r>
        <w:t>ozzáférhető formátumok közül nem mindegyikre, csupán néhányra vonatkoznak.</w:t>
      </w:r>
    </w:p>
  </w:footnote>
  <w:footnote w:id="5">
    <w:p w:rsidR="00097DA9" w:rsidRDefault="0026696E">
      <w:pPr>
        <w:pStyle w:val="FootnoteText"/>
      </w:pPr>
      <w:r>
        <w:rPr>
          <w:rStyle w:val="FootnoteReference"/>
        </w:rPr>
        <w:footnoteRef/>
      </w:r>
      <w:r>
        <w:tab/>
        <w:t>A Tanács 2009. november 26-i 2010/48/EK határozata a fogyatékossággal élő személyek jogairól szóló ENSZ-egyezménynek az Európai Közösség által történő megkötéséről (HL L 23</w:t>
      </w:r>
      <w:proofErr w:type="gramStart"/>
      <w:r>
        <w:t>.,</w:t>
      </w:r>
      <w:proofErr w:type="gramEnd"/>
      <w:r>
        <w:t xml:space="preserve"> 2010</w:t>
      </w:r>
      <w:r>
        <w:t>.1.27., 35. o.)</w:t>
      </w:r>
    </w:p>
  </w:footnote>
  <w:footnote w:id="6">
    <w:p w:rsidR="00097DA9" w:rsidRDefault="0026696E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r>
        <w:rPr>
          <w:rStyle w:val="FootnoteReference"/>
        </w:rPr>
        <w:footnoteRef/>
      </w:r>
      <w:r>
        <w:t>CRPD/C/EU/CO/1, lásd: http://tbinternet.ohchr.org/Treaties/CRPD/Shared%20Documents/EUR/CRPD_C_EU_CO_1_21617_E.doc.</w:t>
      </w:r>
    </w:p>
  </w:footnote>
  <w:footnote w:id="7">
    <w:p w:rsidR="00097DA9" w:rsidRDefault="0026696E">
      <w:pPr>
        <w:pStyle w:val="FootnoteText"/>
      </w:pPr>
      <w:r>
        <w:rPr>
          <w:rStyle w:val="FootnoteReference"/>
        </w:rPr>
        <w:footnoteRef/>
      </w:r>
      <w:r>
        <w:tab/>
        <w:t>Jelentés az uniós szerzői jogi szabályok felülvizsgálatáról szóló nyilvános konzultációra kapott válaszokról, 2014. júli</w:t>
      </w:r>
      <w:r>
        <w:t xml:space="preserve">us, 61–63. o. </w:t>
      </w:r>
      <w:hyperlink r:id="rId1">
        <w:r>
          <w:rPr>
            <w:rStyle w:val="Hyperlink"/>
          </w:rPr>
          <w:t>http://ec.europa.eu/internal_market/consultations/2013/copyright-rules/index_en.htm</w:t>
        </w:r>
      </w:hyperlink>
      <w:r>
        <w:t xml:space="preserve"> </w:t>
      </w:r>
    </w:p>
  </w:footnote>
  <w:footnote w:id="8">
    <w:p w:rsidR="00097DA9" w:rsidRDefault="0026696E">
      <w:pPr>
        <w:pStyle w:val="FootnoteText"/>
      </w:pPr>
      <w:r>
        <w:rPr>
          <w:rStyle w:val="FootnoteReference"/>
        </w:rPr>
        <w:footnoteRef/>
      </w:r>
      <w:r>
        <w:tab/>
        <w:t>„Tanulmány az információs társadalomban a szerzői és</w:t>
      </w:r>
      <w:r>
        <w:t xml:space="preserve"> szomszédos jogok egyes vonatkozásainak összehangolásáról szóló 2001/29/EK irányelv alkalmazásáról”, 2013. december, De Wolf and </w:t>
      </w:r>
      <w:proofErr w:type="spellStart"/>
      <w:r>
        <w:t>Partners</w:t>
      </w:r>
      <w:proofErr w:type="spellEnd"/>
      <w:r>
        <w:t xml:space="preserve">, lásd: </w:t>
      </w:r>
      <w:hyperlink r:id="rId2">
        <w:r>
          <w:rPr>
            <w:rStyle w:val="Hyperlink"/>
          </w:rPr>
          <w:t>http://ec.eur</w:t>
        </w:r>
        <w:r>
          <w:rPr>
            <w:rStyle w:val="Hyperlink"/>
          </w:rPr>
          <w:t>opa.eu/internal_market/copyright/docs/studies/131216_study_</w:t>
        </w:r>
        <w:proofErr w:type="gramStart"/>
        <w:r>
          <w:rPr>
            <w:rStyle w:val="Hyperlink"/>
          </w:rPr>
          <w:t>en.pdf</w:t>
        </w:r>
      </w:hyperlink>
      <w:r>
        <w:t xml:space="preserve"> ,</w:t>
      </w:r>
      <w:proofErr w:type="gramEnd"/>
      <w:r>
        <w:t xml:space="preserve"> p. 417 et </w:t>
      </w:r>
      <w:proofErr w:type="spellStart"/>
      <w:r>
        <w:t>seq</w:t>
      </w:r>
      <w:proofErr w:type="spellEnd"/>
      <w:r>
        <w:t>.</w:t>
      </w:r>
    </w:p>
  </w:footnote>
  <w:footnote w:id="9">
    <w:p w:rsidR="00097DA9" w:rsidRDefault="0026696E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>
        <w:t>SWD(</w:t>
      </w:r>
      <w:proofErr w:type="gramEnd"/>
      <w:r>
        <w:t xml:space="preserve">2015) 111 </w:t>
      </w:r>
      <w:proofErr w:type="spellStart"/>
      <w:r>
        <w:t>final</w:t>
      </w:r>
      <w:proofErr w:type="spellEnd"/>
      <w:r>
        <w:t>.</w:t>
      </w:r>
    </w:p>
  </w:footnote>
  <w:footnote w:id="10">
    <w:p w:rsidR="00097DA9" w:rsidRDefault="0026696E">
      <w:pPr>
        <w:pStyle w:val="FootnoteText"/>
      </w:pPr>
      <w:r>
        <w:rPr>
          <w:rStyle w:val="FootnoteReference"/>
        </w:rPr>
        <w:footnoteRef/>
      </w:r>
      <w:r>
        <w:tab/>
        <w:t xml:space="preserve">A Charta 52. cikkének (1) bekezdése értelmében a Chartában elismert szabadságok gyakorlása i. csak a törvény által; </w:t>
      </w:r>
      <w:proofErr w:type="spellStart"/>
      <w:r>
        <w:t>ii</w:t>
      </w:r>
      <w:proofErr w:type="spellEnd"/>
      <w:r>
        <w:t>. és e jogok lényeges tartalmá</w:t>
      </w:r>
      <w:r>
        <w:t xml:space="preserve">nak tiszteletben tartásával korlátozható. Továbbá </w:t>
      </w:r>
      <w:proofErr w:type="spellStart"/>
      <w:r>
        <w:t>iii</w:t>
      </w:r>
      <w:proofErr w:type="spellEnd"/>
      <w:r>
        <w:t>. „az arányosság elvére figyelemmel, korlátozásukra csak akkor és annyiban kerülhet sor, ha és amennyiben az elengedhetetlen és ténylegesen az Unió által elismert általános érdekű célkitűzéseket vagy más</w:t>
      </w:r>
      <w:r>
        <w:t xml:space="preserve">ok jogainak és szabadságainak védelmét szolgálja.” </w:t>
      </w:r>
    </w:p>
  </w:footnote>
  <w:footnote w:id="11">
    <w:p w:rsidR="00097DA9" w:rsidRDefault="0026696E">
      <w:pPr>
        <w:pStyle w:val="FootnoteText"/>
      </w:pPr>
      <w:r>
        <w:rPr>
          <w:rStyle w:val="FootnoteReference"/>
        </w:rPr>
        <w:footnoteRef/>
      </w:r>
      <w:r>
        <w:tab/>
        <w:t>HL C 83., 2010.3.30</w:t>
      </w:r>
      <w:proofErr w:type="gramStart"/>
      <w:r>
        <w:t>.,</w:t>
      </w:r>
      <w:proofErr w:type="gramEnd"/>
      <w:r>
        <w:t xml:space="preserve"> 389. o.</w:t>
      </w:r>
    </w:p>
  </w:footnote>
  <w:footnote w:id="12">
    <w:p w:rsidR="00097DA9" w:rsidRDefault="0026696E">
      <w:pPr>
        <w:pStyle w:val="FootnoteText"/>
      </w:pPr>
      <w:r>
        <w:rPr>
          <w:rStyle w:val="FootnoteReference"/>
        </w:rPr>
        <w:footnoteRef/>
      </w:r>
      <w:r>
        <w:tab/>
        <w:t>A Tanács 2014. április 14-i 2014/221/EU határozata a vakok, látássérültek és nyomtatott szöveget használni képtelen személyek megjelent művekhez való hozzáférésének megkö</w:t>
      </w:r>
      <w:r>
        <w:t xml:space="preserve">nnyítéséről szóló </w:t>
      </w:r>
      <w:proofErr w:type="spellStart"/>
      <w:r>
        <w:t>marrakesh-i</w:t>
      </w:r>
      <w:proofErr w:type="spellEnd"/>
      <w:r>
        <w:t xml:space="preserve"> szerződésnek az Európai Unió nevében történő aláírásáról (HL L 115., 2014.4.17</w:t>
      </w:r>
      <w:proofErr w:type="gramStart"/>
      <w:r>
        <w:t>.,</w:t>
      </w:r>
      <w:proofErr w:type="gramEnd"/>
      <w:r>
        <w:t xml:space="preserve"> 1. o.)</w:t>
      </w:r>
    </w:p>
  </w:footnote>
  <w:footnote w:id="13">
    <w:p w:rsidR="00097DA9" w:rsidRDefault="0026696E">
      <w:pPr>
        <w:pStyle w:val="FootnoteText"/>
      </w:pPr>
      <w:r>
        <w:rPr>
          <w:rStyle w:val="FootnoteReference"/>
        </w:rPr>
        <w:footnoteRef/>
      </w:r>
      <w:r>
        <w:tab/>
        <w:t>Az Európai Parlament és a Tanács 1995. október 24-i 95/46/EK irányelve a személyes adatok feldolgozása vonatkozásában az egyének védelmé</w:t>
      </w:r>
      <w:r>
        <w:t>ről és az ilyen adatok szabad áramlásáról (HL L 281., 1995.11.23</w:t>
      </w:r>
      <w:proofErr w:type="gramStart"/>
      <w:r>
        <w:t>.,</w:t>
      </w:r>
      <w:proofErr w:type="gramEnd"/>
      <w:r>
        <w:t xml:space="preserve"> 31. o.).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6E" w:rsidRPr="0026696E" w:rsidRDefault="0026696E" w:rsidP="002669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6E" w:rsidRPr="0026696E" w:rsidRDefault="0026696E" w:rsidP="002669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6E" w:rsidRPr="0026696E" w:rsidRDefault="0026696E" w:rsidP="002669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56823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42C72C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52A40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C5815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62A32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590F8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B5811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FD81B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0-03 09:48:5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NFIDENCE" w:val=" "/>
    <w:docVar w:name="LW_CONST_RESTREINT_UE" w:val="RESTREINT UE/EU RESTRICTED"/>
    <w:docVar w:name="LW_CORRIGENDUM" w:val="&lt;UNUSED&gt;"/>
    <w:docVar w:name="LW_COVERPAGE_GUID" w:val="2540164672CD4B648AD5BF1BCAE52DA7"/>
    <w:docVar w:name="LW_CROSSREFERENCE" w:val="&lt;UNUSED&gt;"/>
    <w:docVar w:name="LW_DocType" w:val="COM"/>
    <w:docVar w:name="LW_EMISSION" w:val="2016.9.14."/>
    <w:docVar w:name="LW_EMISSION_ISODATE" w:val="2016-09-14"/>
    <w:docVar w:name="LW_EMISSION_LOCATION" w:val="BRX"/>
    <w:docVar w:name="LW_EMISSION_PREFIX" w:val="Brüsszel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&lt;UNUSED&gt;"/>
    <w:docVar w:name="LW_LANGUE" w:val="HU"/>
    <w:docVar w:name="LW_MARKING" w:val="&lt;UNUSED&gt;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79"/>
    <w:docVar w:name="LW_REF.II.NEW.CP_YEAR" w:val="2016"/>
    <w:docVar w:name="LW_REF.INST.NEW" w:val="COM"/>
    <w:docVar w:name="LW_REF.INST.NEW_ADOPTED" w:val="final"/>
    <w:docVar w:name="LW_REF.INST.NEW_TEXT" w:val="(2016) 595"/>
    <w:docVar w:name="LW_REF.INTERNE" w:val="&lt;UNUSED&gt;"/>
    <w:docVar w:name="LW_SOUS.TITRE.OBJ.CP" w:val="&lt;UNUSED&gt;"/>
    <w:docVar w:name="LW_STATUT.CP" w:val="Javaslat"/>
    <w:docVar w:name="LW_SUPERTITRE" w:val="&lt;UNUSED&gt;"/>
    <w:docVar w:name="LW_TITRE.OBJ.CP" w:val="egyes, szerz\u337?i jog és szomszédos jogok védelme alá tartozó m\u369?vek és más tartalmak hozzáférhet\u337? formátumú példányainak az Unió és harmadik országok közötti, a vakok, látássérültek és nyomtatott szöveget használni képtelen személyek érdekét szolgáló nemzetközi cseréjér\u337?l "/>
    <w:docVar w:name="LW_TYPE.DOC.CP" w:val="AZ EURÓPAI PARLAMENT ÉS A TANÁCS RENDELETE"/>
  </w:docVars>
  <w:rsids>
    <w:rsidRoot w:val="00097DA9"/>
    <w:rsid w:val="00097DA9"/>
    <w:rsid w:val="0026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26696E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26696E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26696E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26696E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26696E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26696E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internal_market/copyright/docs/studies/131216_study_en.pdf" TargetMode="External"/><Relationship Id="rId1" Type="http://schemas.openxmlformats.org/officeDocument/2006/relationships/hyperlink" Target="http://ec.europa.eu/internal_market/consultations/2013/copyright-rules/index_en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dhwna\AppData\Roaming\Microsoft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11</Pages>
  <Words>3144</Words>
  <Characters>22612</Characters>
  <Application>Microsoft Office Word</Application>
  <DocSecurity>0</DocSecurity>
  <Lines>370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WADHWANIA Nadia (MARE-EXT)</cp:lastModifiedBy>
  <cp:revision>19</cp:revision>
  <cp:lastPrinted>2016-09-08T11:52:00Z</cp:lastPrinted>
  <dcterms:created xsi:type="dcterms:W3CDTF">2016-09-30T14:53:00Z</dcterms:created>
  <dcterms:modified xsi:type="dcterms:W3CDTF">2016-10-03T08:49:00Z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SJ-023</vt:lpwstr>
  </property>
  <property fmtid="{D5CDD505-2E9C-101B-9397-08002B2CF9AE}" pid="10" name="DQCStatus">
    <vt:lpwstr>Yellow (DQC version 03)</vt:lpwstr>
  </property>
</Properties>
</file>