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1C" w:rsidRDefault="00164618" w:rsidP="00164618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61D982F9DC134F26A27272667F0DA299" style="width:450.75pt;height:379.5pt">
            <v:imagedata r:id="rId8" o:title=""/>
          </v:shape>
        </w:pict>
      </w:r>
    </w:p>
    <w:p w:rsidR="0053571C" w:rsidRDefault="0053571C">
      <w:pPr>
        <w:rPr>
          <w:noProof/>
        </w:rPr>
        <w:sectPr w:rsidR="0053571C" w:rsidSect="001646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53571C" w:rsidRDefault="00164618"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 w:rsidR="0053571C" w:rsidRDefault="00164618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TAL-PROPOSTA</w:t>
      </w:r>
    </w:p>
    <w:p w:rsidR="0053571C" w:rsidRDefault="00164618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 xml:space="preserve">Ir-raġunijiet għall-proposta u l-għanijiet </w:t>
      </w:r>
      <w:r>
        <w:rPr>
          <w:noProof/>
        </w:rPr>
        <w:t>tagħha</w:t>
      </w:r>
    </w:p>
    <w:p w:rsidR="0053571C" w:rsidRDefault="00164618">
      <w:pPr>
        <w:rPr>
          <w:noProof/>
        </w:rPr>
      </w:pPr>
      <w:r>
        <w:rPr>
          <w:noProof/>
        </w:rPr>
        <w:t>Bir-Regolament propost, l-Unjoni se tkun tista’ tissodisfa obbligu internazzjonali skont it-Trattat ta’ Marrakexx biex jiġi ffaċilitat l-Aċċess għal Xogħlijiet pubblikati għal Persuni Għomja, b’Diżabbiltà fil-Vista jew li b’xi mod ieħor għandhom Dif</w:t>
      </w:r>
      <w:r>
        <w:rPr>
          <w:noProof/>
        </w:rPr>
        <w:t>fikultà biex Jaqraw Materjal Stampat (“it-Trattat ta’ Marrakexx”). It-Trattat ta’ Marrakexx ġie adottat fl-2013 fl-Organizzazzjoni Dinjija dwar il-Proprjetà Intellettwali (id-WIPO) bil-għan li jiffaċilita d-disponibbiltà u l-iskambju transfruntier tal-kotb</w:t>
      </w:r>
      <w:r>
        <w:rPr>
          <w:noProof/>
        </w:rPr>
        <w:t>a u ta’ materjal stampat ieħor b’formati aċċessibbli madwar id-dinja. Dan it-Trattat, l-Unjoni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ffirmatu f’April 2014. It-Trattat jeżiġi li l-partijiet jipprovdu eċċezzjonijiet jew limitazzjonijiet għad-drittijiet tal-awtur u drittijiet relatati għall-ġid </w:t>
      </w:r>
      <w:r>
        <w:rPr>
          <w:noProof/>
        </w:rPr>
        <w:t>tal-persuni għomja, b’diżabbiltà fil-vista jew li b’xi mod ieħor għandhom diffikultà biex jaqraw materjal stampat, u jippermetti l-iskambju transfruntier ta’ kopji b’format speċjali tal-kotba, fosthom il-kotba awdjo, u materjal stampat ieħor bejn il-pajjiż</w:t>
      </w:r>
      <w:r>
        <w:rPr>
          <w:noProof/>
        </w:rPr>
        <w:t>i li huma partijiet għat-Trattat.</w:t>
      </w:r>
    </w:p>
    <w:p w:rsidR="0053571C" w:rsidRDefault="00164618">
      <w:pPr>
        <w:rPr>
          <w:noProof/>
        </w:rPr>
      </w:pPr>
      <w:r>
        <w:rPr>
          <w:noProof/>
        </w:rPr>
        <w:t>B’hekk l-Unjoni għamlet impenn politiku li timplimenta t-Trattat, li kemm il-Kunsill kif ukoll il-Parlament Ewropew minn dakinhar komplew isaħħu. B’mod separat, f’Ottubru 2014 il-Kummissjoni ressqet proposta għal Deċiżjoni</w:t>
      </w:r>
      <w:r>
        <w:rPr>
          <w:noProof/>
        </w:rPr>
        <w:t xml:space="preserve"> tal-Kunsill biex l-Unjoni tirratifika t-Trattat ta’ Marrakexx. F’Mejju 2015, il-Kunsill ippreżenta talba lill-Kummissjoni skont l-Artikolu 241 tat-Trattat dwar il-Funzjonament tal-Unjoni Ewropea (it-TFUE), li fiha jisħaq l-impenn sħiħ tiegħu li t-Trattat </w:t>
      </w:r>
      <w:r>
        <w:rPr>
          <w:noProof/>
        </w:rPr>
        <w:t>ta’ Marrakexx jidħol fis-seħħ malajr, filwaqt li jitlob lill-Kummissjoni biex tippreżenta proposta leġiżlattiva mingħajr dewmien biex jiġi emendat il-qafas ġuridiku tal-Unjoni b’konformità mat-Trattat.</w:t>
      </w:r>
    </w:p>
    <w:p w:rsidR="0053571C" w:rsidRDefault="00164618">
      <w:pPr>
        <w:rPr>
          <w:noProof/>
        </w:rPr>
      </w:pPr>
      <w:r>
        <w:rPr>
          <w:noProof/>
        </w:rPr>
        <w:t>Il-benefiċjarji tat-Trattat ta’ Marrakexx, jiġifieri l</w:t>
      </w:r>
      <w:r>
        <w:rPr>
          <w:noProof/>
        </w:rPr>
        <w:t xml:space="preserve">-persuni għomja, b’diżabbiltà fil-vista jew b’diżabbiltà biex jaqraw, isibu bosta xkiel biex jaċċessaw il-kotba u materjal stampat ieħor protett bid-drittijiet tal-awtur u drittijiet relatati. Id-disponibilità ta’ kotba b’formati aċċessibbli għall-persuni </w:t>
      </w:r>
      <w:r>
        <w:rPr>
          <w:noProof/>
        </w:rPr>
        <w:t>li għandhom diffikultà biex jaqraw materjal stampat hija stmata bejn is-7%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u l-20%</w:t>
      </w:r>
      <w:r>
        <w:rPr>
          <w:rStyle w:val="FootnoteReference"/>
          <w:noProof/>
        </w:rPr>
        <w:footnoteReference w:id="3"/>
      </w:r>
      <w:r>
        <w:rPr>
          <w:noProof/>
        </w:rPr>
        <w:t>, u dan minkejja li t-teknoloġija diġitali tiffaċilita ħafna l-pubblikazzjonijiet aċċessibbli</w:t>
      </w:r>
      <w:r>
        <w:rPr>
          <w:rStyle w:val="FootnoteReference"/>
          <w:noProof/>
        </w:rPr>
        <w:footnoteReference w:id="4"/>
      </w:r>
      <w:r>
        <w:rPr>
          <w:noProof/>
        </w:rPr>
        <w:t>. Fost il-formati aċċessibbli hemm pereżempju l-kitbiet bil-Braille, il-kitbie</w:t>
      </w:r>
      <w:r>
        <w:rPr>
          <w:noProof/>
        </w:rPr>
        <w:t>t b’tipa kbira, il-kotba diġitali u l-kotba awdjo b’navigazzjoni speċjali, id-deskrizzjonijiet awdjo u x-xandiriet tar-radju.</w:t>
      </w:r>
    </w:p>
    <w:p w:rsidR="0053571C" w:rsidRDefault="00164618">
      <w:pPr>
        <w:rPr>
          <w:noProof/>
        </w:rPr>
      </w:pPr>
      <w:r>
        <w:rPr>
          <w:noProof/>
        </w:rPr>
        <w:t xml:space="preserve">Minn naħa, it-Trattat ta’ Marrakexx jobbliga lill-partijiet kontraenti biex jallinjaw id-dispożizzjonijiet legali interni tagħhom </w:t>
      </w:r>
      <w:r>
        <w:rPr>
          <w:noProof/>
        </w:rPr>
        <w:t>mat-Trattat, u min-naħa l-oħra, jippermetti l-iskambju transfruntier ta’ kopji b’format aċċessibbli li jsiru b’eċċezzjonijiet jew limitazzjonijiet nazzjonali ma’ pajjiżi terzi li huma partijiet għat-Trattat. Sabiex jiġi implimentat it-Trattat ta’ Marrakexx</w:t>
      </w:r>
      <w:r>
        <w:rPr>
          <w:noProof/>
        </w:rPr>
        <w:t xml:space="preserve"> fl-Unjoni, id-Direttiva [...] teżiġi li l-Istati Membri jdaħħlu eċċezzjoni obbligatorja għal ċerti drittijiet tad-detenturi tad-drittijiet li huma armonizzati bil-liġi tal-Unjoni għall-ġid tal-persuni benefiċjarji u jiżguraw l-aċċess transfruntier għal ko</w:t>
      </w:r>
      <w:r>
        <w:rPr>
          <w:noProof/>
        </w:rPr>
        <w:t xml:space="preserve">pji b’format speċjali fi ħdan is-suq intern. Ir-Regolament propost għandu l-għan li jimplimenta l-obbligi tal-Unjoni skont </w:t>
      </w:r>
      <w:r>
        <w:rPr>
          <w:noProof/>
        </w:rPr>
        <w:lastRenderedPageBreak/>
        <w:t>it-Trattat ta’ Marrakexx fejn jidħol l-iskambju ta’ kopji b’format aċċessibbli bejn l-Unjoni u l-pajjiżi terzi li huma partijiet għat</w:t>
      </w:r>
      <w:r>
        <w:rPr>
          <w:noProof/>
        </w:rPr>
        <w:t>-Trattat ta’ Marrakexx, għall-ġid tal-persuni benefiċjarji.</w:t>
      </w:r>
    </w:p>
    <w:p w:rsidR="0053571C" w:rsidRDefault="00164618">
      <w:pPr>
        <w:rPr>
          <w:noProof/>
        </w:rPr>
      </w:pPr>
      <w:r>
        <w:rPr>
          <w:noProof/>
        </w:rPr>
        <w:t>Għaldaqstant ir-Regolament propost jiżgura li l-kopji b’format aċċessibbli li jsiru f’xi Stat Membru b’konformità mad-dispożizzjonijiet nazzjonali adottati skont id-Direttiva [...] jistgħu jiġu es</w:t>
      </w:r>
      <w:r>
        <w:rPr>
          <w:noProof/>
        </w:rPr>
        <w:t>portati lejn il-pajjiżi terzi li huma partijiet għat-Trattat ta’ Marrakexx. Barra minn hekk, ir-Regolament jippermetti l-importazzjoni ta’ kopji b’format aċċessibbli li jsiru b’konformità mat-Trattat ta’ Marrakexx fil-pajjiżi terzi li huma partijiet għat-T</w:t>
      </w:r>
      <w:r>
        <w:rPr>
          <w:noProof/>
        </w:rPr>
        <w:t>rattat, għall-ġid tal-persuni benefiċjarji fl-Unjoni. Kemm il-persuni benefiċjarji u anki l-entitajiet awtorizzati stabbiliti fl-Unjoni għandhom ikunu jistgħu jiksbu dawk il-kopji, u dawk il-kopji għandhom ikunu jistgħu jiċċirkolaw fis-suq intern bl-istess</w:t>
      </w:r>
      <w:r>
        <w:rPr>
          <w:noProof/>
        </w:rPr>
        <w:t xml:space="preserve"> kundizzjonijiet bħall-kopji b’format aċċessibbli li jsiru fl-Unjoni b’konformità mad-dispożizzjonijiet nazzjonali adottati skont id-Direttiva [...].</w:t>
      </w:r>
    </w:p>
    <w:p w:rsidR="0053571C" w:rsidRDefault="00164618">
      <w:pPr>
        <w:spacing w:after="240"/>
        <w:rPr>
          <w:noProof/>
        </w:rPr>
      </w:pPr>
      <w:r>
        <w:rPr>
          <w:noProof/>
        </w:rPr>
        <w:t>Ir-Regolament propost hu konformi wkoll mal-obbligi tal-Unjoni li joħorġu mill-Konvenzjoni tan-Nazzjonijie</w:t>
      </w:r>
      <w:r>
        <w:rPr>
          <w:noProof/>
        </w:rPr>
        <w:t xml:space="preserve">t Uniti dwar id-Drittijiet tal-Persuni b’Diżabbiltà </w:t>
      </w:r>
      <w:r>
        <w:rPr>
          <w:noProof/>
          <w:color w:val="000000"/>
          <w:bdr w:val="none" w:sz="0" w:space="0" w:color="auto" w:frame="1"/>
        </w:rPr>
        <w:t>(“il-UNCRPD”)</w:t>
      </w:r>
      <w:r>
        <w:rPr>
          <w:noProof/>
        </w:rPr>
        <w:t>.</w:t>
      </w:r>
      <w:r>
        <w:rPr>
          <w:noProof/>
          <w:color w:val="000000"/>
          <w:bdr w:val="none" w:sz="0" w:space="0" w:color="auto" w:frame="1"/>
        </w:rPr>
        <w:t xml:space="preserve"> </w:t>
      </w:r>
      <w:r>
        <w:rPr>
          <w:noProof/>
        </w:rPr>
        <w:t xml:space="preserve"> L-UE ilha</w:t>
      </w:r>
      <w:r>
        <w:rPr>
          <w:noProof/>
          <w:color w:val="000000"/>
          <w:bdr w:val="none" w:sz="0" w:space="0" w:color="auto" w:frame="1"/>
        </w:rPr>
        <w:t xml:space="preserve"> marbuta </w:t>
      </w:r>
      <w:r>
        <w:rPr>
          <w:noProof/>
        </w:rPr>
        <w:t>bil-UNCRPD</w:t>
      </w:r>
      <w:r>
        <w:rPr>
          <w:noProof/>
          <w:color w:val="000000"/>
          <w:bdr w:val="none" w:sz="0" w:space="0" w:color="auto" w:frame="1"/>
        </w:rPr>
        <w:t xml:space="preserve"> sa minn </w:t>
      </w:r>
      <w:r>
        <w:rPr>
          <w:noProof/>
        </w:rPr>
        <w:t>Jannar 2011, skont id-Deċiżjoni tal-Kunsill 2010/48/KE</w:t>
      </w:r>
      <w:r>
        <w:rPr>
          <w:rStyle w:val="FootnoteReference"/>
          <w:noProof/>
        </w:rPr>
        <w:footnoteReference w:id="5"/>
      </w:r>
      <w:r>
        <w:rPr>
          <w:noProof/>
        </w:rPr>
        <w:t>. B’hekk, id-dispożizzjonijiet stabbiliti fil-UNCRPD saru parti integrali tal-ordni ġuridiku tal</w:t>
      </w:r>
      <w:r>
        <w:rPr>
          <w:noProof/>
        </w:rPr>
        <w:t>-Unjoni. Id-dritt tal-aċċess għall-informazzjoni u d-dritt tal-persuni b’diżabbiltà li jieħdu sehem fil-ħajja kulturali bħal ħaddieħor huma mnaqqxin fil-UNCRPD. L-Artiklu 30 tal-Konvenzjoni jeżiġi li l-partijiet għaliha għandhom jieħdu l-miżuri xierqa koll</w:t>
      </w:r>
      <w:r>
        <w:rPr>
          <w:noProof/>
        </w:rPr>
        <w:t>ha, skont il-liġi internazzjonali, biex jiżguraw li l-liġijiet li jipproteġu d-drittijiet tal-proprjetà intellettwali ma jkunux jikkostitwixxu ostaklu diskriminatorju jew mhux raġonevoli għall-aċċess tal-persuni b’diżabbiltà għall-materjali kulturali. Fl-o</w:t>
      </w:r>
      <w:r>
        <w:rPr>
          <w:noProof/>
        </w:rPr>
        <w:t>sservazzjonijiet konklużivi tiegħu fuq ir-rapport inizjali tal-Unjoni Ewropea</w:t>
      </w:r>
      <w:r>
        <w:rPr>
          <w:rStyle w:val="FootnoteReference"/>
          <w:noProof/>
        </w:rPr>
        <w:footnoteReference w:id="6"/>
      </w:r>
      <w:r>
        <w:rPr>
          <w:noProof/>
        </w:rPr>
        <w:t>, adottati fl-4 ta’ Settembru 2015, il-Kumitat tan-Nazzjonijiet Uniti dwar id-Drittijiet tal-Persuni b’Diżabbiltà ħeġġeġ lill-Unjoni biex tieħu l-miżuri xierqa kollha ħalli t-Tra</w:t>
      </w:r>
      <w:r>
        <w:rPr>
          <w:noProof/>
        </w:rPr>
        <w:t>ttat ta’ Marrakexx jiġi implimentat malajr kemm jista’ jkun.</w:t>
      </w:r>
    </w:p>
    <w:p w:rsidR="0053571C" w:rsidRDefault="00164618"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eżistenti fil-qasam ta’ politika</w:t>
      </w:r>
    </w:p>
    <w:p w:rsidR="0053571C" w:rsidRDefault="00164618">
      <w:pPr>
        <w:rPr>
          <w:noProof/>
        </w:rPr>
      </w:pPr>
      <w:r>
        <w:rPr>
          <w:noProof/>
        </w:rPr>
        <w:t xml:space="preserve">Ir-Regolament propost għandu x’jaqsam mal-iskambju ta’ kopji b’format aċċessibbli ta’ ċertu kontenut protett bid-drittijiet </w:t>
      </w:r>
      <w:r>
        <w:rPr>
          <w:noProof/>
        </w:rPr>
        <w:t xml:space="preserve">tal-awtur ma’ pajjiżi terzi li huma partijiet għat-Trattat ta’ Marrakexx. Għalhekk flimkien mad-Direttiva [...], dan għandu l-għan li jimplimenta t-Trattat ta’ Marrakexx fil-liġi tal-Unjoni. Ir-Regolament propost se jkun l-ewwel biċċa leġiżlazzjoni tal-UE </w:t>
      </w:r>
      <w:r>
        <w:rPr>
          <w:noProof/>
        </w:rPr>
        <w:t>li ddaħħal dispożizzjonijiet speċifikament fuq l-iskambju internazzjonali ta’ kopji b’format aċċessibbli għall-persuni benefiċjarji.</w:t>
      </w:r>
    </w:p>
    <w:p w:rsidR="0053571C" w:rsidRDefault="00164618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ma’ politiki oħrajn tal-Unjoni</w:t>
      </w:r>
    </w:p>
    <w:p w:rsidR="0053571C" w:rsidRDefault="0016461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  <w:color w:val="000000"/>
          <w:szCs w:val="24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 xml:space="preserve">Flimkien mad-Direttiva [...], ir-Regolament propost jissodisfa l-impenji u </w:t>
      </w:r>
      <w:r>
        <w:rPr>
          <w:noProof/>
          <w:color w:val="000000"/>
          <w:u w:color="000000"/>
          <w:bdr w:val="nil"/>
        </w:rPr>
        <w:t>l-obbligi tal-Unjoni li għandhom x’jaqsmu mal-integrazzjoni tal-persuni b’diżabbiltà kif stabbilit hawn fuq. Dan hu konsistenti ma’ leġiżlazzjoni u politiki oħrajn tal-UE f’dan il-qasam.</w:t>
      </w:r>
    </w:p>
    <w:p w:rsidR="0053571C" w:rsidRDefault="00164618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IL-BAŻI ĠURIDIKA, IS-SUSSIDJARJETÀ U L-PROPORZJONALITÀ</w:t>
      </w:r>
    </w:p>
    <w:p w:rsidR="0053571C" w:rsidRDefault="00164618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Il-bażi ġ</w:t>
      </w:r>
      <w:r>
        <w:rPr>
          <w:noProof/>
        </w:rPr>
        <w:t>uridika</w:t>
      </w:r>
    </w:p>
    <w:p w:rsidR="0053571C" w:rsidRDefault="0016461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Il-bażi ġuridika tal-proposta hi l-Artikolu 207 tat-Trattat dwar il-Funzjonament tal-Unjoni Ewropea (it-TFUE).</w:t>
      </w:r>
    </w:p>
    <w:p w:rsidR="0053571C" w:rsidRDefault="00164618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Il-proporzjonalità</w:t>
      </w:r>
    </w:p>
    <w:p w:rsidR="0053571C" w:rsidRDefault="0016461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L-Unjoni hi obbligata tosserva l-obbligi internazzjonali tagħha skont it-Trattat ta’ Marrakexx. Dan ir-Regolament għ</w:t>
      </w:r>
      <w:r>
        <w:rPr>
          <w:noProof/>
        </w:rPr>
        <w:t>andu l-għan li jimplementa d-dispożizzjonijiet tat-Trattat b’rabta mal-iskambju ta’ xogħlijiet b’format aċċessibbli ma’ pajjiżi terzi li huma partijiet għat-Trattat. Dawn il-miżuri jistgħu jittieħdu biss fil-livell tal-Unjoni għax l-iskambju ta’ kopji b’fo</w:t>
      </w:r>
      <w:r>
        <w:rPr>
          <w:noProof/>
        </w:rPr>
        <w:t xml:space="preserve">rmat aċċessibbli ta’ xogħlijiet u materjal protett ieħor jikkonċerna l-aspetti kummerċjali tal-proprjetà intellettwali. Għalhekk l-uniku strument xieraq hu Regolament. B’konformità mal-prinċipju tal-proporzjonalità, kif stabbilit fl-Artikolu 5 tat-Trattat </w:t>
      </w:r>
      <w:r>
        <w:rPr>
          <w:noProof/>
        </w:rPr>
        <w:t>tal-Unjoni Ewropea, dan ir-Regolament ma jmurx lil hinn minn dak meħtieġ biex jintlaħaq dan il-għan.</w:t>
      </w:r>
    </w:p>
    <w:p w:rsidR="0053571C" w:rsidRDefault="00164618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L-għażla tal-istrument</w:t>
      </w:r>
    </w:p>
    <w:p w:rsidR="0053571C" w:rsidRDefault="00164618">
      <w:pPr>
        <w:spacing w:after="240"/>
        <w:rPr>
          <w:rFonts w:eastAsia="Arial Unicode MS"/>
          <w:noProof/>
          <w:color w:val="000000"/>
          <w:szCs w:val="24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t xml:space="preserve">L-istrument propost hu Regolament, b’konformità </w:t>
      </w:r>
      <w:r>
        <w:rPr>
          <w:noProof/>
        </w:rPr>
        <w:t>mal-Artikolu 207 tat-TFUE.</w:t>
      </w:r>
    </w:p>
    <w:p w:rsidR="0053571C" w:rsidRDefault="00164618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IR-RIŻULTATI TAL-EVALWAZZJONIJIET </w:t>
      </w:r>
      <w:r>
        <w:rPr>
          <w:i/>
          <w:noProof/>
        </w:rPr>
        <w:t>EX POST</w:t>
      </w:r>
      <w:r>
        <w:rPr>
          <w:noProof/>
        </w:rPr>
        <w:t>, TAL-KONSU</w:t>
      </w:r>
      <w:r>
        <w:rPr>
          <w:noProof/>
        </w:rPr>
        <w:t>LTAZZJONIJIET TAL-PARTIJIET KONĊERNATI U TAL-VALUTAZZJONIJIET TAL-IMPATT</w:t>
      </w:r>
    </w:p>
    <w:p w:rsidR="0053571C" w:rsidRDefault="00164618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L-evalwazzjonijiet </w:t>
      </w:r>
      <w:r>
        <w:rPr>
          <w:i/>
          <w:noProof/>
        </w:rPr>
        <w:t>ex post</w:t>
      </w:r>
      <w:r>
        <w:rPr>
          <w:noProof/>
        </w:rPr>
        <w:t>/kontrolli tal-idoneità tal-leġiżlazzjoni eżistenti</w:t>
      </w:r>
    </w:p>
    <w:p w:rsidR="0053571C" w:rsidRDefault="0016461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Ir-Regolament propost għandu l-għan li jissodisfa obbligi internazzjonali ġodda fejn tidħol il-liġi tal</w:t>
      </w:r>
      <w:r>
        <w:rPr>
          <w:noProof/>
        </w:rPr>
        <w:t>-Unjoni. Għalhekk f’dan il-kuntest la hu rilevanti u lanqas meħtieġ li ssir evalwazzjoni retrospettiva tal-liġi Ewropea eżistenti f’dan il-qasam. Madankollu tqieset l-informazzjoni disponibbli dwar il-leġiżlazzjoni Ewropea relatata, b’mod partikolari l-eżi</w:t>
      </w:r>
      <w:r>
        <w:rPr>
          <w:noProof/>
        </w:rPr>
        <w:t>ti tal-konsultazzjonijiet pubbliċi u l-kontribut tal-esperti eżistenti.</w:t>
      </w:r>
    </w:p>
    <w:p w:rsidR="0053571C" w:rsidRDefault="00164618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konċernati</w:t>
      </w:r>
    </w:p>
    <w:p w:rsidR="0053571C" w:rsidRDefault="0016461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Ma saret l-ebda konsultazzjoni mal-partijiet konċernati għall-finijiet tar-Regolament propost li jimplimenta d-dispożizzjonijiet stabbilit</w:t>
      </w:r>
      <w:r>
        <w:rPr>
          <w:noProof/>
          <w:color w:val="000000"/>
          <w:u w:color="000000"/>
          <w:bdr w:val="nil"/>
        </w:rPr>
        <w:t>i fil-livell internazzjonali. Il-konsultazzjoni pubblika estensiva fuq ir-rieżami tar-regoli tal-UE dwar id-drittijiet tal-awtur, li għamlet il-Kummissjoni bejn Diċembru 2013 u Marzu 2014, kienet tinkludi wkoll taqsima dwar il-limitazzjonijiet u l-eċċezzjo</w:t>
      </w:r>
      <w:r>
        <w:rPr>
          <w:noProof/>
          <w:color w:val="000000"/>
          <w:u w:color="000000"/>
          <w:bdr w:val="nil"/>
        </w:rPr>
        <w:t>nijiet għall-ġid tal-persuni b’diżabbiltà u dwar l-aċċess u ċ-ċirkolazzjoni ta’ xogħlijiet b’formati aċċessibbli, u li rreferiet ukoll għat-Trattat ta’ Marrakexx</w:t>
      </w:r>
      <w:r>
        <w:rPr>
          <w:rStyle w:val="FootnoteReference"/>
          <w:noProof/>
        </w:rPr>
        <w:footnoteReference w:id="7"/>
      </w:r>
      <w:r>
        <w:rPr>
          <w:noProof/>
          <w:color w:val="000000"/>
          <w:u w:color="000000"/>
          <w:bdr w:val="nil"/>
        </w:rPr>
        <w:t>. Fost aspetti oħra, il-fehmiet li esprimew l-utenti finali, il-konsumaturi u l-utenti istituzzjonali (inkluż l-organizzazzjonijiet li jaqdu l-ħtiġijiet tal-persuni b’diżabbiltà u l-libreriji) isemmu d-diverġenżi fil-kamp ta’ applikazzjoni tal-eċċezzjoniji</w:t>
      </w:r>
      <w:r>
        <w:rPr>
          <w:noProof/>
          <w:color w:val="000000"/>
          <w:u w:color="000000"/>
          <w:bdr w:val="nil"/>
        </w:rPr>
        <w:t xml:space="preserve">et jew il-limitazzjonijiet nazzjonali, u dawn jagħmluha diffiċli li jkun hemm </w:t>
      </w:r>
      <w:r>
        <w:rPr>
          <w:noProof/>
          <w:color w:val="000000"/>
          <w:bdr w:val="nil"/>
        </w:rPr>
        <w:t>ċ</w:t>
      </w:r>
      <w:r>
        <w:rPr>
          <w:noProof/>
          <w:color w:val="000000"/>
          <w:bdr w:val="nil"/>
        </w:rPr>
        <w:t>ertezza legali waqt l-esportazzjoni u l-importazzjoni ta’ kopji b’format aċċessibbli li jsiru skont l-eċċezzjonijiet jew il-limitazzjonijiet nazzjonali dwar id-drittijiet tal-aw</w:t>
      </w:r>
      <w:r>
        <w:rPr>
          <w:noProof/>
          <w:color w:val="000000"/>
          <w:bdr w:val="nil"/>
        </w:rPr>
        <w:t xml:space="preserve">tur. L-utenti istituzzjonali li wieġbu qalu b’mod konsistenti li t-Trattat ta’ Marrakexx se jindirizza dawn il-kwistjonijiet b’mod sodisfaċenti. </w:t>
      </w:r>
      <w:r>
        <w:rPr>
          <w:noProof/>
        </w:rPr>
        <w:t>B’mod ġenerali, id-detenturi tad-drittijiet u l-organizzazzjonijiet tal-immaniġġjar kollettiv jidhrilhom li m’h</w:t>
      </w:r>
      <w:r>
        <w:rPr>
          <w:noProof/>
        </w:rPr>
        <w:t>emmx problemi bl-implimentazzjoni nazzjonali tal-eċċezzjoni jew il-limitazzjoni fakultattivi previsti fil-leġiżlazzjoni tal-Unjoni. Ikkummentaw ukoll li l-mekkaniżmi tas-suq eżistenti kienu jindirizzaw b’mod effettiv il-problema tal-persuni b’diżabbiltà fe</w:t>
      </w:r>
      <w:r>
        <w:rPr>
          <w:noProof/>
        </w:rPr>
        <w:t>jn jidħol l-aċċess għax-xogħlijiet. L-utenti finali, il-konsumaturi u l-utenti istituzzjonali mhumiex tal-istess fehma.</w:t>
      </w:r>
    </w:p>
    <w:p w:rsidR="0053571C" w:rsidRDefault="00164618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Il-ġbir u l-użu tal-għarfien espert</w:t>
      </w:r>
    </w:p>
    <w:p w:rsidR="0053571C" w:rsidRDefault="0016461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Għat-tħejjija ta’ din il-proposta ma nġabar l-ebda għarfien espert b’mod speċifiku. Il-Kummissjoni</w:t>
      </w:r>
      <w:r>
        <w:rPr>
          <w:noProof/>
        </w:rPr>
        <w:t xml:space="preserve"> qieset studju tal-2013 dwar l-applikazzjoni tad-Direttiva 2001/29/KE</w:t>
      </w:r>
      <w:r>
        <w:rPr>
          <w:rStyle w:val="FootnoteReference"/>
          <w:noProof/>
        </w:rPr>
        <w:footnoteReference w:id="8"/>
      </w:r>
      <w:r>
        <w:rPr>
          <w:noProof/>
        </w:rPr>
        <w:t>, li fost l-oħrajn jivvaluta l-applikazzjoni tal-eċċezzjoni jew il-limitazzjoni fakultattivi għall-persuni b’diżabbiltà fi 11-il Stat Membru tal-UE previsti fl-Artikolu 5(3)(b) ta’ dik i</w:t>
      </w:r>
      <w:r>
        <w:rPr>
          <w:noProof/>
        </w:rPr>
        <w:t>d-Direttiva.</w:t>
      </w:r>
    </w:p>
    <w:p w:rsidR="0053571C" w:rsidRDefault="00164618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Il-valutazzjoni tal-impatt</w:t>
      </w:r>
    </w:p>
    <w:p w:rsidR="0053571C" w:rsidRDefault="00164618">
      <w:pPr>
        <w:spacing w:after="240"/>
        <w:rPr>
          <w:rFonts w:eastAsia="Arial Unicode MS"/>
          <w:noProof/>
          <w:color w:val="000000"/>
          <w:szCs w:val="24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 xml:space="preserve">Ir-Regolament propost se jindirizza l-implikazzjonijiet tat-Trattat ta’ Marrakexx fejn jidħol l-iskambju ta’ kopji b’format aċċessibbli ma’ pajjiżi terzi u jimmira li jallinja l-liġi tal-Unjoni mat-Trattat f’dak </w:t>
      </w:r>
      <w:r>
        <w:rPr>
          <w:noProof/>
          <w:color w:val="000000"/>
          <w:u w:color="000000"/>
          <w:bdr w:val="nil"/>
        </w:rPr>
        <w:t>ir-rigward. Il-Linji Gwida għal Regolamentazzjoni Aħjar</w:t>
      </w:r>
      <w:r>
        <w:rPr>
          <w:rStyle w:val="FootnoteReference"/>
          <w:noProof/>
        </w:rPr>
        <w:footnoteReference w:id="9"/>
      </w:r>
      <w:r>
        <w:rPr>
          <w:noProof/>
          <w:color w:val="000000"/>
          <w:u w:color="000000"/>
          <w:bdr w:val="nil"/>
        </w:rPr>
        <w:t xml:space="preserve"> ma jeżiġux li għandha ssir valutazzjoni tal-impatt meta l-Kummissjoni ma jkollhiex diskrezzjoni fuq il-kontenut tal-politika.</w:t>
      </w:r>
    </w:p>
    <w:p w:rsidR="0053571C" w:rsidRDefault="00164618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Id-drittijiet fundamentali</w:t>
      </w:r>
    </w:p>
    <w:p w:rsidR="0053571C" w:rsidRDefault="00164618">
      <w:pPr>
        <w:rPr>
          <w:noProof/>
        </w:rPr>
      </w:pPr>
      <w:r>
        <w:rPr>
          <w:noProof/>
          <w:color w:val="000000"/>
          <w:u w:color="000000"/>
          <w:bdr w:val="nil"/>
        </w:rPr>
        <w:t>Ir-Regolament propost</w:t>
      </w:r>
      <w:r>
        <w:rPr>
          <w:noProof/>
        </w:rPr>
        <w:t xml:space="preserve"> jappoġġa d-dritt tal-p</w:t>
      </w:r>
      <w:r>
        <w:rPr>
          <w:noProof/>
        </w:rPr>
        <w:t>ersuni b’diżabbiltà li jgawdu minn miżuri mfassla biex tkun żgurata l-indipendenza tagħhom, l-integrazzjoni soċjali u professjonali tagħhom u l-parteċipazzjoni tagħhom fil-ħajja tal-komunità, kif inhu mnaqqax fl-Artikolu 26 tal-Karta tad-Drittijiet Fundame</w:t>
      </w:r>
      <w:r>
        <w:rPr>
          <w:noProof/>
        </w:rPr>
        <w:t xml:space="preserve">ntali tal-Unjoni Ewropea (“il-Karta”). Barra minn hekk, </w:t>
      </w:r>
      <w:r>
        <w:rPr>
          <w:noProof/>
          <w:color w:val="000000"/>
          <w:u w:color="000000"/>
          <w:bdr w:val="nil"/>
        </w:rPr>
        <w:t>ir-Regolament jirrifletti l-impenji tal-Unjoni fi</w:t>
      </w:r>
      <w:r>
        <w:rPr>
          <w:noProof/>
        </w:rPr>
        <w:t xml:space="preserve">l-UNCRPD. Il-UNCRPD tiżgura d-dritt tal-aċċess tal-persuni b’diżabbiltà għall-informazzjoni u d-dritt li jieħdu sehem fil-ħajja kulturali, ekonomika u </w:t>
      </w:r>
      <w:r>
        <w:rPr>
          <w:noProof/>
        </w:rPr>
        <w:t>soċjali bħal ħaddieħor.  Fid-dawl ta’ dan, hu ġġustifikat li jiġu restritti d-drittijiet tal-proprjetà tad-detenturi tad-drittijiet bi qbil mal-obbligi tal-Unjoni skont il-Karta</w:t>
      </w:r>
      <w:r>
        <w:rPr>
          <w:rStyle w:val="FootnoteReference"/>
          <w:noProof/>
        </w:rPr>
        <w:footnoteReference w:id="10"/>
      </w:r>
      <w:r>
        <w:rPr>
          <w:noProof/>
        </w:rPr>
        <w:t>.</w:t>
      </w:r>
    </w:p>
    <w:p w:rsidR="0053571C" w:rsidRDefault="00164618">
      <w:pPr>
        <w:rPr>
          <w:noProof/>
        </w:rPr>
      </w:pPr>
      <w:r>
        <w:rPr>
          <w:noProof/>
        </w:rPr>
        <w:t>Il-proposta se jkollha impatt limitat fuq id-drittijiet tal-awtur bħala drit</w:t>
      </w:r>
      <w:r>
        <w:rPr>
          <w:noProof/>
        </w:rPr>
        <w:t>t tal-proprjetà kif stipulat fil-Karta (l-Artikolu 17(2))</w:t>
      </w:r>
      <w:r>
        <w:rPr>
          <w:rStyle w:val="FootnoteReference"/>
          <w:noProof/>
        </w:rPr>
        <w:footnoteReference w:id="11"/>
      </w:r>
      <w:r>
        <w:rPr>
          <w:noProof/>
        </w:rPr>
        <w:t>. F’dan il-kuntest, ta’ min jinnota li d-Direttiva [...] daħħlet eċċezzjoni obbligatorja tad-drittijiet tal-awtur għall-ġid tal-persuni benefiċjarji ta’ din il-proposta. B’hekk, l-impatt ta’ dan ir-</w:t>
      </w:r>
      <w:r>
        <w:rPr>
          <w:noProof/>
        </w:rPr>
        <w:t>Regolament se jkun limitat biex jiġi rregolat l-iskambju ta’ kopji b’format aċċessibbli ma’ pajjiżi terzi li huma partijiet għat-Trattat ta’ Marrakexx.</w:t>
      </w:r>
    </w:p>
    <w:p w:rsidR="0053571C" w:rsidRDefault="00164618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L-IMPLIKAZZJONIJIET BAĠITARJI</w:t>
      </w:r>
    </w:p>
    <w:p w:rsidR="0053571C" w:rsidRDefault="0016461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ma għandha l-ebda impatt fuq il-baġit tal-UE.</w:t>
      </w:r>
    </w:p>
    <w:p w:rsidR="0053571C" w:rsidRDefault="00164618"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</w:t>
      </w:r>
      <w:r>
        <w:rPr>
          <w:noProof/>
        </w:rPr>
        <w:t>ĦRAJN</w:t>
      </w:r>
    </w:p>
    <w:p w:rsidR="0053571C" w:rsidRDefault="00164618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Il-pjanijiet ta’ implimentazzjoni u l-arranġamenti għall-monitoraġġ, l-evalwazzjoni u r-rappurtar</w:t>
      </w:r>
    </w:p>
    <w:p w:rsidR="0053571C" w:rsidRDefault="0016461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Sa mhux aktar tard minn [</w:t>
      </w:r>
      <w:r>
        <w:rPr>
          <w:i/>
          <w:noProof/>
        </w:rPr>
        <w:t>enter five years after the date of application</w:t>
      </w:r>
      <w:r>
        <w:rPr>
          <w:noProof/>
        </w:rPr>
        <w:t>], il-Kummissjoni għandha tagħmel evalwazzjoni ta’ dan ir-Regolament b’konformi</w:t>
      </w:r>
      <w:r>
        <w:rPr>
          <w:noProof/>
        </w:rPr>
        <w:t xml:space="preserve">tà mal-Linji Gwida għal Regolamentazzjoni Aħjar u tippreżenta s-sejbiet ewlenin lill-Parlament Ewropew, lill-Kunsill u lill-Kumitat Ekonomiku u Soċjali Ewropew, u magħha meta jkun xieraq tippreżenta proposti għal emendi f’dan ir-Regolament. Bl-istess mod, </w:t>
      </w:r>
      <w:r>
        <w:rPr>
          <w:noProof/>
        </w:rPr>
        <w:t>din se tevalwa wkoll id-Direttiva […].</w:t>
      </w:r>
    </w:p>
    <w:p w:rsidR="0053571C" w:rsidRDefault="00164618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Spjegazzjoni fid-dettall tad-dispożizzjonijiet speċifiċi tal-proposta</w:t>
      </w:r>
    </w:p>
    <w:p w:rsidR="0053571C" w:rsidRDefault="0016461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L-Artikolu 1 jispeċifika l-għan u l-kamp ta’ applikazzjoni tal-proposta. Ir-Regolament propost se jirregola l-iskambju ta’ kopji b’format aċċessi</w:t>
      </w:r>
      <w:r>
        <w:rPr>
          <w:noProof/>
        </w:rPr>
        <w:t xml:space="preserve">bbli ta’ ċerti xogħlijiet u materjal ieħor protett bid-drittijiet tal-awtur jew bi drittijiet relatati bejn l-Unjoni u l-pajjiżi terzi, skont it-Trattat ta’ Marrakexx. </w:t>
      </w:r>
    </w:p>
    <w:p w:rsidR="0053571C" w:rsidRDefault="0016461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L-Artikolu 2 jelenka d-definizzjonijiet tat-termini “xogħol jew materjal ieħor”, “persu</w:t>
      </w:r>
      <w:r>
        <w:rPr>
          <w:noProof/>
        </w:rPr>
        <w:t>na benefiċjarja”, “kopja b’format aċċessibbli” u “entità awtorizzata” li japplikaw għall-finijiet tar-Regolament propost.</w:t>
      </w:r>
    </w:p>
    <w:p w:rsidR="0053571C" w:rsidRDefault="0016461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L-Artikolu 3 fih dispożizzjonijiet dwar l-esportazzjoni ta’ kopji b’format aċċessibbli mill-Unjoni lejn il-pajjiżi terzi.</w:t>
      </w:r>
    </w:p>
    <w:p w:rsidR="0053571C" w:rsidRDefault="0016461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L-Artikolu 4</w:t>
      </w:r>
      <w:r>
        <w:rPr>
          <w:noProof/>
        </w:rPr>
        <w:t xml:space="preserve"> fih dispożizzjonijiet dwar l-importazzjoni ta’ kopji b’format aċċessibbli mill-pajjiżi terzi lejn l-Unjoni. </w:t>
      </w:r>
    </w:p>
    <w:p w:rsidR="0053571C" w:rsidRDefault="00164618">
      <w:pPr>
        <w:spacing w:before="0" w:after="240"/>
        <w:rPr>
          <w:rFonts w:eastAsia="Arial Unicode MS" w:hAnsi="Arial Unicode MS" w:cs="Arial Unicode MS"/>
          <w:noProof/>
          <w:color w:val="000000"/>
          <w:szCs w:val="24"/>
          <w:u w:color="000000"/>
        </w:rPr>
      </w:pPr>
      <w:r>
        <w:rPr>
          <w:rFonts w:hAnsi="Arial Unicode MS"/>
          <w:noProof/>
          <w:color w:val="000000"/>
          <w:u w:color="000000"/>
        </w:rPr>
        <w:t>L-Artikolu</w:t>
      </w:r>
      <w:r>
        <w:rPr>
          <w:rFonts w:hAnsi="Arial Unicode MS"/>
          <w:noProof/>
          <w:color w:val="000000"/>
          <w:u w:color="000000"/>
        </w:rPr>
        <w:t> </w:t>
      </w:r>
      <w:r>
        <w:rPr>
          <w:rFonts w:hAnsi="Arial Unicode MS"/>
          <w:noProof/>
          <w:color w:val="000000"/>
          <w:u w:color="000000"/>
        </w:rPr>
        <w:t>5 jispe</w:t>
      </w:r>
      <w:r>
        <w:rPr>
          <w:noProof/>
          <w:color w:val="000000"/>
          <w:u w:color="000000"/>
        </w:rPr>
        <w:t>ċ</w:t>
      </w:r>
      <w:r>
        <w:rPr>
          <w:rFonts w:hAnsi="Arial Unicode MS"/>
          <w:noProof/>
          <w:color w:val="000000"/>
          <w:u w:color="000000"/>
        </w:rPr>
        <w:t>ifika l-obbligi li l-entitajiet awtorizzati huma me</w:t>
      </w:r>
      <w:r>
        <w:rPr>
          <w:noProof/>
          <w:color w:val="000000"/>
          <w:u w:color="000000"/>
        </w:rPr>
        <w:t>ħ</w:t>
      </w:r>
      <w:r>
        <w:rPr>
          <w:rFonts w:hAnsi="Arial Unicode MS"/>
          <w:noProof/>
          <w:color w:val="000000"/>
          <w:u w:color="000000"/>
        </w:rPr>
        <w:t>tie</w:t>
      </w:r>
      <w:r>
        <w:rPr>
          <w:noProof/>
          <w:color w:val="000000"/>
          <w:u w:color="000000"/>
        </w:rPr>
        <w:t>ġ</w:t>
      </w:r>
      <w:r>
        <w:rPr>
          <w:rFonts w:hAnsi="Arial Unicode MS"/>
          <w:noProof/>
          <w:color w:val="000000"/>
          <w:u w:color="000000"/>
        </w:rPr>
        <w:t>a jissodisfaw waqt l-iskambju ta</w:t>
      </w:r>
      <w:r>
        <w:rPr>
          <w:noProof/>
          <w:color w:val="000000"/>
          <w:u w:color="000000"/>
        </w:rPr>
        <w:t>’</w:t>
      </w:r>
      <w:r>
        <w:rPr>
          <w:rFonts w:hAnsi="Arial Unicode MS"/>
          <w:noProof/>
          <w:color w:val="000000"/>
          <w:u w:color="000000"/>
        </w:rPr>
        <w:t xml:space="preserve"> kopji b</w:t>
      </w:r>
      <w:r>
        <w:rPr>
          <w:noProof/>
          <w:color w:val="000000"/>
          <w:u w:color="000000"/>
        </w:rPr>
        <w:t>’</w:t>
      </w:r>
      <w:r>
        <w:rPr>
          <w:rFonts w:hAnsi="Arial Unicode MS"/>
          <w:noProof/>
          <w:color w:val="000000"/>
          <w:u w:color="000000"/>
        </w:rPr>
        <w:t>format a</w:t>
      </w:r>
      <w:r>
        <w:rPr>
          <w:noProof/>
          <w:color w:val="000000"/>
          <w:u w:color="000000"/>
        </w:rPr>
        <w:t>ċċ</w:t>
      </w:r>
      <w:r>
        <w:rPr>
          <w:rFonts w:hAnsi="Arial Unicode MS"/>
          <w:noProof/>
          <w:color w:val="000000"/>
          <w:u w:color="000000"/>
        </w:rPr>
        <w:t>essibbli mal-pajji</w:t>
      </w:r>
      <w:r>
        <w:rPr>
          <w:noProof/>
          <w:color w:val="000000"/>
          <w:u w:color="000000"/>
        </w:rPr>
        <w:t>ż</w:t>
      </w:r>
      <w:r>
        <w:rPr>
          <w:rFonts w:hAnsi="Arial Unicode MS"/>
          <w:noProof/>
          <w:color w:val="000000"/>
          <w:u w:color="000000"/>
        </w:rPr>
        <w:t xml:space="preserve">i terzi. </w:t>
      </w:r>
    </w:p>
    <w:p w:rsidR="0053571C" w:rsidRDefault="0016461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L-Artikolu 6 jistabbilixxi r-regoli applikabbli għall-protezzjoni tad-dejta personali. </w:t>
      </w:r>
    </w:p>
    <w:p w:rsidR="0053571C" w:rsidRDefault="0016461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 7 jistabbilixxi l-arranġamenti għall-evalwazzjoni ta’ dan ir-Regolament, skont ir-regoli għal Regolamentazzjoni Aħjar.</w:t>
      </w:r>
    </w:p>
    <w:p w:rsidR="0053571C" w:rsidRDefault="0016461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 8 jispeċifika d-d</w:t>
      </w:r>
      <w:r>
        <w:rPr>
          <w:noProof/>
        </w:rPr>
        <w:t>ħul fis-seħħ ta’ dan ir-Regolament u l-Artikolu 9 l-applikazzjoni fil-ħin tiegħu.</w:t>
      </w:r>
    </w:p>
    <w:p w:rsidR="0053571C" w:rsidRDefault="0053571C">
      <w:pPr>
        <w:rPr>
          <w:noProof/>
        </w:rPr>
        <w:sectPr w:rsidR="0053571C" w:rsidSect="00164618"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53571C" w:rsidRDefault="00164618" w:rsidP="00164618">
      <w:pPr>
        <w:pStyle w:val="Rfrenceinterinstitutionnelle"/>
        <w:rPr>
          <w:noProof/>
        </w:rPr>
      </w:pPr>
      <w:r w:rsidRPr="00164618">
        <w:t>2016/0279 (COD)</w:t>
      </w:r>
    </w:p>
    <w:p w:rsidR="0053571C" w:rsidRDefault="00164618" w:rsidP="00164618">
      <w:pPr>
        <w:pStyle w:val="Statut"/>
        <w:rPr>
          <w:noProof/>
        </w:rPr>
      </w:pPr>
      <w:r w:rsidRPr="00164618">
        <w:t>Proposta għal</w:t>
      </w:r>
    </w:p>
    <w:p w:rsidR="0053571C" w:rsidRDefault="00164618" w:rsidP="00164618">
      <w:pPr>
        <w:pStyle w:val="Typedudocument"/>
        <w:rPr>
          <w:noProof/>
        </w:rPr>
      </w:pPr>
      <w:r w:rsidRPr="00164618">
        <w:t>REGOLAMENT TAL-PARLAMENT EWROPEW U TAL-KUNSILL</w:t>
      </w:r>
    </w:p>
    <w:p w:rsidR="0053571C" w:rsidRDefault="00164618" w:rsidP="00164618">
      <w:pPr>
        <w:pStyle w:val="Titreobjet"/>
        <w:rPr>
          <w:noProof/>
        </w:rPr>
      </w:pPr>
      <w:r w:rsidRPr="00164618">
        <w:t xml:space="preserve">dwar l-iskambju </w:t>
      </w:r>
      <w:proofErr w:type="spellStart"/>
      <w:r w:rsidRPr="00164618">
        <w:t>transfruntier</w:t>
      </w:r>
      <w:proofErr w:type="spellEnd"/>
      <w:r w:rsidRPr="00164618">
        <w:t xml:space="preserve"> bejn l-Unjoni u l-pajjiżi terzi ta’ kopji b’format aċċessibbli ta’ xogħlijiet jew materjal ieħor protett bid-dritt tal-awtur u bi drittijiet relatati għall-ġid tal-persuni għomja, b’</w:t>
      </w:r>
      <w:proofErr w:type="spellStart"/>
      <w:r w:rsidRPr="00164618">
        <w:t>diżabbiltà</w:t>
      </w:r>
      <w:proofErr w:type="spellEnd"/>
      <w:r w:rsidRPr="00164618">
        <w:t xml:space="preserve"> fil-vista jew li b’xi mod ieħor għandhom diffikultà biex jaqraw materjal stampat </w:t>
      </w:r>
    </w:p>
    <w:p w:rsidR="0053571C" w:rsidRDefault="00164618"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 w:rsidR="0053571C" w:rsidRDefault="00164618">
      <w:pPr>
        <w:rPr>
          <w:noProof/>
        </w:rPr>
      </w:pPr>
      <w:r>
        <w:rPr>
          <w:noProof/>
        </w:rPr>
        <w:t>Wara li kkunsidraw it-Trattat dwar il-Funzjonament tal-Unjoni Ewropea, u b’mod partikolari l-Artikolu 207 tiegħu,</w:t>
      </w:r>
    </w:p>
    <w:p w:rsidR="0053571C" w:rsidRDefault="00164618">
      <w:pPr>
        <w:rPr>
          <w:noProof/>
        </w:rPr>
      </w:pPr>
      <w:r>
        <w:rPr>
          <w:noProof/>
        </w:rPr>
        <w:t>Wara li kkunsidraw il-propos</w:t>
      </w:r>
      <w:r>
        <w:rPr>
          <w:noProof/>
        </w:rPr>
        <w:t>ta tal-Kummissjoni Ewropea,</w:t>
      </w:r>
    </w:p>
    <w:p w:rsidR="0053571C" w:rsidRDefault="00164618"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 w:rsidR="0053571C" w:rsidRDefault="00164618">
      <w:pPr>
        <w:rPr>
          <w:noProof/>
        </w:rPr>
      </w:pPr>
      <w:r>
        <w:rPr>
          <w:noProof/>
        </w:rPr>
        <w:t>Filwaqt li jaġixxu skont il-proċedura leġiżlattiva ordinarja,</w:t>
      </w:r>
    </w:p>
    <w:p w:rsidR="0053571C" w:rsidRDefault="00164618">
      <w:pPr>
        <w:rPr>
          <w:noProof/>
        </w:rPr>
      </w:pPr>
      <w:r>
        <w:rPr>
          <w:noProof/>
        </w:rPr>
        <w:t>Billi:</w:t>
      </w:r>
    </w:p>
    <w:p w:rsidR="0053571C" w:rsidRDefault="00164618"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Il-persuni għomja, b’diżabbiltà fil-vista jew li b’xi mod ieħor għandhom diffiku</w:t>
      </w:r>
      <w:r>
        <w:rPr>
          <w:noProof/>
        </w:rPr>
        <w:t>ltà biex jaqraw materjal stampat għadhom qed isibu bosta xkiel biex jaċċessaw il-kotba u materjal stampat ieħor. Il-ħtieġa li jiżdied l-għadd ta’ xogħlijiet u materjal protett ieħor b’formati aċċessibbli li jkunu disponibbli għal dawk il-persuni u li jitji</w:t>
      </w:r>
      <w:r>
        <w:rPr>
          <w:noProof/>
        </w:rPr>
        <w:t>ebu ċ-ċirkolazzjoni u t-tixrid tagħhom ġiet rikonoxxuta fil-livell internazzjonali. It-Trattat ta’ Marrakexx biex jiġi ffaċilitat l-Aċċess għal Xogħlijiet Pubblikati għal Persuni Għomja, li għandhom Diżabbiltà fil-Vista jew li b’xi mod ieħor għandhom Diffi</w:t>
      </w:r>
      <w:r>
        <w:rPr>
          <w:noProof/>
        </w:rPr>
        <w:t>kultà biex Jaqraw Materjal Stampat (“it-Trattat ta’ Marrakexx”) ġie adottat fit-30 ta’ April 2014</w:t>
      </w:r>
      <w:r>
        <w:rPr>
          <w:rStyle w:val="FootnoteReference"/>
          <w:noProof/>
        </w:rPr>
        <w:footnoteReference w:id="12"/>
      </w:r>
      <w:r>
        <w:rPr>
          <w:noProof/>
        </w:rPr>
        <w:t>. Dan jeżiġi li l-partijiet kontraenti jipprovdu eċċezzjonijiet jew limitazzjonijiet għad-drittijiet esklużivi tad-detenturi tad-drittijiet tal-awtur u dritti</w:t>
      </w:r>
      <w:r>
        <w:rPr>
          <w:noProof/>
        </w:rPr>
        <w:t>jiet relatati għall-produzzjoni u t-tixrid ta’ kopji b’formati aċċessibbli ta’ ċerti xogħlijiet u materjal ieħor u għall-iskambju transfruntier ta’ kopji b’format aċċessibbli. Il-benefiċjarji tat-Trattat ta’ Marrakexx huma l-persuni għomja, b’diżabbiltà fi</w:t>
      </w:r>
      <w:r>
        <w:rPr>
          <w:noProof/>
        </w:rPr>
        <w:t>l-vista jew b’diżabbiltà fil-perċezzjoni jew biex jaqraw, inkluż id-dislessija, li żżommhom milli jaqraw materjal stampat sal-istess grad bħal persuna mingħajr din id-diżabbiltà, jew li ma jkunux jistgħu jżommu jew jużaw ktieb jew jiffokaw jew iċaqalqu għa</w:t>
      </w:r>
      <w:r>
        <w:rPr>
          <w:noProof/>
        </w:rPr>
        <w:t>jnejhom kif normalment ikun meħtieġ għall-qari, minħabba diżabbiltà fiżika.</w:t>
      </w:r>
    </w:p>
    <w:p w:rsidR="0053571C" w:rsidRDefault="00164618"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Id-Direttiva [...] hi sforz biex jiġu implimentati l-obbligi tal-Unjoni skont it-Trattat ta’ Marrakexx b’mod armonizzat ħalli jitjiebu d-disponibbiltà ta’ kopji b’format aċċess</w:t>
      </w:r>
      <w:r>
        <w:rPr>
          <w:noProof/>
        </w:rPr>
        <w:t>ibbli għall-persuni benefiċjarji u ċ-ċirkolazzjoni tagħhom fi ħdan is-suq intern. Id-Direttiva teżiġi li l-Istati Membri jdaħħlu eċċezzjoni obbligatorja għal ċerti drittijiet tad-detenturi tad-drittijiet li huma armonizzati bil-liġi tal-Unjoni. L-għanijiet</w:t>
      </w:r>
      <w:r>
        <w:rPr>
          <w:noProof/>
        </w:rPr>
        <w:t xml:space="preserve"> ta’ dan ir-Regolament huma li jimplimenta l-obbligi fit-Trattat ta’ Marrakexx fejn jidħlu l-esportazzjoni u l-importazzjoni ta’ kopji b’format aċċessibbli għall-ġid tal-persuni benefiċjarji bejn l-Unjoni u l-pajjiżi terzi li huma partijiet għat-Trattat ta</w:t>
      </w:r>
      <w:r>
        <w:rPr>
          <w:noProof/>
        </w:rPr>
        <w:t>’ Marrakexx, u li jistabbilixxi l-kundizzjonijiet għal dawn l-esportazzjonijiet u l-importazzjonijiet. Dawn il-miżuri jistgħu jittieħdu biss fil-livell tal-Unjoni għax l-iskambju ta’ kopji b’format aċċessibbli ta’ xogħlijiet u materjal ieħor jikkonċerna l-</w:t>
      </w:r>
      <w:r>
        <w:rPr>
          <w:noProof/>
        </w:rPr>
        <w:t>aspetti kummerċjali tal-proprjetà intellettwali. L-uniku strument xieraq hu Regolament.</w:t>
      </w:r>
    </w:p>
    <w:p w:rsidR="0053571C" w:rsidRDefault="00164618"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 xml:space="preserve">Ir-Regolament għandu jiżgura li l-kopji b’format aċċessibbli tal-kotba, rivisti, gazzetti, megezins u kitbiet oħrajn, folji tal-mużika u materjal stampat ieħor, li </w:t>
      </w:r>
      <w:r>
        <w:rPr>
          <w:noProof/>
        </w:rPr>
        <w:t>jsiru f’xi Stat Membru b’konformità mad-dispożizzjonijiet nazzjonali adottati skont id-Direttiva [...], jistgħu jiġu esportati lejn il-pajjiżi terzi li huma partijiet għat-Trattat ta’ Marrakexx. Fost il-formati aċċessibbli hemm il-kitbiet bil-Braille, il-k</w:t>
      </w:r>
      <w:r>
        <w:rPr>
          <w:noProof/>
        </w:rPr>
        <w:t>itbiet b’tipa kbira, il-kotba diġitali adattati, il-kotba awdjo u x-xandiriet tar-radju. It-tixrid, il-komunikazzjoni jew id-disponibbiltà ta’ kopji b’format aċċessibbli għall-persuni li għandhom diffikultà biex jaqraw materjal stampat jew għall-entitajiet</w:t>
      </w:r>
      <w:r>
        <w:rPr>
          <w:noProof/>
        </w:rPr>
        <w:t xml:space="preserve"> awtorizzati fil-pajjiż terz għandhom jagħmluhom l-entitajiet awtorizzati stabbiliti fl-Unjoni u mingħajr profitt.</w:t>
      </w:r>
    </w:p>
    <w:p w:rsidR="0053571C" w:rsidRDefault="00164618"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Dan ir-Regolament għandu jippermetti wkoll l-importazzjoni u l-aċċess għal kopji b’format aċċessibbli li jsiru skont l-implimentazzjoni t</w:t>
      </w:r>
      <w:r>
        <w:rPr>
          <w:noProof/>
        </w:rPr>
        <w:t>at-Trattat ta’ Marrakexx minn pajjiż terz, minn persuni benefiċjarji fl-Unjoni u mill-entitajiet awtorizzati stabbiliti fl-Unjoni, għall-ġid tal-persuni li għandhom diffikultà biex jaqraw materjal stampat. Dan għandu jkun jista’ jsir biex dawk il-kopji b’f</w:t>
      </w:r>
      <w:r>
        <w:rPr>
          <w:noProof/>
        </w:rPr>
        <w:t>ormat aċċessibbli jiġu ċċirkolati fis-suq intern bl-istess kundizzjonijiet bħall-kopji b’format aċċessibbli li jsiru fl-Unjoni skont id-Direttiva [...].</w:t>
      </w:r>
    </w:p>
    <w:p w:rsidR="0053571C" w:rsidRDefault="00164618"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 xml:space="preserve">Biex tiżdied id-disponibbiltà ta’ kopji b’format aċċessibbli u biex ikun evitat it-tixrid illegali </w:t>
      </w:r>
      <w:r>
        <w:rPr>
          <w:noProof/>
        </w:rPr>
        <w:t>ta’ xogħlijiet u materjal ieħor, l-entitajiet awtorizzati li jwettqu it-tixrid jew id-disponibbiltà ta’ kopji b’format aċċessibbli għandhom ikunu konformi ma’ ċerti obbligi.</w:t>
      </w:r>
    </w:p>
    <w:p w:rsidR="0053571C" w:rsidRDefault="00164618">
      <w:pPr>
        <w:pStyle w:val="ManualConsidrant"/>
        <w:rPr>
          <w:noProof/>
          <w:color w:val="000000" w:themeColor="text1"/>
        </w:rPr>
      </w:pPr>
      <w:r>
        <w:rPr>
          <w:noProof/>
        </w:rPr>
        <w:t>(6)</w:t>
      </w:r>
      <w:r>
        <w:rPr>
          <w:noProof/>
        </w:rPr>
        <w:tab/>
        <w:t xml:space="preserve">Kull ipproċessar tad-dejta personali li jsir skont dan ir-Regolament għandu </w:t>
      </w:r>
      <w:r>
        <w:rPr>
          <w:noProof/>
        </w:rPr>
        <w:t>jirrispetta d-drittijiet fundamentali, inkluż id-dritt tar-rispett għall-ħajja privata u l-ħajja tal-familja u d-dritt tal-protezzjoni tad-dejta personali skont l-Artikoli 7 u 8 tal-Karta tad-Drittijiet Fundamentali tal-Unjoni Ewropea, u għandu jsir b’konf</w:t>
      </w:r>
      <w:r>
        <w:rPr>
          <w:noProof/>
        </w:rPr>
        <w:t>ormità mad-Direttiva 95/46/KE tal-Parlament Ewropew u tal-Kunsill</w:t>
      </w:r>
      <w:r>
        <w:rPr>
          <w:rStyle w:val="FootnoteReference"/>
          <w:noProof/>
        </w:rPr>
        <w:footnoteReference w:id="13"/>
      </w:r>
      <w:r>
        <w:rPr>
          <w:noProof/>
        </w:rPr>
        <w:t>, li tirregola l-ipproċessar tad-dejta personali li jistgħu jagħmlu l-entitajiet awtorizzati fil-qafas ta’ dan ir-Regolament u bis-superviżjoni tal-awtoritajiet kompetenti tal-Istati Membri,</w:t>
      </w:r>
      <w:r>
        <w:rPr>
          <w:noProof/>
        </w:rPr>
        <w:t xml:space="preserve"> b’mod partikolari l-awtoritajiet indipendenti pubbliċi maħturin mill-Istati Membri. </w:t>
      </w:r>
    </w:p>
    <w:p w:rsidR="0053571C" w:rsidRDefault="00164618"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 xml:space="preserve">Il-UNCPRD, li l-UE hi parti kontraenti għaliha, tiżgura li l-persuni b’diżabbiltà jkollhom dritt għall-aċċess għall-informazzjoni u d-dritt li jieħdu sehem fil-ħajja </w:t>
      </w:r>
      <w:r>
        <w:rPr>
          <w:noProof/>
        </w:rPr>
        <w:t xml:space="preserve">kulturali, ekonomika u soċjali bħal ħaddieħor. Il-Konvenzjoni teżiġi li l-partijiet għaliha għandhom jieħdu l-miżuri xierqa kollha, skont il-liġi internazzjonali, biex jiżguraw li l-liġijiet li jipproteġu d-drittijiet tal-proprjetà intellettwali ma jkunux </w:t>
      </w:r>
      <w:r>
        <w:rPr>
          <w:noProof/>
        </w:rPr>
        <w:t>jikkostitwixxu ostaklu diskriminatorju jew mhux raġonevoli għall-aċċess tal-persuni b’diżabbiltà għall-materjali kulturali.</w:t>
      </w:r>
    </w:p>
    <w:p w:rsidR="0053571C" w:rsidRDefault="00164618"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>Dan ir-Regolament jirrispetta d-drittijiet fundamentali u josserva l-prinċipji rikonoxxuti fil-Karta tad-Drittijiet Fundamentali</w:t>
      </w:r>
      <w:r>
        <w:rPr>
          <w:noProof/>
        </w:rPr>
        <w:t xml:space="preserve"> tal-Unjoni Ewropea. Għaldaqstant dan ir-Regolament għandu jiġi interpretat u applikat bi qbil ma’ dawk id-drittijiet u l-prinċipji.</w:t>
      </w:r>
    </w:p>
    <w:p w:rsidR="0053571C" w:rsidRDefault="00164618">
      <w:pPr>
        <w:pStyle w:val="Formuledadoption"/>
        <w:rPr>
          <w:noProof/>
        </w:rPr>
      </w:pPr>
      <w:r>
        <w:rPr>
          <w:noProof/>
        </w:rPr>
        <w:t>ADOTTAW DAN IR-REGOLAMENT:</w:t>
      </w:r>
    </w:p>
    <w:p w:rsidR="0053571C" w:rsidRDefault="00164618">
      <w:pPr>
        <w:pStyle w:val="Titrearticle"/>
        <w:rPr>
          <w:i w:val="0"/>
          <w:noProof/>
        </w:rPr>
      </w:pPr>
      <w:r>
        <w:rPr>
          <w:noProof/>
        </w:rPr>
        <w:t>Artikolu 1</w:t>
      </w:r>
      <w:r>
        <w:rPr>
          <w:noProof/>
        </w:rPr>
        <w:br/>
        <w:t>Is-suġġett u l-kamp ta’ applikazzjoni</w:t>
      </w:r>
    </w:p>
    <w:p w:rsidR="0053571C" w:rsidRDefault="00164618">
      <w:pPr>
        <w:rPr>
          <w:noProof/>
        </w:rPr>
      </w:pPr>
      <w:r>
        <w:rPr>
          <w:noProof/>
        </w:rPr>
        <w:t>Dan ir-Regolament jistabbilixxi regoli dwar l-i</w:t>
      </w:r>
      <w:r>
        <w:rPr>
          <w:noProof/>
        </w:rPr>
        <w:t xml:space="preserve">skambju transfruntier ta’ kopji b’format aċċessibbli ta’ xogħlijiet u materjal ieħor bejn l-Unjoni u l-pajjiżi terzi li huma partijiet għat-Trattat ta’ Marrakexx mingħajr l-awtorizzazzjoni tad-detentur tad-dritt, għall-ġid tal-persuni għomja, b’diżabbiltà </w:t>
      </w:r>
      <w:r>
        <w:rPr>
          <w:noProof/>
        </w:rPr>
        <w:t>fil-vista jew li b’xi mod ieħor għandhom diffikultà biex jaqraw materjal stampat.</w:t>
      </w:r>
    </w:p>
    <w:p w:rsidR="0053571C" w:rsidRDefault="00164618">
      <w:pPr>
        <w:pStyle w:val="Titrearticle"/>
        <w:rPr>
          <w:i w:val="0"/>
          <w:noProof/>
        </w:rPr>
      </w:pPr>
      <w:r>
        <w:rPr>
          <w:noProof/>
        </w:rPr>
        <w:t>Artikolu 2</w:t>
      </w:r>
      <w:r>
        <w:rPr>
          <w:noProof/>
        </w:rPr>
        <w:br/>
        <w:t>Definizzjonijiet</w:t>
      </w:r>
    </w:p>
    <w:p w:rsidR="0053571C" w:rsidRDefault="00164618">
      <w:pPr>
        <w:rPr>
          <w:noProof/>
        </w:rPr>
      </w:pPr>
      <w:r>
        <w:rPr>
          <w:noProof/>
        </w:rPr>
        <w:t>Għall-finijiet ta’ dan ir-Regolament, japplikaw dawn id-definizzjonijiet:</w:t>
      </w:r>
    </w:p>
    <w:p w:rsidR="0053571C" w:rsidRDefault="00164618">
      <w:pPr>
        <w:pStyle w:val="Point0number"/>
        <w:numPr>
          <w:ilvl w:val="0"/>
          <w:numId w:val="10"/>
        </w:numPr>
        <w:rPr>
          <w:noProof/>
        </w:rPr>
      </w:pPr>
      <w:r>
        <w:rPr>
          <w:noProof/>
        </w:rPr>
        <w:t>“xogħol jew materjal ieħor” tfisser xogħol fil-forma ta’ ktieb, rivista,</w:t>
      </w:r>
      <w:r>
        <w:rPr>
          <w:noProof/>
        </w:rPr>
        <w:t xml:space="preserve"> gazzetta, megezin jew kitba oħra, inkluż folji tal-mużika u illustrazzjonijiet relatati, bi kwalunkwe mezz, inkluż b’format awdjo, bħall-kotba awdjo, li jkun protett bid-dritt tal-awtur jew bi drittijiet relatati u li jkun ippubblikat jew magħmul disponib</w:t>
      </w:r>
      <w:r>
        <w:rPr>
          <w:noProof/>
        </w:rPr>
        <w:t>bli għall-pubbliku b’xi mod ieħor legali;</w:t>
      </w:r>
    </w:p>
    <w:p w:rsidR="0053571C" w:rsidRDefault="00164618">
      <w:pPr>
        <w:pStyle w:val="Point0number"/>
        <w:rPr>
          <w:noProof/>
        </w:rPr>
      </w:pPr>
      <w:r>
        <w:rPr>
          <w:noProof/>
        </w:rPr>
        <w:t xml:space="preserve">“persuna benefiċjarja” tfisser: </w:t>
      </w:r>
    </w:p>
    <w:p w:rsidR="0053571C" w:rsidRDefault="00164618">
      <w:pPr>
        <w:pStyle w:val="Point1letter"/>
        <w:rPr>
          <w:noProof/>
        </w:rPr>
      </w:pPr>
      <w:r>
        <w:rPr>
          <w:noProof/>
        </w:rPr>
        <w:t xml:space="preserve">persuna għamja; </w:t>
      </w:r>
    </w:p>
    <w:p w:rsidR="0053571C" w:rsidRDefault="00164618">
      <w:pPr>
        <w:pStyle w:val="Point1letter"/>
        <w:rPr>
          <w:noProof/>
        </w:rPr>
      </w:pPr>
      <w:r>
        <w:rPr>
          <w:noProof/>
        </w:rPr>
        <w:t xml:space="preserve">persuna b’diżabbiltà fil-vista li ma tistax titjieb sal-punt li l-persuna tingħata funzjoni viżiva sostanzjalment ekwivalenti għal dik ta’ persuna li ma jkollhiex din id-diffikultà; </w:t>
      </w:r>
    </w:p>
    <w:p w:rsidR="0053571C" w:rsidRDefault="00164618">
      <w:pPr>
        <w:pStyle w:val="Point1letter"/>
        <w:rPr>
          <w:noProof/>
        </w:rPr>
      </w:pPr>
      <w:r>
        <w:rPr>
          <w:noProof/>
        </w:rPr>
        <w:t>persuna b’diżabbiltà fil-perċezzjoni jew biex taqra, inkluż id-dislessija</w:t>
      </w:r>
      <w:r>
        <w:rPr>
          <w:noProof/>
        </w:rPr>
        <w:t>, u li minħabba f’hekk ma tistax taqra xogħlijiet stampati sal-istess grad sostanzjalment bħal persuna mingħajr din id-diffikultà jew id-diżabbiltà; jew</w:t>
      </w:r>
    </w:p>
    <w:p w:rsidR="0053571C" w:rsidRDefault="00164618">
      <w:pPr>
        <w:pStyle w:val="Point1letter"/>
        <w:rPr>
          <w:noProof/>
        </w:rPr>
      </w:pPr>
      <w:r>
        <w:rPr>
          <w:noProof/>
        </w:rPr>
        <w:t>persuna li b’xi mod ieħor ma tkunx tista’ żżomm jew tuża ktieb jew tiffoka jew iċċaqlaq għajnejha kif n</w:t>
      </w:r>
      <w:r>
        <w:rPr>
          <w:noProof/>
        </w:rPr>
        <w:t>ormalment ikun meħtieġ għall-qari, minħabba diżabbiltà fiżika.</w:t>
      </w:r>
    </w:p>
    <w:p w:rsidR="0053571C" w:rsidRDefault="00164618">
      <w:pPr>
        <w:pStyle w:val="Point0number"/>
        <w:rPr>
          <w:noProof/>
        </w:rPr>
      </w:pPr>
      <w:r>
        <w:rPr>
          <w:noProof/>
        </w:rPr>
        <w:t>“kopja b’format aċċessibbli” tfisser kopja ta’ xogħol jew materjal ieħor f’mod jew għamla alternattiva li lill-persuna benefiċjarja tagħtiha aċċess għax-xogħol jew għall-materjal l-ieħor, inklu</w:t>
      </w:r>
      <w:r>
        <w:rPr>
          <w:noProof/>
        </w:rPr>
        <w:t>ż li l-persuna benefiċjarja ikun jista’ jkollha aċċess b’mod fattibbli u komdu daqs persuna mingħajr diżabbiltà fil-vista jew xi diżabbiltà msemmija fil-paragrafu 2;</w:t>
      </w:r>
    </w:p>
    <w:p w:rsidR="0053571C" w:rsidRDefault="00164618">
      <w:pPr>
        <w:pStyle w:val="Point0number"/>
        <w:rPr>
          <w:noProof/>
        </w:rPr>
      </w:pPr>
      <w:r>
        <w:rPr>
          <w:noProof/>
        </w:rPr>
        <w:t>“entità awtorizzata” tfisser organizzazzjoni li tipprovdi edukazzjoni, taħriġ ta’ struzzjo</w:t>
      </w:r>
      <w:r>
        <w:rPr>
          <w:noProof/>
        </w:rPr>
        <w:t>ni, qari adattiv jew aċċess għall-informazzjoni lill-persuni benefiċjarji mingħajr skop ta’ profitt, bħala l-attività ewlenija tagħha jew bħala waħda mill-attivitajiet ewlenin tagħha jew bħala waħda mill-missjonijiet tagħha ta’ interess pubbliku.</w:t>
      </w:r>
    </w:p>
    <w:p w:rsidR="0053571C" w:rsidRDefault="00164618">
      <w:pPr>
        <w:pStyle w:val="Titrearticle"/>
        <w:rPr>
          <w:i w:val="0"/>
          <w:noProof/>
        </w:rPr>
      </w:pPr>
      <w:r>
        <w:rPr>
          <w:noProof/>
        </w:rPr>
        <w:t xml:space="preserve">Artikolu </w:t>
      </w:r>
      <w:r>
        <w:rPr>
          <w:noProof/>
        </w:rPr>
        <w:t>3</w:t>
      </w:r>
      <w:r>
        <w:rPr>
          <w:noProof/>
        </w:rPr>
        <w:br/>
        <w:t>L-esportazzjoni tal-kopji b’format aċċessibbli lejn il-pajjiżi terzi</w:t>
      </w:r>
    </w:p>
    <w:p w:rsidR="0053571C" w:rsidRDefault="00164618">
      <w:pPr>
        <w:rPr>
          <w:noProof/>
        </w:rPr>
      </w:pPr>
      <w:r>
        <w:rPr>
          <w:noProof/>
        </w:rPr>
        <w:t>Entità awtorizzata stabbilita fi Stat Membru tista’ tqassam, tikkomunika jew tagħmel disponibbli lill-persuni benefiċjarji jew lill-entità awtorizzata stabbilita f’pajjiż terz li jkun p</w:t>
      </w:r>
      <w:r>
        <w:rPr>
          <w:noProof/>
        </w:rPr>
        <w:t>arti għat-Trattat ta’ Marrakexx kopja b’format aċċessibbli li ssir b’konformità mal-leġiżlazzjoni nazzjonali adottata skont id-Direttiva [...].</w:t>
      </w:r>
    </w:p>
    <w:p w:rsidR="0053571C" w:rsidRDefault="00164618">
      <w:pPr>
        <w:pStyle w:val="Titrearticle"/>
        <w:rPr>
          <w:i w:val="0"/>
          <w:noProof/>
        </w:rPr>
      </w:pPr>
      <w:r>
        <w:rPr>
          <w:noProof/>
        </w:rPr>
        <w:t>Artikolu 4</w:t>
      </w:r>
      <w:r>
        <w:rPr>
          <w:noProof/>
        </w:rPr>
        <w:br/>
        <w:t xml:space="preserve">L-importazzjoni tal-kopji b’format aċċessibbli mill-pajjiżi terzi </w:t>
      </w:r>
    </w:p>
    <w:p w:rsidR="0053571C" w:rsidRDefault="00164618">
      <w:pPr>
        <w:rPr>
          <w:noProof/>
        </w:rPr>
      </w:pPr>
      <w:r>
        <w:rPr>
          <w:noProof/>
        </w:rPr>
        <w:t>Persuna benefiċjarja jew entità aw</w:t>
      </w:r>
      <w:r>
        <w:rPr>
          <w:noProof/>
        </w:rPr>
        <w:t>torizzata stabbiliti fi Stat Membru jistgħu jimportaw jew inkella jistgħu jiksbu jew jaċċessaw sabiex jużaw, b’konformità mal-leġiżlazzjoni nazzjonali adottata skont id-Direttiva [...], kopja b’format aċċessibbli li tkun tqassmet, ġiet ikkomunikata jew sar</w:t>
      </w:r>
      <w:r>
        <w:rPr>
          <w:noProof/>
        </w:rPr>
        <w:t>et disponibbli għall-persuni benefiċjarji jew għall-entitajiet awtorizzati, minn entità awtorizzata f’pajjiż terz li jkun parti għat-Trattat ta’ Marrakexx.</w:t>
      </w:r>
    </w:p>
    <w:p w:rsidR="0053571C" w:rsidRDefault="00164618">
      <w:pPr>
        <w:pStyle w:val="Titrearticle"/>
        <w:rPr>
          <w:i w:val="0"/>
          <w:noProof/>
        </w:rPr>
      </w:pPr>
      <w:r>
        <w:rPr>
          <w:noProof/>
        </w:rPr>
        <w:t>Artikolu 5</w:t>
      </w:r>
      <w:r>
        <w:rPr>
          <w:noProof/>
        </w:rPr>
        <w:br/>
        <w:t>Obbligi tal-entitajiet awtorizzati</w:t>
      </w:r>
    </w:p>
    <w:p w:rsidR="0053571C" w:rsidRDefault="00164618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Entità awtorizzata stabbilita fi Stat Membru li twe</w:t>
      </w:r>
      <w:r>
        <w:rPr>
          <w:noProof/>
        </w:rPr>
        <w:t>ttaq l-atti msemmija fl-Artikoli 3 u 4 għandha tiżgura li:</w:t>
      </w:r>
    </w:p>
    <w:p w:rsidR="0053571C" w:rsidRDefault="00164618">
      <w:pPr>
        <w:pStyle w:val="Point1letter"/>
        <w:rPr>
          <w:noProof/>
        </w:rPr>
      </w:pPr>
      <w:r>
        <w:rPr>
          <w:noProof/>
        </w:rPr>
        <w:t>tqassam, tikkomunika u tagħmel disponibbli kopji b’format aċċessibbli biss lill-persuni benefiċjarji jew lil entitajiet awtorizzati oħra;</w:t>
      </w:r>
    </w:p>
    <w:p w:rsidR="0053571C" w:rsidRDefault="00164618">
      <w:pPr>
        <w:pStyle w:val="Point1letter"/>
        <w:rPr>
          <w:noProof/>
        </w:rPr>
      </w:pPr>
      <w:r>
        <w:rPr>
          <w:noProof/>
        </w:rPr>
        <w:t>tieħu l-passi xierqa biex tiskoraġġixxi r-riproduzzjoni ill</w:t>
      </w:r>
      <w:r>
        <w:rPr>
          <w:noProof/>
        </w:rPr>
        <w:t>egali, id-distribuzzjoni illegali, il-komunikazzjoni illegali u d-disponibbiltà illegali ta’ kopji b’format aċċessibbli;</w:t>
      </w:r>
    </w:p>
    <w:p w:rsidR="0053571C" w:rsidRDefault="00164618">
      <w:pPr>
        <w:pStyle w:val="Point1letter"/>
        <w:rPr>
          <w:noProof/>
        </w:rPr>
      </w:pPr>
      <w:r>
        <w:rPr>
          <w:noProof/>
        </w:rPr>
        <w:t>toqgħod attenta u żżomm reġistri dwar l-immaniġġar tagħha tax-xogħlijiet u l-materjal l-ieħor u tal-kopji b’format aċċessibbli; kif uko</w:t>
      </w:r>
      <w:r>
        <w:rPr>
          <w:noProof/>
        </w:rPr>
        <w:t>ll</w:t>
      </w:r>
    </w:p>
    <w:p w:rsidR="0053571C" w:rsidRDefault="00164618">
      <w:pPr>
        <w:pStyle w:val="Point1letter"/>
        <w:rPr>
          <w:noProof/>
        </w:rPr>
      </w:pPr>
      <w:r>
        <w:rPr>
          <w:noProof/>
        </w:rPr>
        <w:t>tippubblika u taġġorna, fuq is-sit web tagħha jekk ikun meħtieġ, tagħrif dwar il-mod kif qed tikkonforma mal-obbligi stabbiliti fil-punti (a) sa (c).</w:t>
      </w:r>
    </w:p>
    <w:p w:rsidR="0053571C" w:rsidRDefault="00164618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Meta tintalab, entità awtorizzata stabbilita fi Stat Membru li twettaq l-atti msemmija fl-Artikoli 3</w:t>
      </w:r>
      <w:r>
        <w:rPr>
          <w:noProof/>
        </w:rPr>
        <w:t xml:space="preserve"> u 4 għandha tipprovdi din l-informazzjoni, lil kwalunkwe persuna benefiċjarja jew detentur tad-dritt:</w:t>
      </w:r>
    </w:p>
    <w:p w:rsidR="0053571C" w:rsidRDefault="00164618">
      <w:pPr>
        <w:pStyle w:val="Point1letter"/>
        <w:numPr>
          <w:ilvl w:val="3"/>
          <w:numId w:val="1"/>
        </w:numPr>
        <w:rPr>
          <w:noProof/>
        </w:rPr>
      </w:pPr>
      <w:r>
        <w:rPr>
          <w:noProof/>
        </w:rPr>
        <w:t>il-lista tax-xogħlijiet u l-materjal l-ieħor li għandha kopji b’format aċċessibbli tagħhom u l-formati disponibbli; kif ukoll</w:t>
      </w:r>
    </w:p>
    <w:p w:rsidR="0053571C" w:rsidRDefault="00164618">
      <w:pPr>
        <w:pStyle w:val="Point1letter"/>
        <w:rPr>
          <w:noProof/>
        </w:rPr>
      </w:pPr>
      <w:r>
        <w:rPr>
          <w:noProof/>
        </w:rPr>
        <w:t>l-isem u d-dettalji tal-ent</w:t>
      </w:r>
      <w:r>
        <w:rPr>
          <w:noProof/>
        </w:rPr>
        <w:t>itajiet awtorizzati li involviet fl-iskambju tal-kopji b’format aċċessibbli skont l-Artikoli 3 u 4.</w:t>
      </w:r>
    </w:p>
    <w:p w:rsidR="0053571C" w:rsidRDefault="00164618">
      <w:pPr>
        <w:pStyle w:val="Titrearticle"/>
        <w:rPr>
          <w:noProof/>
        </w:rPr>
      </w:pPr>
      <w:r>
        <w:rPr>
          <w:noProof/>
        </w:rPr>
        <w:t>Artikolu 6</w:t>
      </w:r>
      <w:r>
        <w:rPr>
          <w:noProof/>
        </w:rPr>
        <w:br/>
        <w:t>Il-protezzjoni tad-dejta personali</w:t>
      </w:r>
    </w:p>
    <w:p w:rsidR="0053571C" w:rsidRDefault="00164618">
      <w:pPr>
        <w:rPr>
          <w:noProof/>
        </w:rPr>
      </w:pPr>
      <w:r>
        <w:rPr>
          <w:noProof/>
        </w:rPr>
        <w:t>L-ipproċessar tad-dejta personali li jsir fil-qafas ta’ dan ir-Regolament għandu jkun b’konformità mad-Diretti</w:t>
      </w:r>
      <w:r>
        <w:rPr>
          <w:noProof/>
        </w:rPr>
        <w:t>va 95/46/KE.</w:t>
      </w:r>
    </w:p>
    <w:p w:rsidR="0053571C" w:rsidRDefault="00164618">
      <w:pPr>
        <w:pStyle w:val="Titrearticle"/>
        <w:rPr>
          <w:noProof/>
        </w:rPr>
      </w:pPr>
      <w:r>
        <w:rPr>
          <w:noProof/>
        </w:rPr>
        <w:t>Artikolu 7</w:t>
      </w:r>
      <w:r>
        <w:rPr>
          <w:noProof/>
        </w:rPr>
        <w:br/>
        <w:t>Rieżami</w:t>
      </w:r>
    </w:p>
    <w:p w:rsidR="0053571C" w:rsidRDefault="00164618">
      <w:pPr>
        <w:rPr>
          <w:noProof/>
        </w:rPr>
      </w:pPr>
      <w:r>
        <w:rPr>
          <w:noProof/>
        </w:rPr>
        <w:t>Sa mhux aktar tard minn [</w:t>
      </w:r>
      <w:r>
        <w:rPr>
          <w:i/>
          <w:noProof/>
        </w:rPr>
        <w:t>enter five years after the date of application</w:t>
      </w:r>
      <w:r>
        <w:rPr>
          <w:noProof/>
        </w:rPr>
        <w:t xml:space="preserve">], il-Kummissjoni għandha tagħmel evalwazzjoni ta’ dan ir-Regolament u tippreżenta s-sejbiet ewlenin lill-Parlament Ewropew, lill-Kunsill u lill-Kumitat </w:t>
      </w:r>
      <w:r>
        <w:rPr>
          <w:noProof/>
        </w:rPr>
        <w:t>Ekonomiku u Soċjali Ewropew, u magħha meta jkun xieraq tippreżenta proposti għal emendi f’dan ir-Regolament.</w:t>
      </w:r>
    </w:p>
    <w:p w:rsidR="0053571C" w:rsidRDefault="00164618">
      <w:pPr>
        <w:rPr>
          <w:noProof/>
        </w:rPr>
      </w:pPr>
      <w:r>
        <w:rPr>
          <w:noProof/>
        </w:rPr>
        <w:t>Għat-tħejjija tar-rapport ta’ evalwazzjoni, l-Istati Membri għandhom jipprovdu l-informazzjoni meħtieġa lill-Kummissjoni.</w:t>
      </w:r>
    </w:p>
    <w:p w:rsidR="0053571C" w:rsidRDefault="00164618">
      <w:pPr>
        <w:pStyle w:val="Titrearticle"/>
        <w:rPr>
          <w:noProof/>
        </w:rPr>
      </w:pPr>
      <w:r>
        <w:rPr>
          <w:noProof/>
        </w:rPr>
        <w:t>Artikolu 8</w:t>
      </w:r>
      <w:r>
        <w:rPr>
          <w:noProof/>
        </w:rPr>
        <w:br/>
        <w:t>Id-dħul fis-se</w:t>
      </w:r>
      <w:r>
        <w:rPr>
          <w:noProof/>
        </w:rPr>
        <w:t>ħħ</w:t>
      </w:r>
    </w:p>
    <w:p w:rsidR="0053571C" w:rsidRDefault="00164618">
      <w:pPr>
        <w:rPr>
          <w:noProof/>
        </w:rPr>
      </w:pPr>
      <w:r>
        <w:rPr>
          <w:noProof/>
        </w:rPr>
        <w:t>Dan ir-Regolament għandu jidħol fis-seħħ fl-għoxrin jum wara 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 w:rsidR="0053571C" w:rsidRDefault="00164618">
      <w:pPr>
        <w:pStyle w:val="Titrearticle"/>
        <w:rPr>
          <w:noProof/>
        </w:rPr>
      </w:pPr>
      <w:r>
        <w:rPr>
          <w:noProof/>
        </w:rPr>
        <w:t>Artikolu 9</w:t>
      </w:r>
      <w:r>
        <w:rPr>
          <w:noProof/>
        </w:rPr>
        <w:br/>
        <w:t>Applikazzjoni fil-ħin</w:t>
      </w:r>
    </w:p>
    <w:p w:rsidR="0053571C" w:rsidRDefault="00164618">
      <w:pPr>
        <w:pStyle w:val="Applicationdirecte"/>
        <w:rPr>
          <w:noProof/>
        </w:rPr>
      </w:pPr>
      <w:r>
        <w:rPr>
          <w:noProof/>
        </w:rPr>
        <w:t>Dan ir-Regolament għandu japplika minn [</w:t>
      </w:r>
      <w:r>
        <w:rPr>
          <w:i/>
          <w:noProof/>
        </w:rPr>
        <w:t>enter date of transposition of Directive […]</w:t>
      </w:r>
      <w:r>
        <w:rPr>
          <w:noProof/>
        </w:rPr>
        <w:t>].</w:t>
      </w:r>
    </w:p>
    <w:p w:rsidR="0053571C" w:rsidRDefault="00164618">
      <w:pPr>
        <w:pStyle w:val="Applicationdirecte"/>
        <w:rPr>
          <w:noProof/>
        </w:rPr>
      </w:pPr>
      <w:r>
        <w:rPr>
          <w:noProof/>
        </w:rPr>
        <w:t xml:space="preserve">Dan </w:t>
      </w:r>
      <w:r>
        <w:rPr>
          <w:noProof/>
        </w:rPr>
        <w:t>ir-Regolament għandu jorbot fl-intier tiegħu u japplika direttament fl-Istati Membri kollha.</w:t>
      </w:r>
    </w:p>
    <w:p w:rsidR="0053571C" w:rsidRDefault="00164618" w:rsidP="00164618">
      <w:pPr>
        <w:pStyle w:val="Fait"/>
        <w:rPr>
          <w:noProof/>
        </w:rPr>
      </w:pPr>
      <w:r w:rsidRPr="00164618">
        <w:t>Magħmul fi Brussell,</w:t>
      </w:r>
    </w:p>
    <w:p w:rsidR="0053571C" w:rsidRDefault="00164618"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 w:rsidR="0053571C" w:rsidRDefault="00164618"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 w:rsidR="0053571C" w:rsidSect="00164618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1C" w:rsidRDefault="00164618">
      <w:pPr>
        <w:spacing w:before="0" w:after="0"/>
      </w:pPr>
      <w:r>
        <w:separator/>
      </w:r>
    </w:p>
  </w:endnote>
  <w:endnote w:type="continuationSeparator" w:id="0">
    <w:p w:rsidR="0053571C" w:rsidRDefault="001646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18" w:rsidRPr="00164618" w:rsidRDefault="00164618" w:rsidP="001646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1C" w:rsidRPr="00164618" w:rsidRDefault="00164618" w:rsidP="00164618">
    <w:pPr>
      <w:pStyle w:val="Footer"/>
      <w:rPr>
        <w:rFonts w:ascii="Arial" w:hAnsi="Arial" w:cs="Arial"/>
        <w:b/>
        <w:sz w:val="48"/>
      </w:rPr>
    </w:pPr>
    <w:r w:rsidRPr="00164618">
      <w:rPr>
        <w:rFonts w:ascii="Arial" w:hAnsi="Arial" w:cs="Arial"/>
        <w:b/>
        <w:sz w:val="48"/>
      </w:rPr>
      <w:t>MT</w:t>
    </w:r>
    <w:r w:rsidRPr="00164618">
      <w:rPr>
        <w:rFonts w:ascii="Arial" w:hAnsi="Arial" w:cs="Arial"/>
        <w:b/>
        <w:sz w:val="48"/>
      </w:rPr>
      <w:tab/>
    </w:r>
    <w:r w:rsidRPr="00164618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164618">
      <w:tab/>
    </w:r>
    <w:proofErr w:type="spellStart"/>
    <w:r w:rsidRPr="00164618">
      <w:rPr>
        <w:rFonts w:ascii="Arial" w:hAnsi="Arial" w:cs="Arial"/>
        <w:b/>
        <w:sz w:val="48"/>
      </w:rPr>
      <w:t>MT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18" w:rsidRPr="00164618" w:rsidRDefault="00164618" w:rsidP="0016461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18" w:rsidRPr="00164618" w:rsidRDefault="00164618" w:rsidP="00164618">
    <w:pPr>
      <w:pStyle w:val="Footer"/>
      <w:rPr>
        <w:rFonts w:ascii="Arial" w:hAnsi="Arial" w:cs="Arial"/>
        <w:b/>
        <w:sz w:val="48"/>
      </w:rPr>
    </w:pPr>
    <w:r w:rsidRPr="00164618">
      <w:rPr>
        <w:rFonts w:ascii="Arial" w:hAnsi="Arial" w:cs="Arial"/>
        <w:b/>
        <w:sz w:val="48"/>
      </w:rPr>
      <w:t>MT</w:t>
    </w:r>
    <w:r w:rsidRPr="00164618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164618">
      <w:tab/>
    </w:r>
    <w:r w:rsidRPr="00164618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18" w:rsidRPr="00164618" w:rsidRDefault="00164618" w:rsidP="00164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1C" w:rsidRDefault="00164618">
      <w:pPr>
        <w:spacing w:before="0" w:after="0"/>
      </w:pPr>
      <w:r>
        <w:separator/>
      </w:r>
    </w:p>
  </w:footnote>
  <w:footnote w:type="continuationSeparator" w:id="0">
    <w:p w:rsidR="0053571C" w:rsidRDefault="00164618">
      <w:pPr>
        <w:spacing w:before="0" w:after="0"/>
      </w:pPr>
      <w:r>
        <w:continuationSeparator/>
      </w:r>
    </w:p>
  </w:footnote>
  <w:footnote w:id="1">
    <w:p w:rsidR="0053571C" w:rsidRDefault="00164618">
      <w:pPr>
        <w:pStyle w:val="FootnoteText"/>
      </w:pPr>
      <w:r>
        <w:rPr>
          <w:rStyle w:val="FootnoteReference"/>
        </w:rPr>
        <w:footnoteRef/>
      </w:r>
      <w:r>
        <w:tab/>
        <w:t>Id-Deċiżjoni tal-Kunsill 2014/221/UE tal-14 ta’ April 2014 dwar l-iffirm</w:t>
      </w:r>
      <w:r>
        <w:t xml:space="preserve">ar, f’isem l-Unjoni Ewropea, tat-Trattat ta’ </w:t>
      </w:r>
      <w:proofErr w:type="spellStart"/>
      <w:r>
        <w:t>Marrakexx</w:t>
      </w:r>
      <w:proofErr w:type="spellEnd"/>
      <w:r>
        <w:t xml:space="preserve"> biex jiġi </w:t>
      </w:r>
      <w:proofErr w:type="spellStart"/>
      <w:r>
        <w:t>ffaċilitat</w:t>
      </w:r>
      <w:proofErr w:type="spellEnd"/>
      <w:r>
        <w:t xml:space="preserve"> l-Aċċess għal Xogħlijiet Pubblikati għal Persuni Għomja, b’</w:t>
      </w:r>
      <w:proofErr w:type="spellStart"/>
      <w:r>
        <w:t>Diżabbiltà</w:t>
      </w:r>
      <w:proofErr w:type="spellEnd"/>
      <w:r>
        <w:t xml:space="preserve"> fil-Vista jew li b’xi mod ieħor għandhom Diffikultà biex Jaqraw Materjal Stampat (ĠU L 115, 17.4.2014, p. 1.).</w:t>
      </w:r>
    </w:p>
  </w:footnote>
  <w:footnote w:id="2">
    <w:p w:rsidR="0053571C" w:rsidRDefault="00164618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LISU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Blind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(RNIB), </w:t>
      </w:r>
      <w:proofErr w:type="spellStart"/>
      <w:r>
        <w:t>ʻAvailability</w:t>
      </w:r>
      <w:proofErr w:type="spellEnd"/>
      <w:r>
        <w:t xml:space="preserve"> of </w:t>
      </w:r>
      <w:proofErr w:type="spellStart"/>
      <w:r>
        <w:t>accessible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 - 2011 </w:t>
      </w:r>
      <w:proofErr w:type="spellStart"/>
      <w:r>
        <w:t>updateʼ</w:t>
      </w:r>
      <w:proofErr w:type="spellEnd"/>
      <w:r>
        <w:t>, Ottubru 2011.</w:t>
      </w:r>
    </w:p>
  </w:footnote>
  <w:footnote w:id="3">
    <w:p w:rsidR="0053571C" w:rsidRDefault="00164618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</w:r>
      <w:r>
        <w:t xml:space="preserve">Catherine </w:t>
      </w:r>
      <w:proofErr w:type="spellStart"/>
      <w:r>
        <w:t>Meyer-Lereculeur</w:t>
      </w:r>
      <w:proofErr w:type="spellEnd"/>
      <w:r>
        <w:t xml:space="preserve"> </w:t>
      </w:r>
      <w:proofErr w:type="spellStart"/>
      <w:r>
        <w:t>ʻException</w:t>
      </w:r>
      <w:proofErr w:type="spellEnd"/>
      <w:r>
        <w:t xml:space="preserve"> </w:t>
      </w:r>
      <w:proofErr w:type="spellStart"/>
      <w:r>
        <w:t>ʻhandicapʼ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droit</w:t>
      </w:r>
      <w:proofErr w:type="spellEnd"/>
      <w:r>
        <w:t xml:space="preserve"> d’</w:t>
      </w:r>
      <w:proofErr w:type="spellStart"/>
      <w:r>
        <w:t>auteur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développement</w:t>
      </w:r>
      <w:proofErr w:type="spellEnd"/>
      <w:r>
        <w:t xml:space="preserve"> de l’</w:t>
      </w:r>
      <w:proofErr w:type="spellStart"/>
      <w:r>
        <w:t>offre</w:t>
      </w:r>
      <w:proofErr w:type="spellEnd"/>
      <w:r>
        <w:t xml:space="preserve"> de </w:t>
      </w:r>
      <w:proofErr w:type="spellStart"/>
      <w:r>
        <w:t>publications</w:t>
      </w:r>
      <w:proofErr w:type="spellEnd"/>
      <w:r>
        <w:t xml:space="preserve"> </w:t>
      </w:r>
      <w:proofErr w:type="spellStart"/>
      <w:r>
        <w:t>accessi</w:t>
      </w:r>
      <w:r>
        <w:t>bles</w:t>
      </w:r>
      <w:proofErr w:type="spellEnd"/>
      <w:r>
        <w:t xml:space="preserve"> à l’</w:t>
      </w:r>
      <w:proofErr w:type="spellStart"/>
      <w:r>
        <w:t>ère</w:t>
      </w:r>
      <w:proofErr w:type="spellEnd"/>
      <w:r>
        <w:t xml:space="preserve"> </w:t>
      </w:r>
      <w:proofErr w:type="spellStart"/>
      <w:r>
        <w:t>numériqueʼ</w:t>
      </w:r>
      <w:proofErr w:type="spellEnd"/>
      <w:r>
        <w:t>, Mejju 2013.</w:t>
      </w:r>
    </w:p>
  </w:footnote>
  <w:footnote w:id="4">
    <w:p w:rsidR="0053571C" w:rsidRDefault="00164618">
      <w:pPr>
        <w:pStyle w:val="FootnoteText"/>
      </w:pPr>
      <w:r>
        <w:rPr>
          <w:rStyle w:val="FootnoteReference"/>
        </w:rPr>
        <w:footnoteRef/>
      </w:r>
      <w:r>
        <w:tab/>
      </w:r>
      <w:r>
        <w:t>Dawn iċ-ċifri jirreferu għad-</w:t>
      </w:r>
      <w:proofErr w:type="spellStart"/>
      <w:r>
        <w:t>disponibbiltà</w:t>
      </w:r>
      <w:proofErr w:type="spellEnd"/>
      <w:r>
        <w:t>, iżda mhux bil-formati aċċessibbli kollha.</w:t>
      </w:r>
    </w:p>
  </w:footnote>
  <w:footnote w:id="5">
    <w:p w:rsidR="0053571C" w:rsidRDefault="00164618">
      <w:pPr>
        <w:pStyle w:val="FootnoteText"/>
      </w:pPr>
      <w:r>
        <w:rPr>
          <w:rStyle w:val="FootnoteReference"/>
        </w:rPr>
        <w:footnoteRef/>
      </w:r>
      <w:r>
        <w:tab/>
      </w:r>
      <w:r>
        <w:t>Id-Deċiżjoni tal-Kunsill 2010/48/KE tas-26 ta’ Novembru 2009 dwar il-konklużjoni, mill-Komunità Ewropea, tal-Konvenzjoni tan-Nazz</w:t>
      </w:r>
      <w:r>
        <w:t>jonijiet Uniti dwar id-Drittijiet tal-Persuni b’</w:t>
      </w:r>
      <w:proofErr w:type="spellStart"/>
      <w:r>
        <w:t>Diżabbiltà</w:t>
      </w:r>
      <w:proofErr w:type="spellEnd"/>
      <w:r>
        <w:t xml:space="preserve"> (ĠU L 23, 27.1.2010, p. 35).</w:t>
      </w:r>
    </w:p>
  </w:footnote>
  <w:footnote w:id="6">
    <w:p w:rsidR="0053571C" w:rsidRDefault="00164618">
      <w:pPr>
        <w:pStyle w:val="FootnoteText"/>
      </w:pPr>
      <w:r>
        <w:rPr>
          <w:rStyle w:val="FootnoteReference"/>
        </w:rPr>
        <w:footnoteRef/>
      </w:r>
      <w:r>
        <w:tab/>
      </w:r>
      <w:r>
        <w:t>CRPD/C/EU/CO/1, jinsab: http://tbinternet.ohchr.org/Treaties/CRPD/Shared%20Documents/EUR/CRPD_C_EU_CO_1_21617_E.doc.</w:t>
      </w:r>
    </w:p>
  </w:footnote>
  <w:footnote w:id="7">
    <w:p w:rsidR="0053571C" w:rsidRDefault="00164618">
      <w:pPr>
        <w:pStyle w:val="FootnoteText"/>
      </w:pPr>
      <w:r>
        <w:rPr>
          <w:rStyle w:val="FootnoteReference"/>
        </w:rPr>
        <w:footnoteRef/>
      </w:r>
      <w:r>
        <w:tab/>
      </w:r>
      <w:proofErr w:type="spellStart"/>
      <w:r>
        <w:t>Report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Consultat</w:t>
      </w:r>
      <w:r>
        <w:t>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EU Copyright </w:t>
      </w:r>
      <w:proofErr w:type="spellStart"/>
      <w:r>
        <w:t>Rules</w:t>
      </w:r>
      <w:proofErr w:type="spellEnd"/>
      <w:r>
        <w:t xml:space="preserve">, Lulju 2014, p. 61-63. </w:t>
      </w:r>
      <w:hyperlink r:id="rId1">
        <w:r>
          <w:rPr>
            <w:rStyle w:val="Hyperlink"/>
          </w:rPr>
          <w:t>http://ec.europa.eu/internal_market/consultations/2013/copyright-rules/index_en.htm</w:t>
        </w:r>
      </w:hyperlink>
      <w:r>
        <w:t xml:space="preserve"> </w:t>
      </w:r>
    </w:p>
  </w:footnote>
  <w:footnote w:id="8">
    <w:p w:rsidR="0053571C" w:rsidRDefault="00164618">
      <w:pPr>
        <w:pStyle w:val="FootnoteText"/>
      </w:pPr>
      <w:r>
        <w:rPr>
          <w:rStyle w:val="FootnoteReference"/>
        </w:rPr>
        <w:footnoteRef/>
      </w:r>
      <w:r>
        <w:tab/>
      </w:r>
      <w:r>
        <w:t>“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of </w:t>
      </w:r>
      <w:proofErr w:type="spellStart"/>
      <w:r>
        <w:t>Directive</w:t>
      </w:r>
      <w:proofErr w:type="spellEnd"/>
      <w:r>
        <w:t xml:space="preserve"> 2001/29/EC </w:t>
      </w:r>
      <w:proofErr w:type="spellStart"/>
      <w:r>
        <w:t>on</w:t>
      </w:r>
      <w:proofErr w:type="spellEnd"/>
      <w:r>
        <w:t xml:space="preserve"> copyright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”, Diċembru 2013, De </w:t>
      </w:r>
      <w:proofErr w:type="spellStart"/>
      <w:r>
        <w:t>Wolf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partners, jinsab: </w:t>
      </w:r>
      <w:hyperlink r:id="rId2">
        <w:r>
          <w:rPr>
            <w:rStyle w:val="Hyperlink"/>
          </w:rPr>
          <w:t>h</w:t>
        </w:r>
        <w:r>
          <w:rPr>
            <w:rStyle w:val="Hyperlink"/>
          </w:rPr>
          <w:t>ttp://ec.europa.eu/internal_market/copyright/docs/studies/131216_study_en.pdf</w:t>
        </w:r>
      </w:hyperlink>
      <w:r>
        <w:t xml:space="preserve"> , p. 417 </w:t>
      </w:r>
      <w:proofErr w:type="spellStart"/>
      <w:r>
        <w:rPr>
          <w:i/>
        </w:rPr>
        <w:t>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seq</w:t>
      </w:r>
      <w:proofErr w:type="spellEnd"/>
      <w:r>
        <w:t>.</w:t>
      </w:r>
    </w:p>
  </w:footnote>
  <w:footnote w:id="9">
    <w:p w:rsidR="0053571C" w:rsidRDefault="00164618">
      <w:pPr>
        <w:pStyle w:val="FootnoteText"/>
      </w:pPr>
      <w:r>
        <w:rPr>
          <w:rStyle w:val="FootnoteReference"/>
        </w:rPr>
        <w:footnoteRef/>
      </w:r>
      <w:r>
        <w:tab/>
      </w:r>
      <w:r>
        <w:t>SWD(2015) 111 final.</w:t>
      </w:r>
    </w:p>
  </w:footnote>
  <w:footnote w:id="10">
    <w:p w:rsidR="0053571C" w:rsidRDefault="00164618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L-Artikolu 52(1) tal-Karta jippermetti li jsiru restrizzjonijiet li </w:t>
      </w:r>
      <w:proofErr w:type="spellStart"/>
      <w:r>
        <w:t>jinterferixxu</w:t>
      </w:r>
      <w:proofErr w:type="spellEnd"/>
      <w:r>
        <w:t xml:space="preserve"> fl-eżerċizzju tal-libertajiet tal-Karta: dawn ir-restr</w:t>
      </w:r>
      <w:r>
        <w:t>izzjonijiet iridu jkunu (i) previsti bil-liġi; u (</w:t>
      </w:r>
      <w:proofErr w:type="spellStart"/>
      <w:r>
        <w:t>ii</w:t>
      </w:r>
      <w:proofErr w:type="spellEnd"/>
      <w:r>
        <w:t>) jirrispettaw l-essenza ta’ dawk id-drittijiet u l-libertajiet. Barra minn hekk, il-limitazzjonijiet huma (</w:t>
      </w:r>
      <w:proofErr w:type="spellStart"/>
      <w:r>
        <w:t>iii</w:t>
      </w:r>
      <w:proofErr w:type="spellEnd"/>
      <w:r>
        <w:t>) “soġġetti għall-prinċipju tal-</w:t>
      </w:r>
      <w:proofErr w:type="spellStart"/>
      <w:r>
        <w:t>proporzjonalità</w:t>
      </w:r>
      <w:proofErr w:type="spellEnd"/>
      <w:r>
        <w:t xml:space="preserve">” u “jistgħu jsiru biss jekk ikunu meħtieġa u </w:t>
      </w:r>
      <w:r>
        <w:t xml:space="preserve">jekk ġenwinament jilħqu l-għanijiet ta’ interess ġenerali rikonoxxuti mill-Unjoni jew il-ħtieġa li jkunu protetti d-drittijiet u l-libertajiet ta’ ħaddieħor”. </w:t>
      </w:r>
    </w:p>
  </w:footnote>
  <w:footnote w:id="11">
    <w:p w:rsidR="0053571C" w:rsidRDefault="00164618">
      <w:pPr>
        <w:pStyle w:val="FootnoteText"/>
      </w:pPr>
      <w:r>
        <w:rPr>
          <w:rStyle w:val="FootnoteReference"/>
        </w:rPr>
        <w:footnoteRef/>
      </w:r>
      <w:r>
        <w:tab/>
      </w:r>
      <w:r>
        <w:t>ĠU C 83, 30.3.2010, p. 389-403.</w:t>
      </w:r>
    </w:p>
  </w:footnote>
  <w:footnote w:id="12">
    <w:p w:rsidR="0053571C" w:rsidRDefault="00164618">
      <w:pPr>
        <w:pStyle w:val="FootnoteText"/>
      </w:pPr>
      <w:r>
        <w:rPr>
          <w:rStyle w:val="FootnoteReference"/>
        </w:rPr>
        <w:footnoteRef/>
      </w:r>
      <w:r>
        <w:tab/>
      </w:r>
      <w:r>
        <w:t>Id-Deċiżjoni tal-Kunsill 2014/221/UE tal-14 ta’ April 2014 d</w:t>
      </w:r>
      <w:r>
        <w:t xml:space="preserve">war l-iffirmar, f’isem l-Unjoni Ewropea, tat-Trattat ta’ </w:t>
      </w:r>
      <w:proofErr w:type="spellStart"/>
      <w:r>
        <w:t>Marrakexx</w:t>
      </w:r>
      <w:proofErr w:type="spellEnd"/>
      <w:r>
        <w:t xml:space="preserve"> biex jiġi </w:t>
      </w:r>
      <w:proofErr w:type="spellStart"/>
      <w:r>
        <w:t>ffaċilitat</w:t>
      </w:r>
      <w:proofErr w:type="spellEnd"/>
      <w:r>
        <w:t xml:space="preserve"> l-Aċċess għal Xogħlijiet Pubblikati għal Persuni Għomja, b’</w:t>
      </w:r>
      <w:proofErr w:type="spellStart"/>
      <w:r>
        <w:t>Diżabbiltà</w:t>
      </w:r>
      <w:proofErr w:type="spellEnd"/>
      <w:r>
        <w:t xml:space="preserve"> fil-Vista jew li b’xi mod ieħor għandhom Diffikultà biex Jaqraw Materjal Stampat. (ĠU L 115, 17.4.</w:t>
      </w:r>
      <w:r>
        <w:t>2014, p. 1.)</w:t>
      </w:r>
    </w:p>
  </w:footnote>
  <w:footnote w:id="13">
    <w:p w:rsidR="0053571C" w:rsidRDefault="00164618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Id-Direttiva tal-Parlament Ewropew u tal-Kunsill 95/46/KE tal-24 ta’ Ottubru 1995 dwar il-protezzjoni ta’ individwi fir-rigward tal-ipproċessar ta’ </w:t>
      </w:r>
      <w:proofErr w:type="spellStart"/>
      <w:r>
        <w:t>dejta</w:t>
      </w:r>
      <w:proofErr w:type="spellEnd"/>
      <w:r>
        <w:t xml:space="preserve"> personali u dwar il-moviment liberu ta’ dik id-</w:t>
      </w:r>
      <w:proofErr w:type="spellStart"/>
      <w:r>
        <w:t>dejta</w:t>
      </w:r>
      <w:proofErr w:type="spellEnd"/>
      <w:r>
        <w:t xml:space="preserve"> (ĠU L 281, 23.11.1995, p. 31).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18" w:rsidRPr="00164618" w:rsidRDefault="00164618" w:rsidP="001646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18" w:rsidRPr="00164618" w:rsidRDefault="00164618" w:rsidP="001646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18" w:rsidRPr="00164618" w:rsidRDefault="00164618" w:rsidP="001646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56823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42C72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52A40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C5815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62A32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590F8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B5811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FD81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0-03 09:49:2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NFIDENCE" w:val=" "/>
    <w:docVar w:name="LW_CONST_RESTREINT_UE" w:val="RESTREINT UE/EU RESTRICTED"/>
    <w:docVar w:name="LW_CORRIGENDUM" w:val="&lt;UNUSED&gt;"/>
    <w:docVar w:name="LW_COVERPAGE_GUID" w:val="61D982F9DC134F26A27272667F0DA299"/>
    <w:docVar w:name="LW_CROSSREFERENCE" w:val="&lt;UNUSED&gt;"/>
    <w:docVar w:name="LW_DocType" w:val="COM"/>
    <w:docVar w:name="LW_EMISSION" w:val="14.9.2016"/>
    <w:docVar w:name="LW_EMISSION_ISODATE" w:val="2016-09-14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79"/>
    <w:docVar w:name="LW_REF.II.NEW.CP_YEAR" w:val="2016"/>
    <w:docVar w:name="LW_REF.INST.NEW" w:val="COM"/>
    <w:docVar w:name="LW_REF.INST.NEW_ADOPTED" w:val="final"/>
    <w:docVar w:name="LW_REF.INST.NEW_TEXT" w:val="(2016) 595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dwar l-iskambju transfruntier bejn l-Unjoni u l-pajji\u380?i terzi ta\u8217? kopji b\u8217?format a\u267?\u267?essibbli ta\u8217? xog\u295?lijiet jew materjal ie\u295?or protett bid-dritt tal-awtur u bi drittijiet relatati g\u295?all-\u289?id tal-persuni g\u295?omja, b\u8217?di\u380?abbiltà fil-vista jew li b\u8217?xi mod ie\u295?or g\u295?andhom diffikultà biex jaqraw materjal stampat "/>
    <w:docVar w:name="LW_TYPE.DOC.CP" w:val="REGOLAMENT TAL-PARLAMENT EWROPEW U TAL-KUNSILL"/>
  </w:docVars>
  <w:rsids>
    <w:rsidRoot w:val="0053571C"/>
    <w:rsid w:val="00164618"/>
    <w:rsid w:val="0053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rsid w:val="00164618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64618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64618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rsid w:val="00164618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64618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64618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internal_market/copyright/docs/studies/131216_study_en.pdf" TargetMode="External"/><Relationship Id="rId1" Type="http://schemas.openxmlformats.org/officeDocument/2006/relationships/hyperlink" Target="http://ec.europa.eu/internal_market/consultations/2013/copyright-rules/index_en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dhwna\AppData\Roaming\Microsoft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11</Pages>
  <Words>3030</Words>
  <Characters>22730</Characters>
  <Application>Microsoft Office Word</Application>
  <DocSecurity>0</DocSecurity>
  <Lines>355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WADHWANIA Nadia (MARE-EXT)</cp:lastModifiedBy>
  <cp:revision>19</cp:revision>
  <cp:lastPrinted>2016-09-08T11:52:00Z</cp:lastPrinted>
  <dcterms:created xsi:type="dcterms:W3CDTF">2016-09-29T18:09:00Z</dcterms:created>
  <dcterms:modified xsi:type="dcterms:W3CDTF">2016-10-03T08:53:00Z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DQCStatus">
    <vt:lpwstr>Yellow (DQC version 03)</vt:lpwstr>
  </property>
</Properties>
</file>