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F8" w:rsidRDefault="007C521D" w:rsidP="007C521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4760015633144DFA177BEC5CC61B03D" style="width:450.45pt;height:409.55pt">
            <v:imagedata r:id="rId9" o:title=""/>
          </v:shape>
        </w:pict>
      </w:r>
    </w:p>
    <w:p w:rsidR="005E40F8" w:rsidRDefault="005E40F8">
      <w:pPr>
        <w:rPr>
          <w:noProof/>
        </w:rPr>
        <w:sectPr w:rsidR="005E40F8" w:rsidSect="007C521D">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E40F8" w:rsidRDefault="007C521D">
      <w:pPr>
        <w:pStyle w:val="Exposdesmotifstitre"/>
        <w:rPr>
          <w:noProof/>
        </w:rPr>
      </w:pPr>
      <w:bookmarkStart w:id="0" w:name="_GoBack"/>
      <w:bookmarkEnd w:id="0"/>
      <w:r>
        <w:rPr>
          <w:noProof/>
        </w:rPr>
        <w:lastRenderedPageBreak/>
        <w:t>DÔVODOVÁ SPRÁVA</w:t>
      </w:r>
    </w:p>
    <w:p w:rsidR="005E40F8" w:rsidRDefault="007C521D">
      <w:pPr>
        <w:pStyle w:val="ManualHeading1"/>
        <w:tabs>
          <w:tab w:val="left" w:pos="5190"/>
        </w:tabs>
        <w:rPr>
          <w:noProof/>
        </w:rPr>
      </w:pPr>
      <w:r>
        <w:rPr>
          <w:noProof/>
        </w:rPr>
        <w:t>1.</w:t>
      </w:r>
      <w:r>
        <w:rPr>
          <w:noProof/>
        </w:rPr>
        <w:tab/>
        <w:t>KONTEXT NÁVRHU</w:t>
      </w:r>
      <w:r>
        <w:rPr>
          <w:noProof/>
        </w:rPr>
        <w:tab/>
      </w:r>
    </w:p>
    <w:p w:rsidR="005E40F8" w:rsidRDefault="007C521D">
      <w:pPr>
        <w:pStyle w:val="ManualHeading2"/>
        <w:rPr>
          <w:rFonts w:eastAsia="Arial Unicode MS"/>
          <w:noProof/>
        </w:rPr>
      </w:pPr>
      <w:r>
        <w:rPr>
          <w:noProof/>
        </w:rPr>
        <w:t>•</w:t>
      </w:r>
      <w:r>
        <w:rPr>
          <w:noProof/>
        </w:rPr>
        <w:tab/>
        <w:t>Dôvody a ciele návrhu</w:t>
      </w:r>
    </w:p>
    <w:p w:rsidR="005E40F8" w:rsidRDefault="007C521D">
      <w:pPr>
        <w:rPr>
          <w:noProof/>
        </w:rPr>
      </w:pPr>
      <w:r>
        <w:rPr>
          <w:noProof/>
        </w:rPr>
        <w:t xml:space="preserve">Nový telekomunikačný balík, ktorý dnes </w:t>
      </w:r>
      <w:r>
        <w:rPr>
          <w:noProof/>
        </w:rPr>
        <w:t>Komisia prijala, obsahuje oznámenie, v ktorom vytýčila európsku víziu pripojenia na internet pre občanov a podniky na digitálnom jednotnom trhu</w:t>
      </w:r>
      <w:r>
        <w:rPr>
          <w:rStyle w:val="FootnoteReference"/>
          <w:noProof/>
        </w:rPr>
        <w:footnoteReference w:id="1"/>
      </w:r>
      <w:r>
        <w:rPr>
          <w:noProof/>
        </w:rPr>
        <w:t>, ako aj legislatívny návrh európskeho kódexu elektronickej komunikácie</w:t>
      </w:r>
      <w:r>
        <w:rPr>
          <w:rStyle w:val="FootnoteReference"/>
          <w:noProof/>
        </w:rPr>
        <w:footnoteReference w:id="2"/>
      </w:r>
      <w:r>
        <w:rPr>
          <w:noProof/>
        </w:rPr>
        <w:t xml:space="preserve">, ktorý predstavuje revíziu regulačného </w:t>
      </w:r>
      <w:r>
        <w:rPr>
          <w:noProof/>
        </w:rPr>
        <w:t>rámca pre elektronické komunikácie. V návrhoch Komisie sa stanovili reformy potrebné na zabezpečenie dostupnosti a zavádzania sietí s veľmi vysokou kapacitou, ktoré umožnia širšie využívanie produktov, služieb a aplikácií na digitálnom jednotnom trhu.</w:t>
      </w:r>
    </w:p>
    <w:p w:rsidR="005E40F8" w:rsidRDefault="007C521D">
      <w:pPr>
        <w:rPr>
          <w:noProof/>
          <w:szCs w:val="24"/>
        </w:rPr>
      </w:pPr>
      <w:r>
        <w:rPr>
          <w:noProof/>
        </w:rPr>
        <w:t>Keďž</w:t>
      </w:r>
      <w:r>
        <w:rPr>
          <w:noProof/>
        </w:rPr>
        <w:t>e internetové a digitálne pripojenia zásadným spôsobom menia súkromné životy ľudí a pracovné postupy v rámci aj mimo hraníc Únie, treba zabezpečiť, aby verejnosť mala motiváciu využívať príležitosti, ktoré táto zásadná zmena ponúka.</w:t>
      </w:r>
    </w:p>
    <w:p w:rsidR="005E40F8" w:rsidRDefault="007C521D">
      <w:pPr>
        <w:rPr>
          <w:noProof/>
        </w:rPr>
      </w:pPr>
      <w:r>
        <w:rPr>
          <w:noProof/>
        </w:rPr>
        <w:t>Z tohto dôvodu je jedný</w:t>
      </w:r>
      <w:r>
        <w:rPr>
          <w:noProof/>
        </w:rPr>
        <w:t xml:space="preserve">m zo strategických cieľov, ktoré Komisia pre Úniu vytýčila a ktoré sa majú dosiahnuť do roku 2025, zaviesť gigabitové internetové pripojenie do lokalít, kde sa poskytujú služby verejnosti, napríklad orgány verejnej správy, knižnice a nemocnice. Pripojenie </w:t>
      </w:r>
      <w:r>
        <w:rPr>
          <w:noProof/>
        </w:rPr>
        <w:t>týchto a ďalších centier spoločenského života vrátane vonkajších priestorov prístupných pre širokú verejnosť s rýchlosťami, ktoré výrazne prekračujú rýchlosti funkčného prístupu k internetu, umožní občanom zo všetkých sfér života využívať výhody pripojenia</w:t>
      </w:r>
      <w:r>
        <w:rPr>
          <w:noProof/>
        </w:rPr>
        <w:t xml:space="preserve"> novej generácie pri cestovaní a na miestach, kde na možnosti byť pripojený záleží.</w:t>
      </w:r>
    </w:p>
    <w:p w:rsidR="005E40F8" w:rsidRDefault="007C521D">
      <w:pPr>
        <w:rPr>
          <w:noProof/>
        </w:rPr>
      </w:pPr>
      <w:r>
        <w:rPr>
          <w:noProof/>
        </w:rPr>
        <w:t>Medzi opatrenia na podporu tohto cieľa patrí nový balík, ktorým sa podporí zavádzanie miestnych bezdrôtových prístupových bodov prostredníctvom efektívnejších plánovacích p</w:t>
      </w:r>
      <w:r>
        <w:rPr>
          <w:noProof/>
        </w:rPr>
        <w:t>ostupov a jednoduchších regulačných povinností, a to okrem iného aj vtedy, ak sa takýto prístup poskytuje na nekomerčnom základe alebo prispieva k poskytovaniu iných služieb pre verejnosť.</w:t>
      </w:r>
    </w:p>
    <w:p w:rsidR="005E40F8" w:rsidRDefault="007C521D">
      <w:pPr>
        <w:rPr>
          <w:noProof/>
        </w:rPr>
      </w:pPr>
      <w:r>
        <w:rPr>
          <w:noProof/>
        </w:rPr>
        <w:t>Tieto činnosti dopĺňa navrhované opatrenie zmenami právneho rámca p</w:t>
      </w:r>
      <w:r>
        <w:rPr>
          <w:noProof/>
        </w:rPr>
        <w:t>re telekomunikácie v Nástroji na prepájanie Európy uvedenom v nariadení (EÚ) č. 1316/2013</w:t>
      </w:r>
      <w:r>
        <w:rPr>
          <w:rStyle w:val="FootnoteReference"/>
          <w:noProof/>
        </w:rPr>
        <w:footnoteReference w:id="3"/>
      </w:r>
      <w:r>
        <w:rPr>
          <w:noProof/>
        </w:rPr>
        <w:t xml:space="preserve"> (ďalej len „nariadenie o NPE“) a nariadení (EÚ) č. 283/2014</w:t>
      </w:r>
      <w:r>
        <w:rPr>
          <w:rStyle w:val="FootnoteReference"/>
          <w:noProof/>
        </w:rPr>
        <w:footnoteReference w:id="4"/>
      </w:r>
      <w:r>
        <w:rPr>
          <w:noProof/>
        </w:rPr>
        <w:t xml:space="preserve"> (ďalej len „nariadenie o usmerneniach“). Tieto zmeny povzbudia subjekty konajúce vo verejnom záujme, ako</w:t>
      </w:r>
      <w:r>
        <w:rPr>
          <w:noProof/>
        </w:rPr>
        <w:t xml:space="preserve"> sú verejné orgány a poskytovatelia služieb verejnosti, k poskytovaniu bezplatného miestneho bezdrôtového pripojenia v miestnych strediskách verejného života (napr. orgány verejnej správy, knižnice, zdravotnícke strediská a vonkajšie verejné priestranstvá)</w:t>
      </w:r>
      <w:r>
        <w:rPr>
          <w:noProof/>
        </w:rPr>
        <w:t>. Na tento účel sa poskytujú finančné stimuly subjektom, ktoré chcú poskytovať bezplatné miestne bezdrôtové pripojenie s vysokou kapacitou na verejných priestranstvách v rámci ich pôsobnosti alebo na miestach, kde poskytujú služby. Prioritou prvej fázy opa</w:t>
      </w:r>
      <w:r>
        <w:rPr>
          <w:noProof/>
        </w:rPr>
        <w:t xml:space="preserve">trení bude finančná podpora miestnych verejných </w:t>
      </w:r>
      <w:r>
        <w:rPr>
          <w:noProof/>
        </w:rPr>
        <w:lastRenderedPageBreak/>
        <w:t>orgánov určená na prístupové body v miestnych strediskách verejného života vrátane vonkajších priestorov prístupných pre širokú verejnosť.</w:t>
      </w:r>
    </w:p>
    <w:p w:rsidR="005E40F8" w:rsidRDefault="007C521D">
      <w:pPr>
        <w:rPr>
          <w:noProof/>
        </w:rPr>
      </w:pPr>
      <w:r>
        <w:rPr>
          <w:noProof/>
        </w:rPr>
        <w:t>Podporovaním integrácie s existujúcimi službami verejnosti sa touto i</w:t>
      </w:r>
      <w:r>
        <w:rPr>
          <w:noProof/>
        </w:rPr>
        <w:t>ntervenciou podporí záujem občanov o internetové služby s vysokou kapacitou, čím významne prispeje k zavádzaniu služieb širokopásmového pripojenia a rozvoju verejnej infraštruktúry. Miestne bezdrôtové pripojenie bezplatne prístupné na mnohých frekventovaný</w:t>
      </w:r>
      <w:r>
        <w:rPr>
          <w:noProof/>
        </w:rPr>
        <w:t xml:space="preserve">ch miestach, kde sa stretáva veľa ľudí, ktorí čakajú na ďalší bod ich každodenného programu, môže priniesť výraznú pridanú hodnotu, keďže čas, ktorý strávia nečinne alebo čakaním, môžu využiť produktívne, oddýchnuť si alebo načerpať nové informácie. Okrem </w:t>
      </w:r>
      <w:r>
        <w:rPr>
          <w:noProof/>
        </w:rPr>
        <w:t>toho môžu takéto miestne bezdrôtové prístupové body uľahčiť prenos dát v rámci pokrytia ťažko prístupných miest alebo tam, kde by z dôvodu veľkého počtu používateľov bola inak značne narušená využiteľnosť bezdrôtového pripojenia. Keďže používatelia môžu vď</w:t>
      </w:r>
      <w:r>
        <w:rPr>
          <w:noProof/>
        </w:rPr>
        <w:t>aka nim zostať pripojení aj na cestách a mimo svojich domovov, tieto body takisto zvýšia mobilitu, flexibilitu a záujem občanov o využívanie služieb, ktoré ponúkajú subjekty konajúce vo verejnom záujme, a občania si tak môžu lepšie rozvrhnúť svoj čas. Obme</w:t>
      </w:r>
      <w:r>
        <w:rPr>
          <w:noProof/>
        </w:rPr>
        <w:t xml:space="preserve">dzený dosah jednotlivých prístupových miest je zároveň zárukou, že takáto verejná služba nebude konkurovať komerčným ponukám, ale môže zohrávať dôležitú úlohu pri podpore využívania širokopásmového pripojenia a podporovať digitálnu gramotnosť. Tým sa zasa </w:t>
      </w:r>
      <w:r>
        <w:rPr>
          <w:noProof/>
        </w:rPr>
        <w:t>podporí záujem užívateľov o využitie komerčných ponúk rezidenčného alebo mobilného širokopásmového pripojenia. Navrhovaná intervencia je doplnením novej legislatívnej koncepcie univerzálnej služby v návrhu na zriadenie európskeho kódexu elektronickej komun</w:t>
      </w:r>
      <w:r>
        <w:rPr>
          <w:noProof/>
        </w:rPr>
        <w:t>ikácie, na základe ktorej má mať každý občan EÚ právo byť pripojený, t. j. právo na funkčné (prinajmenšom pevné) internetové pripojenie, ktoré je cenovo dostupné a ktoré umožňuje plné začlenenie do digitálneho hospodárstva a spoločnosti.</w:t>
      </w:r>
    </w:p>
    <w:p w:rsidR="005E40F8" w:rsidRDefault="007C521D">
      <w:pPr>
        <w:rPr>
          <w:noProof/>
        </w:rPr>
      </w:pPr>
      <w:r>
        <w:rPr>
          <w:noProof/>
        </w:rPr>
        <w:t>Navrhovaným opatre</w:t>
      </w:r>
      <w:r>
        <w:rPr>
          <w:noProof/>
        </w:rPr>
        <w:t>ním sa zavádza jednoduchý mechanizmus financovania zriadenia miestnych bezdrôtových prístupových bodov. Touto akciou sa má dosiahnuť maximálny krátkodobý účinok podnietením záujmu občanov o služby prístupu k internetu a uľahčiť využívanie verejných digitál</w:t>
      </w:r>
      <w:r>
        <w:rPr>
          <w:noProof/>
        </w:rPr>
        <w:t>nych služieb vrátane prístupu k infraštruktúram digitálnych služieb. Očakávanie, že vzbudený záujem poskytne základ pre pokračovanie prevádzky a možné nahradenie prístupových bodov bez ďalšej finančnej pomoci na základe nariadení je v súlade s cieľom postu</w:t>
      </w:r>
      <w:r>
        <w:rPr>
          <w:noProof/>
        </w:rPr>
        <w:t>pne rušiť takúto pomoc, vždy keď to je možné, a povzbudzovať k využívaniu alternatívnych mechanizmov financovania.</w:t>
      </w:r>
    </w:p>
    <w:p w:rsidR="005E40F8" w:rsidRDefault="007C521D">
      <w:pPr>
        <w:rPr>
          <w:noProof/>
          <w:szCs w:val="24"/>
        </w:rPr>
      </w:pPr>
      <w:r>
        <w:rPr>
          <w:noProof/>
        </w:rPr>
        <w:t>S cieľom zabezpečiť cielený charakter intervencie a dosiahnuť maximálny prospech pre verejnosť bude financovanie obmedzené na situácie, kde n</w:t>
      </w:r>
      <w:r>
        <w:rPr>
          <w:noProof/>
        </w:rPr>
        <w:t>eexistujú voľne prístupné verejné ani súkromné prístupové body zabezpečujúce vysokorýchlostné širokopásmové pripojenie. Keďže finančná pomoc Únie na jednotlivé opatrenia nepresiahne prahovú hodnotu pre granty s nízkou hodnotou vo výške 60 000 EUR, ktorá je</w:t>
      </w:r>
      <w:r>
        <w:rPr>
          <w:noProof/>
        </w:rPr>
        <w:t xml:space="preserve"> stanovená v nariadení o rozpočtových pravidlách</w:t>
      </w:r>
      <w:r>
        <w:rPr>
          <w:rStyle w:val="FootnoteReference"/>
          <w:noProof/>
        </w:rPr>
        <w:footnoteReference w:id="5"/>
      </w:r>
      <w:r>
        <w:rPr>
          <w:noProof/>
        </w:rPr>
        <w:t>, neočakáva sa žiadny badateľný vplyv intervencie na hospodársku súťaž</w:t>
      </w:r>
      <w:r>
        <w:rPr>
          <w:rStyle w:val="FootnoteReference"/>
          <w:noProof/>
        </w:rPr>
        <w:footnoteReference w:id="6"/>
      </w:r>
      <w:r>
        <w:rPr>
          <w:noProof/>
        </w:rPr>
        <w:t>. Finančné prostriedky sa navyše budú prideľovať geograficky vyváženým spôsobom, ktorý prispeje k hospodárskej, sociálnej a územnej súdr</w:t>
      </w:r>
      <w:r>
        <w:rPr>
          <w:noProof/>
        </w:rPr>
        <w:t xml:space="preserve">žnosti v Únii, pričom sa osobitná pozornosť </w:t>
      </w:r>
      <w:r>
        <w:rPr>
          <w:noProof/>
        </w:rPr>
        <w:lastRenderedPageBreak/>
        <w:t>bude venovať potrebám miestnych komunít</w:t>
      </w:r>
      <w:r>
        <w:rPr>
          <w:rStyle w:val="FootnoteReference"/>
          <w:noProof/>
        </w:rPr>
        <w:footnoteReference w:id="7"/>
      </w:r>
      <w:r>
        <w:rPr>
          <w:noProof/>
        </w:rPr>
        <w:t>. Keďže sa tieto kritériá budú uplatňovať spoločne, navrhovaná intervencia je v súlade s rámcom pre otvorené a konkurenčné trhy, ktorý tvorí základ prevádzky transeurópskyc</w:t>
      </w:r>
      <w:r>
        <w:rPr>
          <w:noProof/>
        </w:rPr>
        <w:t>h sietí.</w:t>
      </w:r>
    </w:p>
    <w:p w:rsidR="005E40F8" w:rsidRDefault="007C521D">
      <w:pPr>
        <w:rPr>
          <w:noProof/>
        </w:rPr>
      </w:pPr>
      <w:r>
        <w:rPr>
          <w:noProof/>
        </w:rPr>
        <w:t>Popri stimulácii dopytu po vysokorýchlostnom širokopásmovom pripojení a motivovaní k rozsiahlemu zavádzaniu na úrovni spoločenstiev bude mať intervencia aj niekoľko pozitívnych vedľajších účinkov, počnúc zlepšeným prístupom k elektronickej verejne</w:t>
      </w:r>
      <w:r>
        <w:rPr>
          <w:noProof/>
        </w:rPr>
        <w:t>j správe a účasťou na demokratickom živote, a to aj pre demografické skupiny, ktoré sa inak stretávajú s ťažkosťami pri prístupe k internetovému pripojeniu (napríklad utečenci a nízkopríjmové skupiny), až po vybudovanie dodatočnej infraštruktúry pre núdzov</w:t>
      </w:r>
      <w:r>
        <w:rPr>
          <w:noProof/>
        </w:rPr>
        <w:t>ú a krízovú komunikáciu a oznamov vo verejnom záujme. S cieľom zabezpečiť, aby aj miestne spoločenstvá s obmedzenými zdrojmi mohli využívať tieto výhody spojené s účasťou na digitálnom jednotnom trhu, mala by byť podpora v rámci tohto opatrenia k dispozíci</w:t>
      </w:r>
      <w:r>
        <w:rPr>
          <w:noProof/>
        </w:rPr>
        <w:t>i až do výšky 100 % oprávnených nákladov bez toho, aby tým bola dotknutá zásada spolufinancovania. Potenciálni príjemcovia by do realizovania činností financovaných v rámci navrhovaného opatrenia mohli zapojiť členov miestneho spoločenstva s cieľom určiť s</w:t>
      </w:r>
      <w:r>
        <w:rPr>
          <w:noProof/>
        </w:rPr>
        <w:t>trediská verejného života, kde by zriadenie voľne prístupných bezdrôtových prístupových bodov poskytlo najväčšiu pridanú hodnotu pre danú komunitu.</w:t>
      </w:r>
    </w:p>
    <w:p w:rsidR="005E40F8" w:rsidRDefault="007C521D">
      <w:pPr>
        <w:rPr>
          <w:noProof/>
        </w:rPr>
      </w:pPr>
      <w:r>
        <w:rPr>
          <w:noProof/>
        </w:rPr>
        <w:t>Vzhľadom na flexibilnú a cielenú povahu podpory širokopásmových sietí v rámci finančného krytia pre sektor t</w:t>
      </w:r>
      <w:r>
        <w:rPr>
          <w:noProof/>
        </w:rPr>
        <w:t>elekomunikácií na vykonávanie NPE by sa táto intervencia mala považovať za samostatný projekt spoločného záujmu so súvisiacimi akciami v rámci nariadenia o NPE a so samostatným rozpočtom, pričom jeho podrobnosti by sa mali stanoviť v nariadení o usmernenia</w:t>
      </w:r>
      <w:r>
        <w:rPr>
          <w:noProof/>
        </w:rPr>
        <w:t xml:space="preserve">ch. Vzhľadom na obmedzený objem finančnej pomoci udeľovaný každému príjemcovi, ale aj na značný celkový počet príjemcov, je dôležité zabezpečiť, aby boli administratívne postupy efektívne, a tak umožnili jednoduché a rýchle prijímanie rozhodnutí. Na tento </w:t>
      </w:r>
      <w:r>
        <w:rPr>
          <w:noProof/>
        </w:rPr>
        <w:t>účel by členské štáty mali mať možnosť v rámci nariadenia o NPE schváliť kategórie návrhov v rámci tejto intervencie, namiesto toho, aby odsúhlasovali zoznamy jednotlivých príjemcov. Zavedením tejto zmeny na horizontálnej úrovni v prospech ostatných projek</w:t>
      </w:r>
      <w:r>
        <w:rPr>
          <w:noProof/>
        </w:rPr>
        <w:t>tov spoločného záujmu tento návrh zároveň reaguje na žiadosti členských štátov o efektívnejšie spôsoby vykonávania opatrení v oblasti infraštruktúry digitálnych služieb.</w:t>
      </w:r>
    </w:p>
    <w:p w:rsidR="005E40F8" w:rsidRDefault="007C521D">
      <w:pPr>
        <w:rPr>
          <w:noProof/>
        </w:rPr>
      </w:pPr>
      <w:r>
        <w:rPr>
          <w:noProof/>
        </w:rPr>
        <w:t>S cieľom zabezpečiť, aby toto opatrenie malo široký záber a prinieslo konkrétne výsled</w:t>
      </w:r>
      <w:r>
        <w:rPr>
          <w:noProof/>
        </w:rPr>
        <w:t xml:space="preserve">ky v čo najkratšom čase, je nevyhnutné, aby sa dostupné formy finančnej pomoci zbytočne neobmedzovali. V tejto súvislosti možno zachovať značnú mieru flexibility umožnením využitia pri vykonávaní akcií čo najväčšieho rozsahu foriem pomoci vhodnej pre túto </w:t>
      </w:r>
      <w:r>
        <w:rPr>
          <w:noProof/>
        </w:rPr>
        <w:t>intervenciu. Na tento účel a vzhľadom na prebiehajúce rokovania o revízii nariadenia o rozpočtových pravidlách by sa malo znenie nariadenia o NPE zmeniť s cieľom objasniť, že všetky opatrenia prispievajúce k projektom spoločného záujmu vrátane tejto interv</w:t>
      </w:r>
      <w:r>
        <w:rPr>
          <w:noProof/>
        </w:rPr>
        <w:t>encie sú vo všeobecnosti oprávnené na podporu prostredníctvom foriem finančnej pomoci, ktoré v súčasnosti sú a v budúcnosti budú k dispozícii v rámci nariadenia o rozpočtových pravidlách.</w:t>
      </w:r>
    </w:p>
    <w:p w:rsidR="005E40F8" w:rsidRDefault="007C521D">
      <w:pPr>
        <w:rPr>
          <w:noProof/>
          <w:szCs w:val="24"/>
        </w:rPr>
      </w:pPr>
      <w:r>
        <w:rPr>
          <w:noProof/>
        </w:rPr>
        <w:t>Na druhej strane sa z rovnakých dôvodov navrhuje, aby sa konkretizov</w:t>
      </w:r>
      <w:r>
        <w:rPr>
          <w:noProof/>
        </w:rPr>
        <w:t>ali formy finančnej pomoci dostupnej pre intervenciu, a to vzájomne konzistentným spôsobom v nariadení o NPE a v nariadení o usmerneniach. Granty budú pravdepodobne prevládajúcou formou príslušnej finančnej pomoci na dosiahnutie cieľa podpory bezplatného m</w:t>
      </w:r>
      <w:r>
        <w:rPr>
          <w:noProof/>
        </w:rPr>
        <w:t xml:space="preserve">iestneho bezdrôtového pripojenia v miestnych spoločenstvách, od začiatku by však nemali byť vylúčené ani iné formy finančnej pomoci s výnimkou finančných nástrojov. Finančné nástroje sú vylúčené </w:t>
      </w:r>
      <w:r>
        <w:rPr>
          <w:noProof/>
        </w:rPr>
        <w:lastRenderedPageBreak/>
        <w:t xml:space="preserve">vzhľadom na ich relatívne vysoké administratívne zaťaženie a </w:t>
      </w:r>
      <w:r>
        <w:rPr>
          <w:noProof/>
        </w:rPr>
        <w:t>s nimi spojené omeškania vo vykonávaní, a teda dostatočne nezodpovedajú charakteristikám plánovaných opatrení.</w:t>
      </w:r>
    </w:p>
    <w:p w:rsidR="005E40F8" w:rsidRDefault="007C521D">
      <w:pPr>
        <w:rPr>
          <w:noProof/>
        </w:rPr>
      </w:pPr>
      <w:r>
        <w:rPr>
          <w:noProof/>
        </w:rPr>
        <w:t>Na zabezpečenie rýchlosti a účinnosti vykonávanie tejto intervencie bude prebiehať efektívnymi administratívnymi postupmi s pomocou štandardizova</w:t>
      </w:r>
      <w:r>
        <w:rPr>
          <w:noProof/>
        </w:rPr>
        <w:t>ných dokumentov (ako sú napríklad poukážky) a online nástrojov spracovania žiadostí, ako aj následného monitorovania a auditu nainštalovaných miestnych bezdrôtových prístupových bodov.</w:t>
      </w:r>
    </w:p>
    <w:p w:rsidR="005E40F8" w:rsidRDefault="007C521D">
      <w:pPr>
        <w:rPr>
          <w:noProof/>
        </w:rPr>
      </w:pPr>
      <w:r>
        <w:rPr>
          <w:noProof/>
        </w:rPr>
        <w:t xml:space="preserve">Očakáva sa, že navrhovaným nariadením, ktorého propagáciu zabezpečí </w:t>
      </w:r>
      <w:r>
        <w:rPr>
          <w:noProof/>
        </w:rPr>
        <w:t>sieť úradov EÚ pre širokopásmové pripojenie</w:t>
      </w:r>
      <w:r>
        <w:rPr>
          <w:rStyle w:val="FootnoteReference"/>
          <w:noProof/>
        </w:rPr>
        <w:footnoteReference w:id="8"/>
      </w:r>
      <w:r>
        <w:rPr>
          <w:noProof/>
        </w:rPr>
        <w:t>, sa zvýši informovanosť miestnych orgánov a občanov o nových prioritách Komisie pre gigabitovú spoločnosť a zároveň sa zabezpečí vysoká miera zviditeľnenia a dôvery v schopnosť EÚ zabezpečiť pripojenie a prístup</w:t>
      </w:r>
      <w:r>
        <w:rPr>
          <w:noProof/>
        </w:rPr>
        <w:t xml:space="preserve"> k digitálnym službám na celom európskom kontinente. Rozpoznateľnosť opatrení financovaných v rámci navrhovaného opatrenia sa zaručí prostredníctvom špecifickej vizuálnej identity, ktorú vypracovala Komisia a ktorú budú môcť prijímatelia použiť, čím sa zab</w:t>
      </w:r>
      <w:r>
        <w:rPr>
          <w:noProof/>
        </w:rPr>
        <w:t>ezpečí povedomie o značke.</w:t>
      </w:r>
    </w:p>
    <w:p w:rsidR="005E40F8" w:rsidRDefault="007C521D">
      <w:pPr>
        <w:pStyle w:val="ManualHeading2"/>
        <w:rPr>
          <w:rFonts w:eastAsia="Arial Unicode MS"/>
          <w:noProof/>
          <w:u w:color="000000"/>
        </w:rPr>
      </w:pPr>
      <w:r>
        <w:rPr>
          <w:noProof/>
        </w:rPr>
        <w:t>•</w:t>
      </w:r>
      <w:r>
        <w:rPr>
          <w:noProof/>
        </w:rPr>
        <w:tab/>
        <w:t>Súlad s existujúcimi ustanoveniami v tejto oblasti politiky</w:t>
      </w:r>
    </w:p>
    <w:p w:rsidR="005E40F8" w:rsidRDefault="007C521D">
      <w:pPr>
        <w:rPr>
          <w:noProof/>
        </w:rPr>
      </w:pPr>
      <w:r>
        <w:rPr>
          <w:noProof/>
        </w:rPr>
        <w:t xml:space="preserve">V právnom rámci pre telekomunikácie v Nástroji na prepájanie Európy sa v súčasnosti stanovuje v oblasti telekomunikácií finančná podpora infraštruktúram digitálnych </w:t>
      </w:r>
      <w:r>
        <w:rPr>
          <w:noProof/>
        </w:rPr>
        <w:t>služieb (vo forme grantov a/alebo obstarávania) a širokopásmovým sieťam (vo forme finančných nástrojov).</w:t>
      </w:r>
    </w:p>
    <w:p w:rsidR="005E40F8" w:rsidRDefault="007C521D">
      <w:pPr>
        <w:rPr>
          <w:noProof/>
        </w:rPr>
      </w:pPr>
      <w:r>
        <w:rPr>
          <w:noProof/>
        </w:rPr>
        <w:t>V súvislosti s intervenciou na podporu širokopásmového pripojenia a vzhľadom na rozhodujúci význam širokopásmových sietí pre rast a zamestnanosť, ako a</w:t>
      </w:r>
      <w:r>
        <w:rPr>
          <w:noProof/>
        </w:rPr>
        <w:t>j so zreteľom na výzvy, ako finančného, tak aj technického charakteru, ktoré súvisia s verejnými investíciami v tomto sektore, sa v nariadení o usmerneniach stanovuje obmedzená intervencia. V rámci NPE sa poskytujú financie vo forme malého príspevku na zri</w:t>
      </w:r>
      <w:r>
        <w:rPr>
          <w:noProof/>
        </w:rPr>
        <w:t>adenie finančných nástrojov na úrovni Únie, najmä v spolupráci s Európskou investičnou bankou, s cieľom umožniť efektívne využitie ďalších verejných, ako aj súkromných zdrojov. Jeho cieľom je zavádzanie inovačných projektov širokopásmového pripojenia založ</w:t>
      </w:r>
      <w:r>
        <w:rPr>
          <w:noProof/>
        </w:rPr>
        <w:t>ených na najmodernejších technológiách a s potenciálom opakovateľnosti, čím by sa ich ciele dosiahli priamo aj prostredníctvom demonštračného účinku.</w:t>
      </w:r>
    </w:p>
    <w:p w:rsidR="005E40F8" w:rsidRDefault="007C521D">
      <w:pPr>
        <w:rPr>
          <w:i/>
          <w:noProof/>
        </w:rPr>
      </w:pPr>
      <w:r>
        <w:rPr>
          <w:noProof/>
        </w:rPr>
        <w:t>Navrhovaným opatrením sa dopĺňajú prvky návrhu na zriadenie európskeho kódexu elektronickej komunikácie, k</w:t>
      </w:r>
      <w:r>
        <w:rPr>
          <w:noProof/>
        </w:rPr>
        <w:t>toré sú zamerané na koncových používateľov. Podporovaním budovania miestnych bezdrôtových prístupových bodov v miestnych strediskách verejného života sa dopĺňajú iné opatrenia v rámci sektoru telekomunikácií NPE, ako aj iné zdroje finančnej podpory, ako sú</w:t>
      </w:r>
      <w:r>
        <w:rPr>
          <w:noProof/>
        </w:rPr>
        <w:t xml:space="preserve"> európske štrukturálne a investičné fondy, vďaka čomu sa podporuje zavádzanie širokopásmových sietí. Keďže v súčasnosti sa na takéto opatrenia nevzťahuje NPE, ani nariadenie o usmerneniach, navrhujeme tieto nariadenia zodpovedajúcim spôsobom zmeniť.</w:t>
      </w:r>
    </w:p>
    <w:p w:rsidR="005E40F8" w:rsidRDefault="007C521D">
      <w:pPr>
        <w:pStyle w:val="ManualHeading1"/>
        <w:rPr>
          <w:noProof/>
        </w:rPr>
      </w:pPr>
      <w:r>
        <w:rPr>
          <w:noProof/>
        </w:rPr>
        <w:t>2.</w:t>
      </w:r>
      <w:r>
        <w:rPr>
          <w:noProof/>
        </w:rPr>
        <w:tab/>
        <w:t>PRÁ</w:t>
      </w:r>
      <w:r>
        <w:rPr>
          <w:noProof/>
        </w:rPr>
        <w:t>VNY ZÁKLAD, SUBSIDIARITA A PROPORCIONALITA</w:t>
      </w:r>
    </w:p>
    <w:p w:rsidR="005E40F8" w:rsidRDefault="007C521D">
      <w:pPr>
        <w:pStyle w:val="ManualHeading2"/>
        <w:rPr>
          <w:rFonts w:eastAsia="Arial Unicode MS"/>
          <w:noProof/>
          <w:u w:color="000000"/>
        </w:rPr>
      </w:pPr>
      <w:r>
        <w:rPr>
          <w:noProof/>
        </w:rPr>
        <w:t>•</w:t>
      </w:r>
      <w:r>
        <w:rPr>
          <w:noProof/>
        </w:rPr>
        <w:tab/>
        <w:t>Právny základ</w:t>
      </w:r>
    </w:p>
    <w:p w:rsidR="005E40F8" w:rsidRDefault="007C521D">
      <w:pPr>
        <w:rPr>
          <w:noProof/>
        </w:rPr>
      </w:pPr>
      <w:r>
        <w:rPr>
          <w:noProof/>
        </w:rPr>
        <w:t>Tento návrh je založený na článku 172 ZFEÚ, ktorý sa týka intervencie EÚ na podporu zriadenia a rozvoja transeurópskych sietí v oblastiach dopravných, telekomunikačných a energetických infraštruktú</w:t>
      </w:r>
      <w:r>
        <w:rPr>
          <w:noProof/>
        </w:rPr>
        <w:t>r. V súlade s článkom 170 ods. 1 ZFEÚ je táto iniciatíva zameraná na zabezpečenie toho, aby miestne spoločenstvá mohli plne zužitkovať digitálny jednotný trh, a to vytvorením priestoru bez vnútorných hraníc prostredníctvom zavádzania takýchto sietí.</w:t>
      </w:r>
    </w:p>
    <w:p w:rsidR="005E40F8" w:rsidRDefault="007C521D">
      <w:pPr>
        <w:pStyle w:val="ManualHeading2"/>
        <w:rPr>
          <w:rFonts w:eastAsia="Arial Unicode MS"/>
          <w:i/>
          <w:noProof/>
          <w:u w:color="000000"/>
        </w:rPr>
      </w:pPr>
      <w:r>
        <w:rPr>
          <w:noProof/>
        </w:rPr>
        <w:lastRenderedPageBreak/>
        <w:t>•</w:t>
      </w:r>
      <w:r>
        <w:rPr>
          <w:noProof/>
        </w:rPr>
        <w:tab/>
        <w:t>Subs</w:t>
      </w:r>
      <w:r>
        <w:rPr>
          <w:noProof/>
        </w:rPr>
        <w:t>idiarita a proporcionalita</w:t>
      </w:r>
    </w:p>
    <w:p w:rsidR="005E40F8" w:rsidRDefault="007C521D">
      <w:pPr>
        <w:autoSpaceDE w:val="0"/>
        <w:autoSpaceDN w:val="0"/>
        <w:adjustRightInd w:val="0"/>
        <w:rPr>
          <w:noProof/>
          <w:szCs w:val="24"/>
        </w:rPr>
      </w:pPr>
      <w:r>
        <w:rPr>
          <w:noProof/>
        </w:rPr>
        <w:t>Tento návrh je v súlade so zásadou proporcionality a neprekračuje rozsah činností v oblasti transeurópskych telekomunikačných sietí, ako sa vymedzuje v článku 170 Zmluvy o fungovaní Európskej únie.</w:t>
      </w:r>
    </w:p>
    <w:p w:rsidR="005E40F8" w:rsidRDefault="007C521D">
      <w:pPr>
        <w:autoSpaceDE w:val="0"/>
        <w:autoSpaceDN w:val="0"/>
        <w:adjustRightInd w:val="0"/>
        <w:rPr>
          <w:noProof/>
        </w:rPr>
      </w:pPr>
      <w:r>
        <w:rPr>
          <w:noProof/>
        </w:rPr>
        <w:t>Keďže tento návrh osobitne prih</w:t>
      </w:r>
      <w:r>
        <w:rPr>
          <w:noProof/>
        </w:rPr>
        <w:t>liada na potreby miestnych spoločenstiev v širšom kontexte stratégie jednotného digitálneho trhu, prispieva k dobudovaniu vnútorného trhu pre elektronické komunikácie a umožňuje zapojenie týchto spoločenstiev do tohto trhu. Keďže vytvorenie priestoru na úz</w:t>
      </w:r>
      <w:r>
        <w:rPr>
          <w:noProof/>
        </w:rPr>
        <w:t xml:space="preserve">emí celej EÚ s bezdrôtovým pripojením vysokej kvality nemožno dostatočne dosiahnuť opatreniami členských štátov, tento návrh je v súlade so zásadou subsidiarity podľa článku 5 ZEÚ. Očakáva sa, že túto intervenciu bude propagovať okrem iného aj sieť úradov </w:t>
      </w:r>
      <w:r>
        <w:rPr>
          <w:noProof/>
        </w:rPr>
        <w:t>EÚ pre širokopásmové pripojenie, ktorá by mala pomôcť zabezpečiť efektívne zohľadnenie potrieb miestnych spoločenstiev a obmedzenie administratívneho zaťaženia na minimum.</w:t>
      </w:r>
    </w:p>
    <w:p w:rsidR="005E40F8" w:rsidRDefault="007C521D">
      <w:pPr>
        <w:autoSpaceDE w:val="0"/>
        <w:autoSpaceDN w:val="0"/>
        <w:adjustRightInd w:val="0"/>
        <w:rPr>
          <w:noProof/>
          <w:szCs w:val="24"/>
        </w:rPr>
      </w:pPr>
      <w:r>
        <w:rPr>
          <w:noProof/>
        </w:rPr>
        <w:t>Súčasné iniciatívy v oblasti bezplatného miestneho bezdrôtového pripojenia sú roztri</w:t>
      </w:r>
      <w:r>
        <w:rPr>
          <w:noProof/>
        </w:rPr>
        <w:t>eštené, čo vedie k neefektívnosti. Neexistuje najmä žiadna zastrešujúca stratégia na podporu prístupu k bezplatnému bezdrôtovému pripojeniu na území Únie s cieľom podnecovať zapojenie miestnych spoločenstiev do digitálneho jednotného trhu. Keďže jednotlivé</w:t>
      </w:r>
      <w:r>
        <w:rPr>
          <w:noProof/>
        </w:rPr>
        <w:t xml:space="preserve"> opatrenia zavádzania miestnych bezdrôtových prístupových bodov sú územne obmedzené aj v rámci miestnych spoločenstiev, o to dôležitejšie je zabezpečiť, aby sa týmito opatreniami zavádzania jednotným spôsobom podporoval spoločný záujem v oblasti pripojenia</w:t>
      </w:r>
      <w:r>
        <w:rPr>
          <w:noProof/>
        </w:rPr>
        <w:t xml:space="preserve"> v rámci celej EÚ. Jednotným celoeurópskym zavádzaním riešení bezplatného bezdrôtového pripojenia sa umožní optimalizácia nákladov spojených s intervenciou (najmä znížením nákladov na správu malých grantov v dôsledku úspor z rozsahu, ale aj znížením cien z</w:t>
      </w:r>
      <w:r>
        <w:rPr>
          <w:noProof/>
        </w:rPr>
        <w:t>ariadení) a zabezpečí sa väčšia rovnosť prístupu, čo prispeje k hospodárskej, sociálnej a územnej súdržnosti v rámci Únie. Navrhovaným opatrením sa má zväčšiť pridaná hodnota pre Európu, a to tým, že sa zabezpečí, aby zavádzané infraštruktúry prostredníctv</w:t>
      </w:r>
      <w:r>
        <w:rPr>
          <w:noProof/>
        </w:rPr>
        <w:t>om infraštruktúr digitálnych služieb umožňovali prístup aj k transeurópskym interoperabilným službám spoločného záujmu, ako sú Europeana, infraštruktúry služieb pre bezpečnejší internet a interoperabilné cezhraničné služby elektronického zdravotníctva.</w:t>
      </w:r>
    </w:p>
    <w:p w:rsidR="005E40F8" w:rsidRDefault="007C521D">
      <w:pPr>
        <w:autoSpaceDE w:val="0"/>
        <w:autoSpaceDN w:val="0"/>
        <w:adjustRightInd w:val="0"/>
        <w:rPr>
          <w:noProof/>
          <w:szCs w:val="24"/>
        </w:rPr>
      </w:pPr>
      <w:r>
        <w:rPr>
          <w:noProof/>
        </w:rPr>
        <w:t>Roz</w:t>
      </w:r>
      <w:r>
        <w:rPr>
          <w:noProof/>
        </w:rPr>
        <w:t>sah navrhovanej intervencie sa obmedzuje na poskytovanie pripojenia v strediskách verejného života a vo vonkajších priestoroch prístupných verejnosti prostredníctvom prístupových bodov, ktoré sú vo svojej podstate obmedzené z hľadiska pokrytia, pričom jedn</w:t>
      </w:r>
      <w:r>
        <w:rPr>
          <w:noProof/>
        </w:rPr>
        <w:t>otlivé projekty budú malého rozsahu. Táto intervencia tak zostane primeraná cieľu umožniť miestnym spoločenstvám podieľať sa na bezdrôtovom rozmere digitálneho jednotného trhu bez toho, aby tým boli dotknuté komerčné ponuky. Zároveň sa očakáva, že opatreni</w:t>
      </w:r>
      <w:r>
        <w:rPr>
          <w:noProof/>
        </w:rPr>
        <w:t>e bude mať pozitívny vedľajší vplyv na všeobecný záujem o pripojenie, ktoré ponúkajú komerčne poskytované služby prístupu. Očakáva sa, že jednoduchá opakovateľnosť a možné demonštračné účinky úspešných praktických prípadov ešte zvýšia účinnosť intervencie.</w:t>
      </w:r>
    </w:p>
    <w:p w:rsidR="005E40F8" w:rsidRDefault="007C521D">
      <w:pPr>
        <w:autoSpaceDE w:val="0"/>
        <w:autoSpaceDN w:val="0"/>
        <w:adjustRightInd w:val="0"/>
        <w:rPr>
          <w:noProof/>
          <w:szCs w:val="24"/>
        </w:rPr>
      </w:pPr>
      <w:r>
        <w:rPr>
          <w:noProof/>
        </w:rPr>
        <w:t>Online správa navrhovaného opatrenia spojená okrem iného s podporou siete vnútroštátnych úradov pre širokopásmové pripojenie zabezpečí čo možno najnižšie administratívne zaťaženie v súvislosti s vykonávaním a účasťou na iniciatíve.</w:t>
      </w:r>
    </w:p>
    <w:p w:rsidR="005E40F8" w:rsidRDefault="007C521D">
      <w:pPr>
        <w:pStyle w:val="ManualHeading1"/>
        <w:rPr>
          <w:noProof/>
        </w:rPr>
      </w:pPr>
      <w:r>
        <w:rPr>
          <w:noProof/>
        </w:rPr>
        <w:t>3.</w:t>
      </w:r>
      <w:r>
        <w:rPr>
          <w:noProof/>
        </w:rPr>
        <w:tab/>
        <w:t xml:space="preserve">VÝSLEDKY HODNOTENÍ </w:t>
      </w:r>
      <w:r>
        <w:rPr>
          <w:i/>
          <w:noProof/>
        </w:rPr>
        <w:t>E</w:t>
      </w:r>
      <w:r>
        <w:rPr>
          <w:i/>
          <w:noProof/>
        </w:rPr>
        <w:t>X POST</w:t>
      </w:r>
      <w:r>
        <w:rPr>
          <w:noProof/>
        </w:rPr>
        <w:t>, KONZULTÁCIÍ SO ZAINTERESOVANÝMI STRANAMI A POSÚDENÍ VPLYVU</w:t>
      </w:r>
    </w:p>
    <w:p w:rsidR="005E40F8" w:rsidRDefault="005E40F8">
      <w:pPr>
        <w:pStyle w:val="Text1"/>
        <w:ind w:left="0"/>
        <w:rPr>
          <w:i/>
          <w:noProof/>
        </w:rPr>
      </w:pPr>
    </w:p>
    <w:p w:rsidR="005E40F8" w:rsidRDefault="007C521D">
      <w:pPr>
        <w:pStyle w:val="Text1"/>
        <w:ind w:left="0"/>
        <w:rPr>
          <w:noProof/>
          <w:szCs w:val="24"/>
        </w:rPr>
      </w:pPr>
      <w:r>
        <w:rPr>
          <w:noProof/>
        </w:rPr>
        <w:lastRenderedPageBreak/>
        <w:t>Keďže sa touto iniciatívou dopĺňa nový telekomunikačný balík vrátane oznámenia, ktorým sa stanovuje európska vízia pripojenia na internet pre občanov a podniky na digitálnom jednotnom trhu</w:t>
      </w:r>
      <w:r>
        <w:rPr>
          <w:noProof/>
        </w:rPr>
        <w:t>, a legislatívneho návrhu o preskúmaní regulačného rámca pre elektronické komunikácie, vo veľkej miere vychádza z príspevkov zainteresovaných strán a rozsiahlej analýzy, ktorá sa vykonala pri hodnotení a posúdení vplyvu na podporu týchto návrhov a pracovný</w:t>
      </w:r>
      <w:r>
        <w:rPr>
          <w:noProof/>
        </w:rPr>
        <w:t>ch dokumentov útvarov Komisie, ktoré sú pripojené k oznámeniu. Najdôležitejšie body navrhovaného opatrenia sú zhrnuté ďalej v texte. Z analýzy celkovo vyplýva, že legislatívne a regulačné opatrenia síce môžu odstrániť prekážky, stimulovať hospodársku súťaž</w:t>
      </w:r>
      <w:r>
        <w:rPr>
          <w:noProof/>
        </w:rPr>
        <w:t>, zabezpečiť väčšiu predvídateľnosť pre investorov a nižšie náklady na zavádzanie sietí, dôležitú úlohu pri dosahovaní dlhodobých európskych cieľov v oblasti pripojenia zohráva verejné financovanie.</w:t>
      </w:r>
    </w:p>
    <w:p w:rsidR="005E40F8" w:rsidRDefault="007C521D">
      <w:pPr>
        <w:rPr>
          <w:noProof/>
        </w:rPr>
      </w:pPr>
      <w:r>
        <w:rPr>
          <w:noProof/>
        </w:rPr>
        <w:t>Z nedávnej správy</w:t>
      </w:r>
      <w:r>
        <w:rPr>
          <w:rStyle w:val="FootnoteReference"/>
          <w:noProof/>
        </w:rPr>
        <w:footnoteReference w:id="9"/>
      </w:r>
      <w:r>
        <w:rPr>
          <w:noProof/>
        </w:rPr>
        <w:t>, v ktorej je zahrnutý výsledok verejne</w:t>
      </w:r>
      <w:r>
        <w:rPr>
          <w:noProof/>
        </w:rPr>
        <w:t>j konzultácie, ktorú vykonala Komisia pri preskúmaní regulačného rámca pre elektronické komunikácie, vyplynulo, že mnohé verejné orgány a súkromní respondenti podporili zavedenie sietí Wi-Fi na verejných priestranstvách, a zároveň si želajú vhodné regulačn</w:t>
      </w:r>
      <w:r>
        <w:rPr>
          <w:noProof/>
        </w:rPr>
        <w:t>é prostredie na riešenie otázok, ako je napríklad zodpovednosť poskytovateľov prístupu a vystavenie účinkom elektromagnetických polí (EMF). Operátori zdôraznili, že akákoľvek verejná podpora by mala byť technologicky neutrálna, pričom podotkli, že takéto z</w:t>
      </w:r>
      <w:r>
        <w:rPr>
          <w:noProof/>
        </w:rPr>
        <w:t xml:space="preserve">avádzanie by sa mohlo realizovať aj v rôznych formách verejno-súkromných partnerstiev. Tieto zistenia sú v súlade s hodnotením </w:t>
      </w:r>
      <w:r>
        <w:rPr>
          <w:i/>
          <w:noProof/>
        </w:rPr>
        <w:t>ex post</w:t>
      </w:r>
      <w:r>
        <w:rPr>
          <w:noProof/>
        </w:rPr>
        <w:t xml:space="preserve"> aktuálneho režimu, ktoré je pripojené k návrhu na preskúmanie regulačného rámca.</w:t>
      </w:r>
    </w:p>
    <w:p w:rsidR="005E40F8" w:rsidRDefault="007C521D">
      <w:pPr>
        <w:rPr>
          <w:noProof/>
        </w:rPr>
      </w:pPr>
      <w:r>
        <w:rPr>
          <w:noProof/>
        </w:rPr>
        <w:t>Posúdenie vplyvu vykonané pre potreby pr</w:t>
      </w:r>
      <w:r>
        <w:rPr>
          <w:noProof/>
        </w:rPr>
        <w:t>eskúmania regulačného rámca vychádza z týchto úvah vyjadrených zainteresovanými stranami, pričom sa v ňom navrhuje predloženie ustanovení o zavedení malých buniek. Zámerom týchto ustanovení je znížiť náklady na zavádzanie veľmi hustých sietí a zlepšiť prís</w:t>
      </w:r>
      <w:r>
        <w:rPr>
          <w:noProof/>
        </w:rPr>
        <w:t>tup k miestnemu bezdrôtovému pripojeniu s cieľom uspokojiť exponenciálny rast dopytu po všadeprítomnom pripojení. Navrhované opatrenie, ktorým sa dopĺňa uprednostňovaná možnosť rozvoja regulačného rámca v oblasti správy frekvenčného spektra, pomôže podpori</w:t>
      </w:r>
      <w:r>
        <w:rPr>
          <w:noProof/>
        </w:rPr>
        <w:t>ť poskytovanie bezplatného miestneho bezdrôtového pripojenia a tým prispieť k uskutočneniu európskej vízie pripojenia na internet pre občanov a podniky na digitálnom jednotnom trhu.</w:t>
      </w:r>
    </w:p>
    <w:p w:rsidR="005E40F8" w:rsidRDefault="007C521D">
      <w:pPr>
        <w:pStyle w:val="ManualHeading1"/>
        <w:rPr>
          <w:noProof/>
        </w:rPr>
      </w:pPr>
      <w:r>
        <w:rPr>
          <w:noProof/>
        </w:rPr>
        <w:t>4.</w:t>
      </w:r>
      <w:r>
        <w:rPr>
          <w:noProof/>
        </w:rPr>
        <w:tab/>
        <w:t>VPLYV NA ROZPOČET</w:t>
      </w:r>
    </w:p>
    <w:p w:rsidR="005E40F8" w:rsidRDefault="007C521D">
      <w:pPr>
        <w:rPr>
          <w:noProof/>
        </w:rPr>
      </w:pPr>
      <w:r>
        <w:rPr>
          <w:noProof/>
        </w:rPr>
        <w:t>Rozpočtové prostriedky, ktoré si vyžaduje tento návrh</w:t>
      </w:r>
      <w:r>
        <w:rPr>
          <w:noProof/>
        </w:rPr>
        <w:t xml:space="preserve">, sa majú plne financovať z viacročného finančného rámca na obdobie rokov 2014 – 2020. Prerozdeliť sa má 70 miliónov EUR v rámci plánovaných súm pre telekomunikačný sektor NPE na obdobie rokov 2017 – 2019 a 50 miliónov EUR sa presunie do finančného krytia </w:t>
      </w:r>
      <w:r>
        <w:rPr>
          <w:noProof/>
        </w:rPr>
        <w:t>telekomunikačného sektora na základe zmeny článku 5 ods. 1 nariadenia o NPE. Z dôvodu jednotnosti sa toto zvýšenie premietne aj v návrhu zmeny právneho rámca pre Európsky fond pre strategické investície</w:t>
      </w:r>
      <w:r>
        <w:rPr>
          <w:rStyle w:val="FootnoteReference"/>
          <w:noProof/>
        </w:rPr>
        <w:footnoteReference w:id="10"/>
      </w:r>
      <w:r>
        <w:rPr>
          <w:noProof/>
        </w:rPr>
        <w:t xml:space="preserve"> stanovený v nariadení (EÚ) 2015/1017</w:t>
      </w:r>
      <w:r>
        <w:rPr>
          <w:rStyle w:val="FootnoteReference"/>
          <w:noProof/>
        </w:rPr>
        <w:footnoteReference w:id="11"/>
      </w:r>
      <w:r>
        <w:rPr>
          <w:noProof/>
        </w:rPr>
        <w:t>.</w:t>
      </w:r>
    </w:p>
    <w:p w:rsidR="005E40F8" w:rsidRDefault="005E40F8">
      <w:pPr>
        <w:rPr>
          <w:noProof/>
        </w:rPr>
        <w:sectPr w:rsidR="005E40F8" w:rsidSect="007C521D">
          <w:footerReference w:type="default" r:id="rId16"/>
          <w:footerReference w:type="first" r:id="rId17"/>
          <w:pgSz w:w="11907" w:h="16839"/>
          <w:pgMar w:top="1134" w:right="1417" w:bottom="1134" w:left="1417" w:header="709" w:footer="709" w:gutter="0"/>
          <w:cols w:space="708"/>
          <w:docGrid w:linePitch="360"/>
        </w:sectPr>
      </w:pPr>
    </w:p>
    <w:p w:rsidR="005E40F8" w:rsidRDefault="007C521D" w:rsidP="007C521D">
      <w:pPr>
        <w:pStyle w:val="Rfrenceinterinstitutionnelle"/>
        <w:rPr>
          <w:noProof/>
        </w:rPr>
      </w:pPr>
      <w:r w:rsidRPr="007C521D">
        <w:lastRenderedPageBreak/>
        <w:t>2016/0287 (COD)</w:t>
      </w:r>
    </w:p>
    <w:p w:rsidR="005E40F8" w:rsidRDefault="007C521D" w:rsidP="007C521D">
      <w:pPr>
        <w:pStyle w:val="Statut"/>
        <w:rPr>
          <w:noProof/>
        </w:rPr>
      </w:pPr>
      <w:r w:rsidRPr="007C521D">
        <w:t>Návrh</w:t>
      </w:r>
    </w:p>
    <w:p w:rsidR="005E40F8" w:rsidRDefault="007C521D" w:rsidP="007C521D">
      <w:pPr>
        <w:pStyle w:val="Typedudocument"/>
        <w:rPr>
          <w:noProof/>
        </w:rPr>
      </w:pPr>
      <w:r w:rsidRPr="007C521D">
        <w:t>NARIADENIE EURÓPSKEHO PARLAMENTU A RADY,</w:t>
      </w:r>
    </w:p>
    <w:p w:rsidR="005E40F8" w:rsidRDefault="007C521D" w:rsidP="007C521D">
      <w:pPr>
        <w:pStyle w:val="Titreobjet"/>
        <w:rPr>
          <w:noProof/>
        </w:rPr>
      </w:pPr>
      <w:r w:rsidRPr="007C521D">
        <w:br/>
        <w:t>ktorým sa menia nariadenia (EÚ) č. 1316/2013 a (EÚ) č. 283/2014, pokiaľ ide o podporu internetového pripojenia v miestnych spoločenstvách</w:t>
      </w:r>
    </w:p>
    <w:p w:rsidR="005E40F8" w:rsidRDefault="007C521D" w:rsidP="007C521D">
      <w:pPr>
        <w:pStyle w:val="IntrtEEE"/>
        <w:rPr>
          <w:noProof/>
        </w:rPr>
      </w:pPr>
      <w:r w:rsidRPr="007C521D">
        <w:t>(Text s významom pre EHP)</w:t>
      </w:r>
    </w:p>
    <w:p w:rsidR="005E40F8" w:rsidRDefault="007C521D">
      <w:pPr>
        <w:pStyle w:val="Institutionquiagit"/>
        <w:rPr>
          <w:noProof/>
        </w:rPr>
      </w:pPr>
      <w:r>
        <w:rPr>
          <w:noProof/>
        </w:rPr>
        <w:t>EURÓPSKY PARLAMENT A RADA EURÓPSKEJ ÚNIE,</w:t>
      </w:r>
    </w:p>
    <w:p w:rsidR="005E40F8" w:rsidRDefault="007C521D">
      <w:pPr>
        <w:rPr>
          <w:noProof/>
        </w:rPr>
      </w:pPr>
      <w:r>
        <w:rPr>
          <w:noProof/>
        </w:rPr>
        <w:t>so zreteľom na Zmluvu o fungovaní Európskej únie, a najmä na jej článok 172,</w:t>
      </w:r>
    </w:p>
    <w:p w:rsidR="005E40F8" w:rsidRDefault="007C521D">
      <w:pPr>
        <w:rPr>
          <w:noProof/>
          <w:szCs w:val="24"/>
        </w:rPr>
      </w:pPr>
      <w:r>
        <w:rPr>
          <w:noProof/>
        </w:rPr>
        <w:t>so zreteľom na návrh Európskej komisie,</w:t>
      </w:r>
    </w:p>
    <w:p w:rsidR="005E40F8" w:rsidRDefault="007C521D">
      <w:pPr>
        <w:rPr>
          <w:noProof/>
          <w:szCs w:val="24"/>
        </w:rPr>
      </w:pPr>
      <w:r>
        <w:rPr>
          <w:noProof/>
        </w:rPr>
        <w:t>po postúpení návrhu legislatívneh</w:t>
      </w:r>
      <w:r>
        <w:rPr>
          <w:noProof/>
        </w:rPr>
        <w:t>o aktu národným parlamentom,</w:t>
      </w:r>
    </w:p>
    <w:p w:rsidR="005E40F8" w:rsidRDefault="007C521D">
      <w:pPr>
        <w:rPr>
          <w:noProof/>
        </w:rPr>
      </w:pPr>
      <w:r>
        <w:rPr>
          <w:noProof/>
        </w:rPr>
        <w:t>so zreteľom na stanovisko Európskeho hospodárskeho a sociálneho výboru</w:t>
      </w:r>
      <w:r>
        <w:rPr>
          <w:rStyle w:val="FootnoteReference"/>
          <w:noProof/>
        </w:rPr>
        <w:footnoteReference w:id="12"/>
      </w:r>
      <w:r>
        <w:rPr>
          <w:noProof/>
        </w:rPr>
        <w:t>,</w:t>
      </w:r>
    </w:p>
    <w:p w:rsidR="005E40F8" w:rsidRDefault="007C521D">
      <w:pPr>
        <w:rPr>
          <w:noProof/>
        </w:rPr>
      </w:pPr>
      <w:r>
        <w:rPr>
          <w:noProof/>
        </w:rPr>
        <w:t>so zreteľom na stanovisko Výboru regiónov</w:t>
      </w:r>
      <w:r>
        <w:rPr>
          <w:rStyle w:val="FootnoteReference"/>
          <w:noProof/>
        </w:rPr>
        <w:footnoteReference w:id="13"/>
      </w:r>
      <w:r>
        <w:rPr>
          <w:noProof/>
        </w:rPr>
        <w:t>,</w:t>
      </w:r>
    </w:p>
    <w:p w:rsidR="005E40F8" w:rsidRDefault="007C521D">
      <w:pPr>
        <w:rPr>
          <w:noProof/>
          <w:szCs w:val="24"/>
        </w:rPr>
      </w:pPr>
      <w:r>
        <w:rPr>
          <w:noProof/>
        </w:rPr>
        <w:t>konajúc v súlade s riadnym legislatívnym postupom,</w:t>
      </w:r>
    </w:p>
    <w:p w:rsidR="005E40F8" w:rsidRDefault="007C521D">
      <w:pPr>
        <w:rPr>
          <w:noProof/>
        </w:rPr>
      </w:pPr>
      <w:r>
        <w:rPr>
          <w:noProof/>
        </w:rPr>
        <w:t>keďže:</w:t>
      </w:r>
    </w:p>
    <w:p w:rsidR="005E40F8" w:rsidRDefault="007C521D">
      <w:pPr>
        <w:pStyle w:val="ManualConsidrant"/>
        <w:rPr>
          <w:noProof/>
        </w:rPr>
      </w:pPr>
      <w:r>
        <w:t>(1)</w:t>
      </w:r>
      <w:r>
        <w:tab/>
      </w:r>
      <w:r>
        <w:rPr>
          <w:noProof/>
        </w:rPr>
        <w:t>V oznámení Komisie, ktorým sa stanovuje európska</w:t>
      </w:r>
      <w:r>
        <w:rPr>
          <w:noProof/>
        </w:rPr>
        <w:t xml:space="preserve"> vízia pripojenia na internet pre občanov a podniky na digitálnom jednotnom trhu</w:t>
      </w:r>
      <w:r>
        <w:rPr>
          <w:rStyle w:val="FootnoteReference"/>
          <w:noProof/>
        </w:rPr>
        <w:footnoteReference w:id="14"/>
      </w:r>
      <w:r>
        <w:rPr>
          <w:noProof/>
        </w:rPr>
        <w:t>, sa opisuje niekoľko možných opatrení na zlepšenie pripojenia v Európskej únii.</w:t>
      </w:r>
    </w:p>
    <w:p w:rsidR="005E40F8" w:rsidRDefault="007C521D">
      <w:pPr>
        <w:pStyle w:val="ManualConsidrant"/>
        <w:rPr>
          <w:noProof/>
        </w:rPr>
      </w:pPr>
      <w:r>
        <w:t>(2)</w:t>
      </w:r>
      <w:r>
        <w:tab/>
      </w:r>
      <w:r>
        <w:rPr>
          <w:noProof/>
        </w:rPr>
        <w:t>Ako súčasť opatrení na podporu uskutočnenia vízie európskeho pripojenia sa v tomto oznámen</w:t>
      </w:r>
      <w:r>
        <w:rPr>
          <w:noProof/>
        </w:rPr>
        <w:t>í podporuje zavádzanie miestnych bezdrôtových prístupových bodov prostredníctvom efektívnejších plánovacích postupov a znížených regulačných prekážok. Takéto prístupové body vrátane tých, ktoré prispievajú k poskytovaniu iných služieb pre verejnosť alebo s</w:t>
      </w:r>
      <w:r>
        <w:rPr>
          <w:noProof/>
        </w:rPr>
        <w:t>lužieb nekomerčnej povahy, môžu významne prispieť k zlepšeniu súčasných bezdrôtových komunikačných sietí a k zavádzaniu sietí budúcej generácie, a to umožnením lepšieho pokrytia v súlade s meniacimi sa potrebami.</w:t>
      </w:r>
    </w:p>
    <w:p w:rsidR="005E40F8" w:rsidRDefault="007C521D">
      <w:pPr>
        <w:pStyle w:val="ManualConsidrant"/>
        <w:rPr>
          <w:noProof/>
        </w:rPr>
      </w:pPr>
      <w:r>
        <w:t>(3)</w:t>
      </w:r>
      <w:r>
        <w:tab/>
      </w:r>
      <w:r>
        <w:rPr>
          <w:noProof/>
        </w:rPr>
        <w:t>V nadväznosti na oznámenie, ktorým sa s</w:t>
      </w:r>
      <w:r>
        <w:rPr>
          <w:noProof/>
        </w:rPr>
        <w:t>tanovuje európska vízia pripojenia na internet na digitálnom jednotnom trhu, a s cieľom podporiť digitálnu integráciu by Únia mala podporovať poskytovanie bezplatného miestneho bezdrôtového pripojenia v miestnych strediskách verejného života vrátane vonkaj</w:t>
      </w:r>
      <w:r>
        <w:rPr>
          <w:noProof/>
        </w:rPr>
        <w:t>ších priestorov prístupných širokej verejnosti, a to prostredníctvom opatrení cielenej podpory. Takáto podpora zatiaľ nie je stanovená v nariadení (EÚ) č. 1316/2013</w:t>
      </w:r>
      <w:r>
        <w:rPr>
          <w:rStyle w:val="FootnoteReference"/>
          <w:noProof/>
        </w:rPr>
        <w:footnoteReference w:id="15"/>
      </w:r>
      <w:r>
        <w:rPr>
          <w:noProof/>
        </w:rPr>
        <w:t xml:space="preserve"> a nariadení (EÚ) č. 283/2014</w:t>
      </w:r>
      <w:r>
        <w:rPr>
          <w:rStyle w:val="FootnoteReference"/>
          <w:noProof/>
        </w:rPr>
        <w:footnoteReference w:id="16"/>
      </w:r>
      <w:r>
        <w:rPr>
          <w:noProof/>
        </w:rPr>
        <w:t>.</w:t>
      </w:r>
    </w:p>
    <w:p w:rsidR="005E40F8" w:rsidRDefault="007C521D">
      <w:pPr>
        <w:pStyle w:val="ManualConsidrant"/>
        <w:rPr>
          <w:noProof/>
        </w:rPr>
      </w:pPr>
      <w:r>
        <w:t>(4)</w:t>
      </w:r>
      <w:r>
        <w:tab/>
      </w:r>
      <w:r>
        <w:rPr>
          <w:noProof/>
        </w:rPr>
        <w:t>Podpora tohto druhu by podnietiť subjekty konajúce vo v</w:t>
      </w:r>
      <w:r>
        <w:rPr>
          <w:noProof/>
        </w:rPr>
        <w:t>erejnom záujme, akými sú verejné orgány a poskytovatelia služieb pre verejnosť, k poskytovaniu bezplatného miestneho bezdrôtového pripojenia ako doplnkovú službu k ich službám vo verejnom záujme, aby miestne spoločenstvá mohli v strediskách verejného život</w:t>
      </w:r>
      <w:r>
        <w:rPr>
          <w:noProof/>
        </w:rPr>
        <w:t>a využívať výhody širokopásmového pripojenia s veľmi vysokou rýchlosťou. K takýmto subjektom môžu patriť obce a ďalšie miestne verejné orgány, knižnice a nemocnice.</w:t>
      </w:r>
    </w:p>
    <w:p w:rsidR="005E40F8" w:rsidRDefault="007C521D">
      <w:pPr>
        <w:pStyle w:val="ManualConsidrant"/>
        <w:rPr>
          <w:noProof/>
        </w:rPr>
      </w:pPr>
      <w:r>
        <w:t>(5)</w:t>
      </w:r>
      <w:r>
        <w:tab/>
      </w:r>
      <w:r>
        <w:rPr>
          <w:noProof/>
        </w:rPr>
        <w:t>Miestne bezdrôtové pripojenie by sa malo považovať za bezplatné len, ak sa poskytuje be</w:t>
      </w:r>
      <w:r>
        <w:rPr>
          <w:noProof/>
        </w:rPr>
        <w:t>z príslušnej odmeny, či už prostredníctvom priamej platby alebo iných druhov protihodnoty, okrem iného vrátane reklamy a poskytovania osobných údajov.</w:t>
      </w:r>
    </w:p>
    <w:p w:rsidR="005E40F8" w:rsidRDefault="007C521D">
      <w:pPr>
        <w:pStyle w:val="ManualConsidrant"/>
        <w:rPr>
          <w:noProof/>
        </w:rPr>
      </w:pPr>
      <w:r>
        <w:t>(6)</w:t>
      </w:r>
      <w:r>
        <w:tab/>
      </w:r>
      <w:r>
        <w:rPr>
          <w:noProof/>
        </w:rPr>
        <w:t>Vzhľadom na osobitný účel a povahu opatrenia zameraného na uspokojovanie potrieb miestnych spoločenst</w:t>
      </w:r>
      <w:r>
        <w:rPr>
          <w:noProof/>
        </w:rPr>
        <w:t>iev by sa táto intervencia mala označiť za osobitný projekt spoločného záujmu v telekomunikačnom sektore v zmysle nariadení (EÚ) č. 1316/2013 a (EÚ) č. 283/2014.</w:t>
      </w:r>
    </w:p>
    <w:p w:rsidR="005E40F8" w:rsidRDefault="007C521D">
      <w:pPr>
        <w:pStyle w:val="ManualConsidrant"/>
        <w:rPr>
          <w:noProof/>
        </w:rPr>
      </w:pPr>
      <w:r>
        <w:t>(7)</w:t>
      </w:r>
      <w:r>
        <w:tab/>
      </w:r>
      <w:r>
        <w:rPr>
          <w:noProof/>
        </w:rPr>
        <w:t>S cieľom zabezpečiť príslušné finančné prostriedky pre túto intervenciu by sa malo finančn</w:t>
      </w:r>
      <w:r>
        <w:rPr>
          <w:noProof/>
        </w:rPr>
        <w:t>é krytie v súvislosti s vykonávaním NPE v telekomunikačnom sektore zvýšiť o sumu 50 000 000 EUR.</w:t>
      </w:r>
    </w:p>
    <w:p w:rsidR="005E40F8" w:rsidRDefault="007C521D">
      <w:pPr>
        <w:pStyle w:val="ManualConsidrant"/>
        <w:rPr>
          <w:noProof/>
        </w:rPr>
      </w:pPr>
      <w:r>
        <w:t>(8)</w:t>
      </w:r>
      <w:r>
        <w:tab/>
      </w:r>
      <w:r>
        <w:rPr>
          <w:noProof/>
        </w:rPr>
        <w:t>Vzhľadom na nekomerčný charakter tejto intervencie a malý rozsah jednotlivých plánovaných projektov by sa malo administratívne zaťaženie obmedziť na minimu</w:t>
      </w:r>
      <w:r>
        <w:rPr>
          <w:noProof/>
        </w:rPr>
        <w:t>m. Preto by sa táto intervencia mala vykonať s najvhodnejšími formami finančnej pomoci, najmä prostredníctvom grantov dostupných v rámci nariadenia o rozpočtových pravidlách, a to v súčasnosti alebo v budúcnosti. Intervencia by nemala využívať finančné nás</w:t>
      </w:r>
      <w:r>
        <w:rPr>
          <w:noProof/>
        </w:rPr>
        <w:t>troje.</w:t>
      </w:r>
    </w:p>
    <w:p w:rsidR="005E40F8" w:rsidRDefault="007C521D">
      <w:pPr>
        <w:pStyle w:val="ManualConsidrant"/>
        <w:rPr>
          <w:noProof/>
        </w:rPr>
      </w:pPr>
      <w:r>
        <w:t>(9)</w:t>
      </w:r>
      <w:r>
        <w:tab/>
      </w:r>
      <w:r>
        <w:rPr>
          <w:noProof/>
        </w:rPr>
        <w:t>Vzhľadom na obmedzené pokrytie, ktoré poskytujú jednotlivé miestne bezdrôtové prístupové body, a malú hodnotu jednotlivých dotknutých projektov sa neočakáva, že by prístupové body využívajúce finančnú pomoc podľa tohto nariadenia predstavovali k</w:t>
      </w:r>
      <w:r>
        <w:rPr>
          <w:noProof/>
        </w:rPr>
        <w:t>onkurenciu pre komerčné ponuky. Aby sa zabezpečilo, že takáto finančná pomoc ani naďalej nebude neprimerane narúšať hospodársku súťaž, vytláčať súkromné investície či vytvárať odrádzajúce prostredie pre investovanie súkromných operátorov, by sa táto interv</w:t>
      </w:r>
      <w:r>
        <w:rPr>
          <w:noProof/>
        </w:rPr>
        <w:t>encia mala obmedziť na projekty, ktoré nekopírujú už existujúce súkromné alebo verejné ponuky s podobnými vlastnosťami v tej istej oblasti. Tým by nemala byť vylúčená ďalšia podpora projektov zavádzania v rámci tejto iniciatívy z verejných alebo súkromných</w:t>
      </w:r>
      <w:r>
        <w:rPr>
          <w:noProof/>
        </w:rPr>
        <w:t xml:space="preserve"> zdrojov financovania.</w:t>
      </w:r>
    </w:p>
    <w:p w:rsidR="005E40F8" w:rsidRDefault="007C521D">
      <w:pPr>
        <w:pStyle w:val="ManualConsidrant"/>
        <w:rPr>
          <w:noProof/>
        </w:rPr>
      </w:pPr>
      <w:r>
        <w:t>(10)</w:t>
      </w:r>
      <w:r>
        <w:tab/>
      </w:r>
      <w:r>
        <w:rPr>
          <w:noProof/>
        </w:rPr>
        <w:t>Na zabezpečenie urýchleného poskytovania pripojenia v súlade s týmto nariadením by sa mala finančná pomoc realizovať tak, aby sa v čo najväčšom rozsahu využili online nástroje, ktoré umožnia rýchle predkladanie a spracovanie žia</w:t>
      </w:r>
      <w:r>
        <w:rPr>
          <w:noProof/>
        </w:rPr>
        <w:t>dostí a ktoré podporia vykonávanie, monitorovanie a kontrolu vybudovaných miestnych bezdrôtových prístupových bodov.</w:t>
      </w:r>
    </w:p>
    <w:p w:rsidR="005E40F8" w:rsidRDefault="007C521D">
      <w:pPr>
        <w:pStyle w:val="ManualConsidrant"/>
        <w:rPr>
          <w:noProof/>
        </w:rPr>
      </w:pPr>
      <w:r>
        <w:t>(11)</w:t>
      </w:r>
      <w:r>
        <w:tab/>
      </w:r>
      <w:r>
        <w:rPr>
          <w:noProof/>
        </w:rPr>
        <w:t>Vzhľadom na potreby v oblasti internetového pripojenia v Únii, ako aj naliehavú potrebu podporovať prístupové siete, ktoré na území ce</w:t>
      </w:r>
      <w:r>
        <w:rPr>
          <w:noProof/>
        </w:rPr>
        <w:t>lej EÚ umožnia využívať kvalitný internet na základe služieb vysokorýchlostného širokopásmového pripojenia, by finančná pomoc mala byť zameraná na dosiahnutie geografickej vyváženosti.</w:t>
      </w:r>
    </w:p>
    <w:p w:rsidR="005E40F8" w:rsidRDefault="007C521D">
      <w:pPr>
        <w:pStyle w:val="ManualConsidrant"/>
        <w:rPr>
          <w:noProof/>
        </w:rPr>
      </w:pPr>
      <w:r>
        <w:t>(12)</w:t>
      </w:r>
      <w:r>
        <w:tab/>
      </w:r>
      <w:r>
        <w:rPr>
          <w:noProof/>
        </w:rPr>
        <w:t>Nariadenie (EÚ) č. 1316/2013 a nariadenie (EÚ) č. 283/2014 by sa p</w:t>
      </w:r>
      <w:r>
        <w:rPr>
          <w:noProof/>
        </w:rPr>
        <w:t>reto mali zodpovedajúcim spôsobom zmeniť,</w:t>
      </w:r>
    </w:p>
    <w:p w:rsidR="005E40F8" w:rsidRDefault="007C521D">
      <w:pPr>
        <w:pStyle w:val="Formuledadoption"/>
        <w:rPr>
          <w:noProof/>
        </w:rPr>
      </w:pPr>
      <w:r>
        <w:rPr>
          <w:noProof/>
        </w:rPr>
        <w:t>PRIJALI TOTO NARIADENIE:</w:t>
      </w:r>
    </w:p>
    <w:p w:rsidR="005E40F8" w:rsidRDefault="007C521D">
      <w:pPr>
        <w:pStyle w:val="Titrearticle"/>
        <w:rPr>
          <w:noProof/>
        </w:rPr>
      </w:pPr>
      <w:r>
        <w:rPr>
          <w:noProof/>
        </w:rPr>
        <w:t>Článok 1</w:t>
      </w:r>
    </w:p>
    <w:p w:rsidR="005E40F8" w:rsidRDefault="007C521D">
      <w:pPr>
        <w:pStyle w:val="Titrearticle"/>
        <w:rPr>
          <w:b/>
          <w:noProof/>
        </w:rPr>
      </w:pPr>
      <w:r>
        <w:rPr>
          <w:b/>
          <w:i w:val="0"/>
          <w:noProof/>
        </w:rPr>
        <w:t>Zmeny nariadenia (EÚ) č. 1316/2013</w:t>
      </w:r>
    </w:p>
    <w:p w:rsidR="005E40F8" w:rsidRDefault="007C521D">
      <w:pPr>
        <w:pStyle w:val="Text1"/>
        <w:ind w:left="0"/>
        <w:rPr>
          <w:noProof/>
        </w:rPr>
      </w:pPr>
      <w:r>
        <w:rPr>
          <w:noProof/>
        </w:rPr>
        <w:t>Nariadenie (EÚ) č. 1316/2013 sa mení takto:</w:t>
      </w:r>
    </w:p>
    <w:p w:rsidR="005E40F8" w:rsidRDefault="007C521D">
      <w:pPr>
        <w:pStyle w:val="Text1"/>
        <w:ind w:left="0"/>
        <w:rPr>
          <w:noProof/>
        </w:rPr>
      </w:pPr>
      <w:r>
        <w:rPr>
          <w:noProof/>
        </w:rPr>
        <w:t>1. V článku 5 ods. 1 prvom pododseku sa písmeno b) nahrádza takto:</w:t>
      </w:r>
    </w:p>
    <w:p w:rsidR="005E40F8" w:rsidRDefault="007C521D">
      <w:pPr>
        <w:pStyle w:val="Text1"/>
        <w:ind w:left="360" w:firstLine="360"/>
        <w:rPr>
          <w:noProof/>
        </w:rPr>
      </w:pPr>
      <w:r>
        <w:rPr>
          <w:noProof/>
        </w:rPr>
        <w:t xml:space="preserve">„b) odvetvie telekomunikácií: 1 </w:t>
      </w:r>
      <w:r>
        <w:rPr>
          <w:noProof/>
        </w:rPr>
        <w:t>091 602 000 EUR;“;</w:t>
      </w:r>
    </w:p>
    <w:p w:rsidR="005E40F8" w:rsidRDefault="007C521D">
      <w:pPr>
        <w:pStyle w:val="Text1"/>
        <w:ind w:left="0"/>
        <w:rPr>
          <w:noProof/>
        </w:rPr>
      </w:pPr>
      <w:r>
        <w:rPr>
          <w:noProof/>
        </w:rPr>
        <w:t>2. Článok 7 sa mení takto:</w:t>
      </w:r>
    </w:p>
    <w:p w:rsidR="005E40F8" w:rsidRDefault="007C521D">
      <w:pPr>
        <w:pStyle w:val="ManualNumPar3"/>
        <w:ind w:left="1200"/>
        <w:rPr>
          <w:noProof/>
        </w:rPr>
      </w:pPr>
      <w:r>
        <w:rPr>
          <w:noProof/>
        </w:rPr>
        <w:t>a)</w:t>
      </w:r>
      <w:r>
        <w:rPr>
          <w:noProof/>
        </w:rPr>
        <w:tab/>
        <w:t>odsek 1 sa nahrádza takto:</w:t>
      </w:r>
    </w:p>
    <w:p w:rsidR="005E40F8" w:rsidRDefault="007C521D">
      <w:pPr>
        <w:pStyle w:val="Text1"/>
        <w:spacing w:after="240"/>
        <w:ind w:left="360"/>
        <w:rPr>
          <w:noProof/>
        </w:rPr>
      </w:pPr>
      <w:r>
        <w:rPr>
          <w:noProof/>
        </w:rPr>
        <w:t>„1. Oprávnené na podporu prostredníctvom finančnej pomoci Únie najmä vo forme grantov, nástrojov obstarávania a finančných nástrojov sú len opatrenia, ktoré prispievajú k projektom</w:t>
      </w:r>
      <w:r>
        <w:rPr>
          <w:noProof/>
        </w:rPr>
        <w:t xml:space="preserve"> spoločného záujmu podľa nariadení (EÚ) č. 1315/2013 a (EÚ) č. 347/2013 a nariadenia o usmerneniach pre transeurópske siete v oblasti telekomunikačnej infraštruktúry, a opatrenia na podporu programu.“</w:t>
      </w:r>
    </w:p>
    <w:p w:rsidR="005E40F8" w:rsidRDefault="007C521D">
      <w:pPr>
        <w:pStyle w:val="ManualNumPar3"/>
        <w:ind w:left="1200"/>
        <w:rPr>
          <w:noProof/>
        </w:rPr>
      </w:pPr>
      <w:r>
        <w:rPr>
          <w:noProof/>
        </w:rPr>
        <w:t>b)</w:t>
      </w:r>
      <w:r>
        <w:rPr>
          <w:noProof/>
        </w:rPr>
        <w:tab/>
        <w:t>odsek 4 sa nahrádza takto:</w:t>
      </w:r>
    </w:p>
    <w:p w:rsidR="005E40F8" w:rsidRDefault="007C521D">
      <w:pPr>
        <w:pStyle w:val="Text1"/>
        <w:ind w:left="360"/>
        <w:rPr>
          <w:noProof/>
        </w:rPr>
      </w:pPr>
      <w:r>
        <w:rPr>
          <w:noProof/>
        </w:rPr>
        <w:t>„4. V sektore telekomunik</w:t>
      </w:r>
      <w:r>
        <w:rPr>
          <w:noProof/>
        </w:rPr>
        <w:t>ácií sú oprávnenými na získanie finančnej pomoci Únie podľa tohto nariadenia všetky opatrenia, ktorými sa realizujú projekty spoločného záujmu, a opatrenia na podporu programu, stanovené v nariadení o usmerneniach pre transeurópske siete v oblasti telekomu</w:t>
      </w:r>
      <w:r>
        <w:rPr>
          <w:noProof/>
        </w:rPr>
        <w:t>nikačnej infraštruktúry a spĺňajúce kritériá a/alebo podmienky stanovené na základe uvedeného nariadenia:</w:t>
      </w:r>
    </w:p>
    <w:p w:rsidR="005E40F8" w:rsidRDefault="007C521D">
      <w:pPr>
        <w:pStyle w:val="Text1"/>
        <w:ind w:left="360"/>
        <w:rPr>
          <w:noProof/>
        </w:rPr>
      </w:pPr>
      <w:r>
        <w:rPr>
          <w:noProof/>
        </w:rPr>
        <w:t>a) generické služby, platformy základných služieb a opatrenia na podporu programu sa financujú prostredníctvom grantov a/alebo obstarávania;</w:t>
      </w:r>
    </w:p>
    <w:p w:rsidR="005E40F8" w:rsidRDefault="007C521D">
      <w:pPr>
        <w:pStyle w:val="Text1"/>
        <w:ind w:left="360"/>
        <w:rPr>
          <w:noProof/>
        </w:rPr>
      </w:pPr>
      <w:r>
        <w:rPr>
          <w:noProof/>
        </w:rPr>
        <w:t>b) opatre</w:t>
      </w:r>
      <w:r>
        <w:rPr>
          <w:noProof/>
        </w:rPr>
        <w:t>nia v oblasti širokopásmových sietí sa financujú prostredníctvom finančných nástrojov;</w:t>
      </w:r>
    </w:p>
    <w:p w:rsidR="005E40F8" w:rsidRDefault="007C521D">
      <w:pPr>
        <w:pStyle w:val="Text1"/>
        <w:spacing w:after="240"/>
        <w:ind w:left="360"/>
        <w:rPr>
          <w:noProof/>
        </w:rPr>
      </w:pPr>
      <w:r>
        <w:rPr>
          <w:noProof/>
        </w:rPr>
        <w:t xml:space="preserve">c) opatrenia v oblasti poskytovania bezplatného miestneho bezdrôtového pripojenia v miestnych spoločenstvách sa financujú prostredníctvom grantov alebo foriem finančnej </w:t>
      </w:r>
      <w:r>
        <w:rPr>
          <w:noProof/>
        </w:rPr>
        <w:t>pomoci iných ako finančné nástroje.“</w:t>
      </w:r>
    </w:p>
    <w:p w:rsidR="005E40F8" w:rsidRDefault="007C521D">
      <w:pPr>
        <w:pStyle w:val="Text1"/>
        <w:ind w:left="0"/>
        <w:rPr>
          <w:noProof/>
        </w:rPr>
      </w:pPr>
      <w:r>
        <w:rPr>
          <w:noProof/>
        </w:rPr>
        <w:t>3. V článku 9 sa dopĺňa tento odsek:</w:t>
      </w:r>
    </w:p>
    <w:p w:rsidR="005E40F8" w:rsidRDefault="007C521D">
      <w:pPr>
        <w:pStyle w:val="Text1"/>
        <w:ind w:left="0"/>
        <w:rPr>
          <w:noProof/>
        </w:rPr>
      </w:pPr>
      <w:r>
        <w:rPr>
          <w:noProof/>
        </w:rPr>
        <w:t>„1a. Na základe oprávnenej potreby zabrániť neprimeranému administratívnemu zaťaženiu, a to najmä v prípade grantov s nízkou hodnotou v zmysle článku 185 nariadenia (EÚ) č. 1286/2012</w:t>
      </w:r>
      <w:r>
        <w:rPr>
          <w:noProof/>
        </w:rPr>
        <w:t>, môžu členské štáty vyjadriť súhlas s určitou kategóriou návrhov v rámci pracovných programov podľa článku 17 bez uvedenia jednotlivých žiadateľov.“</w:t>
      </w:r>
    </w:p>
    <w:p w:rsidR="005E40F8" w:rsidRDefault="007C521D">
      <w:pPr>
        <w:pStyle w:val="Text1"/>
        <w:ind w:left="0"/>
        <w:rPr>
          <w:noProof/>
        </w:rPr>
      </w:pPr>
      <w:r>
        <w:rPr>
          <w:noProof/>
        </w:rPr>
        <w:t>4. V článku 10 ods. 4 sa dopĺňa tento tretí pododsek:</w:t>
      </w:r>
    </w:p>
    <w:p w:rsidR="005E40F8" w:rsidRDefault="007C521D">
      <w:pPr>
        <w:pStyle w:val="Text1"/>
        <w:ind w:left="0"/>
        <w:rPr>
          <w:noProof/>
        </w:rPr>
      </w:pPr>
      <w:r>
        <w:rPr>
          <w:noProof/>
        </w:rPr>
        <w:t>„Opatrenia v oblasti poskytovania bezplatného miestn</w:t>
      </w:r>
      <w:r>
        <w:rPr>
          <w:noProof/>
        </w:rPr>
        <w:t>eho bezdrôtového pripojenia v miestnych spoločenstvách sa financujú z finančnej pomoci Únie až do výšky 100 % oprávnených nákladov bez toho, aby tým bola dotknutá zásada spolufinancovania.“</w:t>
      </w:r>
    </w:p>
    <w:p w:rsidR="005E40F8" w:rsidRDefault="005E40F8">
      <w:pPr>
        <w:pStyle w:val="Text1"/>
        <w:ind w:left="0"/>
        <w:rPr>
          <w:noProof/>
        </w:rPr>
      </w:pPr>
    </w:p>
    <w:p w:rsidR="005E40F8" w:rsidRDefault="007C521D">
      <w:pPr>
        <w:pStyle w:val="Titrearticle"/>
        <w:rPr>
          <w:noProof/>
        </w:rPr>
      </w:pPr>
      <w:r>
        <w:rPr>
          <w:noProof/>
        </w:rPr>
        <w:t>Článok 2</w:t>
      </w:r>
    </w:p>
    <w:p w:rsidR="005E40F8" w:rsidRDefault="007C521D">
      <w:pPr>
        <w:pStyle w:val="Titrearticle"/>
        <w:rPr>
          <w:b/>
          <w:i w:val="0"/>
          <w:noProof/>
        </w:rPr>
      </w:pPr>
      <w:r>
        <w:rPr>
          <w:b/>
          <w:i w:val="0"/>
          <w:noProof/>
        </w:rPr>
        <w:t>Zmeny nariadenia (EÚ) č. 283/2014</w:t>
      </w:r>
    </w:p>
    <w:p w:rsidR="005E40F8" w:rsidRDefault="007C521D">
      <w:pPr>
        <w:pStyle w:val="Text1"/>
        <w:ind w:left="0"/>
        <w:rPr>
          <w:noProof/>
        </w:rPr>
      </w:pPr>
      <w:r>
        <w:rPr>
          <w:noProof/>
        </w:rPr>
        <w:t>Nariadenie (EÚ) č. 283</w:t>
      </w:r>
      <w:r>
        <w:rPr>
          <w:noProof/>
        </w:rPr>
        <w:t>/2014 sa mení takto:</w:t>
      </w:r>
    </w:p>
    <w:p w:rsidR="005E40F8" w:rsidRDefault="007C521D">
      <w:pPr>
        <w:pStyle w:val="Text1"/>
        <w:ind w:left="0"/>
        <w:rPr>
          <w:bCs/>
          <w:noProof/>
        </w:rPr>
      </w:pPr>
      <w:r>
        <w:rPr>
          <w:noProof/>
        </w:rPr>
        <w:t>1. V článku 2 ods. 2 sa dopĺňa toto písmeno h):</w:t>
      </w:r>
    </w:p>
    <w:p w:rsidR="005E40F8" w:rsidRDefault="007C521D">
      <w:pPr>
        <w:pStyle w:val="Text1"/>
        <w:spacing w:after="240"/>
        <w:ind w:left="0"/>
        <w:rPr>
          <w:noProof/>
        </w:rPr>
      </w:pPr>
      <w:r>
        <w:rPr>
          <w:noProof/>
        </w:rPr>
        <w:t>„h) ‚miestne bezdrôtové prístupové miesto‘ je malé zariadenie s nízkym výkonom prevádzkované v malom rozsahu, ktoré na nevýhradnom základe využíva rádiové frekvenčné spektrum, pre ktoré s</w:t>
      </w:r>
      <w:r>
        <w:rPr>
          <w:noProof/>
        </w:rPr>
        <w:t>ú podmienky dostupnosti a efektívneho využívania na tento účel harmonizované na úrovni Únie, a ktoré umožňuje bezdrôtový prístup používateľov k elektronickej komunikačnej sieti.“;</w:t>
      </w:r>
    </w:p>
    <w:p w:rsidR="005E40F8" w:rsidRDefault="007C521D">
      <w:pPr>
        <w:pStyle w:val="Text1"/>
        <w:spacing w:after="240"/>
        <w:ind w:left="0"/>
        <w:rPr>
          <w:bCs/>
          <w:noProof/>
        </w:rPr>
      </w:pPr>
      <w:r>
        <w:rPr>
          <w:noProof/>
        </w:rPr>
        <w:t>2. V článku 4 ods. 1 sa dopĺňa toto písmeno c):</w:t>
      </w:r>
    </w:p>
    <w:p w:rsidR="005E40F8" w:rsidRDefault="007C521D">
      <w:pPr>
        <w:pStyle w:val="Text1"/>
        <w:spacing w:after="240"/>
        <w:ind w:left="0"/>
        <w:rPr>
          <w:bCs/>
          <w:noProof/>
        </w:rPr>
      </w:pPr>
      <w:r>
        <w:rPr>
          <w:noProof/>
        </w:rPr>
        <w:t>„c) podporuje poskytovanie b</w:t>
      </w:r>
      <w:r>
        <w:rPr>
          <w:noProof/>
        </w:rPr>
        <w:t>ezplatného miestneho bezdrôtového pripojenia v miestnych spoločenstvách.“;</w:t>
      </w:r>
    </w:p>
    <w:p w:rsidR="005E40F8" w:rsidRDefault="007C521D">
      <w:pPr>
        <w:pStyle w:val="Text1"/>
        <w:ind w:left="0"/>
        <w:rPr>
          <w:noProof/>
        </w:rPr>
      </w:pPr>
      <w:r>
        <w:rPr>
          <w:noProof/>
        </w:rPr>
        <w:t>3. Článok 5 sa mení takto:</w:t>
      </w:r>
    </w:p>
    <w:p w:rsidR="005E40F8" w:rsidRDefault="007C521D">
      <w:pPr>
        <w:pStyle w:val="ManualNumPar1"/>
        <w:ind w:hanging="370"/>
        <w:rPr>
          <w:noProof/>
        </w:rPr>
      </w:pPr>
      <w:r>
        <w:rPr>
          <w:noProof/>
        </w:rPr>
        <w:t>a)</w:t>
      </w:r>
      <w:r>
        <w:rPr>
          <w:noProof/>
        </w:rPr>
        <w:tab/>
        <w:t>odsek 7 sa nahrádza takto:</w:t>
      </w:r>
    </w:p>
    <w:p w:rsidR="005E40F8" w:rsidRDefault="007C521D">
      <w:pPr>
        <w:spacing w:after="240"/>
        <w:ind w:left="720"/>
        <w:rPr>
          <w:noProof/>
        </w:rPr>
      </w:pPr>
      <w:r>
        <w:rPr>
          <w:noProof/>
        </w:rPr>
        <w:t>„7. Celková suma rozpočtu vyčleneného na finančné nástroje pre širokopásmové siete nepresiahne minimum, ktoré je potrebné na</w:t>
      </w:r>
      <w:r>
        <w:rPr>
          <w:noProof/>
        </w:rPr>
        <w:t xml:space="preserve"> vykonanie nákladovo efektívnych intervencií, ktoré sa určia na základe posúdení ex-ante uvedených v článku 14 ods. 1 nariadenia (EÚ) č. 1316/2013.</w:t>
      </w:r>
    </w:p>
    <w:p w:rsidR="005E40F8" w:rsidRDefault="007C521D">
      <w:pPr>
        <w:spacing w:after="240"/>
        <w:ind w:left="720"/>
        <w:rPr>
          <w:noProof/>
          <w:szCs w:val="24"/>
        </w:rPr>
      </w:pPr>
      <w:r>
        <w:rPr>
          <w:noProof/>
        </w:rPr>
        <w:t>Uvedená suma bude až do výšky 15 % finančného krytia pre sektor telekomunikácií uvedený v článku 5 ods. 1 pí</w:t>
      </w:r>
      <w:r>
        <w:rPr>
          <w:noProof/>
        </w:rPr>
        <w:t>sm. b) nariadenia (EÚ) č. 1316/2013.“;</w:t>
      </w:r>
    </w:p>
    <w:p w:rsidR="005E40F8" w:rsidRDefault="007C521D">
      <w:pPr>
        <w:pStyle w:val="ManualNumPar1"/>
        <w:ind w:hanging="370"/>
        <w:rPr>
          <w:noProof/>
        </w:rPr>
      </w:pPr>
      <w:r>
        <w:rPr>
          <w:noProof/>
        </w:rPr>
        <w:t>b)</w:t>
      </w:r>
      <w:r>
        <w:rPr>
          <w:noProof/>
        </w:rPr>
        <w:tab/>
        <w:t>dopĺňa sa tento odsek:</w:t>
      </w:r>
    </w:p>
    <w:p w:rsidR="005E40F8" w:rsidRDefault="007C521D">
      <w:pPr>
        <w:pStyle w:val="Text1"/>
        <w:spacing w:after="240"/>
        <w:ind w:left="720"/>
        <w:rPr>
          <w:bCs/>
          <w:noProof/>
        </w:rPr>
      </w:pPr>
      <w:r>
        <w:rPr>
          <w:noProof/>
        </w:rPr>
        <w:t>„5a. Opatrenie prispievajúce k projektom spoločného záujmu v oblasti poskytovania bezplatného miestneho bezdrôtového pripojenia v miestnych spoločenstvách sa podporujú prostredníctvom:</w:t>
      </w:r>
    </w:p>
    <w:p w:rsidR="005E40F8" w:rsidRDefault="007C521D">
      <w:pPr>
        <w:pStyle w:val="Text1"/>
        <w:spacing w:after="240"/>
        <w:ind w:left="720"/>
        <w:rPr>
          <w:noProof/>
        </w:rPr>
      </w:pPr>
      <w:r>
        <w:rPr>
          <w:noProof/>
        </w:rPr>
        <w:t>a) gra</w:t>
      </w:r>
      <w:r>
        <w:rPr>
          <w:noProof/>
        </w:rPr>
        <w:t>ntov a/alebo</w:t>
      </w:r>
    </w:p>
    <w:p w:rsidR="005E40F8" w:rsidRDefault="007C521D">
      <w:pPr>
        <w:pStyle w:val="Text1"/>
        <w:spacing w:after="240"/>
        <w:ind w:left="720"/>
        <w:rPr>
          <w:noProof/>
        </w:rPr>
      </w:pPr>
      <w:r>
        <w:rPr>
          <w:noProof/>
        </w:rPr>
        <w:t>b) formami finančnej pomoci inými ako finančné nástroje.“;</w:t>
      </w:r>
    </w:p>
    <w:p w:rsidR="005E40F8" w:rsidRDefault="007C521D">
      <w:pPr>
        <w:pStyle w:val="Text1"/>
        <w:ind w:left="0"/>
        <w:rPr>
          <w:bCs/>
          <w:noProof/>
        </w:rPr>
      </w:pPr>
      <w:r>
        <w:rPr>
          <w:noProof/>
        </w:rPr>
        <w:t>4. V článku 6 sa dopĺňa tento odsek 8a:</w:t>
      </w:r>
    </w:p>
    <w:p w:rsidR="005E40F8" w:rsidRDefault="007C521D">
      <w:pPr>
        <w:pStyle w:val="Text1"/>
        <w:spacing w:after="240"/>
        <w:ind w:left="0"/>
        <w:rPr>
          <w:bCs/>
          <w:noProof/>
        </w:rPr>
      </w:pPr>
      <w:r>
        <w:rPr>
          <w:noProof/>
        </w:rPr>
        <w:t>„8a. Opatrenia prispievajúce k projektom spoločného záujmu v oblasti poskytovania bezplatného miestneho bezdrôtového pripojenia v miestnych spol</w:t>
      </w:r>
      <w:r>
        <w:rPr>
          <w:noProof/>
        </w:rPr>
        <w:t>očenstvách musia spĺňať podmienky stanovené v oddiele 4 v prílohe.“;</w:t>
      </w:r>
    </w:p>
    <w:p w:rsidR="005E40F8" w:rsidRDefault="007C521D">
      <w:pPr>
        <w:pStyle w:val="Text1"/>
        <w:ind w:left="0"/>
        <w:rPr>
          <w:bCs/>
          <w:noProof/>
        </w:rPr>
      </w:pPr>
      <w:r>
        <w:rPr>
          <w:noProof/>
        </w:rPr>
        <w:t>5. V článku 8 ods. 9 sa dopĺňa toto písmeno d):</w:t>
      </w:r>
    </w:p>
    <w:p w:rsidR="005E40F8" w:rsidRDefault="007C521D">
      <w:pPr>
        <w:pStyle w:val="Text1"/>
        <w:spacing w:after="240"/>
        <w:ind w:left="0"/>
        <w:rPr>
          <w:bCs/>
          <w:noProof/>
        </w:rPr>
      </w:pPr>
      <w:r>
        <w:rPr>
          <w:noProof/>
        </w:rPr>
        <w:t>„d) počtu pripojení k miestnym bezdrôtovým prístupovým bodom zriadeným na základe opatrení vykonávajúcich oddiel 4 prílohy.“;</w:t>
      </w:r>
    </w:p>
    <w:p w:rsidR="005E40F8" w:rsidRDefault="007C521D">
      <w:pPr>
        <w:rPr>
          <w:noProof/>
        </w:rPr>
      </w:pPr>
      <w:r>
        <w:rPr>
          <w:noProof/>
        </w:rPr>
        <w:t xml:space="preserve">6. V prílohe </w:t>
      </w:r>
      <w:r>
        <w:rPr>
          <w:noProof/>
        </w:rPr>
        <w:t>sa vkladá tento oddiel:</w:t>
      </w:r>
    </w:p>
    <w:p w:rsidR="005E40F8" w:rsidRDefault="007C521D">
      <w:pPr>
        <w:jc w:val="center"/>
        <w:rPr>
          <w:noProof/>
          <w:szCs w:val="24"/>
        </w:rPr>
      </w:pPr>
      <w:r>
        <w:rPr>
          <w:noProof/>
        </w:rPr>
        <w:t>„ODDIEL 4. BEZDRÔTOVÉ PRIPOJENIE V MIESTNYCH SPOLOČENSTVÁCH</w:t>
      </w:r>
    </w:p>
    <w:p w:rsidR="005E40F8" w:rsidRDefault="007C521D">
      <w:pPr>
        <w:rPr>
          <w:noProof/>
        </w:rPr>
      </w:pPr>
      <w:r>
        <w:rPr>
          <w:noProof/>
        </w:rPr>
        <w:t xml:space="preserve">Opatrenia zamerané na poskytovanie bezplatného miestneho bezdrôtového pripojenia v miestnych strediskách verejného života vrátane vonkajších priestorov prístupných širokej </w:t>
      </w:r>
      <w:r>
        <w:rPr>
          <w:noProof/>
        </w:rPr>
        <w:t>verejnosti, ktoré zohrávajú významnú úlohu vo verejnom živote miestneho spoločenstva, sú oprávnené na finančnú pomoc.</w:t>
      </w:r>
    </w:p>
    <w:p w:rsidR="005E40F8" w:rsidRDefault="007C521D">
      <w:pPr>
        <w:rPr>
          <w:noProof/>
          <w:szCs w:val="24"/>
        </w:rPr>
      </w:pPr>
      <w:r>
        <w:rPr>
          <w:noProof/>
        </w:rPr>
        <w:t>Finančná pomoc je k dispozícii pre subjekty konajúce vo verejnom záujme, akými sú miestne orgány a poskytovatelia verejných služieb, ktoré</w:t>
      </w:r>
      <w:r>
        <w:rPr>
          <w:noProof/>
        </w:rPr>
        <w:t xml:space="preserve"> sa zaviazali poskytovať bezplatné miestne bezdrôtové pripojenie vybudovaním miestnych bezdrôtových prístupových bodov.</w:t>
      </w:r>
    </w:p>
    <w:p w:rsidR="005E40F8" w:rsidRDefault="007C521D">
      <w:pPr>
        <w:rPr>
          <w:noProof/>
          <w:szCs w:val="24"/>
        </w:rPr>
      </w:pPr>
      <w:r>
        <w:rPr>
          <w:noProof/>
        </w:rPr>
        <w:t>Projekty na poskytovanie bezdrôtového pripojenia prostredníctvom voľne prístupných miestnych bezdrôtových prístupových bodov môžu získať</w:t>
      </w:r>
      <w:r>
        <w:rPr>
          <w:noProof/>
        </w:rPr>
        <w:t xml:space="preserve"> finančné prostriedky, ak:</w:t>
      </w:r>
    </w:p>
    <w:p w:rsidR="005E40F8" w:rsidRDefault="007C521D">
      <w:pPr>
        <w:pStyle w:val="ManualNumPar1"/>
        <w:rPr>
          <w:noProof/>
        </w:rPr>
      </w:pPr>
      <w:r>
        <w:rPr>
          <w:noProof/>
        </w:rPr>
        <w:t>1.</w:t>
      </w:r>
      <w:r>
        <w:rPr>
          <w:noProof/>
        </w:rPr>
        <w:tab/>
        <w:t>ich vykonáva subjekt konajúci vo verejnom záujme schopný plánovania a dohľadu nad zriadením vnútorných alebo vonkajších miestnych bezdrôtových prístupových bodov na verejných priestranstvách;</w:t>
      </w:r>
    </w:p>
    <w:p w:rsidR="005E40F8" w:rsidRDefault="007C521D">
      <w:pPr>
        <w:pStyle w:val="ManualNumPar1"/>
        <w:rPr>
          <w:noProof/>
        </w:rPr>
      </w:pPr>
      <w:r>
        <w:rPr>
          <w:noProof/>
        </w:rPr>
        <w:t>2.</w:t>
      </w:r>
      <w:r>
        <w:rPr>
          <w:noProof/>
        </w:rPr>
        <w:tab/>
        <w:t>vychádzajú z vysokorýchlostného</w:t>
      </w:r>
      <w:r>
        <w:rPr>
          <w:noProof/>
        </w:rPr>
        <w:t xml:space="preserve"> širokopásmového pripojenia umožňujúceho využívanie internetu vo vysokej kvalite, ktoré</w:t>
      </w:r>
    </w:p>
    <w:p w:rsidR="005E40F8" w:rsidRDefault="007C521D">
      <w:pPr>
        <w:pStyle w:val="ManualNumPar4"/>
        <w:ind w:left="1560" w:hanging="720"/>
        <w:rPr>
          <w:noProof/>
        </w:rPr>
      </w:pPr>
      <w:r>
        <w:rPr>
          <w:noProof/>
        </w:rPr>
        <w:t>a)</w:t>
      </w:r>
      <w:r>
        <w:rPr>
          <w:noProof/>
        </w:rPr>
        <w:tab/>
        <w:t>je bezplatné, ľahko prístupné a používa najmodernejšie zariadenia, a</w:t>
      </w:r>
    </w:p>
    <w:p w:rsidR="005E40F8" w:rsidRDefault="007C521D">
      <w:pPr>
        <w:pStyle w:val="ManualNumPar4"/>
        <w:ind w:left="1560" w:hanging="720"/>
        <w:rPr>
          <w:noProof/>
          <w:szCs w:val="24"/>
        </w:rPr>
      </w:pPr>
      <w:r>
        <w:rPr>
          <w:noProof/>
        </w:rPr>
        <w:t>b)</w:t>
      </w:r>
      <w:r>
        <w:rPr>
          <w:noProof/>
        </w:rPr>
        <w:tab/>
        <w:t>podporuje prístup k inovačným digitálnym službám, ako sú služby ponúkané prostredníctvom infr</w:t>
      </w:r>
      <w:r>
        <w:rPr>
          <w:noProof/>
        </w:rPr>
        <w:t>aštruktúry digitálnych služieb;</w:t>
      </w:r>
    </w:p>
    <w:p w:rsidR="005E40F8" w:rsidRDefault="007C521D">
      <w:pPr>
        <w:pStyle w:val="ManualNumPar1"/>
        <w:rPr>
          <w:noProof/>
        </w:rPr>
      </w:pPr>
      <w:r>
        <w:rPr>
          <w:noProof/>
        </w:rPr>
        <w:t>3.</w:t>
      </w:r>
      <w:r>
        <w:rPr>
          <w:noProof/>
        </w:rPr>
        <w:tab/>
        <w:t>používajú spoločnú vizuálnu identitu, ktorú poskytne Komisia, a poskytujú odkaz na súvisiace online nástroje.</w:t>
      </w:r>
    </w:p>
    <w:p w:rsidR="005E40F8" w:rsidRDefault="007C521D">
      <w:pPr>
        <w:rPr>
          <w:noProof/>
          <w:szCs w:val="24"/>
        </w:rPr>
      </w:pPr>
      <w:r>
        <w:rPr>
          <w:noProof/>
        </w:rPr>
        <w:t xml:space="preserve">Pomoc sa nevzťahuje na projekty kopírujúce existujúce súkromné alebo verejné ponuky s podobnými vlastnosťami </w:t>
      </w:r>
      <w:r>
        <w:rPr>
          <w:noProof/>
        </w:rPr>
        <w:t>vrátane kvality v tej istej oblasti.</w:t>
      </w:r>
    </w:p>
    <w:p w:rsidR="005E40F8" w:rsidRDefault="007C521D">
      <w:pPr>
        <w:rPr>
          <w:noProof/>
          <w:szCs w:val="24"/>
        </w:rPr>
      </w:pPr>
      <w:r>
        <w:rPr>
          <w:noProof/>
        </w:rPr>
        <w:t>Dostupný rozpočet sa prideľuje geograficky vyváženým spôsobom na projekty, ktoré spĺňajú vyššie uvedené podmienky vzhľadom na predložené návrhy a podľa zásady „kto prv príde, ten prv berie.“</w:t>
      </w:r>
    </w:p>
    <w:p w:rsidR="005E40F8" w:rsidRDefault="007C521D">
      <w:pPr>
        <w:keepNext/>
        <w:spacing w:before="360"/>
        <w:jc w:val="center"/>
        <w:rPr>
          <w:i/>
          <w:noProof/>
        </w:rPr>
      </w:pPr>
      <w:r>
        <w:rPr>
          <w:i/>
          <w:noProof/>
        </w:rPr>
        <w:t>Článok 3</w:t>
      </w:r>
    </w:p>
    <w:p w:rsidR="005E40F8" w:rsidRDefault="007C521D">
      <w:pPr>
        <w:keepNext/>
        <w:spacing w:before="360"/>
        <w:jc w:val="center"/>
        <w:rPr>
          <w:i/>
          <w:noProof/>
        </w:rPr>
      </w:pPr>
      <w:r>
        <w:rPr>
          <w:b/>
          <w:noProof/>
        </w:rPr>
        <w:t xml:space="preserve">Nadobudnutie </w:t>
      </w:r>
      <w:r>
        <w:rPr>
          <w:b/>
          <w:noProof/>
        </w:rPr>
        <w:t>účinnosti</w:t>
      </w:r>
    </w:p>
    <w:p w:rsidR="005E40F8" w:rsidRDefault="007C521D">
      <w:pPr>
        <w:rPr>
          <w:noProof/>
          <w:szCs w:val="24"/>
        </w:rPr>
      </w:pPr>
      <w:r>
        <w:rPr>
          <w:noProof/>
        </w:rPr>
        <w:t>Toto nariadenie nadobúda účinnosť dvadsiatym dňom po jeho uverejnení v </w:t>
      </w:r>
      <w:r>
        <w:rPr>
          <w:i/>
          <w:noProof/>
        </w:rPr>
        <w:t>Úradnom vestníku Európskej únie</w:t>
      </w:r>
      <w:r>
        <w:rPr>
          <w:noProof/>
        </w:rPr>
        <w:t>.</w:t>
      </w:r>
    </w:p>
    <w:p w:rsidR="005E40F8" w:rsidRDefault="005E40F8">
      <w:pPr>
        <w:rPr>
          <w:noProof/>
          <w:szCs w:val="24"/>
        </w:rPr>
      </w:pPr>
    </w:p>
    <w:p w:rsidR="005E40F8" w:rsidRDefault="007C521D">
      <w:pPr>
        <w:pStyle w:val="Applicationdirecte"/>
        <w:keepNext/>
        <w:keepLines/>
        <w:rPr>
          <w:noProof/>
        </w:rPr>
      </w:pPr>
      <w:r>
        <w:rPr>
          <w:noProof/>
        </w:rPr>
        <w:t>Toto nariadenie je záväzné v celom rozsahu a priamo uplatniteľné vo všetkých členských štátoch.</w:t>
      </w:r>
    </w:p>
    <w:p w:rsidR="005E40F8" w:rsidRDefault="007C521D" w:rsidP="007C521D">
      <w:pPr>
        <w:pStyle w:val="Fait"/>
        <w:rPr>
          <w:noProof/>
        </w:rPr>
      </w:pPr>
      <w:r w:rsidRPr="007C521D">
        <w:t>V Bruseli</w:t>
      </w:r>
    </w:p>
    <w:p w:rsidR="005E40F8" w:rsidRDefault="007C521D">
      <w:pPr>
        <w:pStyle w:val="Institutionquisigne"/>
        <w:rPr>
          <w:noProof/>
        </w:rPr>
      </w:pPr>
      <w:r>
        <w:rPr>
          <w:noProof/>
        </w:rPr>
        <w:t>Za Európsky parlament</w:t>
      </w:r>
      <w:r>
        <w:rPr>
          <w:noProof/>
        </w:rPr>
        <w:tab/>
        <w:t>Za Radu</w:t>
      </w:r>
    </w:p>
    <w:p w:rsidR="005E40F8" w:rsidRDefault="007C521D">
      <w:pPr>
        <w:pStyle w:val="Personnequisigne"/>
        <w:rPr>
          <w:noProof/>
        </w:rPr>
      </w:pPr>
      <w:r>
        <w:rPr>
          <w:noProof/>
        </w:rPr>
        <w:t>preds</w:t>
      </w:r>
      <w:r>
        <w:rPr>
          <w:noProof/>
        </w:rPr>
        <w:t>eda</w:t>
      </w:r>
      <w:r>
        <w:rPr>
          <w:noProof/>
        </w:rPr>
        <w:tab/>
        <w:t>predseda</w:t>
      </w:r>
    </w:p>
    <w:p w:rsidR="005E40F8" w:rsidRDefault="005E40F8">
      <w:pPr>
        <w:pStyle w:val="Institutionquisigne"/>
        <w:rPr>
          <w:rStyle w:val="CommentReference"/>
          <w:noProof/>
        </w:rPr>
        <w:sectPr w:rsidR="005E40F8" w:rsidSect="007C521D">
          <w:pgSz w:w="11907" w:h="16840" w:code="9"/>
          <w:pgMar w:top="1134" w:right="1418" w:bottom="1134" w:left="1418" w:header="709" w:footer="709" w:gutter="0"/>
          <w:cols w:space="708"/>
          <w:docGrid w:linePitch="360"/>
        </w:sectPr>
      </w:pPr>
    </w:p>
    <w:p w:rsidR="005E40F8" w:rsidRDefault="007C521D">
      <w:pPr>
        <w:pStyle w:val="Fichefinanciretitre"/>
        <w:rPr>
          <w:noProof/>
        </w:rPr>
      </w:pPr>
      <w:r>
        <w:rPr>
          <w:noProof/>
        </w:rPr>
        <w:t>PRÍLOHA</w:t>
      </w:r>
      <w:r>
        <w:rPr>
          <w:noProof/>
        </w:rPr>
        <w:br/>
      </w:r>
      <w:r>
        <w:rPr>
          <w:noProof/>
        </w:rPr>
        <w:br/>
        <w:t>Legislatívny finančný výkaz</w:t>
      </w:r>
      <w:r>
        <w:rPr>
          <w:noProof/>
        </w:rPr>
        <w:br/>
      </w:r>
      <w:r>
        <w:rPr>
          <w:noProof/>
        </w:rPr>
        <w:br/>
        <w:t>Návrh nariadenia, ktorým sa menia nariadenia (EÚ) č. 1316/2013 a (EÚ) č. 283/2014, pokiaľ ide o podporu internetového pripojenia v miestnych spoločenstvách</w:t>
      </w:r>
    </w:p>
    <w:p w:rsidR="005E40F8" w:rsidRDefault="007C521D">
      <w:pPr>
        <w:pStyle w:val="ManualHeading1"/>
        <w:rPr>
          <w:noProof/>
        </w:rPr>
      </w:pPr>
      <w:r>
        <w:rPr>
          <w:noProof/>
        </w:rPr>
        <w:t>1.</w:t>
      </w:r>
      <w:r>
        <w:rPr>
          <w:noProof/>
        </w:rPr>
        <w:tab/>
        <w:t>RÁMEC NÁVRHU/INICIATÍV</w:t>
      </w:r>
      <w:r>
        <w:rPr>
          <w:noProof/>
        </w:rPr>
        <w:t>Y</w:t>
      </w:r>
    </w:p>
    <w:p w:rsidR="005E40F8" w:rsidRDefault="007C521D">
      <w:pPr>
        <w:pStyle w:val="ManualHeading2"/>
        <w:rPr>
          <w:b w:val="0"/>
          <w:noProof/>
        </w:rPr>
      </w:pPr>
      <w:r>
        <w:rPr>
          <w:noProof/>
        </w:rPr>
        <w:tab/>
      </w:r>
      <w:r>
        <w:rPr>
          <w:b w:val="0"/>
          <w:noProof/>
        </w:rPr>
        <w:t>1.1.</w:t>
      </w:r>
      <w:r>
        <w:rPr>
          <w:noProof/>
        </w:rPr>
        <w:tab/>
      </w:r>
      <w:r>
        <w:rPr>
          <w:b w:val="0"/>
          <w:noProof/>
        </w:rPr>
        <w:t>Názov návrhu/iniciatívy</w:t>
      </w:r>
    </w:p>
    <w:p w:rsidR="005E40F8" w:rsidRDefault="007C521D">
      <w:pPr>
        <w:pStyle w:val="ManualHeading2"/>
        <w:rPr>
          <w:b w:val="0"/>
          <w:noProof/>
        </w:rPr>
      </w:pPr>
      <w:r>
        <w:rPr>
          <w:noProof/>
        </w:rPr>
        <w:tab/>
      </w:r>
      <w:r>
        <w:rPr>
          <w:b w:val="0"/>
          <w:noProof/>
        </w:rPr>
        <w:t>1.2.</w:t>
      </w:r>
      <w:r>
        <w:rPr>
          <w:noProof/>
        </w:rPr>
        <w:tab/>
      </w:r>
      <w:r>
        <w:rPr>
          <w:b w:val="0"/>
          <w:noProof/>
        </w:rPr>
        <w:t>Príslušné oblasti politiky v rámci ABM/ABB</w:t>
      </w:r>
    </w:p>
    <w:p w:rsidR="005E40F8" w:rsidRDefault="007C521D">
      <w:pPr>
        <w:pStyle w:val="ManualHeading2"/>
        <w:rPr>
          <w:b w:val="0"/>
          <w:noProof/>
        </w:rPr>
      </w:pPr>
      <w:r>
        <w:rPr>
          <w:noProof/>
        </w:rPr>
        <w:tab/>
      </w:r>
      <w:r>
        <w:rPr>
          <w:b w:val="0"/>
          <w:noProof/>
        </w:rPr>
        <w:t>1.3.</w:t>
      </w:r>
      <w:r>
        <w:rPr>
          <w:noProof/>
        </w:rPr>
        <w:tab/>
      </w:r>
      <w:r>
        <w:rPr>
          <w:b w:val="0"/>
          <w:noProof/>
        </w:rPr>
        <w:t>Druh návrhu/iniciatívy</w:t>
      </w:r>
    </w:p>
    <w:p w:rsidR="005E40F8" w:rsidRDefault="007C521D">
      <w:pPr>
        <w:pStyle w:val="ManualHeading2"/>
        <w:rPr>
          <w:b w:val="0"/>
          <w:noProof/>
        </w:rPr>
      </w:pPr>
      <w:r>
        <w:rPr>
          <w:noProof/>
        </w:rPr>
        <w:tab/>
      </w:r>
      <w:r>
        <w:rPr>
          <w:b w:val="0"/>
          <w:noProof/>
        </w:rPr>
        <w:t>1.4.</w:t>
      </w:r>
      <w:r>
        <w:rPr>
          <w:noProof/>
        </w:rPr>
        <w:tab/>
      </w:r>
      <w:r>
        <w:rPr>
          <w:b w:val="0"/>
          <w:noProof/>
        </w:rPr>
        <w:t>Ciele</w:t>
      </w:r>
    </w:p>
    <w:p w:rsidR="005E40F8" w:rsidRDefault="007C521D">
      <w:pPr>
        <w:pStyle w:val="ManualHeading2"/>
        <w:rPr>
          <w:b w:val="0"/>
          <w:noProof/>
        </w:rPr>
      </w:pPr>
      <w:r>
        <w:rPr>
          <w:noProof/>
        </w:rPr>
        <w:tab/>
      </w:r>
      <w:r>
        <w:rPr>
          <w:b w:val="0"/>
          <w:noProof/>
        </w:rPr>
        <w:t>1.5.</w:t>
      </w:r>
      <w:r>
        <w:rPr>
          <w:noProof/>
        </w:rPr>
        <w:tab/>
      </w:r>
      <w:r>
        <w:rPr>
          <w:b w:val="0"/>
          <w:noProof/>
        </w:rPr>
        <w:t>Dôvody návrhu/iniciatívy</w:t>
      </w:r>
    </w:p>
    <w:p w:rsidR="005E40F8" w:rsidRDefault="007C521D">
      <w:pPr>
        <w:pStyle w:val="ManualHeading2"/>
        <w:rPr>
          <w:b w:val="0"/>
          <w:noProof/>
        </w:rPr>
      </w:pPr>
      <w:r>
        <w:rPr>
          <w:noProof/>
        </w:rPr>
        <w:tab/>
      </w:r>
      <w:r>
        <w:rPr>
          <w:b w:val="0"/>
          <w:noProof/>
        </w:rPr>
        <w:t>1.6.</w:t>
      </w:r>
      <w:r>
        <w:rPr>
          <w:noProof/>
        </w:rPr>
        <w:tab/>
      </w:r>
      <w:r>
        <w:rPr>
          <w:b w:val="0"/>
          <w:noProof/>
        </w:rPr>
        <w:t>Trvanie a finančný vplyv</w:t>
      </w:r>
    </w:p>
    <w:p w:rsidR="005E40F8" w:rsidRDefault="007C521D">
      <w:pPr>
        <w:pStyle w:val="ManualHeading2"/>
        <w:rPr>
          <w:b w:val="0"/>
          <w:noProof/>
        </w:rPr>
      </w:pPr>
      <w:r>
        <w:rPr>
          <w:noProof/>
        </w:rPr>
        <w:tab/>
      </w:r>
      <w:r>
        <w:rPr>
          <w:b w:val="0"/>
          <w:noProof/>
        </w:rPr>
        <w:t>1.7.</w:t>
      </w:r>
      <w:r>
        <w:rPr>
          <w:noProof/>
        </w:rPr>
        <w:tab/>
      </w:r>
      <w:r>
        <w:rPr>
          <w:b w:val="0"/>
          <w:noProof/>
        </w:rPr>
        <w:t>Plánovaný spôsob hospodárenia</w:t>
      </w:r>
    </w:p>
    <w:p w:rsidR="005E40F8" w:rsidRDefault="007C521D">
      <w:pPr>
        <w:pStyle w:val="ManualHeading1"/>
        <w:rPr>
          <w:noProof/>
        </w:rPr>
      </w:pPr>
      <w:r>
        <w:rPr>
          <w:noProof/>
        </w:rPr>
        <w:t>2.</w:t>
      </w:r>
      <w:r>
        <w:rPr>
          <w:noProof/>
        </w:rPr>
        <w:tab/>
        <w:t>OPATRENIA V OBLASTI RIADENIA</w:t>
      </w:r>
    </w:p>
    <w:p w:rsidR="005E40F8" w:rsidRDefault="007C521D">
      <w:pPr>
        <w:pStyle w:val="ManualHeading2"/>
        <w:rPr>
          <w:b w:val="0"/>
          <w:noProof/>
        </w:rPr>
      </w:pPr>
      <w:r>
        <w:rPr>
          <w:noProof/>
        </w:rPr>
        <w:tab/>
      </w:r>
      <w:r>
        <w:rPr>
          <w:b w:val="0"/>
          <w:noProof/>
        </w:rPr>
        <w:t>2.1</w:t>
      </w:r>
      <w:r>
        <w:rPr>
          <w:b w:val="0"/>
          <w:noProof/>
        </w:rPr>
        <w:t>.</w:t>
      </w:r>
      <w:r>
        <w:rPr>
          <w:noProof/>
        </w:rPr>
        <w:tab/>
      </w:r>
      <w:r>
        <w:rPr>
          <w:b w:val="0"/>
          <w:noProof/>
        </w:rPr>
        <w:t>Opatrenia týkajúce sa monitorovania a predkladania správ</w:t>
      </w:r>
    </w:p>
    <w:p w:rsidR="005E40F8" w:rsidRDefault="007C521D">
      <w:pPr>
        <w:pStyle w:val="ManualHeading2"/>
        <w:rPr>
          <w:b w:val="0"/>
          <w:noProof/>
        </w:rPr>
      </w:pPr>
      <w:r>
        <w:rPr>
          <w:noProof/>
        </w:rPr>
        <w:tab/>
      </w:r>
      <w:r>
        <w:rPr>
          <w:b w:val="0"/>
          <w:noProof/>
        </w:rPr>
        <w:t>2.2.</w:t>
      </w:r>
      <w:r>
        <w:rPr>
          <w:noProof/>
        </w:rPr>
        <w:tab/>
      </w:r>
      <w:r>
        <w:rPr>
          <w:b w:val="0"/>
          <w:noProof/>
        </w:rPr>
        <w:t>Systémy riadenia a kontroly</w:t>
      </w:r>
    </w:p>
    <w:p w:rsidR="005E40F8" w:rsidRDefault="007C521D">
      <w:pPr>
        <w:pStyle w:val="ManualHeading2"/>
        <w:rPr>
          <w:b w:val="0"/>
          <w:noProof/>
        </w:rPr>
      </w:pPr>
      <w:r>
        <w:rPr>
          <w:noProof/>
        </w:rPr>
        <w:tab/>
      </w:r>
      <w:r>
        <w:rPr>
          <w:b w:val="0"/>
          <w:noProof/>
        </w:rPr>
        <w:t>2.3.</w:t>
      </w:r>
      <w:r>
        <w:rPr>
          <w:noProof/>
        </w:rPr>
        <w:tab/>
      </w:r>
      <w:r>
        <w:rPr>
          <w:b w:val="0"/>
          <w:noProof/>
        </w:rPr>
        <w:t>Opatrenia na predchádzanie podvodom a nezrovnalostiam</w:t>
      </w:r>
    </w:p>
    <w:p w:rsidR="005E40F8" w:rsidRDefault="007C521D">
      <w:pPr>
        <w:pStyle w:val="ManualHeading1"/>
        <w:rPr>
          <w:noProof/>
        </w:rPr>
      </w:pPr>
      <w:r>
        <w:rPr>
          <w:noProof/>
        </w:rPr>
        <w:t>3.</w:t>
      </w:r>
      <w:r>
        <w:rPr>
          <w:noProof/>
        </w:rPr>
        <w:tab/>
        <w:t>ODHADOVANÝ FINANČNÝ VPLYV NÁVRHU/INICIATÍVY</w:t>
      </w:r>
    </w:p>
    <w:p w:rsidR="005E40F8" w:rsidRDefault="007C521D">
      <w:pPr>
        <w:pStyle w:val="ManualHeading2"/>
        <w:rPr>
          <w:b w:val="0"/>
          <w:noProof/>
        </w:rPr>
      </w:pPr>
      <w:r>
        <w:rPr>
          <w:noProof/>
        </w:rPr>
        <w:tab/>
      </w:r>
      <w:r>
        <w:rPr>
          <w:b w:val="0"/>
          <w:noProof/>
        </w:rPr>
        <w:t>3.1.</w:t>
      </w:r>
      <w:r>
        <w:rPr>
          <w:noProof/>
        </w:rPr>
        <w:tab/>
      </w:r>
      <w:r>
        <w:rPr>
          <w:b w:val="0"/>
          <w:noProof/>
        </w:rPr>
        <w:t xml:space="preserve">Príslušné okruhy viacročného finančného rámca a </w:t>
      </w:r>
      <w:r>
        <w:rPr>
          <w:b w:val="0"/>
          <w:noProof/>
        </w:rPr>
        <w:t>rozpočtové riadky výdavkov</w:t>
      </w:r>
    </w:p>
    <w:p w:rsidR="005E40F8" w:rsidRDefault="007C521D">
      <w:pPr>
        <w:pStyle w:val="ManualHeading2"/>
        <w:rPr>
          <w:noProof/>
        </w:rPr>
      </w:pPr>
      <w:r>
        <w:rPr>
          <w:noProof/>
        </w:rPr>
        <w:tab/>
      </w:r>
      <w:r>
        <w:rPr>
          <w:b w:val="0"/>
          <w:noProof/>
        </w:rPr>
        <w:t>3.2.</w:t>
      </w:r>
      <w:r>
        <w:rPr>
          <w:noProof/>
        </w:rPr>
        <w:tab/>
      </w:r>
      <w:r>
        <w:rPr>
          <w:b w:val="0"/>
          <w:noProof/>
        </w:rPr>
        <w:t>Odhadovaný vplyv na výdavky</w:t>
      </w:r>
    </w:p>
    <w:p w:rsidR="005E40F8" w:rsidRDefault="007C521D">
      <w:pPr>
        <w:pStyle w:val="ManualHeading3"/>
        <w:rPr>
          <w:noProof/>
        </w:rPr>
      </w:pPr>
      <w:r>
        <w:rPr>
          <w:noProof/>
        </w:rPr>
        <w:tab/>
        <w:t>3.2.1.</w:t>
      </w:r>
      <w:r>
        <w:rPr>
          <w:noProof/>
        </w:rPr>
        <w:tab/>
        <w:t>Zhrnutie odhadovaného vplyvu na výdavky</w:t>
      </w:r>
    </w:p>
    <w:p w:rsidR="005E40F8" w:rsidRDefault="007C521D">
      <w:pPr>
        <w:pStyle w:val="ManualHeading3"/>
        <w:rPr>
          <w:noProof/>
        </w:rPr>
      </w:pPr>
      <w:r>
        <w:rPr>
          <w:noProof/>
        </w:rPr>
        <w:tab/>
        <w:t>3.2.2.</w:t>
      </w:r>
      <w:r>
        <w:rPr>
          <w:noProof/>
        </w:rPr>
        <w:tab/>
        <w:t>Odhadovaný vplyv na operačné rozpočtové prostriedky</w:t>
      </w:r>
    </w:p>
    <w:p w:rsidR="005E40F8" w:rsidRDefault="007C521D">
      <w:pPr>
        <w:pStyle w:val="ManualHeading3"/>
        <w:rPr>
          <w:noProof/>
        </w:rPr>
      </w:pPr>
      <w:r>
        <w:rPr>
          <w:noProof/>
        </w:rPr>
        <w:tab/>
        <w:t>3.2.3.</w:t>
      </w:r>
      <w:r>
        <w:rPr>
          <w:noProof/>
        </w:rPr>
        <w:tab/>
        <w:t>Odhadovaný vplyv na administratívne rozpočtové prostriedky</w:t>
      </w:r>
    </w:p>
    <w:p w:rsidR="005E40F8" w:rsidRDefault="007C521D">
      <w:pPr>
        <w:pStyle w:val="ManualHeading3"/>
        <w:rPr>
          <w:noProof/>
        </w:rPr>
      </w:pPr>
      <w:r>
        <w:rPr>
          <w:noProof/>
        </w:rPr>
        <w:tab/>
        <w:t>3.2.4.</w:t>
      </w:r>
      <w:r>
        <w:rPr>
          <w:noProof/>
        </w:rPr>
        <w:tab/>
        <w:t xml:space="preserve">Súlad s </w:t>
      </w:r>
      <w:r>
        <w:rPr>
          <w:noProof/>
        </w:rPr>
        <w:t>platným viacročným finančným rámcom</w:t>
      </w:r>
    </w:p>
    <w:p w:rsidR="005E40F8" w:rsidRDefault="007C521D">
      <w:pPr>
        <w:pStyle w:val="ManualHeading3"/>
        <w:rPr>
          <w:noProof/>
        </w:rPr>
      </w:pPr>
      <w:r>
        <w:rPr>
          <w:noProof/>
        </w:rPr>
        <w:tab/>
        <w:t>3.2.5.</w:t>
      </w:r>
      <w:r>
        <w:rPr>
          <w:noProof/>
        </w:rPr>
        <w:tab/>
        <w:t>Príspevky od tretích strán</w:t>
      </w:r>
    </w:p>
    <w:p w:rsidR="005E40F8" w:rsidRDefault="007C521D">
      <w:pPr>
        <w:pStyle w:val="ManualHeading2"/>
        <w:jc w:val="left"/>
        <w:rPr>
          <w:b w:val="0"/>
          <w:noProof/>
        </w:rPr>
        <w:sectPr w:rsidR="005E40F8" w:rsidSect="007C521D">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vplyv na príjmy</w:t>
      </w:r>
    </w:p>
    <w:p w:rsidR="005E40F8" w:rsidRDefault="007C521D">
      <w:pPr>
        <w:jc w:val="center"/>
        <w:rPr>
          <w:b/>
          <w:noProof/>
          <w:u w:val="single"/>
        </w:rPr>
      </w:pPr>
      <w:r>
        <w:rPr>
          <w:b/>
          <w:noProof/>
          <w:u w:val="single"/>
        </w:rPr>
        <w:t>LEGISLATÍVNY FINANČNÝ VÝKAZ</w:t>
      </w:r>
    </w:p>
    <w:p w:rsidR="005E40F8" w:rsidRDefault="007C521D">
      <w:pPr>
        <w:pStyle w:val="ManualHeading1"/>
        <w:rPr>
          <w:noProof/>
        </w:rPr>
      </w:pPr>
      <w:r>
        <w:t>1.</w:t>
      </w:r>
      <w:r>
        <w:tab/>
      </w:r>
      <w:r>
        <w:rPr>
          <w:noProof/>
        </w:rPr>
        <w:t>RÁMEC NÁVRHU/INICIATÍVY</w:t>
      </w:r>
    </w:p>
    <w:p w:rsidR="005E40F8" w:rsidRDefault="007C521D">
      <w:pPr>
        <w:pStyle w:val="ManualHeading2"/>
        <w:rPr>
          <w:noProof/>
        </w:rPr>
      </w:pPr>
      <w:r>
        <w:t>1.1.</w:t>
      </w:r>
      <w:r>
        <w:tab/>
      </w:r>
      <w:r>
        <w:rPr>
          <w:noProof/>
        </w:rPr>
        <w:t>Názov návrhu/iniciatívy</w:t>
      </w:r>
    </w:p>
    <w:p w:rsidR="005E40F8" w:rsidRDefault="007C521D">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Návrh nariadenia, ktorým sa menia nariadenia </w:t>
      </w:r>
      <w:r>
        <w:rPr>
          <w:noProof/>
        </w:rPr>
        <w:t>(EÚ) č. 1316/2013 a (EÚ) č. 283/2014, pokiaľ ide o podporu internetového pripojenia v miestnych spoločenstvách</w:t>
      </w:r>
    </w:p>
    <w:p w:rsidR="005E40F8" w:rsidRDefault="007C521D">
      <w:pPr>
        <w:pStyle w:val="ManualHeading2"/>
        <w:rPr>
          <w:i/>
          <w:noProof/>
        </w:rPr>
      </w:pPr>
      <w:r>
        <w:t>1.2.</w:t>
      </w:r>
      <w:r>
        <w:tab/>
      </w:r>
      <w:r>
        <w:rPr>
          <w:noProof/>
        </w:rPr>
        <w:t>Príslušné oblasti politiky v rámci ABM/ABB</w:t>
      </w:r>
      <w:r>
        <w:rPr>
          <w:rStyle w:val="FootnoteReference"/>
          <w:noProof/>
        </w:rPr>
        <w:footnoteReference w:id="17"/>
      </w:r>
    </w:p>
    <w:p w:rsidR="005E40F8" w:rsidRDefault="007C521D">
      <w:pPr>
        <w:pStyle w:val="Text1"/>
        <w:pBdr>
          <w:top w:val="single" w:sz="4" w:space="1" w:color="auto"/>
          <w:left w:val="single" w:sz="4" w:space="4" w:color="auto"/>
          <w:bottom w:val="single" w:sz="4" w:space="1" w:color="auto"/>
          <w:right w:val="single" w:sz="4" w:space="4" w:color="auto"/>
        </w:pBdr>
        <w:rPr>
          <w:noProof/>
        </w:rPr>
      </w:pPr>
      <w:r>
        <w:rPr>
          <w:noProof/>
        </w:rPr>
        <w:t>09. Komunikačné siete, obsah a technológia</w:t>
      </w:r>
    </w:p>
    <w:p w:rsidR="005E40F8" w:rsidRDefault="007C521D">
      <w:pPr>
        <w:pStyle w:val="ManualHeading2"/>
        <w:rPr>
          <w:noProof/>
        </w:rPr>
      </w:pPr>
      <w:r>
        <w:t>1.3.</w:t>
      </w:r>
      <w:r>
        <w:tab/>
      </w:r>
      <w:r>
        <w:rPr>
          <w:noProof/>
        </w:rPr>
        <w:t>Druh návrhu/iniciatívy</w:t>
      </w:r>
    </w:p>
    <w:p w:rsidR="005E40F8" w:rsidRDefault="007C521D">
      <w:pPr>
        <w:pStyle w:val="Text1"/>
        <w:rPr>
          <w:b/>
          <w:noProof/>
          <w:sz w:val="22"/>
        </w:rPr>
      </w:pPr>
      <w:r>
        <w:rPr>
          <w:noProof/>
          <w:sz w:val="22"/>
        </w:rPr>
        <w:t>x</w:t>
      </w:r>
      <w:r>
        <w:rPr>
          <w:b/>
          <w:i/>
          <w:noProof/>
          <w:sz w:val="22"/>
        </w:rPr>
        <w:t xml:space="preserve"> </w:t>
      </w:r>
      <w:r>
        <w:rPr>
          <w:noProof/>
        </w:rPr>
        <w:t>Návrh/iniciatíva sa týk</w:t>
      </w:r>
      <w:r>
        <w:rPr>
          <w:noProof/>
        </w:rPr>
        <w:t xml:space="preserve">a </w:t>
      </w:r>
      <w:r>
        <w:rPr>
          <w:b/>
          <w:noProof/>
        </w:rPr>
        <w:t>novej akcie</w:t>
      </w:r>
    </w:p>
    <w:p w:rsidR="005E40F8" w:rsidRDefault="007C521D">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18"/>
      </w:r>
    </w:p>
    <w:p w:rsidR="005E40F8" w:rsidRDefault="007C521D">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predĺženia trvania existujúcej akcie</w:t>
      </w:r>
    </w:p>
    <w:p w:rsidR="005E40F8" w:rsidRDefault="007C521D">
      <w:pPr>
        <w:pStyle w:val="Text1"/>
        <w:rPr>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p>
    <w:p w:rsidR="005E40F8" w:rsidRDefault="007C521D">
      <w:pPr>
        <w:pStyle w:val="ManualHeading2"/>
        <w:rPr>
          <w:bCs/>
          <w:noProof/>
          <w:szCs w:val="24"/>
        </w:rPr>
      </w:pPr>
      <w:r>
        <w:t>1.4.</w:t>
      </w:r>
      <w:r>
        <w:tab/>
      </w:r>
      <w:r>
        <w:rPr>
          <w:noProof/>
        </w:rPr>
        <w:t>Ciele</w:t>
      </w:r>
    </w:p>
    <w:p w:rsidR="005E40F8" w:rsidRDefault="007C521D">
      <w:pPr>
        <w:pStyle w:val="ManualHeading3"/>
        <w:rPr>
          <w:noProof/>
        </w:rPr>
      </w:pPr>
      <w:r>
        <w:t>1.4.1.</w:t>
      </w:r>
      <w:r>
        <w:tab/>
      </w:r>
      <w:r>
        <w:rPr>
          <w:noProof/>
        </w:rPr>
        <w:t>Viacročné strategické ciele Komisie, ktoré sú predmetom návrhu/iniciatívy</w:t>
      </w:r>
    </w:p>
    <w:p w:rsidR="005E40F8" w:rsidRDefault="007C521D">
      <w:pPr>
        <w:rPr>
          <w:noProof/>
        </w:rPr>
      </w:pPr>
      <w:r>
        <w:rPr>
          <w:noProof/>
        </w:rPr>
        <w:t xml:space="preserve">Nový telekomunikačný balík, ktorý má Komisia prijať 13. septembra 2016, bude zahŕňať oznámenie Komisie, ktorým sa stanovuje európska vízia pripojenia na internet pre občanov a </w:t>
      </w:r>
      <w:r>
        <w:rPr>
          <w:noProof/>
        </w:rPr>
        <w:t xml:space="preserve">podniky na digitálnom jednotnom trhu, ako aj legislatívny návrh o preskúmaní regulačného rámca pre telekomunikácie. V návrhu Komisie sa stanovujú reformy potrebné na ďalšie podporovanie zavádzania sietí budúcnosti, aby sa zabezpečilo, že sa na nikoho a na </w:t>
      </w:r>
      <w:r>
        <w:rPr>
          <w:noProof/>
        </w:rPr>
        <w:t>žiadny región nezabudne.</w:t>
      </w:r>
    </w:p>
    <w:p w:rsidR="005E40F8" w:rsidRDefault="007C521D">
      <w:pPr>
        <w:rPr>
          <w:noProof/>
          <w:szCs w:val="24"/>
        </w:rPr>
      </w:pPr>
      <w:r>
        <w:rPr>
          <w:noProof/>
        </w:rPr>
        <w:t xml:space="preserve">Tento návrh </w:t>
      </w:r>
      <w:r>
        <w:rPr>
          <w:b/>
          <w:noProof/>
        </w:rPr>
        <w:t>povzbudí a podporí subjekty konajúce vo verejnom záujme, akými sú miestne verejné orgány, aby poskytovali bezplatné Wi-Fi pripojenie v strediskách spoločenského života</w:t>
      </w:r>
      <w:r>
        <w:rPr>
          <w:noProof/>
        </w:rPr>
        <w:t xml:space="preserve"> (napr. v budovách verejných orgánov, zdravotníckych</w:t>
      </w:r>
      <w:r>
        <w:rPr>
          <w:noProof/>
        </w:rPr>
        <w:t xml:space="preserve"> strediskách, parkoch a námestiach a v okolitých priestoroch).</w:t>
      </w:r>
    </w:p>
    <w:p w:rsidR="005E40F8" w:rsidRDefault="007C521D">
      <w:pPr>
        <w:pStyle w:val="ManualHeading3"/>
        <w:rPr>
          <w:noProof/>
        </w:rPr>
      </w:pPr>
      <w:r>
        <w:t>1.4.2.</w:t>
      </w:r>
      <w:r>
        <w:tab/>
      </w:r>
      <w:r>
        <w:rPr>
          <w:noProof/>
        </w:rPr>
        <w:t>Osobitné ciele a príslušné činnosti v rámci ABM/ABB</w:t>
      </w:r>
    </w:p>
    <w:p w:rsidR="005E40F8" w:rsidRDefault="007C521D">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Osobitný cieľ</w:t>
      </w:r>
    </w:p>
    <w:p w:rsidR="005E40F8" w:rsidRDefault="007C521D">
      <w:pPr>
        <w:rPr>
          <w:noProof/>
        </w:rPr>
      </w:pPr>
      <w:r>
        <w:rPr>
          <w:noProof/>
        </w:rPr>
        <w:t>Novým balíkom sa zabezpečia finančné stimuly pre projekty navrhnuté subjektmi konajúcimi vo verejnom záujme, ako sú vere</w:t>
      </w:r>
      <w:r>
        <w:rPr>
          <w:noProof/>
        </w:rPr>
        <w:t>jné orgány a poskytovatelia verejných služieb, aby zriadili bezdrôtové prístupové body a poskytovali bezplatné pripojenie v strediskách spoločenského života v rámci ich pôsobnosti alebo v mieste, kde poskytujú služby (napr. orgány verejnej správy, knižnice</w:t>
      </w:r>
      <w:r>
        <w:rPr>
          <w:noProof/>
        </w:rPr>
        <w:t>, zdravotnícke strediská a vonkajšie verejné priestranstvá).</w:t>
      </w:r>
    </w:p>
    <w:p w:rsidR="005E40F8" w:rsidRDefault="007C521D">
      <w:pPr>
        <w:spacing w:before="0" w:after="200"/>
        <w:rPr>
          <w:rFonts w:ascii="Calibri" w:hAnsi="Calibri"/>
          <w:noProof/>
          <w:sz w:val="22"/>
        </w:rPr>
      </w:pPr>
      <w:r>
        <w:rPr>
          <w:noProof/>
        </w:rPr>
        <w:t>Okrem stimulácie dopytu po vysokorýchlostnom širokopásmovom pripojení a podnecovania k rozsiahlemu zavádzaniu na úrovni spoločenstiev bude mať táto iniciatíva aj niekoľko pozitívnych vedľajších ú</w:t>
      </w:r>
      <w:r>
        <w:rPr>
          <w:noProof/>
        </w:rPr>
        <w:t>činkov, počnúc zlepšením prístupom k inovačným digitálnym službám až po včasné využívanie výhod gigabitovej spoločnosti, ktorá je súčasťou vízie novej stratégie prijatej Európskou komisiou.</w:t>
      </w:r>
    </w:p>
    <w:p w:rsidR="005E40F8" w:rsidRDefault="007C521D">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rsidR="005E40F8" w:rsidRDefault="007C521D">
      <w:pPr>
        <w:pStyle w:val="Text1"/>
        <w:pBdr>
          <w:top w:val="single" w:sz="4" w:space="1" w:color="auto"/>
          <w:left w:val="single" w:sz="4" w:space="4" w:color="auto"/>
          <w:bottom w:val="single" w:sz="4" w:space="1" w:color="auto"/>
          <w:right w:val="single" w:sz="4" w:space="4" w:color="auto"/>
        </w:pBdr>
        <w:rPr>
          <w:noProof/>
        </w:rPr>
      </w:pPr>
      <w:r>
        <w:rPr>
          <w:noProof/>
        </w:rPr>
        <w:t xml:space="preserve">Nástroj na prepájanie Európy – </w:t>
      </w:r>
      <w:r>
        <w:rPr>
          <w:noProof/>
        </w:rPr>
        <w:t>Telekomunikačné siete</w:t>
      </w:r>
    </w:p>
    <w:p w:rsidR="005E40F8" w:rsidRDefault="007C521D">
      <w:pPr>
        <w:pStyle w:val="ManualHeading3"/>
        <w:rPr>
          <w:bCs/>
          <w:noProof/>
          <w:szCs w:val="24"/>
        </w:rPr>
      </w:pPr>
      <w:r>
        <w:t>1.4.3.</w:t>
      </w:r>
      <w:r>
        <w:tab/>
      </w:r>
      <w:r>
        <w:rPr>
          <w:noProof/>
        </w:rPr>
        <w:t>Očakávané výsledky a vplyv</w:t>
      </w:r>
    </w:p>
    <w:p w:rsidR="005E40F8" w:rsidRDefault="007C521D">
      <w:pPr>
        <w:pStyle w:val="Text1"/>
        <w:rPr>
          <w:i/>
          <w:noProof/>
          <w:sz w:val="20"/>
        </w:rPr>
      </w:pPr>
      <w:r>
        <w:rPr>
          <w:i/>
          <w:noProof/>
          <w:sz w:val="20"/>
        </w:rPr>
        <w:t>Uveďte, aký vplyv by mal mať návrh/iniciatíva na príjemcov/cieľové skupiny.</w:t>
      </w:r>
    </w:p>
    <w:p w:rsidR="005E40F8" w:rsidRDefault="007C521D">
      <w:pPr>
        <w:pStyle w:val="Text1"/>
        <w:pBdr>
          <w:top w:val="single" w:sz="4" w:space="1" w:color="auto"/>
          <w:left w:val="single" w:sz="4" w:space="4" w:color="auto"/>
          <w:bottom w:val="single" w:sz="4" w:space="1" w:color="auto"/>
          <w:right w:val="single" w:sz="4" w:space="4" w:color="auto"/>
        </w:pBdr>
        <w:rPr>
          <w:noProof/>
          <w:szCs w:val="24"/>
        </w:rPr>
      </w:pPr>
      <w:r>
        <w:rPr>
          <w:noProof/>
        </w:rPr>
        <w:t>Očakáva sa, že iniciatíva prinesie takýto výsledok:</w:t>
      </w:r>
    </w:p>
    <w:p w:rsidR="005E40F8" w:rsidRDefault="007C521D">
      <w:pPr>
        <w:pStyle w:val="Text1"/>
        <w:pBdr>
          <w:top w:val="single" w:sz="4" w:space="1" w:color="auto"/>
          <w:left w:val="single" w:sz="4" w:space="4" w:color="auto"/>
          <w:bottom w:val="single" w:sz="4" w:space="1" w:color="auto"/>
          <w:right w:val="single" w:sz="4" w:space="4" w:color="auto"/>
        </w:pBdr>
        <w:rPr>
          <w:noProof/>
        </w:rPr>
      </w:pPr>
      <w:r>
        <w:rPr>
          <w:noProof/>
        </w:rPr>
        <w:t>Táto schéma má potenciál zabezpečiť pripojenie tisícok verejných priestr</w:t>
      </w:r>
      <w:r>
        <w:rPr>
          <w:noProof/>
        </w:rPr>
        <w:t xml:space="preserve">anstiev, čoho výsledkom môže byť 40 až 50 miliónov pripojení cez Wi-Fi denne. Takéto miestne pripojenie podporí verejné orgány a miestne podniky v tom, aby ponúkali široký rozsah miestnych digitálnych služieb, aplikácií a produktov pre svojich obyvateľov, </w:t>
      </w:r>
      <w:r>
        <w:rPr>
          <w:noProof/>
        </w:rPr>
        <w:t>ako aj návštevníkov, a tak sa lepšie začlenili do digitálneho jednotného trhu.</w:t>
      </w:r>
    </w:p>
    <w:p w:rsidR="005E40F8" w:rsidRDefault="007C521D">
      <w:pPr>
        <w:pStyle w:val="ManualHeading3"/>
        <w:rPr>
          <w:noProof/>
        </w:rPr>
      </w:pPr>
      <w:r>
        <w:t>1.4.4.</w:t>
      </w:r>
      <w:r>
        <w:tab/>
      </w:r>
      <w:r>
        <w:rPr>
          <w:noProof/>
        </w:rPr>
        <w:t>Ukazovatele výsledkov a vplyvu</w:t>
      </w:r>
    </w:p>
    <w:p w:rsidR="005E40F8" w:rsidRDefault="007C521D">
      <w:pPr>
        <w:pStyle w:val="Text1"/>
        <w:rPr>
          <w:i/>
          <w:noProof/>
          <w:sz w:val="20"/>
        </w:rPr>
      </w:pPr>
      <w:r>
        <w:rPr>
          <w:i/>
          <w:noProof/>
          <w:sz w:val="20"/>
        </w:rPr>
        <w:t>Uveďte ukazovatele, pomocou ktorých je možné sledovať uskutočňovanie návrhu/iniciatívy.</w:t>
      </w:r>
    </w:p>
    <w:p w:rsidR="005E40F8" w:rsidRDefault="007C521D">
      <w:pPr>
        <w:pStyle w:val="Text1"/>
        <w:pBdr>
          <w:top w:val="single" w:sz="4" w:space="1" w:color="auto"/>
          <w:left w:val="single" w:sz="4" w:space="4" w:color="auto"/>
          <w:bottom w:val="single" w:sz="4" w:space="1" w:color="auto"/>
          <w:right w:val="single" w:sz="4" w:space="4" w:color="auto"/>
        </w:pBdr>
        <w:rPr>
          <w:noProof/>
        </w:rPr>
      </w:pPr>
      <w:r>
        <w:rPr>
          <w:noProof/>
        </w:rPr>
        <w:t>Hlavnými nástrojmi monitorovania sú: a) počet zriad</w:t>
      </w:r>
      <w:r>
        <w:rPr>
          <w:noProof/>
        </w:rPr>
        <w:t>ených prístupových bodov; a b) počet pripojení, ktoré vytvoria.</w:t>
      </w:r>
    </w:p>
    <w:p w:rsidR="005E40F8" w:rsidRDefault="007C521D">
      <w:pPr>
        <w:pStyle w:val="ManualHeading2"/>
        <w:rPr>
          <w:noProof/>
        </w:rPr>
      </w:pPr>
      <w:r>
        <w:t>1.5.</w:t>
      </w:r>
      <w:r>
        <w:tab/>
      </w:r>
      <w:r>
        <w:rPr>
          <w:noProof/>
        </w:rPr>
        <w:t>Dôvody návrhu/iniciatívy</w:t>
      </w:r>
    </w:p>
    <w:p w:rsidR="005E40F8" w:rsidRDefault="007C521D">
      <w:pPr>
        <w:pStyle w:val="ManualHeading3"/>
        <w:rPr>
          <w:noProof/>
        </w:rPr>
      </w:pPr>
      <w:r>
        <w:t>1.5.1.</w:t>
      </w:r>
      <w:r>
        <w:tab/>
      </w:r>
      <w:r>
        <w:rPr>
          <w:noProof/>
        </w:rPr>
        <w:t>Potreby, ktoré sa majú uspokojiť v krátkodobom alebo dlhodobom horizonte</w:t>
      </w:r>
    </w:p>
    <w:p w:rsidR="005E40F8" w:rsidRDefault="007C521D">
      <w:pPr>
        <w:autoSpaceDE w:val="0"/>
        <w:autoSpaceDN w:val="0"/>
        <w:adjustRightInd w:val="0"/>
        <w:rPr>
          <w:noProof/>
          <w:szCs w:val="24"/>
        </w:rPr>
      </w:pPr>
      <w:r>
        <w:rPr>
          <w:noProof/>
        </w:rPr>
        <w:t xml:space="preserve">Táto iniciatíva patrí do rámca opatrení v oblasti transeurópskych </w:t>
      </w:r>
      <w:r>
        <w:rPr>
          <w:noProof/>
        </w:rPr>
        <w:t>telekomunikačných sietí, ako sa vymedzuje v článku 170 Zmluvy o fungovaní Európskej únie.</w:t>
      </w:r>
    </w:p>
    <w:p w:rsidR="005E40F8" w:rsidRDefault="007C521D">
      <w:pPr>
        <w:autoSpaceDE w:val="0"/>
        <w:autoSpaceDN w:val="0"/>
        <w:adjustRightInd w:val="0"/>
        <w:rPr>
          <w:noProof/>
          <w:szCs w:val="24"/>
        </w:rPr>
      </w:pPr>
      <w:r>
        <w:rPr>
          <w:noProof/>
        </w:rPr>
        <w:t>Legislatívnym návrhom nového kódexu elektronickej komunikácie, ktorý je modernizáciou súčasného regulačného rámca pre služby elektronickej komunikácie, sa súčasne ods</w:t>
      </w:r>
      <w:r>
        <w:rPr>
          <w:noProof/>
        </w:rPr>
        <w:t>tránia najmä právne prekážky pre subjekty, aby mohli zavádzať a zdieľať Wi-Fi prístup v Európe, keď niektoré miestne spoločenstvá alebo súkromné subjekty chcú zavádzať a ponúkať Wi-Fi prístup svojim občanom.</w:t>
      </w:r>
    </w:p>
    <w:p w:rsidR="005E40F8" w:rsidRDefault="007C521D">
      <w:pPr>
        <w:autoSpaceDE w:val="0"/>
        <w:autoSpaceDN w:val="0"/>
        <w:adjustRightInd w:val="0"/>
        <w:rPr>
          <w:noProof/>
          <w:szCs w:val="24"/>
        </w:rPr>
      </w:pPr>
      <w:r>
        <w:rPr>
          <w:noProof/>
        </w:rPr>
        <w:t>K strategickým cieľom Únie na rok 2025 (Oznámeni</w:t>
      </w:r>
      <w:r>
        <w:rPr>
          <w:noProof/>
        </w:rPr>
        <w:t>e o pripojení pre európsku gigabitovú spoločnosť) patrí, aby všetky hlavné socioekonomické faktory rozvoja, ako sú školy, dopravné uzly a hlavní poskytovatelia služieb pre verejnosť</w:t>
      </w:r>
      <w:r>
        <w:rPr>
          <w:rStyle w:val="FootnoteReference"/>
          <w:noProof/>
        </w:rPr>
        <w:footnoteReference w:id="19"/>
      </w:r>
      <w:r>
        <w:rPr>
          <w:noProof/>
        </w:rPr>
        <w:t>, ako aj digitálne intenzívne podniky, boli vybavené gigabitovými pripojen</w:t>
      </w:r>
      <w:r>
        <w:rPr>
          <w:noProof/>
        </w:rPr>
        <w:t>iami. Iniciatíva presadzujúca bezplatný Wi-Fi prístup v hlavných strediskách verejného života vrátane vonkajších priestranstiev dostupných širokej verejnosti preto predstavuje konkrétny príklad schémy, ktorá presadzuje takéto pripojenie prostredníctvom naj</w:t>
      </w:r>
      <w:r>
        <w:rPr>
          <w:noProof/>
        </w:rPr>
        <w:t>modernejších digitálnych infraštruktúr.</w:t>
      </w:r>
    </w:p>
    <w:p w:rsidR="005E40F8" w:rsidRDefault="007C521D">
      <w:pPr>
        <w:pStyle w:val="ManualHeading3"/>
        <w:rPr>
          <w:noProof/>
        </w:rPr>
      </w:pPr>
      <w:r>
        <w:t>1.5.2.</w:t>
      </w:r>
      <w:r>
        <w:tab/>
      </w:r>
      <w:r>
        <w:rPr>
          <w:noProof/>
        </w:rPr>
        <w:t>Prínos zapojenia Európskej únie</w:t>
      </w:r>
    </w:p>
    <w:p w:rsidR="005E40F8" w:rsidRDefault="007C521D">
      <w:pPr>
        <w:rPr>
          <w:noProof/>
        </w:rPr>
      </w:pPr>
      <w:r>
        <w:rPr>
          <w:noProof/>
        </w:rPr>
        <w:t xml:space="preserve">Na základe poukážok sa táto iniciatíva bude poskytovať vysoko účinným spôsobom a priláka do NPE nové kategórie podporovateľov tohto projektu – obyčajne miestne orgány. Rivalita </w:t>
      </w:r>
      <w:r>
        <w:rPr>
          <w:noProof/>
        </w:rPr>
        <w:t xml:space="preserve">medzi miestnymi orgánmi a medzi ďalšími poskytovateľmi služieb pre verejnosť sa bude podporovať prostredníctvom siete úradov EÚ pre širokopásmové pripojenie, ktorá sa má zriadiť v súlade s novým telekomunikačným balíkom. Celkovo sa touto iniciatívou zvýši </w:t>
      </w:r>
      <w:r>
        <w:rPr>
          <w:noProof/>
        </w:rPr>
        <w:t>informovanosť o nových prioritách Komisie pre gigabitovú spoločnosť na všetkých úrovniach verejnej správy a zároveň sa zabezpečí vysoký stupeň povedomia o značke, viditeľnosť a dôvera v schopnosť EÚ poskytovať digitálne služby občanom na celom území Európy</w:t>
      </w:r>
      <w:r>
        <w:rPr>
          <w:noProof/>
        </w:rPr>
        <w:t>. Prístupové body budú vznikať jednotným spôsobom a poskytnú príklady osvedčených postupov pre záujemcov o zavádzanie Wi-Fi. Budú tak slúžiť ako inovačný model zameraný na opakovateľnosť v celej EÚ.</w:t>
      </w:r>
    </w:p>
    <w:p w:rsidR="005E40F8" w:rsidRDefault="007C521D">
      <w:pPr>
        <w:pStyle w:val="ManualHeading3"/>
        <w:rPr>
          <w:noProof/>
        </w:rPr>
      </w:pPr>
      <w:r>
        <w:t>1.5.3.</w:t>
      </w:r>
      <w:r>
        <w:tab/>
      </w:r>
      <w:r>
        <w:rPr>
          <w:noProof/>
        </w:rPr>
        <w:t>Poznatky získané z podobných skúseností v minulost</w:t>
      </w:r>
      <w:r>
        <w:rPr>
          <w:noProof/>
        </w:rPr>
        <w:t>i</w:t>
      </w:r>
    </w:p>
    <w:p w:rsidR="005E40F8" w:rsidRDefault="007C521D">
      <w:pPr>
        <w:rPr>
          <w:noProof/>
        </w:rPr>
      </w:pPr>
      <w:r>
        <w:rPr>
          <w:noProof/>
        </w:rPr>
        <w:t xml:space="preserve">V uplynulých rokoch sa tento typ projektu bezplatného Wi-Fi pripojenia, ktorý podporujú orgány miestnej samosprávy, objavuje v mnohých miestnych oblastiach po celej Európe. Táto schéma bude preto vychádzať z týchto skúseností a posilňovať opakovateľnosť </w:t>
      </w:r>
      <w:r>
        <w:rPr>
          <w:noProof/>
        </w:rPr>
        <w:t>tohto modelu jeho postupným rozširovaním súčasne do všetkých členských štátov EÚ.</w:t>
      </w:r>
    </w:p>
    <w:p w:rsidR="005E40F8" w:rsidRDefault="007C521D">
      <w:pPr>
        <w:pStyle w:val="ManualHeading3"/>
        <w:rPr>
          <w:noProof/>
        </w:rPr>
      </w:pPr>
      <w:r>
        <w:t>1.5.4.</w:t>
      </w:r>
      <w:r>
        <w:tab/>
      </w:r>
      <w:r>
        <w:rPr>
          <w:noProof/>
        </w:rPr>
        <w:t>Zlučiteľnosť a možná synergia s inými vhodnými nástrojmi</w:t>
      </w:r>
    </w:p>
    <w:p w:rsidR="005E40F8" w:rsidRDefault="007C521D">
      <w:pPr>
        <w:rPr>
          <w:noProof/>
        </w:rPr>
      </w:pPr>
      <w:r>
        <w:rPr>
          <w:noProof/>
        </w:rPr>
        <w:t>Touto iniciatívou sa doplní zavádzanie digitálnych sietí financovaných z európskych štrukturálnych a investičn</w:t>
      </w:r>
      <w:r>
        <w:rPr>
          <w:noProof/>
        </w:rPr>
        <w:t>ých fondov (väčšinou EFRR a EPFRV), ktoré prinášajú medziuzlový spoj a prístup k širokopásmovým sieťam v oblastiach, kde telekomunikační operátori nemajú žiadny záujem investovať. Vytvorí sa tým preto ďalší stimul pre miestne orgány vybaviť celé územie v r</w:t>
      </w:r>
      <w:r>
        <w:rPr>
          <w:noProof/>
        </w:rPr>
        <w:t>ámci ich pôsobnosti a pripojiť tieto verejné priestranstvá medziuzlovými spojmi s vysokou kapacitou.</w:t>
      </w:r>
    </w:p>
    <w:p w:rsidR="005E40F8" w:rsidRDefault="007C521D">
      <w:pPr>
        <w:spacing w:after="0"/>
        <w:rPr>
          <w:noProof/>
        </w:rPr>
      </w:pPr>
      <w:r>
        <w:rPr>
          <w:noProof/>
        </w:rPr>
        <w:t xml:space="preserve">Touto iniciatívou sa tiež podporí rozvoj inovačných digitálnych služieb a aplikácií, vytvorených lokálne – často miestnymi MSP. Napríklad v nadväznosti na </w:t>
      </w:r>
      <w:r>
        <w:rPr>
          <w:noProof/>
        </w:rPr>
        <w:t>digitalizáciu miestneho obsahu a ďalších historických prameňov môžu múzeá alebo lokality kultúrneho alebo prírodného dedičstva vo voľnej prírode vypracovať aplikácie tzv. rozšírenej reality s cieľom obohatiť zážitok ich návštevníkov. To isté platí pre apli</w:t>
      </w:r>
      <w:r>
        <w:rPr>
          <w:noProof/>
        </w:rPr>
        <w:t>kácie elektronického cestovného ruchu využívané na činnosti miestnych obchodných a mestských organizácií. Touto iniciatívou sa preto podporí politika digitálneho podnikania Európskej komisie.</w:t>
      </w:r>
    </w:p>
    <w:p w:rsidR="005E40F8" w:rsidRDefault="005E40F8">
      <w:pPr>
        <w:spacing w:after="0"/>
        <w:rPr>
          <w:noProof/>
        </w:rPr>
      </w:pPr>
    </w:p>
    <w:p w:rsidR="005E40F8" w:rsidRDefault="007C521D">
      <w:pPr>
        <w:pStyle w:val="ManualHeading2"/>
        <w:rPr>
          <w:noProof/>
        </w:rPr>
      </w:pPr>
      <w:r>
        <w:t>1.6.</w:t>
      </w:r>
      <w:r>
        <w:tab/>
      </w:r>
      <w:r>
        <w:rPr>
          <w:noProof/>
        </w:rPr>
        <w:t>Trvanie a finančný vplyv</w:t>
      </w:r>
    </w:p>
    <w:p w:rsidR="005E40F8" w:rsidRDefault="007C521D">
      <w:pPr>
        <w:pStyle w:val="Text1"/>
        <w:rPr>
          <w:b/>
          <w:noProof/>
        </w:rPr>
      </w:pPr>
      <w:r>
        <w:rPr>
          <w:noProof/>
        </w:rPr>
        <w:t xml:space="preserve">x Návrh/iniciatíva s </w:t>
      </w:r>
      <w:r>
        <w:rPr>
          <w:b/>
          <w:noProof/>
        </w:rPr>
        <w:t>obmedzeným t</w:t>
      </w:r>
      <w:r>
        <w:rPr>
          <w:b/>
          <w:noProof/>
        </w:rPr>
        <w:t>rvaním</w:t>
      </w:r>
    </w:p>
    <w:p w:rsidR="005E40F8" w:rsidRDefault="007C521D">
      <w:pPr>
        <w:pStyle w:val="ListDash2"/>
        <w:rPr>
          <w:noProof/>
        </w:rPr>
      </w:pPr>
      <w:r>
        <w:rPr>
          <w:noProof/>
        </w:rPr>
        <w:t>x</w:t>
      </w:r>
      <w:r>
        <w:rPr>
          <w:noProof/>
        </w:rPr>
        <w:tab/>
        <w:t>Návrh/iniciatíva je v platnosti od roku 2017 do roku 2020</w:t>
      </w:r>
    </w:p>
    <w:p w:rsidR="005E40F8" w:rsidRDefault="007C521D">
      <w:pPr>
        <w:pStyle w:val="ListDash2"/>
        <w:rPr>
          <w:noProof/>
        </w:rPr>
      </w:pPr>
      <w:r>
        <w:rPr>
          <w:noProof/>
        </w:rPr>
        <w:t>x</w:t>
      </w:r>
      <w:r>
        <w:rPr>
          <w:noProof/>
        </w:rPr>
        <w:tab/>
        <w:t>Finančný vplyv trvá od roku 2017 do roku 2020</w:t>
      </w:r>
    </w:p>
    <w:p w:rsidR="005E40F8" w:rsidRDefault="007C521D">
      <w:pPr>
        <w:pStyle w:val="Text1"/>
        <w:rPr>
          <w:noProof/>
        </w:rPr>
      </w:pPr>
      <w:r>
        <w:rPr>
          <w:noProof/>
          <w:szCs w:val="24"/>
        </w:rPr>
        <w:sym w:font="Wingdings" w:char="F0A8"/>
      </w:r>
      <w:r>
        <w:rPr>
          <w:b/>
          <w:i/>
          <w:noProof/>
        </w:rPr>
        <w:t xml:space="preserve"> </w:t>
      </w:r>
      <w:r>
        <w:rPr>
          <w:noProof/>
        </w:rPr>
        <w:t xml:space="preserve">Návrh/iniciatíva s </w:t>
      </w:r>
      <w:r>
        <w:rPr>
          <w:b/>
          <w:noProof/>
        </w:rPr>
        <w:t>neobmedzeným trvaním</w:t>
      </w:r>
    </w:p>
    <w:p w:rsidR="005E40F8" w:rsidRDefault="007C521D">
      <w:pPr>
        <w:pStyle w:val="ListDash1"/>
        <w:rPr>
          <w:noProof/>
        </w:rPr>
      </w:pPr>
      <w:r>
        <w:rPr>
          <w:noProof/>
        </w:rPr>
        <w:t>Počiatočná fáza vykonávania bude trvať od XXX do XXX,</w:t>
      </w:r>
    </w:p>
    <w:p w:rsidR="005E40F8" w:rsidRDefault="007C521D">
      <w:pPr>
        <w:pStyle w:val="ListDash1"/>
        <w:rPr>
          <w:noProof/>
        </w:rPr>
      </w:pPr>
      <w:r>
        <w:rPr>
          <w:noProof/>
        </w:rPr>
        <w:t>a potom bude vykonávanie pokračovať v plnom r</w:t>
      </w:r>
      <w:r>
        <w:rPr>
          <w:noProof/>
        </w:rPr>
        <w:t>ozsahu.</w:t>
      </w:r>
    </w:p>
    <w:p w:rsidR="005E40F8" w:rsidRDefault="007C521D">
      <w:pPr>
        <w:pStyle w:val="ManualHeading2"/>
        <w:rPr>
          <w:rStyle w:val="FootnoteReference"/>
          <w:rFonts w:ascii="Times New Roman Bold" w:hAnsi="Times New Roman Bold"/>
          <w:noProof/>
          <w:szCs w:val="24"/>
          <w:vertAlign w:val="baseline"/>
        </w:rPr>
      </w:pPr>
      <w:r>
        <w:rPr>
          <w:rStyle w:val="FootnoteReference"/>
        </w:rPr>
        <w:t>1.7.</w:t>
      </w:r>
      <w:r>
        <w:rPr>
          <w:rStyle w:val="FootnoteReference"/>
        </w:rPr>
        <w:tab/>
      </w:r>
      <w:r>
        <w:rPr>
          <w:noProof/>
        </w:rPr>
        <w:t>Plánovaný spôsob hospodárenia</w:t>
      </w:r>
      <w:r>
        <w:rPr>
          <w:rStyle w:val="FootnoteReference"/>
          <w:noProof/>
          <w:szCs w:val="24"/>
        </w:rPr>
        <w:footnoteReference w:id="20"/>
      </w:r>
    </w:p>
    <w:p w:rsidR="005E40F8" w:rsidRDefault="007C521D">
      <w:pPr>
        <w:pStyle w:val="Text1"/>
        <w:rPr>
          <w:noProof/>
        </w:rPr>
      </w:pPr>
      <w:r>
        <w:rPr>
          <w:noProof/>
          <w:szCs w:val="24"/>
        </w:rPr>
        <w:sym w:font="Wingdings" w:char="F0A8"/>
      </w:r>
      <w:r>
        <w:rPr>
          <w:i/>
          <w:noProof/>
        </w:rPr>
        <w:t xml:space="preserve"> </w:t>
      </w:r>
      <w:r>
        <w:rPr>
          <w:b/>
          <w:noProof/>
        </w:rPr>
        <w:t>Priame hospodárenie</w:t>
      </w:r>
      <w:r>
        <w:rPr>
          <w:noProof/>
        </w:rPr>
        <w:t xml:space="preserve"> na úrovni Komisie</w:t>
      </w:r>
    </w:p>
    <w:p w:rsidR="005E40F8" w:rsidRDefault="007C521D">
      <w:pPr>
        <w:pStyle w:val="ListDash2"/>
        <w:rPr>
          <w:noProof/>
        </w:rPr>
      </w:pPr>
      <w:r>
        <w:rPr>
          <w:noProof/>
          <w:szCs w:val="24"/>
        </w:rPr>
        <w:sym w:font="Wingdings" w:char="F0A8"/>
      </w:r>
      <w:r>
        <w:rPr>
          <w:noProof/>
        </w:rPr>
        <w:t xml:space="preserve"> prostredníctvom jej útvarov vrátane zamestnancov v delegáciách Únie</w:t>
      </w:r>
    </w:p>
    <w:p w:rsidR="005E40F8" w:rsidRDefault="007C521D">
      <w:pPr>
        <w:pStyle w:val="ListDash2"/>
        <w:rPr>
          <w:noProof/>
        </w:rPr>
      </w:pPr>
      <w:r>
        <w:rPr>
          <w:noProof/>
        </w:rPr>
        <w:t>x</w:t>
      </w:r>
      <w:r>
        <w:rPr>
          <w:noProof/>
        </w:rPr>
        <w:tab/>
        <w:t>prostredníctvom výkonných agentúr</w:t>
      </w:r>
    </w:p>
    <w:p w:rsidR="005E40F8" w:rsidRDefault="007C521D">
      <w:pPr>
        <w:pStyle w:val="Text1"/>
        <w:rPr>
          <w:noProof/>
        </w:rPr>
      </w:pPr>
      <w:r>
        <w:rPr>
          <w:noProof/>
          <w:szCs w:val="24"/>
        </w:rPr>
        <w:sym w:font="Wingdings" w:char="F0A8"/>
      </w:r>
      <w:r>
        <w:rPr>
          <w:b/>
          <w:i/>
          <w:noProof/>
        </w:rPr>
        <w:t xml:space="preserve"> </w:t>
      </w:r>
      <w:r>
        <w:rPr>
          <w:b/>
          <w:noProof/>
        </w:rPr>
        <w:t>Zdieľané hospodárenie</w:t>
      </w:r>
      <w:r>
        <w:rPr>
          <w:noProof/>
        </w:rPr>
        <w:t xml:space="preserve"> s členskými štátmi</w:t>
      </w:r>
    </w:p>
    <w:p w:rsidR="005E40F8" w:rsidRDefault="007C521D">
      <w:pPr>
        <w:pStyle w:val="Text1"/>
        <w:rPr>
          <w:noProof/>
        </w:rPr>
      </w:pPr>
      <w:r>
        <w:rPr>
          <w:noProof/>
          <w:szCs w:val="24"/>
        </w:rPr>
        <w:sym w:font="Wingdings" w:char="F0A8"/>
      </w:r>
      <w:r>
        <w:rPr>
          <w:b/>
          <w:noProof/>
        </w:rPr>
        <w:t>Nepriame hospodárenie</w:t>
      </w:r>
      <w:r>
        <w:rPr>
          <w:noProof/>
        </w:rPr>
        <w:t xml:space="preserve"> s delegovaním úloh súvisiacich s plnením rozpočtu na:</w:t>
      </w:r>
    </w:p>
    <w:p w:rsidR="005E40F8" w:rsidRDefault="007C521D">
      <w:pPr>
        <w:pStyle w:val="ListDash2"/>
        <w:rPr>
          <w:noProof/>
        </w:rPr>
      </w:pPr>
      <w:r>
        <w:rPr>
          <w:noProof/>
          <w:szCs w:val="24"/>
        </w:rPr>
        <w:sym w:font="Wingdings" w:char="F0A8"/>
      </w:r>
      <w:r>
        <w:rPr>
          <w:noProof/>
        </w:rPr>
        <w:t xml:space="preserve"> tretie krajiny alebo subjekty, ktoré tieto krajiny určili,</w:t>
      </w:r>
    </w:p>
    <w:p w:rsidR="005E40F8" w:rsidRDefault="007C521D">
      <w:pPr>
        <w:pStyle w:val="ListDash2"/>
        <w:rPr>
          <w:noProof/>
        </w:rPr>
      </w:pPr>
      <w:r>
        <w:rPr>
          <w:noProof/>
          <w:szCs w:val="24"/>
        </w:rPr>
        <w:sym w:font="Wingdings" w:char="F0A8"/>
      </w:r>
      <w:r>
        <w:rPr>
          <w:noProof/>
        </w:rPr>
        <w:t xml:space="preserve"> medzinárodné organizácie a ich agentúry (uveďte),</w:t>
      </w:r>
    </w:p>
    <w:p w:rsidR="005E40F8" w:rsidRDefault="007C521D">
      <w:pPr>
        <w:pStyle w:val="ListDash2"/>
        <w:rPr>
          <w:noProof/>
        </w:rPr>
      </w:pPr>
      <w:r>
        <w:rPr>
          <w:noProof/>
          <w:szCs w:val="24"/>
        </w:rPr>
        <w:sym w:font="Wingdings" w:char="F0A8"/>
      </w:r>
      <w:r>
        <w:rPr>
          <w:noProof/>
        </w:rPr>
        <w:t xml:space="preserve"> Európsku investičnú banku (EIB) a Európsky investičný fond,</w:t>
      </w:r>
    </w:p>
    <w:p w:rsidR="005E40F8" w:rsidRDefault="007C521D">
      <w:pPr>
        <w:pStyle w:val="ListDash2"/>
        <w:rPr>
          <w:noProof/>
        </w:rPr>
      </w:pPr>
      <w:r>
        <w:rPr>
          <w:noProof/>
          <w:szCs w:val="24"/>
        </w:rPr>
        <w:sym w:font="Wingdings" w:char="F0A8"/>
      </w:r>
      <w:r>
        <w:rPr>
          <w:noProof/>
        </w:rPr>
        <w:t xml:space="preserve"> subjekty podľa článkov 2</w:t>
      </w:r>
      <w:r>
        <w:rPr>
          <w:noProof/>
        </w:rPr>
        <w:t>08 a 209 nariadenia o rozpočtových pravidlách,</w:t>
      </w:r>
    </w:p>
    <w:p w:rsidR="005E40F8" w:rsidRDefault="007C521D">
      <w:pPr>
        <w:pStyle w:val="ListDash2"/>
        <w:rPr>
          <w:noProof/>
        </w:rPr>
      </w:pPr>
      <w:r>
        <w:rPr>
          <w:noProof/>
          <w:szCs w:val="24"/>
        </w:rPr>
        <w:sym w:font="Wingdings" w:char="F0A8"/>
      </w:r>
      <w:r>
        <w:rPr>
          <w:noProof/>
        </w:rPr>
        <w:t xml:space="preserve"> verejnoprávne subjekty,</w:t>
      </w:r>
    </w:p>
    <w:p w:rsidR="005E40F8" w:rsidRDefault="007C521D">
      <w:pPr>
        <w:pStyle w:val="ListDash2"/>
        <w:rPr>
          <w:noProof/>
        </w:rPr>
      </w:pPr>
      <w:r>
        <w:rPr>
          <w:noProof/>
          <w:szCs w:val="24"/>
        </w:rPr>
        <w:sym w:font="Wingdings" w:char="F0A8"/>
      </w:r>
      <w:r>
        <w:rPr>
          <w:noProof/>
        </w:rPr>
        <w:t xml:space="preserve"> súkromnoprávne subjekty poverené vykonávaním verejnej služby, pokiaľ tieto subjekty poskytujú dostatočné finančné záruky,</w:t>
      </w:r>
    </w:p>
    <w:p w:rsidR="005E40F8" w:rsidRDefault="007C521D">
      <w:pPr>
        <w:pStyle w:val="ListDash2"/>
        <w:rPr>
          <w:noProof/>
        </w:rPr>
      </w:pPr>
      <w:r>
        <w:rPr>
          <w:noProof/>
          <w:szCs w:val="24"/>
        </w:rPr>
        <w:sym w:font="Wingdings" w:char="F0A8"/>
      </w:r>
      <w:r>
        <w:rPr>
          <w:noProof/>
        </w:rPr>
        <w:t xml:space="preserve"> súkromnoprávne subjekty spravované právom členského štátu</w:t>
      </w:r>
      <w:r>
        <w:rPr>
          <w:noProof/>
        </w:rPr>
        <w:t>, ktoré sú poverené vykonávaním verejno-súkromného partnerstva a ktoré poskytujú dostatočné finančné záruky,</w:t>
      </w:r>
    </w:p>
    <w:p w:rsidR="005E40F8" w:rsidRDefault="007C521D">
      <w:pPr>
        <w:pStyle w:val="ListDash2"/>
        <w:rPr>
          <w:noProof/>
        </w:rPr>
      </w:pPr>
      <w:r>
        <w:rPr>
          <w:noProof/>
          <w:szCs w:val="24"/>
        </w:rPr>
        <w:sym w:font="Wingdings" w:char="F0A8"/>
      </w:r>
      <w:r>
        <w:rPr>
          <w:noProof/>
        </w:rPr>
        <w:t xml:space="preserve"> osoby poverené vykonávaním osobitných činností v oblasti SZBP podľa hlavy V Zmluvy o Európskej únii a určené v príslušnom základnom akte.</w:t>
      </w:r>
    </w:p>
    <w:p w:rsidR="005E40F8" w:rsidRDefault="007C521D">
      <w:pPr>
        <w:pStyle w:val="ListDash2"/>
        <w:rPr>
          <w:i/>
          <w:noProof/>
          <w:sz w:val="18"/>
          <w:u w:val="single"/>
        </w:rPr>
      </w:pPr>
      <w:r>
        <w:rPr>
          <w:i/>
          <w:noProof/>
          <w:sz w:val="18"/>
        </w:rPr>
        <w:t>V prípa</w:t>
      </w:r>
      <w:r>
        <w:rPr>
          <w:i/>
          <w:noProof/>
          <w:sz w:val="18"/>
        </w:rPr>
        <w:t>de viacerých spôsobov hospodárenia uveďte v oddiele „Poznámky“ presnejšie vysvetlenie.</w:t>
      </w:r>
    </w:p>
    <w:p w:rsidR="005E40F8" w:rsidRDefault="007C521D">
      <w:pPr>
        <w:rPr>
          <w:noProof/>
        </w:rPr>
      </w:pPr>
      <w:r>
        <w:rPr>
          <w:noProof/>
        </w:rPr>
        <w:t>Poznámky:</w:t>
      </w:r>
    </w:p>
    <w:p w:rsidR="005E40F8" w:rsidRDefault="005E40F8">
      <w:pPr>
        <w:rPr>
          <w:noProof/>
        </w:rPr>
        <w:sectPr w:rsidR="005E40F8" w:rsidSect="007C521D">
          <w:pgSz w:w="11907" w:h="16840" w:code="9"/>
          <w:pgMar w:top="1134" w:right="1418" w:bottom="1134" w:left="1418" w:header="709" w:footer="709" w:gutter="0"/>
          <w:cols w:space="708"/>
          <w:rtlGutter/>
          <w:docGrid w:linePitch="360"/>
        </w:sectPr>
      </w:pPr>
    </w:p>
    <w:p w:rsidR="005E40F8" w:rsidRDefault="007C521D">
      <w:pPr>
        <w:pStyle w:val="ManualHeading1"/>
        <w:rPr>
          <w:noProof/>
        </w:rPr>
      </w:pPr>
      <w:r>
        <w:t>2.</w:t>
      </w:r>
      <w:r>
        <w:tab/>
      </w:r>
      <w:r>
        <w:rPr>
          <w:noProof/>
        </w:rPr>
        <w:t>OPATRENIA V OBLASTI RIADENIA</w:t>
      </w:r>
    </w:p>
    <w:p w:rsidR="005E40F8" w:rsidRDefault="007C521D">
      <w:pPr>
        <w:pStyle w:val="ManualHeading2"/>
        <w:rPr>
          <w:noProof/>
        </w:rPr>
      </w:pPr>
      <w:r>
        <w:t>2.1.</w:t>
      </w:r>
      <w:r>
        <w:tab/>
      </w:r>
      <w:r>
        <w:rPr>
          <w:noProof/>
        </w:rPr>
        <w:t>Opatrenia týkajúce sa monitorovania a predkladania správ</w:t>
      </w:r>
    </w:p>
    <w:p w:rsidR="005E40F8" w:rsidRDefault="007C521D">
      <w:pPr>
        <w:pStyle w:val="Text1"/>
        <w:rPr>
          <w:i/>
          <w:noProof/>
          <w:sz w:val="20"/>
        </w:rPr>
      </w:pPr>
      <w:r>
        <w:rPr>
          <w:i/>
          <w:noProof/>
          <w:sz w:val="20"/>
        </w:rPr>
        <w:t xml:space="preserve">Uveďte časový interval a podmienky, </w:t>
      </w:r>
      <w:r>
        <w:rPr>
          <w:i/>
          <w:noProof/>
          <w:sz w:val="20"/>
        </w:rPr>
        <w:t>ktoré sa vzťahujú na tieto opatrenia.</w:t>
      </w:r>
    </w:p>
    <w:p w:rsidR="005E40F8" w:rsidRDefault="007C521D">
      <w:pPr>
        <w:pStyle w:val="Text1"/>
        <w:pBdr>
          <w:top w:val="single" w:sz="4" w:space="1" w:color="auto"/>
          <w:left w:val="single" w:sz="4" w:space="4" w:color="auto"/>
          <w:bottom w:val="single" w:sz="4" w:space="1" w:color="auto"/>
          <w:right w:val="single" w:sz="4" w:space="4" w:color="auto"/>
        </w:pBdr>
        <w:rPr>
          <w:noProof/>
        </w:rPr>
      </w:pPr>
      <w:r>
        <w:rPr>
          <w:noProof/>
        </w:rPr>
        <w:t>Zavedie sa systém monitorovania s cieľom zabezpečiť rýchle vykonávanie tejto iniciatívy a okamžité výsledky. Bude sa vykonávať predovšetkým pomocou online nástrojov a výberovým auditom zo vzorky zariadení na úrovni mie</w:t>
      </w:r>
      <w:r>
        <w:rPr>
          <w:noProof/>
        </w:rPr>
        <w:t>stnych bezdrôtových prístupových bodov.</w:t>
      </w:r>
    </w:p>
    <w:p w:rsidR="005E40F8" w:rsidRDefault="007C521D">
      <w:pPr>
        <w:pStyle w:val="ManualHeading2"/>
        <w:rPr>
          <w:noProof/>
        </w:rPr>
      </w:pPr>
      <w:r>
        <w:t>2.2.</w:t>
      </w:r>
      <w:r>
        <w:tab/>
      </w:r>
      <w:r>
        <w:rPr>
          <w:noProof/>
        </w:rPr>
        <w:t>Systémy riadenia a kontroly</w:t>
      </w:r>
    </w:p>
    <w:p w:rsidR="005E40F8" w:rsidRDefault="007C521D">
      <w:pPr>
        <w:pStyle w:val="ManualHeading3"/>
        <w:rPr>
          <w:noProof/>
        </w:rPr>
      </w:pPr>
      <w:r>
        <w:t>2.2.1.</w:t>
      </w:r>
      <w:r>
        <w:tab/>
      </w:r>
      <w:r>
        <w:rPr>
          <w:noProof/>
        </w:rPr>
        <w:t>Zistené riziká</w:t>
      </w:r>
    </w:p>
    <w:p w:rsidR="005E40F8" w:rsidRDefault="007C521D">
      <w:pPr>
        <w:pStyle w:val="Text1"/>
        <w:pBdr>
          <w:top w:val="single" w:sz="4" w:space="1" w:color="auto"/>
          <w:left w:val="single" w:sz="4" w:space="4" w:color="auto"/>
          <w:bottom w:val="single" w:sz="4" w:space="1" w:color="auto"/>
          <w:right w:val="single" w:sz="4" w:space="4" w:color="auto"/>
        </w:pBdr>
        <w:rPr>
          <w:noProof/>
        </w:rPr>
      </w:pPr>
      <w:r>
        <w:rPr>
          <w:noProof/>
        </w:rPr>
        <w:t>Riziko vykonávania: nebyrokratický charakter systému poukážok sa bude opierať o skúsenosti z podobných iniciatív (napr. inovácie v oblasti IKT pre MSP, satelitné</w:t>
      </w:r>
      <w:r>
        <w:rPr>
          <w:noProof/>
        </w:rPr>
        <w:t xml:space="preserve"> pripojenie atď.) na regionálnej a vnútroštátnej úrovni, ale rozšíri sa na úroveň EÚ</w:t>
      </w:r>
    </w:p>
    <w:p w:rsidR="005E40F8" w:rsidRDefault="007C521D">
      <w:pPr>
        <w:pStyle w:val="Text1"/>
        <w:pBdr>
          <w:top w:val="single" w:sz="4" w:space="1" w:color="auto"/>
          <w:left w:val="single" w:sz="4" w:space="4" w:color="auto"/>
          <w:bottom w:val="single" w:sz="4" w:space="1" w:color="auto"/>
          <w:right w:val="single" w:sz="4" w:space="4" w:color="auto"/>
        </w:pBdr>
        <w:rPr>
          <w:noProof/>
        </w:rPr>
      </w:pPr>
      <w:r>
        <w:rPr>
          <w:noProof/>
        </w:rPr>
        <w:t>Riziko zavádzania: na základe zásady „kto prv príde, ten prv berie“, existuje riziko nevyváženého zavádzania na jednotlivých územiach. Komisia je však odhodlaná zabezpečiť</w:t>
      </w:r>
      <w:r>
        <w:rPr>
          <w:noProof/>
        </w:rPr>
        <w:t xml:space="preserve"> vyvážený geografický vplyv a zohľadniť špecifické potreby menších a ekonomicky zaostávajúcich členských štátov a regiónov</w:t>
      </w:r>
    </w:p>
    <w:p w:rsidR="005E40F8" w:rsidRDefault="007C521D">
      <w:pPr>
        <w:pStyle w:val="Text1"/>
        <w:pBdr>
          <w:top w:val="single" w:sz="4" w:space="1" w:color="auto"/>
          <w:left w:val="single" w:sz="4" w:space="4" w:color="auto"/>
          <w:bottom w:val="single" w:sz="4" w:space="1" w:color="auto"/>
          <w:right w:val="single" w:sz="4" w:space="4" w:color="auto"/>
        </w:pBdr>
        <w:rPr>
          <w:noProof/>
        </w:rPr>
      </w:pPr>
      <w:r>
        <w:rPr>
          <w:noProof/>
        </w:rPr>
        <w:t>Riziko v oblasti bezpečnosti a ochrany údajov: schéma zabezpečí plnú ochranu osobných údajov a dostatočnú úroveň overovania totožnost</w:t>
      </w:r>
      <w:r>
        <w:rPr>
          <w:noProof/>
        </w:rPr>
        <w:t>i s cieľom zabezpečiť používateľsky príjemné pripojenie na úrovni prístupového bodu.</w:t>
      </w:r>
    </w:p>
    <w:p w:rsidR="005E40F8" w:rsidRDefault="007C521D">
      <w:pPr>
        <w:pStyle w:val="Text1"/>
        <w:pBdr>
          <w:top w:val="single" w:sz="4" w:space="1" w:color="auto"/>
          <w:left w:val="single" w:sz="4" w:space="4" w:color="auto"/>
          <w:bottom w:val="single" w:sz="4" w:space="1" w:color="auto"/>
          <w:right w:val="single" w:sz="4" w:space="4" w:color="auto"/>
        </w:pBdr>
        <w:rPr>
          <w:noProof/>
          <w:szCs w:val="24"/>
        </w:rPr>
      </w:pPr>
      <w:r>
        <w:rPr>
          <w:noProof/>
        </w:rPr>
        <w:t>Reputačné riziko: kvalita služieb sa zabezpečí zaviazaním sa príjemcov využívať širokopásmové pripojenie s veľmi vysokou rýchlosťou umožňujúce používateľom využívanie inte</w:t>
      </w:r>
      <w:r>
        <w:rPr>
          <w:noProof/>
        </w:rPr>
        <w:t>rnetu vo vysokej kvalite, pričom sa bude pravidelne monitorovať.</w:t>
      </w:r>
    </w:p>
    <w:p w:rsidR="005E40F8" w:rsidRDefault="007C521D">
      <w:pPr>
        <w:pStyle w:val="ManualHeading3"/>
        <w:rPr>
          <w:bCs/>
          <w:noProof/>
          <w:szCs w:val="24"/>
        </w:rPr>
      </w:pPr>
      <w:r>
        <w:t>2.2.2.</w:t>
      </w:r>
      <w:r>
        <w:tab/>
      </w:r>
      <w:r>
        <w:rPr>
          <w:noProof/>
        </w:rPr>
        <w:t>Údaje o zavedenom systéme vnútornej kontroly</w:t>
      </w:r>
    </w:p>
    <w:p w:rsidR="005E40F8" w:rsidRDefault="007C521D">
      <w:pPr>
        <w:pStyle w:val="Text1"/>
        <w:pBdr>
          <w:top w:val="single" w:sz="4" w:space="1" w:color="auto"/>
          <w:left w:val="single" w:sz="4" w:space="4" w:color="auto"/>
          <w:bottom w:val="single" w:sz="4" w:space="1" w:color="auto"/>
          <w:right w:val="single" w:sz="4" w:space="4" w:color="auto"/>
        </w:pBdr>
        <w:rPr>
          <w:noProof/>
        </w:rPr>
      </w:pPr>
      <w:r>
        <w:rPr>
          <w:noProof/>
        </w:rPr>
        <w:t>Dohody a rozhodnutia o vykonávaní opatrení v rámci NPE zabezpečia dohľad a finančnú kontrolu zo strany Komisie alebo akéhokoľvek zástupcu s</w:t>
      </w:r>
      <w:r>
        <w:rPr>
          <w:noProof/>
        </w:rPr>
        <w:t>plnomocneného Komisiou, ako aj audity vykonávané Dvorom audítorov a kontroly na mieste vykonávané Európskym úradom pre boj proti podvodom (OLAF) v súlade s postupmi stanovenými v nariadení Rady (Euratom, ES) č. 2185/96 z 11. novembra 1996 o kontrolách a in</w:t>
      </w:r>
      <w:r>
        <w:rPr>
          <w:noProof/>
        </w:rPr>
        <w:t>špekciách na mieste, vykonávaných Komisiou s cieľom ochrany finančných záujmov Európskych spoločenstiev pred spreneverou a inými podvodmi a nariadení Európskeho parlamentu a Rady (ES) č. 1073/1999 z 25. mája 1999 o vyšetrovaniach vykonávaných Európskym úra</w:t>
      </w:r>
      <w:r>
        <w:rPr>
          <w:noProof/>
        </w:rPr>
        <w:t>dom pre boj proti podvodom (OLAF).</w:t>
      </w:r>
    </w:p>
    <w:p w:rsidR="005E40F8" w:rsidRDefault="007C521D">
      <w:pPr>
        <w:pStyle w:val="ManualHeading3"/>
        <w:rPr>
          <w:noProof/>
        </w:rPr>
      </w:pPr>
      <w:r>
        <w:t>2.2.3.</w:t>
      </w:r>
      <w:r>
        <w:tab/>
      </w:r>
      <w:r>
        <w:rPr>
          <w:noProof/>
        </w:rPr>
        <w:t xml:space="preserve">Odhad nákladov a prínosov kontrol a posúdenie očakávanej úrovne rizika chyby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320"/>
        <w:gridCol w:w="2040"/>
        <w:gridCol w:w="1942"/>
        <w:gridCol w:w="1237"/>
      </w:tblGrid>
      <w:tr w:rsidR="005E40F8">
        <w:trPr>
          <w:trHeight w:val="680"/>
        </w:trPr>
        <w:tc>
          <w:tcPr>
            <w:tcW w:w="1920" w:type="dxa"/>
          </w:tcPr>
          <w:p w:rsidR="005E40F8" w:rsidRDefault="007C521D">
            <w:pPr>
              <w:spacing w:before="0" w:after="0"/>
              <w:jc w:val="left"/>
              <w:rPr>
                <w:b/>
                <w:noProof/>
                <w:sz w:val="20"/>
                <w:szCs w:val="24"/>
              </w:rPr>
            </w:pPr>
            <w:r>
              <w:rPr>
                <w:b/>
                <w:noProof/>
                <w:sz w:val="20"/>
              </w:rPr>
              <w:t>Zhrnutie kontrol</w:t>
            </w:r>
          </w:p>
        </w:tc>
        <w:tc>
          <w:tcPr>
            <w:tcW w:w="1320" w:type="dxa"/>
          </w:tcPr>
          <w:p w:rsidR="005E40F8" w:rsidRDefault="007C521D">
            <w:pPr>
              <w:spacing w:before="0" w:after="0"/>
              <w:jc w:val="left"/>
              <w:rPr>
                <w:b/>
                <w:noProof/>
                <w:sz w:val="20"/>
                <w:szCs w:val="24"/>
              </w:rPr>
            </w:pPr>
            <w:r>
              <w:rPr>
                <w:b/>
                <w:noProof/>
                <w:sz w:val="20"/>
              </w:rPr>
              <w:t>Suma v mil. EUR</w:t>
            </w:r>
          </w:p>
        </w:tc>
        <w:tc>
          <w:tcPr>
            <w:tcW w:w="2040" w:type="dxa"/>
          </w:tcPr>
          <w:p w:rsidR="005E40F8" w:rsidRDefault="007C521D">
            <w:pPr>
              <w:spacing w:before="0" w:after="0"/>
              <w:jc w:val="left"/>
              <w:rPr>
                <w:b/>
                <w:noProof/>
                <w:sz w:val="20"/>
                <w:szCs w:val="24"/>
              </w:rPr>
            </w:pPr>
            <w:r>
              <w:rPr>
                <w:b/>
                <w:noProof/>
                <w:sz w:val="20"/>
              </w:rPr>
              <w:t>Počet príjemcov: transakcie (% z celkového počtu)</w:t>
            </w:r>
          </w:p>
        </w:tc>
        <w:tc>
          <w:tcPr>
            <w:tcW w:w="1942" w:type="dxa"/>
          </w:tcPr>
          <w:p w:rsidR="005E40F8" w:rsidRDefault="007C521D">
            <w:pPr>
              <w:spacing w:before="0" w:after="0"/>
              <w:jc w:val="left"/>
              <w:rPr>
                <w:b/>
                <w:noProof/>
                <w:sz w:val="20"/>
                <w:szCs w:val="24"/>
              </w:rPr>
            </w:pPr>
            <w:r>
              <w:rPr>
                <w:b/>
                <w:noProof/>
                <w:sz w:val="20"/>
              </w:rPr>
              <w:t>Hĺbka kontroly * (hodnotenie 1 – 4)</w:t>
            </w:r>
          </w:p>
        </w:tc>
        <w:tc>
          <w:tcPr>
            <w:tcW w:w="1237" w:type="dxa"/>
          </w:tcPr>
          <w:p w:rsidR="005E40F8" w:rsidRDefault="007C521D">
            <w:pPr>
              <w:spacing w:before="0" w:after="0"/>
              <w:jc w:val="left"/>
              <w:rPr>
                <w:b/>
                <w:noProof/>
                <w:sz w:val="20"/>
                <w:szCs w:val="24"/>
              </w:rPr>
            </w:pPr>
            <w:r>
              <w:rPr>
                <w:b/>
                <w:noProof/>
                <w:sz w:val="20"/>
              </w:rPr>
              <w:t xml:space="preserve">Pokrytie (% </w:t>
            </w:r>
            <w:r>
              <w:rPr>
                <w:b/>
                <w:noProof/>
                <w:sz w:val="20"/>
              </w:rPr>
              <w:t>hodnoty)</w:t>
            </w:r>
          </w:p>
        </w:tc>
      </w:tr>
      <w:tr w:rsidR="005E40F8">
        <w:trPr>
          <w:trHeight w:val="555"/>
        </w:trPr>
        <w:tc>
          <w:tcPr>
            <w:tcW w:w="1920" w:type="dxa"/>
            <w:vMerge w:val="restart"/>
          </w:tcPr>
          <w:p w:rsidR="005E40F8" w:rsidRDefault="007C521D">
            <w:pPr>
              <w:spacing w:before="0" w:after="0"/>
              <w:jc w:val="center"/>
              <w:rPr>
                <w:noProof/>
                <w:sz w:val="20"/>
                <w:szCs w:val="24"/>
              </w:rPr>
            </w:pPr>
            <w:r>
              <w:rPr>
                <w:noProof/>
                <w:sz w:val="20"/>
              </w:rPr>
              <w:t>Riadenie opatrení od hodnotenia po audity ex-post</w:t>
            </w:r>
          </w:p>
        </w:tc>
        <w:tc>
          <w:tcPr>
            <w:tcW w:w="1320" w:type="dxa"/>
            <w:vMerge w:val="restart"/>
          </w:tcPr>
          <w:p w:rsidR="005E40F8" w:rsidRDefault="005E40F8">
            <w:pPr>
              <w:spacing w:before="0" w:after="0"/>
              <w:jc w:val="center"/>
              <w:rPr>
                <w:noProof/>
                <w:sz w:val="20"/>
                <w:szCs w:val="24"/>
              </w:rPr>
            </w:pPr>
          </w:p>
          <w:p w:rsidR="005E40F8" w:rsidRDefault="007C521D">
            <w:pPr>
              <w:spacing w:before="0" w:after="0"/>
              <w:jc w:val="center"/>
              <w:rPr>
                <w:noProof/>
                <w:sz w:val="20"/>
                <w:szCs w:val="24"/>
              </w:rPr>
            </w:pPr>
            <w:r>
              <w:rPr>
                <w:noProof/>
                <w:sz w:val="20"/>
              </w:rPr>
              <w:t>0,060</w:t>
            </w:r>
          </w:p>
        </w:tc>
        <w:tc>
          <w:tcPr>
            <w:tcW w:w="2040" w:type="dxa"/>
          </w:tcPr>
          <w:p w:rsidR="005E40F8" w:rsidRDefault="007C521D">
            <w:pPr>
              <w:spacing w:before="0" w:after="0"/>
              <w:jc w:val="left"/>
              <w:rPr>
                <w:noProof/>
                <w:sz w:val="20"/>
                <w:szCs w:val="24"/>
              </w:rPr>
            </w:pPr>
            <w:r>
              <w:rPr>
                <w:noProof/>
                <w:sz w:val="20"/>
              </w:rPr>
              <w:t>1) celkové monitorovanie všetkých projektov: 100 %</w:t>
            </w:r>
          </w:p>
        </w:tc>
        <w:tc>
          <w:tcPr>
            <w:tcW w:w="1942" w:type="dxa"/>
          </w:tcPr>
          <w:p w:rsidR="005E40F8" w:rsidRDefault="007C521D">
            <w:pPr>
              <w:spacing w:before="0" w:after="0"/>
              <w:jc w:val="center"/>
              <w:rPr>
                <w:noProof/>
                <w:sz w:val="20"/>
                <w:szCs w:val="24"/>
              </w:rPr>
            </w:pPr>
            <w:r>
              <w:rPr>
                <w:noProof/>
                <w:sz w:val="20"/>
              </w:rPr>
              <w:t>1</w:t>
            </w:r>
          </w:p>
        </w:tc>
        <w:tc>
          <w:tcPr>
            <w:tcW w:w="1237" w:type="dxa"/>
          </w:tcPr>
          <w:p w:rsidR="005E40F8" w:rsidRDefault="007C521D">
            <w:pPr>
              <w:spacing w:before="0" w:after="0"/>
              <w:jc w:val="center"/>
              <w:rPr>
                <w:noProof/>
                <w:sz w:val="20"/>
                <w:szCs w:val="24"/>
              </w:rPr>
            </w:pPr>
            <w:r>
              <w:rPr>
                <w:noProof/>
                <w:sz w:val="20"/>
              </w:rPr>
              <w:t>100 %</w:t>
            </w:r>
          </w:p>
        </w:tc>
      </w:tr>
      <w:tr w:rsidR="005E40F8">
        <w:trPr>
          <w:trHeight w:val="555"/>
        </w:trPr>
        <w:tc>
          <w:tcPr>
            <w:tcW w:w="1920" w:type="dxa"/>
            <w:vMerge/>
          </w:tcPr>
          <w:p w:rsidR="005E40F8" w:rsidRDefault="005E40F8">
            <w:pPr>
              <w:spacing w:before="0" w:after="0"/>
              <w:jc w:val="center"/>
              <w:rPr>
                <w:noProof/>
                <w:sz w:val="20"/>
                <w:szCs w:val="24"/>
              </w:rPr>
            </w:pPr>
          </w:p>
        </w:tc>
        <w:tc>
          <w:tcPr>
            <w:tcW w:w="1320" w:type="dxa"/>
            <w:vMerge/>
          </w:tcPr>
          <w:p w:rsidR="005E40F8" w:rsidRDefault="005E40F8">
            <w:pPr>
              <w:spacing w:before="0" w:after="0"/>
              <w:jc w:val="center"/>
              <w:rPr>
                <w:noProof/>
                <w:sz w:val="20"/>
                <w:szCs w:val="24"/>
              </w:rPr>
            </w:pPr>
          </w:p>
        </w:tc>
        <w:tc>
          <w:tcPr>
            <w:tcW w:w="2040" w:type="dxa"/>
          </w:tcPr>
          <w:p w:rsidR="005E40F8" w:rsidRDefault="007C521D">
            <w:pPr>
              <w:spacing w:before="0" w:after="0"/>
              <w:jc w:val="left"/>
              <w:rPr>
                <w:noProof/>
                <w:sz w:val="20"/>
                <w:szCs w:val="24"/>
              </w:rPr>
            </w:pPr>
            <w:r>
              <w:rPr>
                <w:noProof/>
                <w:sz w:val="20"/>
              </w:rPr>
              <w:t>2) audit vybraných projektov: 5 %</w:t>
            </w:r>
          </w:p>
        </w:tc>
        <w:tc>
          <w:tcPr>
            <w:tcW w:w="1942" w:type="dxa"/>
          </w:tcPr>
          <w:p w:rsidR="005E40F8" w:rsidRDefault="007C521D">
            <w:pPr>
              <w:spacing w:before="0" w:after="0"/>
              <w:jc w:val="center"/>
              <w:rPr>
                <w:noProof/>
                <w:sz w:val="20"/>
                <w:szCs w:val="24"/>
              </w:rPr>
            </w:pPr>
            <w:r>
              <w:rPr>
                <w:noProof/>
                <w:sz w:val="20"/>
              </w:rPr>
              <w:t>4</w:t>
            </w:r>
          </w:p>
        </w:tc>
        <w:tc>
          <w:tcPr>
            <w:tcW w:w="1237" w:type="dxa"/>
          </w:tcPr>
          <w:p w:rsidR="005E40F8" w:rsidRDefault="007C521D">
            <w:pPr>
              <w:spacing w:before="0" w:after="0"/>
              <w:jc w:val="center"/>
              <w:rPr>
                <w:noProof/>
                <w:sz w:val="20"/>
                <w:szCs w:val="24"/>
              </w:rPr>
            </w:pPr>
            <w:r>
              <w:rPr>
                <w:noProof/>
                <w:sz w:val="20"/>
              </w:rPr>
              <w:t>10 %</w:t>
            </w:r>
          </w:p>
        </w:tc>
      </w:tr>
    </w:tbl>
    <w:p w:rsidR="005E40F8" w:rsidRDefault="007C521D">
      <w:pPr>
        <w:pStyle w:val="ManualHeading2"/>
        <w:rPr>
          <w:noProof/>
        </w:rPr>
      </w:pPr>
      <w:r>
        <w:t>2.3.</w:t>
      </w:r>
      <w:r>
        <w:tab/>
      </w:r>
      <w:r>
        <w:rPr>
          <w:noProof/>
        </w:rPr>
        <w:t>Opatrenia na predchádzanie podvodom a nezrovnalostiam</w:t>
      </w:r>
    </w:p>
    <w:p w:rsidR="005E40F8" w:rsidRDefault="007C521D">
      <w:pPr>
        <w:pStyle w:val="Text1"/>
        <w:rPr>
          <w:i/>
          <w:noProof/>
          <w:sz w:val="20"/>
        </w:rPr>
      </w:pPr>
      <w:r>
        <w:rPr>
          <w:i/>
          <w:noProof/>
          <w:sz w:val="20"/>
        </w:rPr>
        <w:t xml:space="preserve">Uveďte existujúce a </w:t>
      </w:r>
      <w:r>
        <w:rPr>
          <w:i/>
          <w:noProof/>
          <w:sz w:val="20"/>
        </w:rPr>
        <w:t>plánované preventívne a ochranné opatrenia.</w:t>
      </w:r>
    </w:p>
    <w:p w:rsidR="005E40F8" w:rsidRDefault="007C521D">
      <w:pPr>
        <w:pStyle w:val="Text1"/>
        <w:pBdr>
          <w:top w:val="single" w:sz="4" w:space="1" w:color="auto"/>
          <w:left w:val="single" w:sz="4" w:space="4" w:color="auto"/>
          <w:bottom w:val="single" w:sz="4" w:space="1" w:color="auto"/>
          <w:right w:val="single" w:sz="4" w:space="4" w:color="auto"/>
        </w:pBdr>
        <w:rPr>
          <w:noProof/>
          <w:szCs w:val="24"/>
        </w:rPr>
      </w:pPr>
      <w:r>
        <w:rPr>
          <w:noProof/>
        </w:rPr>
        <w:t>Komisia zabezpečí, aby sa pri vykonávaní opatrení financovaných podľa tohto nariadenia finančné záujmy Únie chránili uplatňovaním preventívnych opatrení proti podvodom, korupcii a akýmkoľvek iným nezákonným činno</w:t>
      </w:r>
      <w:r>
        <w:rPr>
          <w:noProof/>
        </w:rPr>
        <w:t xml:space="preserve">stiam, a to pomocou účinných kontrol a vymáhania neoprávnene vyplatených súm a v prípade zistenia nezrovnalostí účinnými, primeranými a odradzujúcimi sankciami v súlade s nariadením Rady (ES, Euratom) č. 2988/95, nariadením Rady (Euratom, ES) č. 2185/96 a </w:t>
      </w:r>
      <w:r>
        <w:rPr>
          <w:noProof/>
        </w:rPr>
        <w:t>nariadením Európskeho parlamentu a Rady (ES) č. 1073/1999.</w:t>
      </w:r>
    </w:p>
    <w:p w:rsidR="005E40F8" w:rsidRDefault="007C521D">
      <w:pPr>
        <w:pBdr>
          <w:top w:val="single" w:sz="4" w:space="1" w:color="auto"/>
          <w:left w:val="single" w:sz="4" w:space="4" w:color="auto"/>
          <w:bottom w:val="single" w:sz="4" w:space="1" w:color="auto"/>
          <w:right w:val="single" w:sz="4" w:space="4" w:color="auto"/>
        </w:pBdr>
        <w:spacing w:before="0" w:after="0"/>
        <w:ind w:left="850"/>
        <w:jc w:val="left"/>
        <w:rPr>
          <w:noProof/>
          <w:szCs w:val="24"/>
        </w:rPr>
      </w:pPr>
      <w:r>
        <w:rPr>
          <w:noProof/>
        </w:rPr>
        <w:t>Zmluvy budú založené na štandardných vzoroch, ktoré budú upravovať všeobecne platné opatrenia proti podvodom.</w:t>
      </w:r>
    </w:p>
    <w:p w:rsidR="005E40F8" w:rsidRDefault="007C521D">
      <w:pPr>
        <w:pStyle w:val="ManualHeading1"/>
        <w:rPr>
          <w:noProof/>
        </w:rPr>
      </w:pPr>
      <w:r>
        <w:t>3.</w:t>
      </w:r>
      <w:r>
        <w:tab/>
      </w:r>
      <w:r>
        <w:rPr>
          <w:noProof/>
        </w:rPr>
        <w:t>ODHADOVANÝ FINANČNÝ VPLYV NÁVRHU/INICIATÍVY</w:t>
      </w:r>
    </w:p>
    <w:p w:rsidR="005E40F8" w:rsidRDefault="007C521D">
      <w:pPr>
        <w:pStyle w:val="ManualHeading2"/>
        <w:rPr>
          <w:noProof/>
        </w:rPr>
      </w:pPr>
      <w:r>
        <w:t>3.1.</w:t>
      </w:r>
      <w:r>
        <w:tab/>
      </w:r>
      <w:r>
        <w:rPr>
          <w:noProof/>
        </w:rPr>
        <w:t>Príslušné okruhy viacročného finanč</w:t>
      </w:r>
      <w:r>
        <w:rPr>
          <w:noProof/>
        </w:rPr>
        <w:t>ného rámca a rozpočtové riadky výdavkov</w:t>
      </w:r>
    </w:p>
    <w:p w:rsidR="005E40F8" w:rsidRDefault="007C521D">
      <w:pPr>
        <w:pStyle w:val="ListBullet1"/>
        <w:rPr>
          <w:noProof/>
        </w:rPr>
      </w:pPr>
      <w:r>
        <w:rPr>
          <w:noProof/>
        </w:rPr>
        <w:t>Požadované nové rozpočtové riadky</w:t>
      </w:r>
    </w:p>
    <w:p w:rsidR="005E40F8" w:rsidRDefault="007C521D">
      <w:pPr>
        <w:pStyle w:val="Text1"/>
        <w:rPr>
          <w:i/>
          <w:noProof/>
          <w:sz w:val="20"/>
        </w:rPr>
      </w:pPr>
      <w:r>
        <w:rPr>
          <w:i/>
          <w:noProof/>
          <w:u w:val="single"/>
        </w:rPr>
        <w:t>V poradí</w:t>
      </w:r>
      <w:r>
        <w:rPr>
          <w:i/>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E40F8">
        <w:tc>
          <w:tcPr>
            <w:tcW w:w="1080" w:type="dxa"/>
            <w:vMerge w:val="restart"/>
            <w:vAlign w:val="center"/>
          </w:tcPr>
          <w:p w:rsidR="005E40F8" w:rsidRDefault="007C521D">
            <w:pPr>
              <w:spacing w:before="60" w:after="60"/>
              <w:jc w:val="center"/>
              <w:rPr>
                <w:noProof/>
                <w:sz w:val="18"/>
                <w:szCs w:val="18"/>
              </w:rPr>
            </w:pPr>
            <w:r>
              <w:rPr>
                <w:noProof/>
                <w:sz w:val="18"/>
              </w:rPr>
              <w:t>Okruh viacročného finančného rámca</w:t>
            </w:r>
          </w:p>
        </w:tc>
        <w:tc>
          <w:tcPr>
            <w:tcW w:w="3960" w:type="dxa"/>
            <w:vAlign w:val="center"/>
          </w:tcPr>
          <w:p w:rsidR="005E40F8" w:rsidRDefault="007C521D">
            <w:pPr>
              <w:spacing w:before="60" w:after="60"/>
              <w:jc w:val="center"/>
              <w:rPr>
                <w:noProof/>
              </w:rPr>
            </w:pPr>
            <w:r>
              <w:rPr>
                <w:noProof/>
                <w:sz w:val="20"/>
              </w:rPr>
              <w:t>Rozpočtový riadok</w:t>
            </w:r>
          </w:p>
        </w:tc>
        <w:tc>
          <w:tcPr>
            <w:tcW w:w="1080" w:type="dxa"/>
            <w:vAlign w:val="center"/>
          </w:tcPr>
          <w:p w:rsidR="005E40F8" w:rsidRDefault="007C521D">
            <w:pPr>
              <w:spacing w:before="60" w:after="60"/>
              <w:jc w:val="center"/>
              <w:rPr>
                <w:noProof/>
              </w:rPr>
            </w:pPr>
            <w:r>
              <w:rPr>
                <w:noProof/>
                <w:sz w:val="18"/>
              </w:rPr>
              <w:t>Druh</w:t>
            </w:r>
            <w:r>
              <w:rPr>
                <w:noProof/>
                <w:sz w:val="22"/>
              </w:rPr>
              <w:br/>
            </w:r>
            <w:r>
              <w:rPr>
                <w:noProof/>
                <w:sz w:val="18"/>
              </w:rPr>
              <w:t>výdavkov</w:t>
            </w:r>
          </w:p>
        </w:tc>
        <w:tc>
          <w:tcPr>
            <w:tcW w:w="4440" w:type="dxa"/>
            <w:gridSpan w:val="4"/>
            <w:vAlign w:val="center"/>
          </w:tcPr>
          <w:p w:rsidR="005E40F8" w:rsidRDefault="007C521D">
            <w:pPr>
              <w:spacing w:before="60" w:after="60"/>
              <w:jc w:val="center"/>
              <w:rPr>
                <w:noProof/>
              </w:rPr>
            </w:pPr>
            <w:r>
              <w:rPr>
                <w:noProof/>
                <w:sz w:val="20"/>
              </w:rPr>
              <w:t xml:space="preserve">Príspevky </w:t>
            </w:r>
          </w:p>
        </w:tc>
      </w:tr>
      <w:tr w:rsidR="005E40F8">
        <w:tc>
          <w:tcPr>
            <w:tcW w:w="1080" w:type="dxa"/>
            <w:vMerge/>
            <w:vAlign w:val="center"/>
          </w:tcPr>
          <w:p w:rsidR="005E40F8" w:rsidRDefault="005E40F8">
            <w:pPr>
              <w:jc w:val="center"/>
              <w:rPr>
                <w:noProof/>
              </w:rPr>
            </w:pPr>
          </w:p>
        </w:tc>
        <w:tc>
          <w:tcPr>
            <w:tcW w:w="3960" w:type="dxa"/>
            <w:vAlign w:val="center"/>
          </w:tcPr>
          <w:p w:rsidR="005E40F8" w:rsidRDefault="007C521D">
            <w:pPr>
              <w:rPr>
                <w:noProof/>
              </w:rPr>
            </w:pPr>
            <w:r>
              <w:rPr>
                <w:noProof/>
                <w:sz w:val="20"/>
              </w:rPr>
              <w:t xml:space="preserve">1a </w:t>
            </w:r>
            <w:r>
              <w:rPr>
                <w:noProof/>
                <w:sz w:val="20"/>
              </w:rPr>
              <w:t>Konkurencieschopnosť pre rast a zamestnanosť</w:t>
            </w:r>
          </w:p>
        </w:tc>
        <w:tc>
          <w:tcPr>
            <w:tcW w:w="1080" w:type="dxa"/>
            <w:vAlign w:val="center"/>
          </w:tcPr>
          <w:p w:rsidR="005E40F8" w:rsidRDefault="007C521D">
            <w:pPr>
              <w:jc w:val="center"/>
              <w:rPr>
                <w:noProof/>
              </w:rPr>
            </w:pPr>
            <w:r>
              <w:rPr>
                <w:noProof/>
                <w:sz w:val="18"/>
              </w:rPr>
              <w:t>DRP/NRP</w:t>
            </w:r>
          </w:p>
        </w:tc>
        <w:tc>
          <w:tcPr>
            <w:tcW w:w="956" w:type="dxa"/>
            <w:vAlign w:val="center"/>
          </w:tcPr>
          <w:p w:rsidR="005E40F8" w:rsidRDefault="007C521D">
            <w:pPr>
              <w:jc w:val="center"/>
              <w:rPr>
                <w:noProof/>
                <w:sz w:val="18"/>
              </w:rPr>
            </w:pPr>
            <w:r>
              <w:rPr>
                <w:noProof/>
                <w:sz w:val="18"/>
              </w:rPr>
              <w:t>krajín EZVO</w:t>
            </w:r>
          </w:p>
        </w:tc>
        <w:tc>
          <w:tcPr>
            <w:tcW w:w="1080" w:type="dxa"/>
            <w:vAlign w:val="center"/>
          </w:tcPr>
          <w:p w:rsidR="005E40F8" w:rsidRDefault="007C521D">
            <w:pPr>
              <w:jc w:val="center"/>
              <w:rPr>
                <w:noProof/>
                <w:sz w:val="18"/>
              </w:rPr>
            </w:pPr>
            <w:r>
              <w:rPr>
                <w:noProof/>
                <w:sz w:val="18"/>
              </w:rPr>
              <w:t>kandidátskych krajín</w:t>
            </w:r>
          </w:p>
        </w:tc>
        <w:tc>
          <w:tcPr>
            <w:tcW w:w="956" w:type="dxa"/>
            <w:vAlign w:val="center"/>
          </w:tcPr>
          <w:p w:rsidR="005E40F8" w:rsidRDefault="007C521D">
            <w:pPr>
              <w:jc w:val="center"/>
              <w:rPr>
                <w:noProof/>
                <w:sz w:val="18"/>
              </w:rPr>
            </w:pPr>
            <w:r>
              <w:rPr>
                <w:noProof/>
                <w:sz w:val="18"/>
              </w:rPr>
              <w:t>tretích krajín</w:t>
            </w:r>
          </w:p>
        </w:tc>
        <w:tc>
          <w:tcPr>
            <w:tcW w:w="1448" w:type="dxa"/>
            <w:vAlign w:val="center"/>
          </w:tcPr>
          <w:p w:rsidR="005E40F8" w:rsidRDefault="007C521D">
            <w:pPr>
              <w:jc w:val="center"/>
              <w:rPr>
                <w:noProof/>
              </w:rPr>
            </w:pPr>
            <w:r>
              <w:rPr>
                <w:noProof/>
                <w:sz w:val="16"/>
              </w:rPr>
              <w:t xml:space="preserve">v zmysle článku 21 ods. 2 písm. b) nariadenia o rozpočtových pravidlách </w:t>
            </w:r>
          </w:p>
        </w:tc>
      </w:tr>
      <w:tr w:rsidR="005E40F8">
        <w:tc>
          <w:tcPr>
            <w:tcW w:w="1080" w:type="dxa"/>
            <w:vAlign w:val="center"/>
          </w:tcPr>
          <w:p w:rsidR="005E40F8" w:rsidRDefault="005E40F8">
            <w:pPr>
              <w:jc w:val="center"/>
              <w:rPr>
                <w:noProof/>
                <w:color w:val="0000FF"/>
              </w:rPr>
            </w:pPr>
          </w:p>
        </w:tc>
        <w:tc>
          <w:tcPr>
            <w:tcW w:w="3960" w:type="dxa"/>
            <w:vAlign w:val="center"/>
          </w:tcPr>
          <w:p w:rsidR="005E40F8" w:rsidRDefault="007C521D">
            <w:pPr>
              <w:spacing w:after="60"/>
              <w:rPr>
                <w:noProof/>
              </w:rPr>
            </w:pPr>
            <w:r>
              <w:rPr>
                <w:b/>
                <w:noProof/>
                <w:sz w:val="20"/>
              </w:rPr>
              <w:t>09 03 04 Bezdrôtové pripojenie pre EÚ (W4EU)</w:t>
            </w:r>
          </w:p>
        </w:tc>
        <w:tc>
          <w:tcPr>
            <w:tcW w:w="1080" w:type="dxa"/>
            <w:vAlign w:val="center"/>
          </w:tcPr>
          <w:p w:rsidR="005E40F8" w:rsidRDefault="007C521D">
            <w:pPr>
              <w:jc w:val="center"/>
              <w:rPr>
                <w:noProof/>
              </w:rPr>
            </w:pPr>
            <w:r>
              <w:rPr>
                <w:noProof/>
              </w:rPr>
              <w:t>DRP</w:t>
            </w:r>
          </w:p>
        </w:tc>
        <w:tc>
          <w:tcPr>
            <w:tcW w:w="956" w:type="dxa"/>
            <w:vAlign w:val="center"/>
          </w:tcPr>
          <w:p w:rsidR="005E40F8" w:rsidRDefault="007C521D">
            <w:pPr>
              <w:jc w:val="center"/>
              <w:rPr>
                <w:noProof/>
              </w:rPr>
            </w:pPr>
            <w:r>
              <w:rPr>
                <w:noProof/>
                <w:sz w:val="22"/>
              </w:rPr>
              <w:t>ÁNO</w:t>
            </w:r>
          </w:p>
        </w:tc>
        <w:tc>
          <w:tcPr>
            <w:tcW w:w="1080" w:type="dxa"/>
            <w:vAlign w:val="center"/>
          </w:tcPr>
          <w:p w:rsidR="005E40F8" w:rsidRDefault="007C521D">
            <w:pPr>
              <w:jc w:val="center"/>
              <w:rPr>
                <w:noProof/>
                <w:color w:val="0000FF"/>
                <w:sz w:val="18"/>
              </w:rPr>
            </w:pPr>
            <w:r>
              <w:rPr>
                <w:noProof/>
                <w:sz w:val="22"/>
              </w:rPr>
              <w:t>NIE</w:t>
            </w:r>
          </w:p>
        </w:tc>
        <w:tc>
          <w:tcPr>
            <w:tcW w:w="956" w:type="dxa"/>
            <w:vAlign w:val="center"/>
          </w:tcPr>
          <w:p w:rsidR="005E40F8" w:rsidRDefault="007C521D">
            <w:pPr>
              <w:jc w:val="center"/>
              <w:rPr>
                <w:noProof/>
                <w:color w:val="0000FF"/>
                <w:sz w:val="18"/>
              </w:rPr>
            </w:pPr>
            <w:r>
              <w:rPr>
                <w:noProof/>
                <w:sz w:val="22"/>
              </w:rPr>
              <w:t>NIE</w:t>
            </w:r>
          </w:p>
        </w:tc>
        <w:tc>
          <w:tcPr>
            <w:tcW w:w="1448" w:type="dxa"/>
            <w:vAlign w:val="center"/>
          </w:tcPr>
          <w:p w:rsidR="005E40F8" w:rsidRDefault="007C521D">
            <w:pPr>
              <w:jc w:val="center"/>
              <w:rPr>
                <w:noProof/>
              </w:rPr>
            </w:pPr>
            <w:r>
              <w:rPr>
                <w:noProof/>
                <w:sz w:val="22"/>
              </w:rPr>
              <w:t>NIE</w:t>
            </w:r>
          </w:p>
        </w:tc>
      </w:tr>
    </w:tbl>
    <w:p w:rsidR="005E40F8" w:rsidRDefault="005E40F8">
      <w:pPr>
        <w:rPr>
          <w:noProof/>
        </w:rPr>
        <w:sectPr w:rsidR="005E40F8" w:rsidSect="007C521D">
          <w:pgSz w:w="11907" w:h="16840" w:code="1"/>
          <w:pgMar w:top="1134" w:right="1418" w:bottom="1134" w:left="1418" w:header="709" w:footer="709" w:gutter="0"/>
          <w:cols w:space="708"/>
          <w:docGrid w:linePitch="360"/>
        </w:sectPr>
      </w:pPr>
    </w:p>
    <w:p w:rsidR="005E40F8" w:rsidRDefault="007C521D">
      <w:pPr>
        <w:pStyle w:val="ManualHeading2"/>
        <w:rPr>
          <w:noProof/>
        </w:rPr>
      </w:pPr>
      <w:r>
        <w:t>3.2.</w:t>
      </w:r>
      <w:r>
        <w:tab/>
      </w:r>
      <w:r>
        <w:rPr>
          <w:noProof/>
        </w:rPr>
        <w:t>Odhadovaný vplyv na výdavky</w:t>
      </w:r>
    </w:p>
    <w:p w:rsidR="005E40F8" w:rsidRDefault="007C521D">
      <w:pPr>
        <w:pStyle w:val="Text1"/>
        <w:rPr>
          <w:noProof/>
        </w:rPr>
      </w:pPr>
      <w:r>
        <w:rPr>
          <w:noProof/>
          <w:highlight w:val="lightGray"/>
        </w:rPr>
        <w:t xml:space="preserve">[Tento oddiel sa vyplní použitím </w:t>
      </w:r>
      <w:hyperlink r:id="rId18">
        <w:r>
          <w:rPr>
            <w:rStyle w:val="Hyperlink"/>
            <w:rFonts w:ascii="Times New Roman" w:hAnsi="Times New Roman"/>
            <w:b/>
            <w:noProof/>
          </w:rPr>
          <w:t>tabuľky s rozpočtovými údajmi administratívnej povahy</w:t>
        </w:r>
      </w:hyperlink>
      <w:r>
        <w:rPr>
          <w:noProof/>
          <w:highlight w:val="lightGray"/>
        </w:rPr>
        <w:t xml:space="preserve"> (druhý dokument v prílohe k tom</w:t>
      </w:r>
      <w:r>
        <w:rPr>
          <w:noProof/>
          <w:highlight w:val="lightGray"/>
        </w:rPr>
        <w:t>uto finančnému výkazu) a na účely konzultácie medzi útvarmi sa vloží do aplikácie DECIDE.]</w:t>
      </w:r>
    </w:p>
    <w:p w:rsidR="005E40F8" w:rsidRDefault="007C521D">
      <w:pPr>
        <w:pStyle w:val="ManualHeading3"/>
        <w:rPr>
          <w:noProof/>
        </w:rPr>
      </w:pPr>
      <w:r>
        <w:t>3.2.1.</w:t>
      </w:r>
      <w:r>
        <w:tab/>
      </w:r>
      <w:r>
        <w:rPr>
          <w:noProof/>
        </w:rPr>
        <w:t>Zhrnutie odhadovaného vplyvu na výdavky</w:t>
      </w:r>
    </w:p>
    <w:p w:rsidR="005E40F8" w:rsidRDefault="007C521D">
      <w:pPr>
        <w:jc w:val="right"/>
        <w:rPr>
          <w:noProof/>
          <w:sz w:val="20"/>
        </w:rPr>
      </w:pPr>
      <w:r>
        <w:rPr>
          <w:noProof/>
          <w:sz w:val="20"/>
        </w:rPr>
        <w:t>v mil. EUR (zaokrúhlené na 3 desatinné miesta)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960"/>
        <w:gridCol w:w="7102"/>
      </w:tblGrid>
      <w:tr w:rsidR="005E40F8">
        <w:trPr>
          <w:jc w:val="center"/>
        </w:trPr>
        <w:tc>
          <w:tcPr>
            <w:tcW w:w="5579" w:type="dxa"/>
            <w:shd w:val="thinDiagStripe" w:color="C0C0C0" w:fill="auto"/>
            <w:vAlign w:val="center"/>
          </w:tcPr>
          <w:p w:rsidR="005E40F8" w:rsidRDefault="007C521D">
            <w:pPr>
              <w:spacing w:before="60" w:after="60"/>
              <w:jc w:val="center"/>
              <w:rPr>
                <w:b/>
                <w:noProof/>
              </w:rPr>
            </w:pPr>
            <w:r>
              <w:rPr>
                <w:b/>
                <w:noProof/>
                <w:sz w:val="22"/>
              </w:rPr>
              <w:t>Okruh viacročného finančného</w:t>
            </w:r>
            <w:r>
              <w:rPr>
                <w:noProof/>
                <w:sz w:val="22"/>
              </w:rPr>
              <w:br/>
            </w:r>
            <w:r>
              <w:rPr>
                <w:b/>
                <w:noProof/>
                <w:sz w:val="22"/>
              </w:rPr>
              <w:t xml:space="preserve">rámca </w:t>
            </w:r>
          </w:p>
        </w:tc>
        <w:tc>
          <w:tcPr>
            <w:tcW w:w="960" w:type="dxa"/>
            <w:vAlign w:val="center"/>
          </w:tcPr>
          <w:p w:rsidR="005E40F8" w:rsidRDefault="007C521D">
            <w:pPr>
              <w:spacing w:before="60" w:after="60"/>
              <w:jc w:val="center"/>
              <w:rPr>
                <w:b/>
                <w:noProof/>
                <w:sz w:val="22"/>
              </w:rPr>
            </w:pPr>
            <w:r>
              <w:rPr>
                <w:b/>
                <w:noProof/>
                <w:sz w:val="22"/>
              </w:rPr>
              <w:t>1a</w:t>
            </w:r>
          </w:p>
        </w:tc>
        <w:tc>
          <w:tcPr>
            <w:tcW w:w="7102" w:type="dxa"/>
            <w:vAlign w:val="center"/>
          </w:tcPr>
          <w:p w:rsidR="005E40F8" w:rsidRDefault="007C521D">
            <w:pPr>
              <w:spacing w:before="60" w:after="60"/>
              <w:rPr>
                <w:noProof/>
              </w:rPr>
            </w:pPr>
            <w:r>
              <w:rPr>
                <w:noProof/>
              </w:rPr>
              <w:t xml:space="preserve"> </w:t>
            </w:r>
            <w:r>
              <w:rPr>
                <w:noProof/>
                <w:sz w:val="22"/>
              </w:rPr>
              <w:t>Konkurencieschopnosť pre rast a</w:t>
            </w:r>
            <w:r>
              <w:rPr>
                <w:noProof/>
                <w:sz w:val="22"/>
              </w:rPr>
              <w:t xml:space="preserve"> zamestnanosť</w:t>
            </w:r>
          </w:p>
        </w:tc>
      </w:tr>
    </w:tbl>
    <w:p w:rsidR="005E40F8" w:rsidRDefault="005E40F8">
      <w:pPr>
        <w:rPr>
          <w:noProof/>
          <w:sz w:val="16"/>
        </w:rPr>
      </w:pPr>
    </w:p>
    <w:p w:rsidR="005E40F8" w:rsidRDefault="007C521D">
      <w:pPr>
        <w:pStyle w:val="Text1"/>
        <w:ind w:right="804"/>
        <w:rPr>
          <w:noProof/>
        </w:rPr>
      </w:pPr>
      <w:r>
        <w:rPr>
          <w:noProof/>
        </w:rPr>
        <w:t xml:space="preserve">Rozpočtové prostriedky potrebné na tento návrh sa majú plne financovať z viacročného finančného rámca 2014 – 2020. Ako sa uvádza ďalej, 70 miliónov EUR sa má prerozdeliť v rámci plánovaných súm pre sektor telekomunikácií Nástroja na </w:t>
      </w:r>
      <w:r>
        <w:rPr>
          <w:noProof/>
        </w:rPr>
        <w:t>prepájanie Európy na obdobie rokov 2017 – 2020 a 50 mil. EUR bude financovaných využitím nepridelenej rezervy.</w:t>
      </w:r>
    </w:p>
    <w:p w:rsidR="005E40F8" w:rsidRDefault="005E40F8">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560"/>
        <w:gridCol w:w="1680"/>
        <w:gridCol w:w="1560"/>
        <w:gridCol w:w="1680"/>
        <w:gridCol w:w="1560"/>
      </w:tblGrid>
      <w:tr w:rsidR="005E40F8">
        <w:trPr>
          <w:trHeight w:val="416"/>
        </w:trPr>
        <w:tc>
          <w:tcPr>
            <w:tcW w:w="5520" w:type="dxa"/>
            <w:shd w:val="clear" w:color="auto" w:fill="auto"/>
          </w:tcPr>
          <w:p w:rsidR="005E40F8" w:rsidRDefault="007C521D">
            <w:pPr>
              <w:pStyle w:val="Text1"/>
              <w:ind w:left="0"/>
              <w:rPr>
                <w:b/>
                <w:noProof/>
                <w:sz w:val="18"/>
                <w:szCs w:val="18"/>
              </w:rPr>
            </w:pPr>
            <w:r>
              <w:rPr>
                <w:b/>
                <w:noProof/>
                <w:sz w:val="22"/>
              </w:rPr>
              <w:t>Zdroje financovania iniciatívy</w:t>
            </w:r>
          </w:p>
        </w:tc>
        <w:tc>
          <w:tcPr>
            <w:tcW w:w="1560" w:type="dxa"/>
          </w:tcPr>
          <w:p w:rsidR="005E40F8" w:rsidRDefault="007C521D">
            <w:pPr>
              <w:jc w:val="center"/>
              <w:rPr>
                <w:b/>
                <w:noProof/>
                <w:sz w:val="20"/>
              </w:rPr>
            </w:pPr>
            <w:r>
              <w:rPr>
                <w:b/>
                <w:noProof/>
                <w:sz w:val="20"/>
              </w:rPr>
              <w:t>2017</w:t>
            </w:r>
          </w:p>
        </w:tc>
        <w:tc>
          <w:tcPr>
            <w:tcW w:w="1680" w:type="dxa"/>
          </w:tcPr>
          <w:p w:rsidR="005E40F8" w:rsidRDefault="007C521D">
            <w:pPr>
              <w:jc w:val="center"/>
              <w:rPr>
                <w:b/>
                <w:noProof/>
                <w:sz w:val="20"/>
              </w:rPr>
            </w:pPr>
            <w:r>
              <w:rPr>
                <w:b/>
                <w:noProof/>
                <w:sz w:val="20"/>
              </w:rPr>
              <w:t>2018</w:t>
            </w:r>
          </w:p>
        </w:tc>
        <w:tc>
          <w:tcPr>
            <w:tcW w:w="1560" w:type="dxa"/>
            <w:shd w:val="clear" w:color="auto" w:fill="auto"/>
          </w:tcPr>
          <w:p w:rsidR="005E40F8" w:rsidRDefault="007C521D">
            <w:pPr>
              <w:jc w:val="center"/>
              <w:rPr>
                <w:b/>
                <w:noProof/>
                <w:sz w:val="20"/>
              </w:rPr>
            </w:pPr>
            <w:r>
              <w:rPr>
                <w:b/>
                <w:noProof/>
                <w:sz w:val="20"/>
              </w:rPr>
              <w:t>2019</w:t>
            </w:r>
          </w:p>
        </w:tc>
        <w:tc>
          <w:tcPr>
            <w:tcW w:w="1680" w:type="dxa"/>
            <w:shd w:val="clear" w:color="auto" w:fill="auto"/>
          </w:tcPr>
          <w:p w:rsidR="005E40F8" w:rsidRDefault="007C521D">
            <w:pPr>
              <w:jc w:val="center"/>
              <w:rPr>
                <w:b/>
                <w:noProof/>
                <w:sz w:val="20"/>
              </w:rPr>
            </w:pPr>
            <w:r>
              <w:rPr>
                <w:b/>
                <w:noProof/>
                <w:sz w:val="20"/>
              </w:rPr>
              <w:t>2020</w:t>
            </w:r>
          </w:p>
        </w:tc>
        <w:tc>
          <w:tcPr>
            <w:tcW w:w="1560" w:type="dxa"/>
            <w:shd w:val="clear" w:color="auto" w:fill="auto"/>
          </w:tcPr>
          <w:p w:rsidR="005E40F8" w:rsidRDefault="007C521D">
            <w:pPr>
              <w:jc w:val="center"/>
              <w:rPr>
                <w:b/>
                <w:noProof/>
                <w:sz w:val="20"/>
              </w:rPr>
            </w:pPr>
            <w:r>
              <w:rPr>
                <w:b/>
                <w:noProof/>
                <w:sz w:val="20"/>
              </w:rPr>
              <w:t>Spolu</w:t>
            </w:r>
          </w:p>
        </w:tc>
      </w:tr>
      <w:tr w:rsidR="005E40F8">
        <w:trPr>
          <w:trHeight w:val="488"/>
        </w:trPr>
        <w:tc>
          <w:tcPr>
            <w:tcW w:w="5520" w:type="dxa"/>
            <w:shd w:val="clear" w:color="auto" w:fill="auto"/>
            <w:vAlign w:val="center"/>
          </w:tcPr>
          <w:p w:rsidR="005E40F8" w:rsidRDefault="007C521D">
            <w:pPr>
              <w:pStyle w:val="Text1"/>
              <w:ind w:left="0"/>
              <w:jc w:val="left"/>
              <w:rPr>
                <w:b/>
                <w:noProof/>
                <w:sz w:val="20"/>
                <w:szCs w:val="18"/>
              </w:rPr>
            </w:pPr>
            <w:r>
              <w:rPr>
                <w:b/>
                <w:noProof/>
                <w:sz w:val="20"/>
              </w:rPr>
              <w:t xml:space="preserve">09 03 02 Vytvorenie priaznivejšieho prostredia pre súkromné ​​investície pre projekty </w:t>
            </w:r>
            <w:r>
              <w:rPr>
                <w:b/>
                <w:noProof/>
                <w:sz w:val="20"/>
              </w:rPr>
              <w:t>telekomunikačnej infraštruktúry – širokopásmové pripojenie NPE</w:t>
            </w:r>
          </w:p>
        </w:tc>
        <w:tc>
          <w:tcPr>
            <w:tcW w:w="1560" w:type="dxa"/>
            <w:vAlign w:val="center"/>
          </w:tcPr>
          <w:p w:rsidR="005E40F8" w:rsidRDefault="007C521D">
            <w:pPr>
              <w:pStyle w:val="Text1"/>
              <w:ind w:left="0"/>
              <w:jc w:val="left"/>
              <w:rPr>
                <w:noProof/>
                <w:sz w:val="18"/>
                <w:szCs w:val="18"/>
              </w:rPr>
            </w:pPr>
            <w:r>
              <w:rPr>
                <w:noProof/>
                <w:sz w:val="18"/>
              </w:rPr>
              <w:t>19,422</w:t>
            </w:r>
          </w:p>
        </w:tc>
        <w:tc>
          <w:tcPr>
            <w:tcW w:w="1680" w:type="dxa"/>
            <w:vAlign w:val="center"/>
          </w:tcPr>
          <w:p w:rsidR="005E40F8" w:rsidRDefault="007C521D">
            <w:pPr>
              <w:pStyle w:val="Text1"/>
              <w:ind w:left="0"/>
              <w:jc w:val="left"/>
              <w:rPr>
                <w:noProof/>
                <w:sz w:val="18"/>
                <w:szCs w:val="18"/>
              </w:rPr>
            </w:pPr>
            <w:r>
              <w:rPr>
                <w:noProof/>
                <w:sz w:val="18"/>
              </w:rPr>
              <w:t>19,967</w:t>
            </w:r>
          </w:p>
        </w:tc>
        <w:tc>
          <w:tcPr>
            <w:tcW w:w="1560" w:type="dxa"/>
            <w:shd w:val="clear" w:color="auto" w:fill="auto"/>
            <w:vAlign w:val="center"/>
          </w:tcPr>
          <w:p w:rsidR="005E40F8" w:rsidRDefault="005E40F8">
            <w:pPr>
              <w:pStyle w:val="Text1"/>
              <w:ind w:left="0"/>
              <w:jc w:val="left"/>
              <w:rPr>
                <w:noProof/>
                <w:sz w:val="18"/>
                <w:szCs w:val="18"/>
              </w:rPr>
            </w:pPr>
          </w:p>
        </w:tc>
        <w:tc>
          <w:tcPr>
            <w:tcW w:w="1680" w:type="dxa"/>
            <w:shd w:val="clear" w:color="auto" w:fill="auto"/>
            <w:vAlign w:val="center"/>
          </w:tcPr>
          <w:p w:rsidR="005E40F8" w:rsidRDefault="005E40F8">
            <w:pPr>
              <w:pStyle w:val="Text1"/>
              <w:ind w:left="0"/>
              <w:jc w:val="left"/>
              <w:rPr>
                <w:noProof/>
                <w:sz w:val="18"/>
                <w:szCs w:val="18"/>
              </w:rPr>
            </w:pPr>
          </w:p>
        </w:tc>
        <w:tc>
          <w:tcPr>
            <w:tcW w:w="1560" w:type="dxa"/>
            <w:shd w:val="clear" w:color="auto" w:fill="auto"/>
            <w:vAlign w:val="center"/>
          </w:tcPr>
          <w:p w:rsidR="005E40F8" w:rsidRDefault="007C521D">
            <w:pPr>
              <w:pStyle w:val="Text1"/>
              <w:ind w:left="0"/>
              <w:jc w:val="left"/>
              <w:rPr>
                <w:noProof/>
                <w:sz w:val="18"/>
                <w:szCs w:val="18"/>
              </w:rPr>
            </w:pPr>
            <w:r>
              <w:rPr>
                <w:noProof/>
                <w:sz w:val="18"/>
              </w:rPr>
              <w:t>39,389</w:t>
            </w:r>
          </w:p>
        </w:tc>
      </w:tr>
      <w:tr w:rsidR="005E40F8">
        <w:trPr>
          <w:trHeight w:val="801"/>
        </w:trPr>
        <w:tc>
          <w:tcPr>
            <w:tcW w:w="5520" w:type="dxa"/>
            <w:shd w:val="clear" w:color="auto" w:fill="auto"/>
            <w:vAlign w:val="center"/>
          </w:tcPr>
          <w:p w:rsidR="005E40F8" w:rsidRDefault="007C521D">
            <w:pPr>
              <w:jc w:val="left"/>
              <w:rPr>
                <w:b/>
                <w:noProof/>
                <w:sz w:val="20"/>
                <w:szCs w:val="18"/>
              </w:rPr>
            </w:pPr>
            <w:r>
              <w:rPr>
                <w:b/>
                <w:noProof/>
                <w:sz w:val="20"/>
              </w:rPr>
              <w:t xml:space="preserve">09 03 03 Presadzovanie interoperability, udržateľného zavádzania, prevádzky a modernizácie transeurópskych infraštruktúr digitálnych služieb, ako aj koordinácia na </w:t>
            </w:r>
            <w:r>
              <w:rPr>
                <w:b/>
                <w:noProof/>
                <w:sz w:val="20"/>
              </w:rPr>
              <w:t>európskej úrovni</w:t>
            </w:r>
          </w:p>
        </w:tc>
        <w:tc>
          <w:tcPr>
            <w:tcW w:w="1560" w:type="dxa"/>
            <w:vAlign w:val="center"/>
          </w:tcPr>
          <w:p w:rsidR="005E40F8" w:rsidRDefault="007C521D">
            <w:pPr>
              <w:pStyle w:val="Text1"/>
              <w:ind w:left="0"/>
              <w:jc w:val="left"/>
              <w:rPr>
                <w:noProof/>
                <w:sz w:val="18"/>
                <w:szCs w:val="18"/>
              </w:rPr>
            </w:pPr>
            <w:r>
              <w:rPr>
                <w:noProof/>
                <w:sz w:val="18"/>
              </w:rPr>
              <w:t>0,578</w:t>
            </w:r>
          </w:p>
        </w:tc>
        <w:tc>
          <w:tcPr>
            <w:tcW w:w="1680" w:type="dxa"/>
            <w:vAlign w:val="center"/>
          </w:tcPr>
          <w:p w:rsidR="005E40F8" w:rsidRDefault="005E40F8">
            <w:pPr>
              <w:pStyle w:val="Text1"/>
              <w:ind w:left="0"/>
              <w:jc w:val="left"/>
              <w:rPr>
                <w:noProof/>
                <w:sz w:val="18"/>
                <w:szCs w:val="18"/>
              </w:rPr>
            </w:pPr>
          </w:p>
        </w:tc>
        <w:tc>
          <w:tcPr>
            <w:tcW w:w="1560" w:type="dxa"/>
            <w:shd w:val="clear" w:color="auto" w:fill="auto"/>
            <w:vAlign w:val="center"/>
          </w:tcPr>
          <w:p w:rsidR="005E40F8" w:rsidRDefault="005E40F8">
            <w:pPr>
              <w:pStyle w:val="Text1"/>
              <w:ind w:left="0"/>
              <w:jc w:val="left"/>
              <w:rPr>
                <w:noProof/>
                <w:sz w:val="18"/>
                <w:szCs w:val="18"/>
              </w:rPr>
            </w:pPr>
          </w:p>
        </w:tc>
        <w:tc>
          <w:tcPr>
            <w:tcW w:w="1680" w:type="dxa"/>
            <w:shd w:val="clear" w:color="auto" w:fill="auto"/>
            <w:vAlign w:val="center"/>
          </w:tcPr>
          <w:p w:rsidR="005E40F8" w:rsidRDefault="007C521D">
            <w:pPr>
              <w:pStyle w:val="Text1"/>
              <w:ind w:left="0"/>
              <w:jc w:val="left"/>
              <w:rPr>
                <w:noProof/>
                <w:sz w:val="18"/>
                <w:szCs w:val="18"/>
              </w:rPr>
            </w:pPr>
            <w:r>
              <w:rPr>
                <w:noProof/>
                <w:sz w:val="18"/>
              </w:rPr>
              <w:t>0,350</w:t>
            </w:r>
          </w:p>
        </w:tc>
        <w:tc>
          <w:tcPr>
            <w:tcW w:w="1560" w:type="dxa"/>
            <w:shd w:val="clear" w:color="auto" w:fill="auto"/>
            <w:vAlign w:val="center"/>
          </w:tcPr>
          <w:p w:rsidR="005E40F8" w:rsidRDefault="007C521D">
            <w:pPr>
              <w:pStyle w:val="Text1"/>
              <w:ind w:left="0"/>
              <w:jc w:val="left"/>
              <w:rPr>
                <w:noProof/>
                <w:sz w:val="18"/>
                <w:szCs w:val="18"/>
              </w:rPr>
            </w:pPr>
            <w:r>
              <w:rPr>
                <w:noProof/>
                <w:sz w:val="18"/>
              </w:rPr>
              <w:t>0,928</w:t>
            </w:r>
          </w:p>
        </w:tc>
      </w:tr>
      <w:tr w:rsidR="005E40F8">
        <w:trPr>
          <w:trHeight w:val="464"/>
        </w:trPr>
        <w:tc>
          <w:tcPr>
            <w:tcW w:w="5520" w:type="dxa"/>
            <w:shd w:val="clear" w:color="auto" w:fill="auto"/>
            <w:vAlign w:val="center"/>
          </w:tcPr>
          <w:p w:rsidR="005E40F8" w:rsidRDefault="007C521D">
            <w:pPr>
              <w:jc w:val="left"/>
              <w:rPr>
                <w:b/>
                <w:noProof/>
                <w:sz w:val="20"/>
                <w:szCs w:val="18"/>
              </w:rPr>
            </w:pPr>
            <w:r>
              <w:rPr>
                <w:b/>
                <w:noProof/>
                <w:sz w:val="20"/>
              </w:rPr>
              <w:t>09 04 02 01 Vedúce postavenie v oblasti informačných a komunikačných technológií (LEIT)</w:t>
            </w:r>
          </w:p>
        </w:tc>
        <w:tc>
          <w:tcPr>
            <w:tcW w:w="1560" w:type="dxa"/>
            <w:vAlign w:val="center"/>
          </w:tcPr>
          <w:p w:rsidR="005E40F8" w:rsidRDefault="005E40F8">
            <w:pPr>
              <w:pStyle w:val="Text1"/>
              <w:ind w:left="0"/>
              <w:jc w:val="left"/>
              <w:rPr>
                <w:noProof/>
                <w:sz w:val="18"/>
                <w:szCs w:val="18"/>
              </w:rPr>
            </w:pPr>
          </w:p>
        </w:tc>
        <w:tc>
          <w:tcPr>
            <w:tcW w:w="1680" w:type="dxa"/>
            <w:vAlign w:val="center"/>
          </w:tcPr>
          <w:p w:rsidR="005E40F8" w:rsidRDefault="007C521D">
            <w:pPr>
              <w:pStyle w:val="Text1"/>
              <w:ind w:left="0"/>
              <w:jc w:val="left"/>
              <w:rPr>
                <w:noProof/>
                <w:sz w:val="18"/>
                <w:szCs w:val="18"/>
              </w:rPr>
            </w:pPr>
            <w:r>
              <w:rPr>
                <w:noProof/>
                <w:sz w:val="18"/>
              </w:rPr>
              <w:t>30,033</w:t>
            </w:r>
            <w:r>
              <w:rPr>
                <w:rStyle w:val="FootnoteReference"/>
                <w:noProof/>
                <w:sz w:val="18"/>
              </w:rPr>
              <w:footnoteReference w:id="21"/>
            </w:r>
          </w:p>
        </w:tc>
        <w:tc>
          <w:tcPr>
            <w:tcW w:w="1560" w:type="dxa"/>
            <w:shd w:val="clear" w:color="auto" w:fill="auto"/>
            <w:vAlign w:val="center"/>
          </w:tcPr>
          <w:p w:rsidR="005E40F8" w:rsidRDefault="005E40F8">
            <w:pPr>
              <w:pStyle w:val="Text1"/>
              <w:ind w:left="0"/>
              <w:jc w:val="left"/>
              <w:rPr>
                <w:noProof/>
                <w:sz w:val="18"/>
                <w:szCs w:val="18"/>
              </w:rPr>
            </w:pPr>
          </w:p>
        </w:tc>
        <w:tc>
          <w:tcPr>
            <w:tcW w:w="1680" w:type="dxa"/>
            <w:shd w:val="clear" w:color="auto" w:fill="auto"/>
            <w:vAlign w:val="center"/>
          </w:tcPr>
          <w:p w:rsidR="005E40F8" w:rsidRDefault="005E40F8">
            <w:pPr>
              <w:pStyle w:val="Text1"/>
              <w:ind w:left="0"/>
              <w:jc w:val="left"/>
              <w:rPr>
                <w:noProof/>
                <w:sz w:val="18"/>
                <w:szCs w:val="18"/>
              </w:rPr>
            </w:pPr>
          </w:p>
        </w:tc>
        <w:tc>
          <w:tcPr>
            <w:tcW w:w="1560" w:type="dxa"/>
            <w:shd w:val="clear" w:color="auto" w:fill="auto"/>
            <w:vAlign w:val="center"/>
          </w:tcPr>
          <w:p w:rsidR="005E40F8" w:rsidRDefault="007C521D">
            <w:pPr>
              <w:pStyle w:val="Text1"/>
              <w:ind w:left="0"/>
              <w:jc w:val="left"/>
              <w:rPr>
                <w:noProof/>
                <w:sz w:val="18"/>
                <w:szCs w:val="18"/>
              </w:rPr>
            </w:pPr>
            <w:r>
              <w:rPr>
                <w:noProof/>
                <w:sz w:val="18"/>
              </w:rPr>
              <w:t>30,033</w:t>
            </w:r>
          </w:p>
        </w:tc>
      </w:tr>
      <w:tr w:rsidR="005E40F8">
        <w:trPr>
          <w:trHeight w:val="464"/>
        </w:trPr>
        <w:tc>
          <w:tcPr>
            <w:tcW w:w="5520" w:type="dxa"/>
            <w:shd w:val="clear" w:color="auto" w:fill="auto"/>
            <w:vAlign w:val="center"/>
          </w:tcPr>
          <w:p w:rsidR="005E40F8" w:rsidRDefault="007C521D">
            <w:pPr>
              <w:jc w:val="left"/>
              <w:rPr>
                <w:b/>
                <w:noProof/>
                <w:sz w:val="20"/>
                <w:szCs w:val="18"/>
              </w:rPr>
            </w:pPr>
            <w:r>
              <w:rPr>
                <w:b/>
                <w:noProof/>
                <w:sz w:val="20"/>
              </w:rPr>
              <w:t>Okruh 1a nepridelená rezerva</w:t>
            </w:r>
          </w:p>
        </w:tc>
        <w:tc>
          <w:tcPr>
            <w:tcW w:w="1560" w:type="dxa"/>
            <w:vAlign w:val="center"/>
          </w:tcPr>
          <w:p w:rsidR="005E40F8" w:rsidRDefault="005E40F8">
            <w:pPr>
              <w:pStyle w:val="Text1"/>
              <w:ind w:left="0"/>
              <w:jc w:val="left"/>
              <w:rPr>
                <w:noProof/>
                <w:sz w:val="18"/>
                <w:szCs w:val="18"/>
              </w:rPr>
            </w:pPr>
          </w:p>
        </w:tc>
        <w:tc>
          <w:tcPr>
            <w:tcW w:w="1680" w:type="dxa"/>
            <w:vAlign w:val="center"/>
          </w:tcPr>
          <w:p w:rsidR="005E40F8" w:rsidRDefault="005E40F8">
            <w:pPr>
              <w:pStyle w:val="Text1"/>
              <w:ind w:left="0"/>
              <w:jc w:val="left"/>
              <w:rPr>
                <w:noProof/>
                <w:sz w:val="18"/>
                <w:szCs w:val="18"/>
              </w:rPr>
            </w:pPr>
          </w:p>
        </w:tc>
        <w:tc>
          <w:tcPr>
            <w:tcW w:w="1560" w:type="dxa"/>
            <w:shd w:val="clear" w:color="auto" w:fill="auto"/>
            <w:vAlign w:val="center"/>
          </w:tcPr>
          <w:p w:rsidR="005E40F8" w:rsidRDefault="007C521D">
            <w:pPr>
              <w:pStyle w:val="Text1"/>
              <w:ind w:left="0"/>
              <w:jc w:val="left"/>
              <w:rPr>
                <w:noProof/>
                <w:sz w:val="18"/>
                <w:szCs w:val="18"/>
              </w:rPr>
            </w:pPr>
            <w:r>
              <w:rPr>
                <w:noProof/>
                <w:sz w:val="18"/>
              </w:rPr>
              <w:t>49,650</w:t>
            </w:r>
          </w:p>
        </w:tc>
        <w:tc>
          <w:tcPr>
            <w:tcW w:w="1680" w:type="dxa"/>
            <w:shd w:val="clear" w:color="auto" w:fill="auto"/>
            <w:vAlign w:val="center"/>
          </w:tcPr>
          <w:p w:rsidR="005E40F8" w:rsidRDefault="005E40F8">
            <w:pPr>
              <w:pStyle w:val="Text1"/>
              <w:ind w:left="0"/>
              <w:jc w:val="left"/>
              <w:rPr>
                <w:noProof/>
                <w:sz w:val="18"/>
                <w:szCs w:val="18"/>
              </w:rPr>
            </w:pPr>
          </w:p>
        </w:tc>
        <w:tc>
          <w:tcPr>
            <w:tcW w:w="1560" w:type="dxa"/>
            <w:shd w:val="clear" w:color="auto" w:fill="auto"/>
            <w:vAlign w:val="center"/>
          </w:tcPr>
          <w:p w:rsidR="005E40F8" w:rsidRDefault="007C521D">
            <w:pPr>
              <w:pStyle w:val="Text1"/>
              <w:ind w:left="0"/>
              <w:jc w:val="left"/>
              <w:rPr>
                <w:noProof/>
                <w:sz w:val="18"/>
                <w:szCs w:val="18"/>
              </w:rPr>
            </w:pPr>
            <w:r>
              <w:rPr>
                <w:noProof/>
                <w:sz w:val="18"/>
              </w:rPr>
              <w:t>49,650</w:t>
            </w:r>
          </w:p>
        </w:tc>
      </w:tr>
      <w:tr w:rsidR="005E40F8">
        <w:trPr>
          <w:trHeight w:val="344"/>
        </w:trPr>
        <w:tc>
          <w:tcPr>
            <w:tcW w:w="5520" w:type="dxa"/>
            <w:shd w:val="clear" w:color="auto" w:fill="auto"/>
            <w:vAlign w:val="center"/>
          </w:tcPr>
          <w:p w:rsidR="005E40F8" w:rsidRDefault="007C521D">
            <w:pPr>
              <w:jc w:val="left"/>
              <w:rPr>
                <w:b/>
                <w:noProof/>
                <w:sz w:val="22"/>
                <w:szCs w:val="18"/>
              </w:rPr>
            </w:pPr>
            <w:r>
              <w:rPr>
                <w:b/>
                <w:caps/>
                <w:noProof/>
                <w:sz w:val="22"/>
              </w:rPr>
              <w:t xml:space="preserve">Spolu </w:t>
            </w:r>
          </w:p>
        </w:tc>
        <w:tc>
          <w:tcPr>
            <w:tcW w:w="1560" w:type="dxa"/>
            <w:vAlign w:val="center"/>
          </w:tcPr>
          <w:p w:rsidR="005E40F8" w:rsidRDefault="007C521D">
            <w:pPr>
              <w:pStyle w:val="Text1"/>
              <w:ind w:left="0"/>
              <w:jc w:val="left"/>
              <w:rPr>
                <w:b/>
                <w:noProof/>
                <w:sz w:val="22"/>
                <w:szCs w:val="18"/>
              </w:rPr>
            </w:pPr>
            <w:r>
              <w:rPr>
                <w:b/>
                <w:noProof/>
                <w:sz w:val="22"/>
              </w:rPr>
              <w:t>20,000</w:t>
            </w:r>
          </w:p>
        </w:tc>
        <w:tc>
          <w:tcPr>
            <w:tcW w:w="1680" w:type="dxa"/>
            <w:vAlign w:val="center"/>
          </w:tcPr>
          <w:p w:rsidR="005E40F8" w:rsidRDefault="007C521D">
            <w:pPr>
              <w:pStyle w:val="Text1"/>
              <w:ind w:left="0"/>
              <w:jc w:val="left"/>
              <w:rPr>
                <w:b/>
                <w:noProof/>
                <w:sz w:val="22"/>
                <w:szCs w:val="18"/>
              </w:rPr>
            </w:pPr>
            <w:r>
              <w:rPr>
                <w:b/>
                <w:noProof/>
                <w:sz w:val="22"/>
              </w:rPr>
              <w:t>50,000</w:t>
            </w:r>
          </w:p>
        </w:tc>
        <w:tc>
          <w:tcPr>
            <w:tcW w:w="1560" w:type="dxa"/>
            <w:shd w:val="clear" w:color="auto" w:fill="auto"/>
            <w:vAlign w:val="center"/>
          </w:tcPr>
          <w:p w:rsidR="005E40F8" w:rsidRDefault="007C521D">
            <w:pPr>
              <w:pStyle w:val="Text1"/>
              <w:ind w:left="0"/>
              <w:jc w:val="left"/>
              <w:rPr>
                <w:b/>
                <w:noProof/>
                <w:sz w:val="22"/>
                <w:szCs w:val="18"/>
              </w:rPr>
            </w:pPr>
            <w:r>
              <w:rPr>
                <w:b/>
                <w:noProof/>
                <w:sz w:val="22"/>
              </w:rPr>
              <w:t>49,650</w:t>
            </w:r>
          </w:p>
        </w:tc>
        <w:tc>
          <w:tcPr>
            <w:tcW w:w="1680" w:type="dxa"/>
            <w:shd w:val="clear" w:color="auto" w:fill="auto"/>
            <w:vAlign w:val="center"/>
          </w:tcPr>
          <w:p w:rsidR="005E40F8" w:rsidRDefault="007C521D">
            <w:pPr>
              <w:pStyle w:val="Text1"/>
              <w:ind w:left="0"/>
              <w:jc w:val="left"/>
              <w:rPr>
                <w:b/>
                <w:noProof/>
                <w:sz w:val="22"/>
                <w:szCs w:val="18"/>
              </w:rPr>
            </w:pPr>
            <w:r>
              <w:rPr>
                <w:b/>
                <w:noProof/>
                <w:sz w:val="22"/>
              </w:rPr>
              <w:t>0,350</w:t>
            </w:r>
          </w:p>
        </w:tc>
        <w:tc>
          <w:tcPr>
            <w:tcW w:w="1560" w:type="dxa"/>
            <w:shd w:val="clear" w:color="auto" w:fill="auto"/>
            <w:vAlign w:val="center"/>
          </w:tcPr>
          <w:p w:rsidR="005E40F8" w:rsidRDefault="007C521D">
            <w:pPr>
              <w:pStyle w:val="Text1"/>
              <w:ind w:left="0"/>
              <w:jc w:val="left"/>
              <w:rPr>
                <w:b/>
                <w:noProof/>
                <w:sz w:val="22"/>
                <w:szCs w:val="18"/>
              </w:rPr>
            </w:pPr>
            <w:r>
              <w:rPr>
                <w:b/>
                <w:noProof/>
                <w:sz w:val="22"/>
              </w:rPr>
              <w:t>120,000</w:t>
            </w:r>
          </w:p>
        </w:tc>
      </w:tr>
    </w:tbl>
    <w:p w:rsidR="005E40F8" w:rsidRDefault="005E40F8">
      <w:pPr>
        <w:rPr>
          <w:noProof/>
          <w:sz w:val="16"/>
        </w:rPr>
      </w:pPr>
    </w:p>
    <w:p w:rsidR="005E40F8" w:rsidRDefault="005E40F8">
      <w:pPr>
        <w:spacing w:before="0" w:after="0"/>
        <w:jc w:val="left"/>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320"/>
        <w:gridCol w:w="840"/>
        <w:gridCol w:w="1555"/>
        <w:gridCol w:w="1621"/>
        <w:gridCol w:w="1621"/>
        <w:gridCol w:w="1621"/>
        <w:gridCol w:w="1622"/>
      </w:tblGrid>
      <w:tr w:rsidR="005E40F8">
        <w:tc>
          <w:tcPr>
            <w:tcW w:w="3360" w:type="dxa"/>
            <w:vAlign w:val="center"/>
          </w:tcPr>
          <w:p w:rsidR="005E40F8" w:rsidRDefault="007C521D">
            <w:pPr>
              <w:ind w:left="612" w:hanging="600"/>
              <w:jc w:val="left"/>
              <w:rPr>
                <w:noProof/>
              </w:rPr>
            </w:pPr>
            <w:r>
              <w:rPr>
                <w:noProof/>
                <w:sz w:val="22"/>
              </w:rPr>
              <w:t xml:space="preserve">GR: CNECT / </w:t>
            </w:r>
            <w:r>
              <w:rPr>
                <w:noProof/>
              </w:rPr>
              <w:t>MOVE</w:t>
            </w:r>
          </w:p>
        </w:tc>
        <w:tc>
          <w:tcPr>
            <w:tcW w:w="1320" w:type="dxa"/>
          </w:tcPr>
          <w:p w:rsidR="005E40F8" w:rsidRDefault="005E40F8">
            <w:pPr>
              <w:rPr>
                <w:noProof/>
                <w:sz w:val="20"/>
              </w:rPr>
            </w:pPr>
          </w:p>
        </w:tc>
        <w:tc>
          <w:tcPr>
            <w:tcW w:w="840" w:type="dxa"/>
          </w:tcPr>
          <w:p w:rsidR="005E40F8" w:rsidRDefault="005E40F8">
            <w:pPr>
              <w:jc w:val="center"/>
              <w:rPr>
                <w:noProof/>
                <w:sz w:val="20"/>
              </w:rPr>
            </w:pPr>
          </w:p>
        </w:tc>
        <w:tc>
          <w:tcPr>
            <w:tcW w:w="1555" w:type="dxa"/>
            <w:vAlign w:val="center"/>
          </w:tcPr>
          <w:p w:rsidR="005E40F8" w:rsidRDefault="007C521D">
            <w:pPr>
              <w:jc w:val="center"/>
              <w:rPr>
                <w:noProof/>
                <w:sz w:val="20"/>
              </w:rPr>
            </w:pPr>
            <w:r>
              <w:rPr>
                <w:b/>
                <w:noProof/>
                <w:sz w:val="20"/>
              </w:rPr>
              <w:t>2017</w:t>
            </w:r>
          </w:p>
        </w:tc>
        <w:tc>
          <w:tcPr>
            <w:tcW w:w="1621" w:type="dxa"/>
            <w:vAlign w:val="center"/>
          </w:tcPr>
          <w:p w:rsidR="005E40F8" w:rsidRDefault="007C521D">
            <w:pPr>
              <w:jc w:val="center"/>
              <w:rPr>
                <w:b/>
                <w:noProof/>
                <w:sz w:val="20"/>
              </w:rPr>
            </w:pPr>
            <w:r>
              <w:rPr>
                <w:b/>
                <w:noProof/>
                <w:sz w:val="20"/>
              </w:rPr>
              <w:t>2018</w:t>
            </w:r>
          </w:p>
        </w:tc>
        <w:tc>
          <w:tcPr>
            <w:tcW w:w="1621" w:type="dxa"/>
            <w:vAlign w:val="center"/>
          </w:tcPr>
          <w:p w:rsidR="005E40F8" w:rsidRDefault="007C521D">
            <w:pPr>
              <w:jc w:val="center"/>
              <w:rPr>
                <w:b/>
                <w:noProof/>
                <w:sz w:val="20"/>
              </w:rPr>
            </w:pPr>
            <w:r>
              <w:rPr>
                <w:b/>
                <w:noProof/>
                <w:sz w:val="20"/>
              </w:rPr>
              <w:t>2019</w:t>
            </w:r>
          </w:p>
        </w:tc>
        <w:tc>
          <w:tcPr>
            <w:tcW w:w="1621" w:type="dxa"/>
            <w:vAlign w:val="center"/>
          </w:tcPr>
          <w:p w:rsidR="005E40F8" w:rsidRDefault="007C521D">
            <w:pPr>
              <w:jc w:val="center"/>
              <w:rPr>
                <w:b/>
                <w:noProof/>
                <w:sz w:val="20"/>
              </w:rPr>
            </w:pPr>
            <w:r>
              <w:rPr>
                <w:b/>
                <w:noProof/>
                <w:sz w:val="20"/>
              </w:rPr>
              <w:t>2020</w:t>
            </w:r>
          </w:p>
        </w:tc>
        <w:tc>
          <w:tcPr>
            <w:tcW w:w="1622" w:type="dxa"/>
            <w:vAlign w:val="center"/>
          </w:tcPr>
          <w:p w:rsidR="005E40F8" w:rsidRDefault="007C521D">
            <w:pPr>
              <w:jc w:val="center"/>
              <w:rPr>
                <w:b/>
                <w:noProof/>
                <w:sz w:val="20"/>
              </w:rPr>
            </w:pPr>
            <w:r>
              <w:rPr>
                <w:b/>
                <w:noProof/>
                <w:sz w:val="20"/>
              </w:rPr>
              <w:t>SPOLU</w:t>
            </w:r>
          </w:p>
        </w:tc>
      </w:tr>
      <w:tr w:rsidR="005E40F8">
        <w:trPr>
          <w:trHeight w:val="213"/>
        </w:trPr>
        <w:tc>
          <w:tcPr>
            <w:tcW w:w="13560" w:type="dxa"/>
            <w:gridSpan w:val="8"/>
            <w:vAlign w:val="center"/>
          </w:tcPr>
          <w:p w:rsidR="005E40F8" w:rsidRDefault="007C521D">
            <w:pPr>
              <w:rPr>
                <w:b/>
                <w:noProof/>
                <w:sz w:val="20"/>
              </w:rPr>
            </w:pPr>
            <w:r>
              <w:rPr>
                <w:noProof/>
                <w:sz w:val="21"/>
              </w:rPr>
              <w:t>Operačné rozpočtové prostriedky v mil. EUR</w:t>
            </w:r>
          </w:p>
        </w:tc>
      </w:tr>
      <w:tr w:rsidR="005E40F8">
        <w:trPr>
          <w:trHeight w:val="277"/>
        </w:trPr>
        <w:tc>
          <w:tcPr>
            <w:tcW w:w="3360" w:type="dxa"/>
            <w:vMerge w:val="restart"/>
            <w:vAlign w:val="center"/>
          </w:tcPr>
          <w:p w:rsidR="005E40F8" w:rsidRDefault="007C521D">
            <w:pPr>
              <w:rPr>
                <w:b/>
                <w:noProof/>
              </w:rPr>
            </w:pPr>
            <w:r>
              <w:rPr>
                <w:b/>
                <w:noProof/>
                <w:sz w:val="20"/>
              </w:rPr>
              <w:t>09 03 04 Wi-Fi pre EÚ (W4EU)</w:t>
            </w:r>
          </w:p>
        </w:tc>
        <w:tc>
          <w:tcPr>
            <w:tcW w:w="1320" w:type="dxa"/>
            <w:vAlign w:val="center"/>
          </w:tcPr>
          <w:p w:rsidR="005E40F8" w:rsidRDefault="007C521D">
            <w:pPr>
              <w:spacing w:before="20" w:after="20"/>
              <w:rPr>
                <w:noProof/>
                <w:sz w:val="18"/>
              </w:rPr>
            </w:pPr>
            <w:r>
              <w:rPr>
                <w:noProof/>
                <w:sz w:val="18"/>
              </w:rPr>
              <w:t>Záväzky</w:t>
            </w:r>
          </w:p>
        </w:tc>
        <w:tc>
          <w:tcPr>
            <w:tcW w:w="840" w:type="dxa"/>
            <w:vAlign w:val="center"/>
          </w:tcPr>
          <w:p w:rsidR="005E40F8" w:rsidRDefault="007C521D">
            <w:pPr>
              <w:spacing w:before="20" w:after="20"/>
              <w:jc w:val="center"/>
              <w:rPr>
                <w:noProof/>
                <w:sz w:val="14"/>
              </w:rPr>
            </w:pPr>
            <w:r>
              <w:rPr>
                <w:noProof/>
                <w:sz w:val="14"/>
              </w:rPr>
              <w:t>(1)</w:t>
            </w:r>
          </w:p>
        </w:tc>
        <w:tc>
          <w:tcPr>
            <w:tcW w:w="1555" w:type="dxa"/>
            <w:vAlign w:val="bottom"/>
          </w:tcPr>
          <w:p w:rsidR="005E40F8" w:rsidRDefault="007C521D">
            <w:pPr>
              <w:spacing w:before="20" w:after="20"/>
              <w:jc w:val="right"/>
              <w:rPr>
                <w:noProof/>
                <w:sz w:val="20"/>
                <w:szCs w:val="20"/>
              </w:rPr>
            </w:pPr>
            <w:r>
              <w:rPr>
                <w:noProof/>
                <w:color w:val="000000"/>
                <w:sz w:val="20"/>
              </w:rPr>
              <w:t>19,330</w:t>
            </w:r>
          </w:p>
        </w:tc>
        <w:tc>
          <w:tcPr>
            <w:tcW w:w="1621" w:type="dxa"/>
            <w:vAlign w:val="bottom"/>
          </w:tcPr>
          <w:p w:rsidR="005E40F8" w:rsidRDefault="007C521D">
            <w:pPr>
              <w:spacing w:before="20" w:after="20"/>
              <w:jc w:val="right"/>
              <w:rPr>
                <w:noProof/>
                <w:sz w:val="20"/>
                <w:szCs w:val="20"/>
              </w:rPr>
            </w:pPr>
            <w:r>
              <w:rPr>
                <w:noProof/>
                <w:color w:val="000000"/>
                <w:sz w:val="20"/>
              </w:rPr>
              <w:t>49,610</w:t>
            </w:r>
          </w:p>
        </w:tc>
        <w:tc>
          <w:tcPr>
            <w:tcW w:w="1621" w:type="dxa"/>
            <w:vAlign w:val="bottom"/>
          </w:tcPr>
          <w:p w:rsidR="005E40F8" w:rsidRDefault="007C521D">
            <w:pPr>
              <w:spacing w:before="20" w:after="20"/>
              <w:jc w:val="right"/>
              <w:rPr>
                <w:noProof/>
                <w:sz w:val="20"/>
                <w:szCs w:val="20"/>
              </w:rPr>
            </w:pPr>
            <w:r>
              <w:rPr>
                <w:noProof/>
                <w:color w:val="000000"/>
                <w:sz w:val="20"/>
              </w:rPr>
              <w:t>49,260</w:t>
            </w:r>
          </w:p>
        </w:tc>
        <w:tc>
          <w:tcPr>
            <w:tcW w:w="1621" w:type="dxa"/>
            <w:vAlign w:val="center"/>
          </w:tcPr>
          <w:p w:rsidR="005E40F8" w:rsidRDefault="005E40F8">
            <w:pPr>
              <w:spacing w:before="20" w:after="20"/>
              <w:jc w:val="right"/>
              <w:rPr>
                <w:noProof/>
                <w:sz w:val="20"/>
                <w:szCs w:val="20"/>
              </w:rPr>
            </w:pPr>
          </w:p>
        </w:tc>
        <w:tc>
          <w:tcPr>
            <w:tcW w:w="1622" w:type="dxa"/>
            <w:vAlign w:val="center"/>
          </w:tcPr>
          <w:p w:rsidR="005E40F8" w:rsidRDefault="007C521D">
            <w:pPr>
              <w:spacing w:before="20" w:after="20"/>
              <w:jc w:val="right"/>
              <w:rPr>
                <w:b/>
                <w:noProof/>
                <w:sz w:val="20"/>
                <w:szCs w:val="20"/>
              </w:rPr>
            </w:pPr>
            <w:r>
              <w:rPr>
                <w:b/>
                <w:noProof/>
                <w:sz w:val="20"/>
              </w:rPr>
              <w:t>118,200</w:t>
            </w:r>
          </w:p>
        </w:tc>
      </w:tr>
      <w:tr w:rsidR="005E40F8">
        <w:tc>
          <w:tcPr>
            <w:tcW w:w="3360" w:type="dxa"/>
            <w:vMerge/>
          </w:tcPr>
          <w:p w:rsidR="005E40F8" w:rsidRDefault="005E40F8">
            <w:pPr>
              <w:jc w:val="center"/>
              <w:rPr>
                <w:noProof/>
                <w:sz w:val="20"/>
              </w:rPr>
            </w:pPr>
          </w:p>
        </w:tc>
        <w:tc>
          <w:tcPr>
            <w:tcW w:w="1320" w:type="dxa"/>
            <w:vAlign w:val="center"/>
          </w:tcPr>
          <w:p w:rsidR="005E40F8" w:rsidRDefault="007C521D">
            <w:pPr>
              <w:spacing w:before="20" w:after="20"/>
              <w:rPr>
                <w:noProof/>
                <w:sz w:val="18"/>
              </w:rPr>
            </w:pPr>
            <w:r>
              <w:rPr>
                <w:noProof/>
                <w:sz w:val="18"/>
              </w:rPr>
              <w:t>Platby</w:t>
            </w:r>
          </w:p>
        </w:tc>
        <w:tc>
          <w:tcPr>
            <w:tcW w:w="840" w:type="dxa"/>
            <w:vAlign w:val="center"/>
          </w:tcPr>
          <w:p w:rsidR="005E40F8" w:rsidRDefault="007C521D">
            <w:pPr>
              <w:spacing w:before="20" w:after="20"/>
              <w:jc w:val="center"/>
              <w:rPr>
                <w:noProof/>
                <w:sz w:val="14"/>
              </w:rPr>
            </w:pPr>
            <w:r>
              <w:rPr>
                <w:noProof/>
                <w:sz w:val="14"/>
              </w:rPr>
              <w:t>(2)</w:t>
            </w:r>
          </w:p>
        </w:tc>
        <w:tc>
          <w:tcPr>
            <w:tcW w:w="1555" w:type="dxa"/>
            <w:vAlign w:val="bottom"/>
          </w:tcPr>
          <w:p w:rsidR="005E40F8" w:rsidRDefault="007C521D">
            <w:pPr>
              <w:spacing w:before="20" w:after="20"/>
              <w:jc w:val="right"/>
              <w:rPr>
                <w:noProof/>
                <w:sz w:val="20"/>
                <w:szCs w:val="20"/>
              </w:rPr>
            </w:pPr>
            <w:r>
              <w:rPr>
                <w:noProof/>
                <w:color w:val="000000"/>
                <w:sz w:val="20"/>
              </w:rPr>
              <w:t>0</w:t>
            </w:r>
          </w:p>
        </w:tc>
        <w:tc>
          <w:tcPr>
            <w:tcW w:w="1621" w:type="dxa"/>
            <w:vAlign w:val="bottom"/>
          </w:tcPr>
          <w:p w:rsidR="005E40F8" w:rsidRDefault="007C521D">
            <w:pPr>
              <w:spacing w:before="20" w:after="20"/>
              <w:jc w:val="right"/>
              <w:rPr>
                <w:noProof/>
                <w:sz w:val="20"/>
                <w:szCs w:val="20"/>
              </w:rPr>
            </w:pPr>
            <w:r>
              <w:rPr>
                <w:noProof/>
                <w:color w:val="000000"/>
                <w:sz w:val="20"/>
              </w:rPr>
              <w:t>44,135</w:t>
            </w:r>
          </w:p>
        </w:tc>
        <w:tc>
          <w:tcPr>
            <w:tcW w:w="1621" w:type="dxa"/>
            <w:vAlign w:val="bottom"/>
          </w:tcPr>
          <w:p w:rsidR="005E40F8" w:rsidRDefault="007C521D">
            <w:pPr>
              <w:spacing w:before="20" w:after="20"/>
              <w:jc w:val="right"/>
              <w:rPr>
                <w:noProof/>
                <w:sz w:val="20"/>
                <w:szCs w:val="20"/>
              </w:rPr>
            </w:pPr>
            <w:r>
              <w:rPr>
                <w:noProof/>
                <w:color w:val="000000"/>
                <w:sz w:val="20"/>
              </w:rPr>
              <w:t>49,435</w:t>
            </w:r>
          </w:p>
        </w:tc>
        <w:tc>
          <w:tcPr>
            <w:tcW w:w="1621" w:type="dxa"/>
            <w:vAlign w:val="bottom"/>
          </w:tcPr>
          <w:p w:rsidR="005E40F8" w:rsidRDefault="007C521D">
            <w:pPr>
              <w:spacing w:before="20" w:after="20"/>
              <w:jc w:val="right"/>
              <w:rPr>
                <w:noProof/>
                <w:sz w:val="20"/>
                <w:szCs w:val="20"/>
              </w:rPr>
            </w:pPr>
            <w:r>
              <w:rPr>
                <w:noProof/>
                <w:color w:val="000000"/>
                <w:sz w:val="20"/>
              </w:rPr>
              <w:t>24,630</w:t>
            </w:r>
          </w:p>
        </w:tc>
        <w:tc>
          <w:tcPr>
            <w:tcW w:w="1622" w:type="dxa"/>
            <w:vAlign w:val="center"/>
          </w:tcPr>
          <w:p w:rsidR="005E40F8" w:rsidRDefault="007C521D">
            <w:pPr>
              <w:spacing w:before="20" w:after="20"/>
              <w:jc w:val="right"/>
              <w:rPr>
                <w:b/>
                <w:noProof/>
                <w:sz w:val="20"/>
                <w:szCs w:val="20"/>
              </w:rPr>
            </w:pPr>
            <w:r>
              <w:rPr>
                <w:b/>
                <w:noProof/>
                <w:sz w:val="20"/>
              </w:rPr>
              <w:t>118,200</w:t>
            </w:r>
          </w:p>
        </w:tc>
      </w:tr>
      <w:tr w:rsidR="005E40F8">
        <w:trPr>
          <w:trHeight w:val="231"/>
        </w:trPr>
        <w:tc>
          <w:tcPr>
            <w:tcW w:w="13560" w:type="dxa"/>
            <w:gridSpan w:val="8"/>
            <w:vAlign w:val="center"/>
          </w:tcPr>
          <w:p w:rsidR="005E40F8" w:rsidRDefault="007C521D">
            <w:pPr>
              <w:rPr>
                <w:b/>
                <w:noProof/>
                <w:sz w:val="20"/>
                <w:szCs w:val="20"/>
              </w:rPr>
            </w:pPr>
            <w:r>
              <w:rPr>
                <w:noProof/>
                <w:sz w:val="20"/>
              </w:rPr>
              <w:t xml:space="preserve">Administratívne rozpočtové prostriedky financované z balíka </w:t>
            </w:r>
            <w:r>
              <w:rPr>
                <w:noProof/>
                <w:sz w:val="20"/>
              </w:rPr>
              <w:t>prostriedkov určených na realizáciu osobitných programov</w:t>
            </w:r>
            <w:r>
              <w:rPr>
                <w:rStyle w:val="FootnoteReference"/>
                <w:noProof/>
                <w:sz w:val="20"/>
              </w:rPr>
              <w:footnoteReference w:id="22"/>
            </w:r>
            <w:r>
              <w:rPr>
                <w:noProof/>
                <w:sz w:val="20"/>
              </w:rPr>
              <w:t xml:space="preserve"> </w:t>
            </w:r>
          </w:p>
        </w:tc>
      </w:tr>
      <w:tr w:rsidR="005E40F8">
        <w:trPr>
          <w:trHeight w:val="488"/>
        </w:trPr>
        <w:tc>
          <w:tcPr>
            <w:tcW w:w="3360" w:type="dxa"/>
            <w:vMerge w:val="restart"/>
            <w:vAlign w:val="center"/>
          </w:tcPr>
          <w:p w:rsidR="005E40F8" w:rsidRDefault="007C521D">
            <w:pPr>
              <w:jc w:val="left"/>
              <w:rPr>
                <w:b/>
                <w:noProof/>
                <w:sz w:val="20"/>
              </w:rPr>
            </w:pPr>
            <w:r>
              <w:rPr>
                <w:b/>
                <w:noProof/>
                <w:sz w:val="20"/>
              </w:rPr>
              <w:t>06 01 06 01 Výkonná agentúra pre inovácie a siete – príspevok z NPE</w:t>
            </w:r>
          </w:p>
        </w:tc>
        <w:tc>
          <w:tcPr>
            <w:tcW w:w="1320" w:type="dxa"/>
            <w:vAlign w:val="center"/>
          </w:tcPr>
          <w:p w:rsidR="005E40F8" w:rsidRDefault="007C521D">
            <w:pPr>
              <w:spacing w:before="0" w:after="0"/>
              <w:rPr>
                <w:noProof/>
                <w:sz w:val="18"/>
              </w:rPr>
            </w:pPr>
            <w:r>
              <w:rPr>
                <w:noProof/>
                <w:sz w:val="18"/>
              </w:rPr>
              <w:t>Záväzky</w:t>
            </w:r>
          </w:p>
        </w:tc>
        <w:tc>
          <w:tcPr>
            <w:tcW w:w="840" w:type="dxa"/>
            <w:vAlign w:val="center"/>
          </w:tcPr>
          <w:p w:rsidR="005E40F8" w:rsidRDefault="005E40F8">
            <w:pPr>
              <w:spacing w:before="0" w:after="0"/>
              <w:jc w:val="center"/>
              <w:rPr>
                <w:noProof/>
                <w:sz w:val="14"/>
              </w:rPr>
            </w:pPr>
          </w:p>
        </w:tc>
        <w:tc>
          <w:tcPr>
            <w:tcW w:w="1555" w:type="dxa"/>
            <w:vAlign w:val="bottom"/>
          </w:tcPr>
          <w:p w:rsidR="005E40F8" w:rsidRDefault="007C521D">
            <w:pPr>
              <w:spacing w:before="0" w:after="0"/>
              <w:jc w:val="right"/>
              <w:rPr>
                <w:noProof/>
                <w:sz w:val="20"/>
                <w:szCs w:val="20"/>
              </w:rPr>
            </w:pPr>
            <w:r>
              <w:rPr>
                <w:noProof/>
                <w:color w:val="000000"/>
                <w:sz w:val="20"/>
              </w:rPr>
              <w:t>0,580</w:t>
            </w:r>
          </w:p>
        </w:tc>
        <w:tc>
          <w:tcPr>
            <w:tcW w:w="1621" w:type="dxa"/>
            <w:vAlign w:val="bottom"/>
          </w:tcPr>
          <w:p w:rsidR="005E40F8" w:rsidRDefault="007C521D">
            <w:pPr>
              <w:spacing w:before="0" w:after="0"/>
              <w:jc w:val="right"/>
              <w:rPr>
                <w:noProof/>
                <w:sz w:val="20"/>
                <w:szCs w:val="20"/>
              </w:rPr>
            </w:pPr>
            <w:r>
              <w:rPr>
                <w:noProof/>
                <w:color w:val="000000"/>
                <w:sz w:val="20"/>
              </w:rPr>
              <w:t>0,365</w:t>
            </w:r>
          </w:p>
        </w:tc>
        <w:tc>
          <w:tcPr>
            <w:tcW w:w="1621" w:type="dxa"/>
            <w:vAlign w:val="bottom"/>
          </w:tcPr>
          <w:p w:rsidR="005E40F8" w:rsidRDefault="007C521D">
            <w:pPr>
              <w:spacing w:before="0" w:after="0"/>
              <w:jc w:val="right"/>
              <w:rPr>
                <w:noProof/>
                <w:sz w:val="20"/>
                <w:szCs w:val="20"/>
              </w:rPr>
            </w:pPr>
            <w:r>
              <w:rPr>
                <w:noProof/>
                <w:color w:val="000000"/>
                <w:sz w:val="20"/>
              </w:rPr>
              <w:t>0,365</w:t>
            </w:r>
          </w:p>
        </w:tc>
        <w:tc>
          <w:tcPr>
            <w:tcW w:w="1621" w:type="dxa"/>
            <w:vAlign w:val="bottom"/>
          </w:tcPr>
          <w:p w:rsidR="005E40F8" w:rsidRDefault="007C521D">
            <w:pPr>
              <w:spacing w:before="0" w:after="0"/>
              <w:jc w:val="right"/>
              <w:rPr>
                <w:noProof/>
                <w:sz w:val="20"/>
                <w:szCs w:val="20"/>
              </w:rPr>
            </w:pPr>
            <w:r>
              <w:rPr>
                <w:noProof/>
                <w:color w:val="000000"/>
                <w:sz w:val="20"/>
              </w:rPr>
              <w:t>0,290</w:t>
            </w:r>
          </w:p>
        </w:tc>
        <w:tc>
          <w:tcPr>
            <w:tcW w:w="1622" w:type="dxa"/>
            <w:vAlign w:val="center"/>
          </w:tcPr>
          <w:p w:rsidR="005E40F8" w:rsidRDefault="007C521D">
            <w:pPr>
              <w:spacing w:before="0" w:after="0"/>
              <w:jc w:val="right"/>
              <w:rPr>
                <w:b/>
                <w:noProof/>
                <w:sz w:val="20"/>
                <w:szCs w:val="20"/>
              </w:rPr>
            </w:pPr>
            <w:r>
              <w:rPr>
                <w:b/>
                <w:noProof/>
                <w:sz w:val="20"/>
              </w:rPr>
              <w:t>1,600</w:t>
            </w:r>
          </w:p>
        </w:tc>
      </w:tr>
      <w:tr w:rsidR="005E40F8">
        <w:trPr>
          <w:trHeight w:val="344"/>
        </w:trPr>
        <w:tc>
          <w:tcPr>
            <w:tcW w:w="3360" w:type="dxa"/>
            <w:vMerge/>
            <w:vAlign w:val="center"/>
          </w:tcPr>
          <w:p w:rsidR="005E40F8" w:rsidRDefault="005E40F8">
            <w:pPr>
              <w:jc w:val="left"/>
              <w:rPr>
                <w:b/>
                <w:noProof/>
                <w:sz w:val="20"/>
              </w:rPr>
            </w:pPr>
          </w:p>
        </w:tc>
        <w:tc>
          <w:tcPr>
            <w:tcW w:w="1320" w:type="dxa"/>
            <w:vAlign w:val="center"/>
          </w:tcPr>
          <w:p w:rsidR="005E40F8" w:rsidRDefault="007C521D">
            <w:pPr>
              <w:spacing w:before="0" w:after="0"/>
              <w:rPr>
                <w:noProof/>
                <w:sz w:val="18"/>
              </w:rPr>
            </w:pPr>
            <w:r>
              <w:rPr>
                <w:noProof/>
                <w:sz w:val="18"/>
              </w:rPr>
              <w:t>Platby</w:t>
            </w:r>
          </w:p>
        </w:tc>
        <w:tc>
          <w:tcPr>
            <w:tcW w:w="840" w:type="dxa"/>
            <w:vAlign w:val="center"/>
          </w:tcPr>
          <w:p w:rsidR="005E40F8" w:rsidRDefault="005E40F8">
            <w:pPr>
              <w:spacing w:before="0" w:after="0"/>
              <w:jc w:val="center"/>
              <w:rPr>
                <w:noProof/>
                <w:sz w:val="14"/>
              </w:rPr>
            </w:pPr>
          </w:p>
        </w:tc>
        <w:tc>
          <w:tcPr>
            <w:tcW w:w="1555" w:type="dxa"/>
            <w:vAlign w:val="bottom"/>
          </w:tcPr>
          <w:p w:rsidR="005E40F8" w:rsidRDefault="007C521D">
            <w:pPr>
              <w:spacing w:before="0" w:after="0"/>
              <w:jc w:val="right"/>
              <w:rPr>
                <w:noProof/>
                <w:sz w:val="20"/>
                <w:szCs w:val="20"/>
              </w:rPr>
            </w:pPr>
            <w:r>
              <w:rPr>
                <w:noProof/>
                <w:color w:val="000000"/>
                <w:sz w:val="20"/>
              </w:rPr>
              <w:t>0,580</w:t>
            </w:r>
          </w:p>
        </w:tc>
        <w:tc>
          <w:tcPr>
            <w:tcW w:w="1621" w:type="dxa"/>
            <w:vAlign w:val="bottom"/>
          </w:tcPr>
          <w:p w:rsidR="005E40F8" w:rsidRDefault="007C521D">
            <w:pPr>
              <w:spacing w:before="0" w:after="0"/>
              <w:jc w:val="right"/>
              <w:rPr>
                <w:noProof/>
                <w:sz w:val="20"/>
                <w:szCs w:val="20"/>
              </w:rPr>
            </w:pPr>
            <w:r>
              <w:rPr>
                <w:noProof/>
                <w:color w:val="000000"/>
                <w:sz w:val="20"/>
              </w:rPr>
              <w:t>0,365</w:t>
            </w:r>
          </w:p>
        </w:tc>
        <w:tc>
          <w:tcPr>
            <w:tcW w:w="1621" w:type="dxa"/>
            <w:vAlign w:val="bottom"/>
          </w:tcPr>
          <w:p w:rsidR="005E40F8" w:rsidRDefault="007C521D">
            <w:pPr>
              <w:spacing w:before="0" w:after="0"/>
              <w:jc w:val="right"/>
              <w:rPr>
                <w:noProof/>
                <w:sz w:val="20"/>
                <w:szCs w:val="20"/>
              </w:rPr>
            </w:pPr>
            <w:r>
              <w:rPr>
                <w:noProof/>
                <w:color w:val="000000"/>
                <w:sz w:val="20"/>
              </w:rPr>
              <w:t>0,365</w:t>
            </w:r>
          </w:p>
        </w:tc>
        <w:tc>
          <w:tcPr>
            <w:tcW w:w="1621" w:type="dxa"/>
            <w:vAlign w:val="bottom"/>
          </w:tcPr>
          <w:p w:rsidR="005E40F8" w:rsidRDefault="007C521D">
            <w:pPr>
              <w:spacing w:before="0" w:after="0"/>
              <w:jc w:val="right"/>
              <w:rPr>
                <w:noProof/>
                <w:sz w:val="20"/>
                <w:szCs w:val="20"/>
              </w:rPr>
            </w:pPr>
            <w:r>
              <w:rPr>
                <w:noProof/>
                <w:color w:val="000000"/>
                <w:sz w:val="20"/>
              </w:rPr>
              <w:t>0,290</w:t>
            </w:r>
          </w:p>
        </w:tc>
        <w:tc>
          <w:tcPr>
            <w:tcW w:w="1622" w:type="dxa"/>
            <w:vAlign w:val="center"/>
          </w:tcPr>
          <w:p w:rsidR="005E40F8" w:rsidRDefault="007C521D">
            <w:pPr>
              <w:spacing w:before="0" w:after="0"/>
              <w:jc w:val="right"/>
              <w:rPr>
                <w:b/>
                <w:noProof/>
                <w:sz w:val="20"/>
                <w:szCs w:val="20"/>
              </w:rPr>
            </w:pPr>
            <w:r>
              <w:rPr>
                <w:b/>
                <w:noProof/>
                <w:sz w:val="20"/>
              </w:rPr>
              <w:t>1,600</w:t>
            </w:r>
          </w:p>
        </w:tc>
      </w:tr>
      <w:tr w:rsidR="005E40F8">
        <w:trPr>
          <w:trHeight w:val="512"/>
        </w:trPr>
        <w:tc>
          <w:tcPr>
            <w:tcW w:w="3360" w:type="dxa"/>
            <w:vMerge w:val="restart"/>
            <w:vAlign w:val="center"/>
          </w:tcPr>
          <w:p w:rsidR="005E40F8" w:rsidRDefault="007C521D">
            <w:pPr>
              <w:jc w:val="left"/>
              <w:rPr>
                <w:b/>
                <w:noProof/>
                <w:sz w:val="20"/>
              </w:rPr>
            </w:pPr>
            <w:r>
              <w:rPr>
                <w:b/>
                <w:noProof/>
                <w:sz w:val="20"/>
              </w:rPr>
              <w:t>09 01 04 01</w:t>
            </w:r>
            <w:r>
              <w:rPr>
                <w:noProof/>
                <w:sz w:val="20"/>
              </w:rPr>
              <w:t xml:space="preserve"> </w:t>
            </w:r>
            <w:r>
              <w:rPr>
                <w:b/>
                <w:noProof/>
                <w:sz w:val="20"/>
              </w:rPr>
              <w:t xml:space="preserve">Podporné výdavky na Nástroj na </w:t>
            </w:r>
            <w:r>
              <w:rPr>
                <w:b/>
                <w:noProof/>
                <w:sz w:val="20"/>
              </w:rPr>
              <w:t>prepájanie Európy (NPE)</w:t>
            </w:r>
          </w:p>
        </w:tc>
        <w:tc>
          <w:tcPr>
            <w:tcW w:w="1320" w:type="dxa"/>
            <w:vAlign w:val="center"/>
          </w:tcPr>
          <w:p w:rsidR="005E40F8" w:rsidRDefault="007C521D">
            <w:pPr>
              <w:spacing w:before="0" w:after="0"/>
              <w:rPr>
                <w:noProof/>
                <w:sz w:val="18"/>
              </w:rPr>
            </w:pPr>
            <w:r>
              <w:rPr>
                <w:noProof/>
                <w:sz w:val="18"/>
              </w:rPr>
              <w:t>Záväzky</w:t>
            </w:r>
          </w:p>
        </w:tc>
        <w:tc>
          <w:tcPr>
            <w:tcW w:w="840" w:type="dxa"/>
            <w:vAlign w:val="center"/>
          </w:tcPr>
          <w:p w:rsidR="005E40F8" w:rsidRDefault="005E40F8">
            <w:pPr>
              <w:spacing w:before="0" w:after="0"/>
              <w:jc w:val="center"/>
              <w:rPr>
                <w:noProof/>
                <w:sz w:val="14"/>
              </w:rPr>
            </w:pPr>
          </w:p>
        </w:tc>
        <w:tc>
          <w:tcPr>
            <w:tcW w:w="1555" w:type="dxa"/>
            <w:vAlign w:val="bottom"/>
          </w:tcPr>
          <w:p w:rsidR="005E40F8" w:rsidRDefault="007C521D">
            <w:pPr>
              <w:spacing w:before="0" w:after="0"/>
              <w:jc w:val="right"/>
              <w:rPr>
                <w:noProof/>
                <w:sz w:val="20"/>
                <w:szCs w:val="20"/>
              </w:rPr>
            </w:pPr>
            <w:r>
              <w:rPr>
                <w:noProof/>
                <w:color w:val="000000"/>
                <w:sz w:val="20"/>
              </w:rPr>
              <w:t>0,090</w:t>
            </w:r>
          </w:p>
        </w:tc>
        <w:tc>
          <w:tcPr>
            <w:tcW w:w="1621" w:type="dxa"/>
            <w:vAlign w:val="bottom"/>
          </w:tcPr>
          <w:p w:rsidR="005E40F8" w:rsidRDefault="007C521D">
            <w:pPr>
              <w:spacing w:before="0" w:after="0"/>
              <w:jc w:val="right"/>
              <w:rPr>
                <w:noProof/>
                <w:sz w:val="20"/>
                <w:szCs w:val="20"/>
              </w:rPr>
            </w:pPr>
            <w:r>
              <w:rPr>
                <w:noProof/>
                <w:color w:val="000000"/>
                <w:sz w:val="20"/>
              </w:rPr>
              <w:t>0,025</w:t>
            </w:r>
          </w:p>
        </w:tc>
        <w:tc>
          <w:tcPr>
            <w:tcW w:w="1621" w:type="dxa"/>
            <w:vAlign w:val="bottom"/>
          </w:tcPr>
          <w:p w:rsidR="005E40F8" w:rsidRDefault="007C521D">
            <w:pPr>
              <w:spacing w:before="0" w:after="0"/>
              <w:jc w:val="right"/>
              <w:rPr>
                <w:noProof/>
                <w:sz w:val="20"/>
                <w:szCs w:val="20"/>
              </w:rPr>
            </w:pPr>
            <w:r>
              <w:rPr>
                <w:noProof/>
                <w:color w:val="000000"/>
                <w:sz w:val="20"/>
              </w:rPr>
              <w:t>0,025</w:t>
            </w:r>
          </w:p>
        </w:tc>
        <w:tc>
          <w:tcPr>
            <w:tcW w:w="1621" w:type="dxa"/>
            <w:vAlign w:val="bottom"/>
          </w:tcPr>
          <w:p w:rsidR="005E40F8" w:rsidRDefault="007C521D">
            <w:pPr>
              <w:spacing w:before="0" w:after="0"/>
              <w:jc w:val="right"/>
              <w:rPr>
                <w:noProof/>
                <w:sz w:val="20"/>
                <w:szCs w:val="20"/>
              </w:rPr>
            </w:pPr>
            <w:r>
              <w:rPr>
                <w:noProof/>
                <w:color w:val="000000"/>
                <w:sz w:val="20"/>
              </w:rPr>
              <w:t>0,060</w:t>
            </w:r>
          </w:p>
        </w:tc>
        <w:tc>
          <w:tcPr>
            <w:tcW w:w="1622" w:type="dxa"/>
            <w:vAlign w:val="bottom"/>
          </w:tcPr>
          <w:p w:rsidR="005E40F8" w:rsidRDefault="007C521D">
            <w:pPr>
              <w:spacing w:before="0" w:after="0"/>
              <w:jc w:val="right"/>
              <w:rPr>
                <w:b/>
                <w:noProof/>
                <w:sz w:val="20"/>
                <w:szCs w:val="20"/>
              </w:rPr>
            </w:pPr>
            <w:r>
              <w:rPr>
                <w:b/>
                <w:noProof/>
                <w:color w:val="000000"/>
                <w:sz w:val="20"/>
              </w:rPr>
              <w:t>0,200</w:t>
            </w:r>
          </w:p>
        </w:tc>
      </w:tr>
      <w:tr w:rsidR="005E40F8">
        <w:tc>
          <w:tcPr>
            <w:tcW w:w="3360" w:type="dxa"/>
            <w:vMerge/>
            <w:vAlign w:val="center"/>
          </w:tcPr>
          <w:p w:rsidR="005E40F8" w:rsidRDefault="005E40F8">
            <w:pPr>
              <w:jc w:val="left"/>
              <w:rPr>
                <w:b/>
                <w:noProof/>
              </w:rPr>
            </w:pPr>
          </w:p>
        </w:tc>
        <w:tc>
          <w:tcPr>
            <w:tcW w:w="1320" w:type="dxa"/>
            <w:vAlign w:val="center"/>
          </w:tcPr>
          <w:p w:rsidR="005E40F8" w:rsidRDefault="007C521D">
            <w:pPr>
              <w:spacing w:before="0" w:after="0"/>
              <w:rPr>
                <w:noProof/>
                <w:sz w:val="18"/>
              </w:rPr>
            </w:pPr>
            <w:r>
              <w:rPr>
                <w:noProof/>
                <w:sz w:val="18"/>
              </w:rPr>
              <w:t>Platby</w:t>
            </w:r>
          </w:p>
        </w:tc>
        <w:tc>
          <w:tcPr>
            <w:tcW w:w="840" w:type="dxa"/>
            <w:vAlign w:val="center"/>
          </w:tcPr>
          <w:p w:rsidR="005E40F8" w:rsidRDefault="005E40F8">
            <w:pPr>
              <w:spacing w:before="0" w:after="0"/>
              <w:jc w:val="center"/>
              <w:rPr>
                <w:noProof/>
                <w:sz w:val="14"/>
              </w:rPr>
            </w:pPr>
          </w:p>
        </w:tc>
        <w:tc>
          <w:tcPr>
            <w:tcW w:w="1555" w:type="dxa"/>
            <w:vAlign w:val="bottom"/>
          </w:tcPr>
          <w:p w:rsidR="005E40F8" w:rsidRDefault="007C521D">
            <w:pPr>
              <w:spacing w:before="0" w:after="0"/>
              <w:jc w:val="right"/>
              <w:rPr>
                <w:noProof/>
                <w:sz w:val="20"/>
                <w:szCs w:val="20"/>
              </w:rPr>
            </w:pPr>
            <w:r>
              <w:rPr>
                <w:noProof/>
                <w:color w:val="000000"/>
                <w:sz w:val="20"/>
              </w:rPr>
              <w:t>0,090</w:t>
            </w:r>
          </w:p>
        </w:tc>
        <w:tc>
          <w:tcPr>
            <w:tcW w:w="1621" w:type="dxa"/>
            <w:vAlign w:val="bottom"/>
          </w:tcPr>
          <w:p w:rsidR="005E40F8" w:rsidRDefault="007C521D">
            <w:pPr>
              <w:spacing w:before="0" w:after="0"/>
              <w:jc w:val="right"/>
              <w:rPr>
                <w:noProof/>
                <w:sz w:val="20"/>
                <w:szCs w:val="20"/>
              </w:rPr>
            </w:pPr>
            <w:r>
              <w:rPr>
                <w:noProof/>
                <w:color w:val="000000"/>
                <w:sz w:val="20"/>
              </w:rPr>
              <w:t>0,025</w:t>
            </w:r>
          </w:p>
        </w:tc>
        <w:tc>
          <w:tcPr>
            <w:tcW w:w="1621" w:type="dxa"/>
            <w:vAlign w:val="bottom"/>
          </w:tcPr>
          <w:p w:rsidR="005E40F8" w:rsidRDefault="007C521D">
            <w:pPr>
              <w:spacing w:before="0" w:after="0"/>
              <w:jc w:val="right"/>
              <w:rPr>
                <w:noProof/>
                <w:sz w:val="20"/>
                <w:szCs w:val="20"/>
              </w:rPr>
            </w:pPr>
            <w:r>
              <w:rPr>
                <w:noProof/>
                <w:color w:val="000000"/>
                <w:sz w:val="20"/>
              </w:rPr>
              <w:t>0,025</w:t>
            </w:r>
          </w:p>
        </w:tc>
        <w:tc>
          <w:tcPr>
            <w:tcW w:w="1621" w:type="dxa"/>
            <w:vAlign w:val="bottom"/>
          </w:tcPr>
          <w:p w:rsidR="005E40F8" w:rsidRDefault="007C521D">
            <w:pPr>
              <w:spacing w:before="0" w:after="0"/>
              <w:jc w:val="right"/>
              <w:rPr>
                <w:noProof/>
                <w:sz w:val="20"/>
                <w:szCs w:val="20"/>
              </w:rPr>
            </w:pPr>
            <w:r>
              <w:rPr>
                <w:noProof/>
                <w:color w:val="000000"/>
                <w:sz w:val="20"/>
              </w:rPr>
              <w:t>0,060</w:t>
            </w:r>
          </w:p>
        </w:tc>
        <w:tc>
          <w:tcPr>
            <w:tcW w:w="1622" w:type="dxa"/>
            <w:vAlign w:val="bottom"/>
          </w:tcPr>
          <w:p w:rsidR="005E40F8" w:rsidRDefault="007C521D">
            <w:pPr>
              <w:spacing w:before="0" w:after="0"/>
              <w:jc w:val="right"/>
              <w:rPr>
                <w:b/>
                <w:noProof/>
                <w:sz w:val="20"/>
                <w:szCs w:val="20"/>
              </w:rPr>
            </w:pPr>
            <w:r>
              <w:rPr>
                <w:b/>
                <w:noProof/>
                <w:color w:val="000000"/>
                <w:sz w:val="20"/>
              </w:rPr>
              <w:t>0,200</w:t>
            </w:r>
          </w:p>
        </w:tc>
      </w:tr>
      <w:tr w:rsidR="005E40F8">
        <w:trPr>
          <w:trHeight w:val="404"/>
        </w:trPr>
        <w:tc>
          <w:tcPr>
            <w:tcW w:w="3360" w:type="dxa"/>
            <w:vMerge w:val="restart"/>
            <w:vAlign w:val="center"/>
          </w:tcPr>
          <w:p w:rsidR="005E40F8" w:rsidRDefault="007C521D">
            <w:pPr>
              <w:jc w:val="left"/>
              <w:rPr>
                <w:b/>
                <w:noProof/>
              </w:rPr>
            </w:pPr>
            <w:r>
              <w:rPr>
                <w:b/>
                <w:noProof/>
                <w:sz w:val="22"/>
              </w:rPr>
              <w:t>SPOLU rozpočtové prostriedky</w:t>
            </w:r>
            <w:r>
              <w:rPr>
                <w:noProof/>
                <w:sz w:val="22"/>
              </w:rPr>
              <w:br/>
            </w:r>
            <w:r>
              <w:rPr>
                <w:b/>
                <w:noProof/>
                <w:sz w:val="22"/>
              </w:rPr>
              <w:t>pre GR CONNECT/MOVE</w:t>
            </w:r>
          </w:p>
        </w:tc>
        <w:tc>
          <w:tcPr>
            <w:tcW w:w="1320" w:type="dxa"/>
            <w:vAlign w:val="center"/>
          </w:tcPr>
          <w:p w:rsidR="005E40F8" w:rsidRDefault="007C521D">
            <w:pPr>
              <w:spacing w:before="0" w:after="0"/>
              <w:rPr>
                <w:noProof/>
                <w:sz w:val="18"/>
              </w:rPr>
            </w:pPr>
            <w:r>
              <w:rPr>
                <w:noProof/>
                <w:sz w:val="18"/>
              </w:rPr>
              <w:t>Záväzky</w:t>
            </w:r>
          </w:p>
        </w:tc>
        <w:tc>
          <w:tcPr>
            <w:tcW w:w="840" w:type="dxa"/>
            <w:vAlign w:val="center"/>
          </w:tcPr>
          <w:p w:rsidR="005E40F8" w:rsidRDefault="007C521D">
            <w:pPr>
              <w:spacing w:before="0" w:after="0"/>
              <w:jc w:val="center"/>
              <w:rPr>
                <w:noProof/>
                <w:sz w:val="14"/>
              </w:rPr>
            </w:pPr>
            <w:r>
              <w:rPr>
                <w:noProof/>
                <w:sz w:val="14"/>
              </w:rPr>
              <w:t>= 1 + 1a + 3</w:t>
            </w:r>
          </w:p>
        </w:tc>
        <w:tc>
          <w:tcPr>
            <w:tcW w:w="1555" w:type="dxa"/>
            <w:vAlign w:val="bottom"/>
          </w:tcPr>
          <w:p w:rsidR="005E40F8" w:rsidRDefault="007C521D">
            <w:pPr>
              <w:spacing w:before="0" w:after="0"/>
              <w:jc w:val="right"/>
              <w:rPr>
                <w:b/>
                <w:noProof/>
                <w:sz w:val="20"/>
                <w:szCs w:val="20"/>
              </w:rPr>
            </w:pPr>
            <w:r>
              <w:rPr>
                <w:b/>
                <w:noProof/>
                <w:color w:val="000000"/>
                <w:sz w:val="20"/>
              </w:rPr>
              <w:t>20,000</w:t>
            </w:r>
          </w:p>
        </w:tc>
        <w:tc>
          <w:tcPr>
            <w:tcW w:w="1621" w:type="dxa"/>
            <w:vAlign w:val="bottom"/>
          </w:tcPr>
          <w:p w:rsidR="005E40F8" w:rsidRDefault="007C521D">
            <w:pPr>
              <w:spacing w:before="0" w:after="0"/>
              <w:jc w:val="right"/>
              <w:rPr>
                <w:b/>
                <w:noProof/>
                <w:sz w:val="20"/>
                <w:szCs w:val="20"/>
              </w:rPr>
            </w:pPr>
            <w:r>
              <w:rPr>
                <w:b/>
                <w:noProof/>
                <w:color w:val="000000"/>
                <w:sz w:val="20"/>
              </w:rPr>
              <w:t>50,000</w:t>
            </w:r>
          </w:p>
        </w:tc>
        <w:tc>
          <w:tcPr>
            <w:tcW w:w="1621" w:type="dxa"/>
            <w:vAlign w:val="bottom"/>
          </w:tcPr>
          <w:p w:rsidR="005E40F8" w:rsidRDefault="007C521D">
            <w:pPr>
              <w:spacing w:before="0" w:after="0"/>
              <w:jc w:val="right"/>
              <w:rPr>
                <w:b/>
                <w:noProof/>
                <w:sz w:val="20"/>
                <w:szCs w:val="20"/>
              </w:rPr>
            </w:pPr>
            <w:r>
              <w:rPr>
                <w:b/>
                <w:noProof/>
                <w:color w:val="000000"/>
                <w:sz w:val="20"/>
              </w:rPr>
              <w:t>49,650</w:t>
            </w:r>
          </w:p>
        </w:tc>
        <w:tc>
          <w:tcPr>
            <w:tcW w:w="1621" w:type="dxa"/>
            <w:vAlign w:val="bottom"/>
          </w:tcPr>
          <w:p w:rsidR="005E40F8" w:rsidRDefault="007C521D">
            <w:pPr>
              <w:spacing w:before="0" w:after="0"/>
              <w:jc w:val="right"/>
              <w:rPr>
                <w:b/>
                <w:noProof/>
                <w:sz w:val="20"/>
                <w:szCs w:val="20"/>
              </w:rPr>
            </w:pPr>
            <w:r>
              <w:rPr>
                <w:b/>
                <w:noProof/>
                <w:color w:val="000000"/>
                <w:sz w:val="20"/>
              </w:rPr>
              <w:t>0,350</w:t>
            </w:r>
          </w:p>
        </w:tc>
        <w:tc>
          <w:tcPr>
            <w:tcW w:w="1622" w:type="dxa"/>
            <w:vAlign w:val="center"/>
          </w:tcPr>
          <w:p w:rsidR="005E40F8" w:rsidRDefault="007C521D">
            <w:pPr>
              <w:spacing w:before="0" w:after="0"/>
              <w:jc w:val="right"/>
              <w:rPr>
                <w:b/>
                <w:noProof/>
                <w:sz w:val="20"/>
                <w:szCs w:val="20"/>
              </w:rPr>
            </w:pPr>
            <w:r>
              <w:rPr>
                <w:b/>
                <w:noProof/>
                <w:sz w:val="20"/>
              </w:rPr>
              <w:t>120,000</w:t>
            </w:r>
          </w:p>
        </w:tc>
      </w:tr>
      <w:tr w:rsidR="005E40F8">
        <w:trPr>
          <w:trHeight w:val="368"/>
        </w:trPr>
        <w:tc>
          <w:tcPr>
            <w:tcW w:w="3360" w:type="dxa"/>
            <w:vMerge/>
          </w:tcPr>
          <w:p w:rsidR="005E40F8" w:rsidRDefault="005E40F8">
            <w:pPr>
              <w:rPr>
                <w:noProof/>
                <w:sz w:val="20"/>
              </w:rPr>
            </w:pPr>
          </w:p>
        </w:tc>
        <w:tc>
          <w:tcPr>
            <w:tcW w:w="1320" w:type="dxa"/>
            <w:vAlign w:val="center"/>
          </w:tcPr>
          <w:p w:rsidR="005E40F8" w:rsidRDefault="007C521D">
            <w:pPr>
              <w:spacing w:before="0" w:after="0"/>
              <w:rPr>
                <w:noProof/>
                <w:sz w:val="18"/>
              </w:rPr>
            </w:pPr>
            <w:r>
              <w:rPr>
                <w:noProof/>
                <w:sz w:val="18"/>
              </w:rPr>
              <w:t>Platby</w:t>
            </w:r>
          </w:p>
        </w:tc>
        <w:tc>
          <w:tcPr>
            <w:tcW w:w="840" w:type="dxa"/>
            <w:vAlign w:val="center"/>
          </w:tcPr>
          <w:p w:rsidR="005E40F8" w:rsidRDefault="007C521D">
            <w:pPr>
              <w:spacing w:before="0" w:after="0"/>
              <w:jc w:val="center"/>
              <w:rPr>
                <w:noProof/>
                <w:sz w:val="14"/>
              </w:rPr>
            </w:pPr>
            <w:r>
              <w:rPr>
                <w:noProof/>
                <w:sz w:val="14"/>
              </w:rPr>
              <w:t>= 2 + 2a</w:t>
            </w:r>
          </w:p>
          <w:p w:rsidR="005E40F8" w:rsidRDefault="007C521D">
            <w:pPr>
              <w:spacing w:before="0" w:after="0"/>
              <w:jc w:val="center"/>
              <w:rPr>
                <w:noProof/>
                <w:sz w:val="14"/>
              </w:rPr>
            </w:pPr>
            <w:r>
              <w:rPr>
                <w:noProof/>
                <w:sz w:val="14"/>
              </w:rPr>
              <w:t>+3</w:t>
            </w:r>
          </w:p>
        </w:tc>
        <w:tc>
          <w:tcPr>
            <w:tcW w:w="1555" w:type="dxa"/>
            <w:vAlign w:val="bottom"/>
          </w:tcPr>
          <w:p w:rsidR="005E40F8" w:rsidRDefault="007C521D">
            <w:pPr>
              <w:spacing w:before="0" w:after="0"/>
              <w:jc w:val="right"/>
              <w:rPr>
                <w:b/>
                <w:noProof/>
                <w:sz w:val="20"/>
                <w:szCs w:val="20"/>
              </w:rPr>
            </w:pPr>
            <w:r>
              <w:rPr>
                <w:b/>
                <w:noProof/>
                <w:color w:val="000000"/>
                <w:sz w:val="20"/>
              </w:rPr>
              <w:t>0,670</w:t>
            </w:r>
          </w:p>
        </w:tc>
        <w:tc>
          <w:tcPr>
            <w:tcW w:w="1621" w:type="dxa"/>
            <w:vAlign w:val="bottom"/>
          </w:tcPr>
          <w:p w:rsidR="005E40F8" w:rsidRDefault="007C521D">
            <w:pPr>
              <w:spacing w:before="0" w:after="0"/>
              <w:jc w:val="right"/>
              <w:rPr>
                <w:b/>
                <w:noProof/>
                <w:sz w:val="20"/>
                <w:szCs w:val="20"/>
              </w:rPr>
            </w:pPr>
            <w:r>
              <w:rPr>
                <w:b/>
                <w:noProof/>
                <w:color w:val="000000"/>
                <w:sz w:val="20"/>
              </w:rPr>
              <w:t>44,525</w:t>
            </w:r>
          </w:p>
        </w:tc>
        <w:tc>
          <w:tcPr>
            <w:tcW w:w="1621" w:type="dxa"/>
            <w:vAlign w:val="bottom"/>
          </w:tcPr>
          <w:p w:rsidR="005E40F8" w:rsidRDefault="007C521D">
            <w:pPr>
              <w:spacing w:before="0" w:after="0"/>
              <w:jc w:val="right"/>
              <w:rPr>
                <w:b/>
                <w:noProof/>
                <w:sz w:val="20"/>
                <w:szCs w:val="20"/>
              </w:rPr>
            </w:pPr>
            <w:r>
              <w:rPr>
                <w:b/>
                <w:noProof/>
                <w:color w:val="000000"/>
                <w:sz w:val="20"/>
              </w:rPr>
              <w:t>49,825</w:t>
            </w:r>
          </w:p>
        </w:tc>
        <w:tc>
          <w:tcPr>
            <w:tcW w:w="1621" w:type="dxa"/>
            <w:vAlign w:val="bottom"/>
          </w:tcPr>
          <w:p w:rsidR="005E40F8" w:rsidRDefault="007C521D">
            <w:pPr>
              <w:spacing w:before="0" w:after="0"/>
              <w:jc w:val="right"/>
              <w:rPr>
                <w:b/>
                <w:noProof/>
                <w:sz w:val="20"/>
                <w:szCs w:val="20"/>
              </w:rPr>
            </w:pPr>
            <w:r>
              <w:rPr>
                <w:b/>
                <w:noProof/>
                <w:color w:val="000000"/>
                <w:sz w:val="20"/>
              </w:rPr>
              <w:t>24,980</w:t>
            </w:r>
          </w:p>
        </w:tc>
        <w:tc>
          <w:tcPr>
            <w:tcW w:w="1622" w:type="dxa"/>
            <w:vAlign w:val="center"/>
          </w:tcPr>
          <w:p w:rsidR="005E40F8" w:rsidRDefault="007C521D">
            <w:pPr>
              <w:spacing w:before="0" w:after="0"/>
              <w:jc w:val="right"/>
              <w:rPr>
                <w:b/>
                <w:noProof/>
                <w:sz w:val="20"/>
                <w:szCs w:val="20"/>
              </w:rPr>
            </w:pPr>
            <w:r>
              <w:rPr>
                <w:b/>
                <w:noProof/>
                <w:sz w:val="20"/>
              </w:rPr>
              <w:t>120,000</w:t>
            </w:r>
          </w:p>
        </w:tc>
      </w:tr>
    </w:tbl>
    <w:p w:rsidR="005E40F8" w:rsidRDefault="007C521D">
      <w:pPr>
        <w:rPr>
          <w:noProof/>
        </w:rPr>
      </w:pPr>
      <w:r>
        <w:rPr>
          <w:noProof/>
        </w:rPr>
        <w:br/>
      </w:r>
    </w:p>
    <w:p w:rsidR="005E40F8" w:rsidRDefault="005E40F8">
      <w:pPr>
        <w:rPr>
          <w:strike/>
          <w:noProof/>
        </w:rPr>
      </w:pPr>
    </w:p>
    <w:p w:rsidR="005E40F8" w:rsidRDefault="007C521D">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E40F8">
        <w:trPr>
          <w:jc w:val="center"/>
        </w:trPr>
        <w:tc>
          <w:tcPr>
            <w:tcW w:w="4744" w:type="dxa"/>
            <w:shd w:val="thinDiagStripe" w:color="C0C0C0" w:fill="auto"/>
            <w:vAlign w:val="center"/>
          </w:tcPr>
          <w:p w:rsidR="005E40F8" w:rsidRDefault="007C521D">
            <w:pPr>
              <w:spacing w:before="60" w:after="60"/>
              <w:jc w:val="center"/>
              <w:rPr>
                <w:b/>
                <w:noProof/>
              </w:rPr>
            </w:pPr>
            <w:r>
              <w:rPr>
                <w:noProof/>
              </w:rPr>
              <w:br w:type="page"/>
            </w:r>
            <w:r>
              <w:rPr>
                <w:b/>
                <w:noProof/>
                <w:sz w:val="22"/>
              </w:rPr>
              <w:t>Okruh viacročného finančného</w:t>
            </w:r>
            <w:r>
              <w:rPr>
                <w:noProof/>
                <w:sz w:val="22"/>
              </w:rPr>
              <w:br/>
            </w:r>
            <w:r>
              <w:rPr>
                <w:b/>
                <w:noProof/>
                <w:sz w:val="22"/>
              </w:rPr>
              <w:t xml:space="preserve">rámca </w:t>
            </w:r>
          </w:p>
        </w:tc>
        <w:tc>
          <w:tcPr>
            <w:tcW w:w="1080" w:type="dxa"/>
            <w:shd w:val="thinDiagStripe" w:color="C0C0C0" w:fill="auto"/>
            <w:vAlign w:val="center"/>
          </w:tcPr>
          <w:p w:rsidR="005E40F8" w:rsidRDefault="007C521D">
            <w:pPr>
              <w:spacing w:before="60" w:after="60"/>
              <w:jc w:val="center"/>
              <w:rPr>
                <w:noProof/>
              </w:rPr>
            </w:pPr>
            <w:r>
              <w:rPr>
                <w:b/>
                <w:noProof/>
                <w:sz w:val="22"/>
              </w:rPr>
              <w:t>5</w:t>
            </w:r>
          </w:p>
        </w:tc>
        <w:tc>
          <w:tcPr>
            <w:tcW w:w="7817" w:type="dxa"/>
            <w:vAlign w:val="center"/>
          </w:tcPr>
          <w:p w:rsidR="005E40F8" w:rsidRDefault="007C521D">
            <w:pPr>
              <w:spacing w:before="60" w:after="60"/>
              <w:rPr>
                <w:noProof/>
              </w:rPr>
            </w:pPr>
            <w:r>
              <w:rPr>
                <w:noProof/>
                <w:sz w:val="22"/>
              </w:rPr>
              <w:t>„Administratívne výdavky“</w:t>
            </w:r>
          </w:p>
        </w:tc>
      </w:tr>
    </w:tbl>
    <w:p w:rsidR="005E40F8" w:rsidRDefault="007C521D">
      <w:pPr>
        <w:jc w:val="right"/>
        <w:rPr>
          <w:noProof/>
          <w:sz w:val="20"/>
        </w:rPr>
      </w:pPr>
      <w:r>
        <w:rPr>
          <w:noProof/>
          <w:sz w:val="20"/>
        </w:rPr>
        <w:t>v mil. EUR (zaokrúhlené na 3 desatinné miesta)</w:t>
      </w:r>
    </w:p>
    <w:tbl>
      <w:tblPr>
        <w:tblW w:w="14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2142"/>
        <w:gridCol w:w="1560"/>
        <w:gridCol w:w="1800"/>
        <w:gridCol w:w="1680"/>
        <w:gridCol w:w="1560"/>
        <w:gridCol w:w="1560"/>
      </w:tblGrid>
      <w:tr w:rsidR="005E40F8">
        <w:tc>
          <w:tcPr>
            <w:tcW w:w="6000" w:type="dxa"/>
            <w:gridSpan w:val="2"/>
            <w:tcBorders>
              <w:top w:val="nil"/>
              <w:left w:val="nil"/>
              <w:right w:val="nil"/>
            </w:tcBorders>
            <w:vAlign w:val="center"/>
          </w:tcPr>
          <w:p w:rsidR="005E40F8" w:rsidRDefault="005E40F8">
            <w:pPr>
              <w:jc w:val="center"/>
              <w:rPr>
                <w:noProof/>
              </w:rPr>
            </w:pPr>
          </w:p>
        </w:tc>
        <w:tc>
          <w:tcPr>
            <w:tcW w:w="1560" w:type="dxa"/>
            <w:vAlign w:val="center"/>
          </w:tcPr>
          <w:p w:rsidR="005E40F8" w:rsidRDefault="007C521D">
            <w:pPr>
              <w:jc w:val="center"/>
              <w:rPr>
                <w:noProof/>
                <w:sz w:val="20"/>
              </w:rPr>
            </w:pPr>
            <w:r>
              <w:rPr>
                <w:b/>
                <w:noProof/>
                <w:sz w:val="20"/>
              </w:rPr>
              <w:t>2017</w:t>
            </w:r>
          </w:p>
        </w:tc>
        <w:tc>
          <w:tcPr>
            <w:tcW w:w="1800" w:type="dxa"/>
            <w:vAlign w:val="center"/>
          </w:tcPr>
          <w:p w:rsidR="005E40F8" w:rsidRDefault="007C521D">
            <w:pPr>
              <w:jc w:val="center"/>
              <w:rPr>
                <w:noProof/>
                <w:sz w:val="20"/>
              </w:rPr>
            </w:pPr>
            <w:r>
              <w:rPr>
                <w:b/>
                <w:noProof/>
                <w:sz w:val="20"/>
              </w:rPr>
              <w:t>2018</w:t>
            </w:r>
          </w:p>
        </w:tc>
        <w:tc>
          <w:tcPr>
            <w:tcW w:w="1680" w:type="dxa"/>
            <w:vAlign w:val="center"/>
          </w:tcPr>
          <w:p w:rsidR="005E40F8" w:rsidRDefault="007C521D">
            <w:pPr>
              <w:jc w:val="center"/>
              <w:rPr>
                <w:noProof/>
                <w:sz w:val="20"/>
              </w:rPr>
            </w:pPr>
            <w:r>
              <w:rPr>
                <w:b/>
                <w:noProof/>
                <w:sz w:val="20"/>
              </w:rPr>
              <w:t>2019</w:t>
            </w:r>
          </w:p>
        </w:tc>
        <w:tc>
          <w:tcPr>
            <w:tcW w:w="1560" w:type="dxa"/>
            <w:vAlign w:val="center"/>
          </w:tcPr>
          <w:p w:rsidR="005E40F8" w:rsidRDefault="007C521D">
            <w:pPr>
              <w:jc w:val="center"/>
              <w:rPr>
                <w:noProof/>
                <w:sz w:val="20"/>
              </w:rPr>
            </w:pPr>
            <w:r>
              <w:rPr>
                <w:b/>
                <w:noProof/>
                <w:sz w:val="20"/>
              </w:rPr>
              <w:t>2020</w:t>
            </w:r>
          </w:p>
        </w:tc>
        <w:tc>
          <w:tcPr>
            <w:tcW w:w="1560" w:type="dxa"/>
            <w:vAlign w:val="center"/>
          </w:tcPr>
          <w:p w:rsidR="005E40F8" w:rsidRDefault="007C521D">
            <w:pPr>
              <w:jc w:val="center"/>
              <w:rPr>
                <w:b/>
                <w:noProof/>
                <w:sz w:val="20"/>
              </w:rPr>
            </w:pPr>
            <w:r>
              <w:rPr>
                <w:b/>
                <w:noProof/>
                <w:sz w:val="20"/>
              </w:rPr>
              <w:t>SPOLU</w:t>
            </w:r>
          </w:p>
        </w:tc>
      </w:tr>
      <w:tr w:rsidR="005E40F8">
        <w:trPr>
          <w:gridAfter w:val="5"/>
          <w:wAfter w:w="8160" w:type="dxa"/>
        </w:trPr>
        <w:tc>
          <w:tcPr>
            <w:tcW w:w="6000" w:type="dxa"/>
            <w:gridSpan w:val="2"/>
            <w:vAlign w:val="center"/>
          </w:tcPr>
          <w:p w:rsidR="005E40F8" w:rsidRDefault="007C521D">
            <w:pPr>
              <w:spacing w:before="60" w:after="60"/>
              <w:jc w:val="center"/>
              <w:rPr>
                <w:noProof/>
              </w:rPr>
            </w:pPr>
            <w:r>
              <w:rPr>
                <w:noProof/>
                <w:sz w:val="22"/>
              </w:rPr>
              <w:t>GR: &lt;CONNECT …….&gt;</w:t>
            </w:r>
          </w:p>
        </w:tc>
      </w:tr>
      <w:tr w:rsidR="005E40F8">
        <w:trPr>
          <w:trHeight w:val="313"/>
        </w:trPr>
        <w:tc>
          <w:tcPr>
            <w:tcW w:w="6000" w:type="dxa"/>
            <w:gridSpan w:val="2"/>
            <w:vAlign w:val="center"/>
          </w:tcPr>
          <w:p w:rsidR="005E40F8" w:rsidRDefault="007C521D">
            <w:pPr>
              <w:spacing w:before="20" w:after="20"/>
              <w:rPr>
                <w:noProof/>
              </w:rPr>
            </w:pPr>
            <w:r>
              <w:rPr>
                <w:noProof/>
                <w:sz w:val="22"/>
              </w:rPr>
              <w:sym w:font="Wingdings" w:char="F09F"/>
            </w:r>
            <w:r>
              <w:rPr>
                <w:noProof/>
                <w:sz w:val="22"/>
              </w:rPr>
              <w:t xml:space="preserve"> Ľudské zdroje</w:t>
            </w:r>
          </w:p>
        </w:tc>
        <w:tc>
          <w:tcPr>
            <w:tcW w:w="1560" w:type="dxa"/>
            <w:vAlign w:val="center"/>
          </w:tcPr>
          <w:p w:rsidR="005E40F8" w:rsidRDefault="007C521D">
            <w:pPr>
              <w:spacing w:before="20" w:after="20"/>
              <w:jc w:val="right"/>
              <w:rPr>
                <w:noProof/>
                <w:sz w:val="20"/>
              </w:rPr>
            </w:pPr>
            <w:r>
              <w:rPr>
                <w:noProof/>
                <w:sz w:val="20"/>
              </w:rPr>
              <w:t>0,204</w:t>
            </w:r>
          </w:p>
        </w:tc>
        <w:tc>
          <w:tcPr>
            <w:tcW w:w="1800" w:type="dxa"/>
            <w:vAlign w:val="center"/>
          </w:tcPr>
          <w:p w:rsidR="005E40F8" w:rsidRDefault="007C521D">
            <w:pPr>
              <w:spacing w:before="20" w:after="20"/>
              <w:jc w:val="right"/>
              <w:rPr>
                <w:noProof/>
                <w:sz w:val="20"/>
              </w:rPr>
            </w:pPr>
            <w:r>
              <w:rPr>
                <w:noProof/>
                <w:sz w:val="20"/>
              </w:rPr>
              <w:t>0,204</w:t>
            </w:r>
          </w:p>
        </w:tc>
        <w:tc>
          <w:tcPr>
            <w:tcW w:w="1680" w:type="dxa"/>
            <w:vAlign w:val="center"/>
          </w:tcPr>
          <w:p w:rsidR="005E40F8" w:rsidRDefault="007C521D">
            <w:pPr>
              <w:spacing w:before="20" w:after="20"/>
              <w:jc w:val="right"/>
              <w:rPr>
                <w:noProof/>
                <w:sz w:val="20"/>
              </w:rPr>
            </w:pPr>
            <w:r>
              <w:rPr>
                <w:noProof/>
                <w:sz w:val="20"/>
              </w:rPr>
              <w:t>0,204</w:t>
            </w:r>
          </w:p>
        </w:tc>
        <w:tc>
          <w:tcPr>
            <w:tcW w:w="1560" w:type="dxa"/>
            <w:vAlign w:val="center"/>
          </w:tcPr>
          <w:p w:rsidR="005E40F8" w:rsidRDefault="007C521D">
            <w:pPr>
              <w:spacing w:before="20" w:after="20"/>
              <w:jc w:val="right"/>
              <w:rPr>
                <w:noProof/>
                <w:sz w:val="20"/>
              </w:rPr>
            </w:pPr>
            <w:r>
              <w:rPr>
                <w:noProof/>
                <w:sz w:val="20"/>
              </w:rPr>
              <w:t>0,204</w:t>
            </w:r>
          </w:p>
        </w:tc>
        <w:tc>
          <w:tcPr>
            <w:tcW w:w="1560" w:type="dxa"/>
            <w:vAlign w:val="center"/>
          </w:tcPr>
          <w:p w:rsidR="005E40F8" w:rsidRDefault="007C521D">
            <w:pPr>
              <w:spacing w:before="20" w:after="20"/>
              <w:jc w:val="right"/>
              <w:rPr>
                <w:b/>
                <w:noProof/>
                <w:sz w:val="20"/>
              </w:rPr>
            </w:pPr>
            <w:r>
              <w:rPr>
                <w:b/>
                <w:noProof/>
                <w:sz w:val="20"/>
              </w:rPr>
              <w:t>0,816</w:t>
            </w:r>
          </w:p>
        </w:tc>
      </w:tr>
      <w:tr w:rsidR="005E40F8">
        <w:trPr>
          <w:trHeight w:val="351"/>
        </w:trPr>
        <w:tc>
          <w:tcPr>
            <w:tcW w:w="6000" w:type="dxa"/>
            <w:gridSpan w:val="2"/>
            <w:vAlign w:val="center"/>
          </w:tcPr>
          <w:p w:rsidR="005E40F8" w:rsidRDefault="007C521D">
            <w:pPr>
              <w:spacing w:before="20" w:after="20"/>
              <w:rPr>
                <w:noProof/>
              </w:rPr>
            </w:pPr>
            <w:r>
              <w:rPr>
                <w:noProof/>
                <w:sz w:val="22"/>
              </w:rPr>
              <w:sym w:font="Wingdings" w:char="F09F"/>
            </w:r>
            <w:r>
              <w:rPr>
                <w:noProof/>
                <w:sz w:val="22"/>
              </w:rPr>
              <w:t xml:space="preserve"> Ostatné administratívne výdavky</w:t>
            </w:r>
          </w:p>
        </w:tc>
        <w:tc>
          <w:tcPr>
            <w:tcW w:w="1560" w:type="dxa"/>
            <w:vAlign w:val="center"/>
          </w:tcPr>
          <w:p w:rsidR="005E40F8" w:rsidRDefault="007C521D">
            <w:pPr>
              <w:spacing w:before="20" w:after="20"/>
              <w:jc w:val="right"/>
              <w:rPr>
                <w:noProof/>
                <w:sz w:val="20"/>
              </w:rPr>
            </w:pPr>
            <w:r>
              <w:rPr>
                <w:noProof/>
                <w:sz w:val="20"/>
              </w:rPr>
              <w:t>0,020</w:t>
            </w:r>
          </w:p>
        </w:tc>
        <w:tc>
          <w:tcPr>
            <w:tcW w:w="1800" w:type="dxa"/>
            <w:vAlign w:val="center"/>
          </w:tcPr>
          <w:p w:rsidR="005E40F8" w:rsidRDefault="007C521D">
            <w:pPr>
              <w:spacing w:before="20" w:after="20"/>
              <w:jc w:val="right"/>
              <w:rPr>
                <w:noProof/>
                <w:sz w:val="20"/>
              </w:rPr>
            </w:pPr>
            <w:r>
              <w:rPr>
                <w:noProof/>
                <w:sz w:val="20"/>
              </w:rPr>
              <w:t>0,020</w:t>
            </w:r>
          </w:p>
        </w:tc>
        <w:tc>
          <w:tcPr>
            <w:tcW w:w="1680" w:type="dxa"/>
            <w:vAlign w:val="center"/>
          </w:tcPr>
          <w:p w:rsidR="005E40F8" w:rsidRDefault="007C521D">
            <w:pPr>
              <w:spacing w:before="20" w:after="20"/>
              <w:jc w:val="right"/>
              <w:rPr>
                <w:noProof/>
                <w:sz w:val="20"/>
              </w:rPr>
            </w:pPr>
            <w:r>
              <w:rPr>
                <w:noProof/>
                <w:sz w:val="20"/>
              </w:rPr>
              <w:t>0,010</w:t>
            </w:r>
          </w:p>
        </w:tc>
        <w:tc>
          <w:tcPr>
            <w:tcW w:w="1560" w:type="dxa"/>
            <w:vAlign w:val="center"/>
          </w:tcPr>
          <w:p w:rsidR="005E40F8" w:rsidRDefault="007C521D">
            <w:pPr>
              <w:spacing w:before="20" w:after="20"/>
              <w:jc w:val="right"/>
              <w:rPr>
                <w:noProof/>
                <w:sz w:val="20"/>
              </w:rPr>
            </w:pPr>
            <w:r>
              <w:rPr>
                <w:noProof/>
                <w:sz w:val="20"/>
              </w:rPr>
              <w:t>0,010</w:t>
            </w:r>
          </w:p>
        </w:tc>
        <w:tc>
          <w:tcPr>
            <w:tcW w:w="1560" w:type="dxa"/>
            <w:vAlign w:val="center"/>
          </w:tcPr>
          <w:p w:rsidR="005E40F8" w:rsidRDefault="007C521D">
            <w:pPr>
              <w:spacing w:before="20" w:after="20"/>
              <w:jc w:val="right"/>
              <w:rPr>
                <w:b/>
                <w:noProof/>
                <w:sz w:val="20"/>
              </w:rPr>
            </w:pPr>
            <w:r>
              <w:rPr>
                <w:b/>
                <w:noProof/>
                <w:sz w:val="20"/>
              </w:rPr>
              <w:t>0,060</w:t>
            </w:r>
          </w:p>
        </w:tc>
      </w:tr>
      <w:tr w:rsidR="005E40F8">
        <w:tc>
          <w:tcPr>
            <w:tcW w:w="3858" w:type="dxa"/>
            <w:vAlign w:val="center"/>
          </w:tcPr>
          <w:p w:rsidR="005E40F8" w:rsidRDefault="007C521D">
            <w:pPr>
              <w:jc w:val="center"/>
              <w:rPr>
                <w:b/>
                <w:noProof/>
              </w:rPr>
            </w:pPr>
            <w:r>
              <w:rPr>
                <w:b/>
                <w:noProof/>
                <w:sz w:val="22"/>
              </w:rPr>
              <w:t xml:space="preserve">SPOLU GR </w:t>
            </w:r>
            <w:r>
              <w:rPr>
                <w:noProof/>
                <w:sz w:val="22"/>
              </w:rPr>
              <w:t>CONNECT</w:t>
            </w:r>
          </w:p>
        </w:tc>
        <w:tc>
          <w:tcPr>
            <w:tcW w:w="2142" w:type="dxa"/>
            <w:vAlign w:val="center"/>
          </w:tcPr>
          <w:p w:rsidR="005E40F8" w:rsidRDefault="007C521D">
            <w:pPr>
              <w:rPr>
                <w:noProof/>
                <w:sz w:val="14"/>
              </w:rPr>
            </w:pPr>
            <w:r>
              <w:rPr>
                <w:noProof/>
                <w:sz w:val="18"/>
              </w:rPr>
              <w:t xml:space="preserve">Rozpočtové prostriedky </w:t>
            </w:r>
          </w:p>
        </w:tc>
        <w:tc>
          <w:tcPr>
            <w:tcW w:w="1560" w:type="dxa"/>
            <w:vAlign w:val="center"/>
          </w:tcPr>
          <w:p w:rsidR="005E40F8" w:rsidRDefault="007C521D">
            <w:pPr>
              <w:spacing w:before="60" w:after="60"/>
              <w:jc w:val="right"/>
              <w:rPr>
                <w:b/>
                <w:noProof/>
                <w:sz w:val="20"/>
              </w:rPr>
            </w:pPr>
            <w:r>
              <w:rPr>
                <w:b/>
                <w:noProof/>
                <w:sz w:val="20"/>
              </w:rPr>
              <w:t>0,224</w:t>
            </w:r>
          </w:p>
        </w:tc>
        <w:tc>
          <w:tcPr>
            <w:tcW w:w="1800" w:type="dxa"/>
            <w:vAlign w:val="center"/>
          </w:tcPr>
          <w:p w:rsidR="005E40F8" w:rsidRDefault="007C521D">
            <w:pPr>
              <w:spacing w:before="20" w:after="20"/>
              <w:jc w:val="right"/>
              <w:rPr>
                <w:b/>
                <w:noProof/>
                <w:sz w:val="20"/>
              </w:rPr>
            </w:pPr>
            <w:r>
              <w:rPr>
                <w:b/>
                <w:noProof/>
                <w:sz w:val="20"/>
              </w:rPr>
              <w:t>0,224</w:t>
            </w:r>
          </w:p>
        </w:tc>
        <w:tc>
          <w:tcPr>
            <w:tcW w:w="1680" w:type="dxa"/>
            <w:vAlign w:val="center"/>
          </w:tcPr>
          <w:p w:rsidR="005E40F8" w:rsidRDefault="007C521D">
            <w:pPr>
              <w:spacing w:before="20" w:after="20"/>
              <w:jc w:val="right"/>
              <w:rPr>
                <w:b/>
                <w:noProof/>
                <w:sz w:val="20"/>
              </w:rPr>
            </w:pPr>
            <w:r>
              <w:rPr>
                <w:b/>
                <w:noProof/>
                <w:sz w:val="20"/>
              </w:rPr>
              <w:t>0,214</w:t>
            </w:r>
          </w:p>
        </w:tc>
        <w:tc>
          <w:tcPr>
            <w:tcW w:w="1560" w:type="dxa"/>
            <w:vAlign w:val="center"/>
          </w:tcPr>
          <w:p w:rsidR="005E40F8" w:rsidRDefault="007C521D">
            <w:pPr>
              <w:spacing w:before="20" w:after="20"/>
              <w:jc w:val="right"/>
              <w:rPr>
                <w:b/>
                <w:noProof/>
                <w:sz w:val="20"/>
              </w:rPr>
            </w:pPr>
            <w:r>
              <w:rPr>
                <w:b/>
                <w:noProof/>
                <w:sz w:val="20"/>
              </w:rPr>
              <w:t>0,214</w:t>
            </w:r>
          </w:p>
        </w:tc>
        <w:tc>
          <w:tcPr>
            <w:tcW w:w="1560" w:type="dxa"/>
            <w:vAlign w:val="center"/>
          </w:tcPr>
          <w:p w:rsidR="005E40F8" w:rsidRDefault="007C521D">
            <w:pPr>
              <w:spacing w:before="20" w:after="20"/>
              <w:jc w:val="right"/>
              <w:rPr>
                <w:b/>
                <w:noProof/>
                <w:sz w:val="20"/>
              </w:rPr>
            </w:pPr>
            <w:r>
              <w:rPr>
                <w:b/>
                <w:noProof/>
                <w:sz w:val="20"/>
              </w:rPr>
              <w:t>0,876</w:t>
            </w:r>
          </w:p>
        </w:tc>
      </w:tr>
    </w:tbl>
    <w:p w:rsidR="005E40F8" w:rsidRDefault="007C521D">
      <w:pPr>
        <w:rPr>
          <w:noProof/>
        </w:rPr>
      </w:pPr>
      <w:r>
        <w:rPr>
          <w:noProof/>
        </w:rPr>
        <w:t>X</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40"/>
        <w:gridCol w:w="1560"/>
        <w:gridCol w:w="1800"/>
        <w:gridCol w:w="1680"/>
        <w:gridCol w:w="1560"/>
        <w:gridCol w:w="1560"/>
      </w:tblGrid>
      <w:tr w:rsidR="005E40F8">
        <w:tc>
          <w:tcPr>
            <w:tcW w:w="3960" w:type="dxa"/>
            <w:shd w:val="thinDiagStripe" w:color="C0C0C0" w:fill="auto"/>
            <w:vAlign w:val="center"/>
          </w:tcPr>
          <w:p w:rsidR="005E40F8" w:rsidRDefault="007C521D">
            <w:pPr>
              <w:jc w:val="center"/>
              <w:rPr>
                <w:b/>
                <w:noProof/>
              </w:rPr>
            </w:pPr>
            <w:r>
              <w:rPr>
                <w:b/>
                <w:noProof/>
                <w:sz w:val="22"/>
              </w:rPr>
              <w:t>SPOLU rozpočtové prostriedky</w:t>
            </w:r>
            <w:r>
              <w:rPr>
                <w:noProof/>
                <w:sz w:val="22"/>
              </w:rPr>
              <w:br/>
            </w:r>
            <w:r>
              <w:rPr>
                <w:b/>
                <w:noProof/>
                <w:sz w:val="22"/>
              </w:rPr>
              <w:t>v rámci OKRUHU 5</w:t>
            </w:r>
            <w:r>
              <w:rPr>
                <w:noProof/>
                <w:sz w:val="22"/>
              </w:rPr>
              <w:br/>
              <w:t>viacročného finančného rámca</w:t>
            </w:r>
            <w:r>
              <w:rPr>
                <w:b/>
                <w:noProof/>
                <w:sz w:val="22"/>
              </w:rPr>
              <w:t xml:space="preserve"> </w:t>
            </w:r>
          </w:p>
        </w:tc>
        <w:tc>
          <w:tcPr>
            <w:tcW w:w="2040" w:type="dxa"/>
            <w:vAlign w:val="center"/>
          </w:tcPr>
          <w:p w:rsidR="005E40F8" w:rsidRDefault="007C521D">
            <w:pPr>
              <w:spacing w:before="40" w:after="40"/>
              <w:rPr>
                <w:noProof/>
              </w:rPr>
            </w:pPr>
            <w:r>
              <w:rPr>
                <w:noProof/>
                <w:sz w:val="18"/>
              </w:rPr>
              <w:t>(Záväzky spolu = Platby spolu)</w:t>
            </w:r>
          </w:p>
        </w:tc>
        <w:tc>
          <w:tcPr>
            <w:tcW w:w="1560" w:type="dxa"/>
            <w:vAlign w:val="center"/>
          </w:tcPr>
          <w:p w:rsidR="005E40F8" w:rsidRDefault="007C521D">
            <w:pPr>
              <w:spacing w:before="20" w:after="20"/>
              <w:jc w:val="right"/>
              <w:rPr>
                <w:b/>
                <w:noProof/>
                <w:sz w:val="20"/>
              </w:rPr>
            </w:pPr>
            <w:r>
              <w:rPr>
                <w:b/>
                <w:noProof/>
                <w:sz w:val="20"/>
              </w:rPr>
              <w:t>0,224</w:t>
            </w:r>
          </w:p>
        </w:tc>
        <w:tc>
          <w:tcPr>
            <w:tcW w:w="1800" w:type="dxa"/>
            <w:vAlign w:val="center"/>
          </w:tcPr>
          <w:p w:rsidR="005E40F8" w:rsidRDefault="007C521D">
            <w:pPr>
              <w:spacing w:before="20" w:after="20"/>
              <w:jc w:val="right"/>
              <w:rPr>
                <w:b/>
                <w:noProof/>
                <w:sz w:val="20"/>
              </w:rPr>
            </w:pPr>
            <w:r>
              <w:rPr>
                <w:b/>
                <w:noProof/>
                <w:sz w:val="20"/>
              </w:rPr>
              <w:t>0,224</w:t>
            </w:r>
          </w:p>
        </w:tc>
        <w:tc>
          <w:tcPr>
            <w:tcW w:w="1680" w:type="dxa"/>
            <w:vAlign w:val="center"/>
          </w:tcPr>
          <w:p w:rsidR="005E40F8" w:rsidRDefault="007C521D">
            <w:pPr>
              <w:spacing w:before="20" w:after="20"/>
              <w:jc w:val="right"/>
              <w:rPr>
                <w:b/>
                <w:noProof/>
                <w:sz w:val="20"/>
              </w:rPr>
            </w:pPr>
            <w:r>
              <w:rPr>
                <w:b/>
                <w:noProof/>
                <w:sz w:val="20"/>
              </w:rPr>
              <w:t>0,214</w:t>
            </w:r>
          </w:p>
        </w:tc>
        <w:tc>
          <w:tcPr>
            <w:tcW w:w="1560" w:type="dxa"/>
            <w:vAlign w:val="center"/>
          </w:tcPr>
          <w:p w:rsidR="005E40F8" w:rsidRDefault="007C521D">
            <w:pPr>
              <w:spacing w:before="20" w:after="20"/>
              <w:jc w:val="right"/>
              <w:rPr>
                <w:b/>
                <w:noProof/>
                <w:sz w:val="20"/>
              </w:rPr>
            </w:pPr>
            <w:r>
              <w:rPr>
                <w:b/>
                <w:noProof/>
                <w:sz w:val="20"/>
              </w:rPr>
              <w:t>0,214</w:t>
            </w:r>
          </w:p>
        </w:tc>
        <w:tc>
          <w:tcPr>
            <w:tcW w:w="1560" w:type="dxa"/>
            <w:vAlign w:val="center"/>
          </w:tcPr>
          <w:p w:rsidR="005E40F8" w:rsidRDefault="007C521D">
            <w:pPr>
              <w:spacing w:before="20" w:after="20"/>
              <w:jc w:val="right"/>
              <w:rPr>
                <w:b/>
                <w:noProof/>
                <w:sz w:val="20"/>
              </w:rPr>
            </w:pPr>
            <w:r>
              <w:rPr>
                <w:b/>
                <w:noProof/>
                <w:sz w:val="20"/>
              </w:rPr>
              <w:t>0,876</w:t>
            </w:r>
          </w:p>
        </w:tc>
      </w:tr>
    </w:tbl>
    <w:p w:rsidR="005E40F8" w:rsidRDefault="007C521D">
      <w:pPr>
        <w:jc w:val="right"/>
        <w:rPr>
          <w:noProof/>
          <w:sz w:val="20"/>
        </w:rPr>
      </w:pPr>
      <w:r>
        <w:rPr>
          <w:noProof/>
          <w:sz w:val="20"/>
        </w:rPr>
        <w:t xml:space="preserve">v mil. EUR </w:t>
      </w:r>
      <w:r>
        <w:rPr>
          <w:noProof/>
          <w:sz w:val="20"/>
        </w:rPr>
        <w:t>(zaokrúhlené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480"/>
        <w:gridCol w:w="1560"/>
        <w:gridCol w:w="1800"/>
        <w:gridCol w:w="1680"/>
        <w:gridCol w:w="1560"/>
        <w:gridCol w:w="1560"/>
      </w:tblGrid>
      <w:tr w:rsidR="005E40F8">
        <w:tc>
          <w:tcPr>
            <w:tcW w:w="3960" w:type="dxa"/>
            <w:tcBorders>
              <w:top w:val="nil"/>
              <w:left w:val="nil"/>
              <w:right w:val="nil"/>
            </w:tcBorders>
            <w:vAlign w:val="center"/>
          </w:tcPr>
          <w:p w:rsidR="005E40F8" w:rsidRDefault="005E40F8">
            <w:pPr>
              <w:jc w:val="center"/>
              <w:rPr>
                <w:noProof/>
              </w:rPr>
            </w:pPr>
          </w:p>
        </w:tc>
        <w:tc>
          <w:tcPr>
            <w:tcW w:w="1560" w:type="dxa"/>
            <w:tcBorders>
              <w:top w:val="nil"/>
              <w:left w:val="nil"/>
              <w:right w:val="nil"/>
            </w:tcBorders>
          </w:tcPr>
          <w:p w:rsidR="005E40F8" w:rsidRDefault="005E40F8">
            <w:pPr>
              <w:rPr>
                <w:noProof/>
                <w:sz w:val="20"/>
              </w:rPr>
            </w:pPr>
          </w:p>
        </w:tc>
        <w:tc>
          <w:tcPr>
            <w:tcW w:w="480" w:type="dxa"/>
            <w:tcBorders>
              <w:top w:val="nil"/>
              <w:left w:val="nil"/>
            </w:tcBorders>
          </w:tcPr>
          <w:p w:rsidR="005E40F8" w:rsidRDefault="005E40F8">
            <w:pPr>
              <w:jc w:val="center"/>
              <w:rPr>
                <w:noProof/>
                <w:sz w:val="20"/>
              </w:rPr>
            </w:pPr>
          </w:p>
        </w:tc>
        <w:tc>
          <w:tcPr>
            <w:tcW w:w="1560" w:type="dxa"/>
            <w:vAlign w:val="center"/>
          </w:tcPr>
          <w:p w:rsidR="005E40F8" w:rsidRDefault="007C521D">
            <w:pPr>
              <w:jc w:val="center"/>
              <w:rPr>
                <w:noProof/>
                <w:sz w:val="20"/>
              </w:rPr>
            </w:pPr>
            <w:r>
              <w:rPr>
                <w:b/>
                <w:noProof/>
                <w:sz w:val="20"/>
              </w:rPr>
              <w:t>2017</w:t>
            </w:r>
          </w:p>
        </w:tc>
        <w:tc>
          <w:tcPr>
            <w:tcW w:w="1800" w:type="dxa"/>
            <w:vAlign w:val="center"/>
          </w:tcPr>
          <w:p w:rsidR="005E40F8" w:rsidRDefault="007C521D">
            <w:pPr>
              <w:jc w:val="center"/>
              <w:rPr>
                <w:noProof/>
                <w:sz w:val="20"/>
              </w:rPr>
            </w:pPr>
            <w:r>
              <w:rPr>
                <w:b/>
                <w:noProof/>
                <w:sz w:val="20"/>
              </w:rPr>
              <w:t>2018</w:t>
            </w:r>
          </w:p>
        </w:tc>
        <w:tc>
          <w:tcPr>
            <w:tcW w:w="1680" w:type="dxa"/>
            <w:vAlign w:val="center"/>
          </w:tcPr>
          <w:p w:rsidR="005E40F8" w:rsidRDefault="007C521D">
            <w:pPr>
              <w:jc w:val="center"/>
              <w:rPr>
                <w:noProof/>
                <w:sz w:val="20"/>
              </w:rPr>
            </w:pPr>
            <w:r>
              <w:rPr>
                <w:b/>
                <w:noProof/>
                <w:sz w:val="20"/>
              </w:rPr>
              <w:t>2019</w:t>
            </w:r>
          </w:p>
        </w:tc>
        <w:tc>
          <w:tcPr>
            <w:tcW w:w="1560" w:type="dxa"/>
            <w:vAlign w:val="center"/>
          </w:tcPr>
          <w:p w:rsidR="005E40F8" w:rsidRDefault="007C521D">
            <w:pPr>
              <w:jc w:val="center"/>
              <w:rPr>
                <w:noProof/>
                <w:sz w:val="20"/>
              </w:rPr>
            </w:pPr>
            <w:r>
              <w:rPr>
                <w:b/>
                <w:noProof/>
                <w:sz w:val="20"/>
              </w:rPr>
              <w:t>2020</w:t>
            </w:r>
          </w:p>
        </w:tc>
        <w:tc>
          <w:tcPr>
            <w:tcW w:w="1560" w:type="dxa"/>
            <w:vAlign w:val="center"/>
          </w:tcPr>
          <w:p w:rsidR="005E40F8" w:rsidRDefault="007C521D">
            <w:pPr>
              <w:jc w:val="center"/>
              <w:rPr>
                <w:b/>
                <w:noProof/>
                <w:sz w:val="20"/>
              </w:rPr>
            </w:pPr>
            <w:r>
              <w:rPr>
                <w:b/>
                <w:noProof/>
                <w:sz w:val="20"/>
              </w:rPr>
              <w:t>SPOLU</w:t>
            </w:r>
          </w:p>
        </w:tc>
      </w:tr>
      <w:tr w:rsidR="005E40F8">
        <w:tc>
          <w:tcPr>
            <w:tcW w:w="3960" w:type="dxa"/>
            <w:vMerge w:val="restart"/>
            <w:shd w:val="clear" w:color="auto" w:fill="C0C0C0"/>
            <w:vAlign w:val="center"/>
          </w:tcPr>
          <w:p w:rsidR="005E40F8" w:rsidRDefault="007C521D">
            <w:pPr>
              <w:jc w:val="center"/>
              <w:rPr>
                <w:b/>
                <w:noProof/>
              </w:rPr>
            </w:pPr>
            <w:r>
              <w:rPr>
                <w:b/>
                <w:noProof/>
                <w:sz w:val="22"/>
              </w:rPr>
              <w:t>SPOLU rozpočtové prostriedky</w:t>
            </w:r>
            <w:r>
              <w:rPr>
                <w:noProof/>
                <w:sz w:val="22"/>
              </w:rPr>
              <w:br/>
            </w:r>
            <w:r>
              <w:rPr>
                <w:b/>
                <w:noProof/>
                <w:sz w:val="22"/>
              </w:rPr>
              <w:t>v rámci OKRUHOV 1 až 5</w:t>
            </w:r>
            <w:r>
              <w:rPr>
                <w:noProof/>
                <w:sz w:val="22"/>
              </w:rPr>
              <w:br/>
              <w:t>viacročného finančného rámca</w:t>
            </w:r>
            <w:r>
              <w:rPr>
                <w:b/>
                <w:noProof/>
                <w:sz w:val="22"/>
              </w:rPr>
              <w:t xml:space="preserve"> </w:t>
            </w:r>
          </w:p>
        </w:tc>
        <w:tc>
          <w:tcPr>
            <w:tcW w:w="2040" w:type="dxa"/>
            <w:gridSpan w:val="2"/>
            <w:vAlign w:val="center"/>
          </w:tcPr>
          <w:p w:rsidR="005E40F8" w:rsidRDefault="007C521D">
            <w:pPr>
              <w:rPr>
                <w:noProof/>
                <w:sz w:val="14"/>
              </w:rPr>
            </w:pPr>
            <w:r>
              <w:rPr>
                <w:noProof/>
                <w:sz w:val="18"/>
              </w:rPr>
              <w:t>Záväzky</w:t>
            </w:r>
          </w:p>
        </w:tc>
        <w:tc>
          <w:tcPr>
            <w:tcW w:w="1560" w:type="dxa"/>
            <w:vAlign w:val="bottom"/>
          </w:tcPr>
          <w:p w:rsidR="005E40F8" w:rsidRDefault="007C521D">
            <w:pPr>
              <w:spacing w:before="60" w:after="60"/>
              <w:jc w:val="right"/>
              <w:rPr>
                <w:b/>
                <w:noProof/>
                <w:sz w:val="20"/>
              </w:rPr>
            </w:pPr>
            <w:r>
              <w:rPr>
                <w:b/>
                <w:noProof/>
                <w:color w:val="000000"/>
                <w:sz w:val="20"/>
              </w:rPr>
              <w:t>20,224</w:t>
            </w:r>
          </w:p>
        </w:tc>
        <w:tc>
          <w:tcPr>
            <w:tcW w:w="1800" w:type="dxa"/>
            <w:vAlign w:val="bottom"/>
          </w:tcPr>
          <w:p w:rsidR="005E40F8" w:rsidRDefault="007C521D">
            <w:pPr>
              <w:spacing w:before="60" w:after="60"/>
              <w:jc w:val="right"/>
              <w:rPr>
                <w:b/>
                <w:noProof/>
                <w:sz w:val="20"/>
              </w:rPr>
            </w:pPr>
            <w:r>
              <w:rPr>
                <w:b/>
                <w:noProof/>
                <w:color w:val="000000"/>
                <w:sz w:val="20"/>
              </w:rPr>
              <w:t>50,224</w:t>
            </w:r>
          </w:p>
        </w:tc>
        <w:tc>
          <w:tcPr>
            <w:tcW w:w="1680" w:type="dxa"/>
            <w:vAlign w:val="bottom"/>
          </w:tcPr>
          <w:p w:rsidR="005E40F8" w:rsidRDefault="007C521D">
            <w:pPr>
              <w:spacing w:before="60" w:after="60"/>
              <w:jc w:val="right"/>
              <w:rPr>
                <w:b/>
                <w:noProof/>
                <w:sz w:val="20"/>
              </w:rPr>
            </w:pPr>
            <w:r>
              <w:rPr>
                <w:b/>
                <w:noProof/>
                <w:color w:val="000000"/>
                <w:sz w:val="20"/>
              </w:rPr>
              <w:t>49,864</w:t>
            </w:r>
          </w:p>
        </w:tc>
        <w:tc>
          <w:tcPr>
            <w:tcW w:w="1560" w:type="dxa"/>
            <w:vAlign w:val="bottom"/>
          </w:tcPr>
          <w:p w:rsidR="005E40F8" w:rsidRDefault="007C521D">
            <w:pPr>
              <w:spacing w:before="60" w:after="60"/>
              <w:jc w:val="right"/>
              <w:rPr>
                <w:b/>
                <w:noProof/>
                <w:sz w:val="20"/>
              </w:rPr>
            </w:pPr>
            <w:r>
              <w:rPr>
                <w:b/>
                <w:noProof/>
                <w:color w:val="000000"/>
                <w:sz w:val="20"/>
              </w:rPr>
              <w:t>0,564</w:t>
            </w:r>
          </w:p>
        </w:tc>
        <w:tc>
          <w:tcPr>
            <w:tcW w:w="1560" w:type="dxa"/>
            <w:vAlign w:val="bottom"/>
          </w:tcPr>
          <w:p w:rsidR="005E40F8" w:rsidRDefault="007C521D">
            <w:pPr>
              <w:spacing w:before="60" w:after="60"/>
              <w:jc w:val="right"/>
              <w:rPr>
                <w:b/>
                <w:noProof/>
                <w:sz w:val="20"/>
              </w:rPr>
            </w:pPr>
            <w:r>
              <w:rPr>
                <w:b/>
                <w:noProof/>
                <w:color w:val="000000"/>
                <w:sz w:val="20"/>
              </w:rPr>
              <w:t>120,876</w:t>
            </w:r>
          </w:p>
        </w:tc>
      </w:tr>
      <w:tr w:rsidR="005E40F8">
        <w:tc>
          <w:tcPr>
            <w:tcW w:w="3960" w:type="dxa"/>
            <w:vMerge/>
            <w:shd w:val="clear" w:color="auto" w:fill="C0C0C0"/>
          </w:tcPr>
          <w:p w:rsidR="005E40F8" w:rsidRDefault="005E40F8">
            <w:pPr>
              <w:rPr>
                <w:noProof/>
                <w:sz w:val="20"/>
              </w:rPr>
            </w:pPr>
          </w:p>
        </w:tc>
        <w:tc>
          <w:tcPr>
            <w:tcW w:w="2040" w:type="dxa"/>
            <w:gridSpan w:val="2"/>
            <w:vAlign w:val="center"/>
          </w:tcPr>
          <w:p w:rsidR="005E40F8" w:rsidRDefault="007C521D">
            <w:pPr>
              <w:rPr>
                <w:noProof/>
                <w:sz w:val="14"/>
              </w:rPr>
            </w:pPr>
            <w:r>
              <w:rPr>
                <w:noProof/>
                <w:sz w:val="18"/>
              </w:rPr>
              <w:t>Platby</w:t>
            </w:r>
          </w:p>
        </w:tc>
        <w:tc>
          <w:tcPr>
            <w:tcW w:w="1560" w:type="dxa"/>
            <w:vAlign w:val="bottom"/>
          </w:tcPr>
          <w:p w:rsidR="005E40F8" w:rsidRDefault="007C521D">
            <w:pPr>
              <w:spacing w:before="60" w:after="60"/>
              <w:jc w:val="right"/>
              <w:rPr>
                <w:b/>
                <w:noProof/>
                <w:sz w:val="20"/>
              </w:rPr>
            </w:pPr>
            <w:r>
              <w:rPr>
                <w:b/>
                <w:noProof/>
                <w:color w:val="000000"/>
                <w:sz w:val="20"/>
              </w:rPr>
              <w:t>0,894</w:t>
            </w:r>
          </w:p>
        </w:tc>
        <w:tc>
          <w:tcPr>
            <w:tcW w:w="1800" w:type="dxa"/>
            <w:vAlign w:val="bottom"/>
          </w:tcPr>
          <w:p w:rsidR="005E40F8" w:rsidRDefault="007C521D">
            <w:pPr>
              <w:spacing w:before="60" w:after="60"/>
              <w:jc w:val="right"/>
              <w:rPr>
                <w:b/>
                <w:noProof/>
                <w:sz w:val="20"/>
              </w:rPr>
            </w:pPr>
            <w:r>
              <w:rPr>
                <w:b/>
                <w:noProof/>
                <w:color w:val="000000"/>
                <w:sz w:val="20"/>
              </w:rPr>
              <w:t>44,749</w:t>
            </w:r>
          </w:p>
        </w:tc>
        <w:tc>
          <w:tcPr>
            <w:tcW w:w="1680" w:type="dxa"/>
            <w:vAlign w:val="bottom"/>
          </w:tcPr>
          <w:p w:rsidR="005E40F8" w:rsidRDefault="007C521D">
            <w:pPr>
              <w:spacing w:before="60" w:after="60"/>
              <w:jc w:val="right"/>
              <w:rPr>
                <w:b/>
                <w:noProof/>
                <w:sz w:val="20"/>
              </w:rPr>
            </w:pPr>
            <w:r>
              <w:rPr>
                <w:b/>
                <w:noProof/>
                <w:color w:val="000000"/>
                <w:sz w:val="20"/>
              </w:rPr>
              <w:t>50,039</w:t>
            </w:r>
          </w:p>
        </w:tc>
        <w:tc>
          <w:tcPr>
            <w:tcW w:w="1560" w:type="dxa"/>
            <w:vAlign w:val="bottom"/>
          </w:tcPr>
          <w:p w:rsidR="005E40F8" w:rsidRDefault="007C521D">
            <w:pPr>
              <w:spacing w:before="60" w:after="60"/>
              <w:jc w:val="right"/>
              <w:rPr>
                <w:b/>
                <w:noProof/>
                <w:sz w:val="20"/>
              </w:rPr>
            </w:pPr>
            <w:r>
              <w:rPr>
                <w:b/>
                <w:noProof/>
                <w:color w:val="000000"/>
                <w:sz w:val="20"/>
              </w:rPr>
              <w:t>25,194</w:t>
            </w:r>
          </w:p>
        </w:tc>
        <w:tc>
          <w:tcPr>
            <w:tcW w:w="1560" w:type="dxa"/>
            <w:vAlign w:val="bottom"/>
          </w:tcPr>
          <w:p w:rsidR="005E40F8" w:rsidRDefault="007C521D">
            <w:pPr>
              <w:spacing w:before="60" w:after="60"/>
              <w:jc w:val="right"/>
              <w:rPr>
                <w:b/>
                <w:noProof/>
                <w:sz w:val="20"/>
              </w:rPr>
            </w:pPr>
            <w:r>
              <w:rPr>
                <w:b/>
                <w:noProof/>
                <w:color w:val="000000"/>
                <w:sz w:val="20"/>
              </w:rPr>
              <w:t>120,876</w:t>
            </w:r>
          </w:p>
        </w:tc>
      </w:tr>
    </w:tbl>
    <w:p w:rsidR="005E40F8" w:rsidRDefault="005E40F8">
      <w:pPr>
        <w:rPr>
          <w:noProof/>
        </w:rPr>
        <w:sectPr w:rsidR="005E40F8" w:rsidSect="007C521D">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5E40F8" w:rsidRDefault="007C521D">
      <w:pPr>
        <w:pStyle w:val="ManualHeading3"/>
        <w:rPr>
          <w:noProof/>
        </w:rPr>
      </w:pPr>
      <w:r>
        <w:t>3.2.2.</w:t>
      </w:r>
      <w:r>
        <w:tab/>
      </w:r>
      <w:r>
        <w:rPr>
          <w:noProof/>
        </w:rPr>
        <w:t>Odhadovaný vplyv na operačné rozpočtové prostriedky</w:t>
      </w:r>
    </w:p>
    <w:p w:rsidR="005E40F8" w:rsidRDefault="007C521D">
      <w:pPr>
        <w:pStyle w:val="ListDash1"/>
        <w:rPr>
          <w:noProof/>
        </w:rPr>
      </w:pPr>
      <w:r>
        <w:rPr>
          <w:noProof/>
          <w:szCs w:val="24"/>
        </w:rPr>
        <w:sym w:font="Wingdings" w:char="F0A8"/>
      </w:r>
      <w:r>
        <w:rPr>
          <w:noProof/>
        </w:rPr>
        <w:tab/>
        <w:t>Návrh/iniciatíva si nevyžaduje použitie operačných rozpočtových prostriedkov.</w:t>
      </w:r>
    </w:p>
    <w:p w:rsidR="005E40F8" w:rsidRDefault="007C521D">
      <w:pPr>
        <w:pStyle w:val="ListDash1"/>
        <w:rPr>
          <w:noProof/>
        </w:rPr>
      </w:pPr>
      <w:r>
        <w:rPr>
          <w:noProof/>
        </w:rPr>
        <w:t>x</w:t>
      </w:r>
      <w:r>
        <w:rPr>
          <w:noProof/>
        </w:rPr>
        <w:tab/>
        <w:t>Návrh/i</w:t>
      </w:r>
      <w:r>
        <w:rPr>
          <w:noProof/>
        </w:rPr>
        <w:t>niciatíva si vyžaduje použitie operačných rozpočtových prostriedkov, ako je uvedené v nasledujúcej tabuľke:</w:t>
      </w:r>
    </w:p>
    <w:p w:rsidR="005E40F8" w:rsidRDefault="007C521D">
      <w:pPr>
        <w:jc w:val="right"/>
        <w:rPr>
          <w:noProof/>
          <w:sz w:val="20"/>
        </w:rPr>
      </w:pPr>
      <w:r>
        <w:rPr>
          <w:noProof/>
          <w:sz w:val="20"/>
        </w:rPr>
        <w:t>viazané rozpočtové prostriedky v mil. EUR (zaokrúhlené na 3 desatinné miesta)</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325"/>
        <w:gridCol w:w="960"/>
        <w:gridCol w:w="1080"/>
        <w:gridCol w:w="960"/>
        <w:gridCol w:w="1200"/>
        <w:gridCol w:w="1080"/>
        <w:gridCol w:w="1080"/>
        <w:gridCol w:w="840"/>
        <w:gridCol w:w="960"/>
        <w:gridCol w:w="1080"/>
        <w:gridCol w:w="1200"/>
      </w:tblGrid>
      <w:tr w:rsidR="005E40F8">
        <w:tc>
          <w:tcPr>
            <w:tcW w:w="1423" w:type="dxa"/>
            <w:vMerge w:val="restart"/>
            <w:vAlign w:val="center"/>
          </w:tcPr>
          <w:p w:rsidR="005E40F8" w:rsidRDefault="007C521D">
            <w:pPr>
              <w:ind w:right="-29"/>
              <w:jc w:val="center"/>
              <w:rPr>
                <w:b/>
                <w:noProof/>
                <w:sz w:val="18"/>
              </w:rPr>
            </w:pPr>
            <w:r>
              <w:rPr>
                <w:b/>
                <w:noProof/>
                <w:sz w:val="18"/>
              </w:rPr>
              <w:t>Uveďte ciele a výstupy</w:t>
            </w:r>
          </w:p>
          <w:p w:rsidR="005E40F8" w:rsidRDefault="005E40F8">
            <w:pPr>
              <w:ind w:right="-29"/>
              <w:jc w:val="center"/>
              <w:rPr>
                <w:b/>
                <w:noProof/>
                <w:sz w:val="18"/>
                <w:szCs w:val="18"/>
              </w:rPr>
            </w:pPr>
          </w:p>
          <w:p w:rsidR="005E40F8" w:rsidRDefault="007C521D">
            <w:pPr>
              <w:ind w:right="-29"/>
              <w:jc w:val="center"/>
              <w:rPr>
                <w:noProof/>
                <w:sz w:val="18"/>
                <w:szCs w:val="18"/>
              </w:rPr>
            </w:pPr>
            <w:r>
              <w:rPr>
                <w:noProof/>
                <w:sz w:val="18"/>
                <w:szCs w:val="18"/>
              </w:rPr>
              <w:sym w:font="Wingdings" w:char="F0F2"/>
            </w:r>
          </w:p>
        </w:tc>
        <w:tc>
          <w:tcPr>
            <w:tcW w:w="720" w:type="dxa"/>
            <w:vAlign w:val="center"/>
          </w:tcPr>
          <w:p w:rsidR="005E40F8" w:rsidRDefault="005E40F8">
            <w:pPr>
              <w:ind w:right="-29"/>
              <w:jc w:val="center"/>
              <w:rPr>
                <w:noProof/>
                <w:sz w:val="18"/>
                <w:szCs w:val="18"/>
              </w:rPr>
            </w:pPr>
          </w:p>
        </w:tc>
        <w:tc>
          <w:tcPr>
            <w:tcW w:w="1325" w:type="dxa"/>
            <w:vAlign w:val="center"/>
          </w:tcPr>
          <w:p w:rsidR="005E40F8" w:rsidRDefault="005E40F8">
            <w:pPr>
              <w:ind w:right="-29"/>
              <w:jc w:val="center"/>
              <w:rPr>
                <w:noProof/>
                <w:sz w:val="18"/>
                <w:szCs w:val="18"/>
              </w:rPr>
            </w:pPr>
          </w:p>
        </w:tc>
        <w:tc>
          <w:tcPr>
            <w:tcW w:w="2040" w:type="dxa"/>
            <w:gridSpan w:val="2"/>
            <w:vAlign w:val="center"/>
          </w:tcPr>
          <w:p w:rsidR="005E40F8" w:rsidRDefault="007C521D">
            <w:pPr>
              <w:ind w:right="-29"/>
              <w:jc w:val="center"/>
              <w:rPr>
                <w:noProof/>
                <w:sz w:val="18"/>
                <w:szCs w:val="18"/>
              </w:rPr>
            </w:pPr>
            <w:r>
              <w:rPr>
                <w:b/>
                <w:noProof/>
                <w:sz w:val="20"/>
              </w:rPr>
              <w:t>2017</w:t>
            </w:r>
          </w:p>
        </w:tc>
        <w:tc>
          <w:tcPr>
            <w:tcW w:w="2160" w:type="dxa"/>
            <w:gridSpan w:val="2"/>
            <w:vAlign w:val="center"/>
          </w:tcPr>
          <w:p w:rsidR="005E40F8" w:rsidRDefault="007C521D">
            <w:pPr>
              <w:ind w:right="-29"/>
              <w:jc w:val="center"/>
              <w:rPr>
                <w:noProof/>
                <w:sz w:val="18"/>
                <w:szCs w:val="18"/>
              </w:rPr>
            </w:pPr>
            <w:r>
              <w:rPr>
                <w:b/>
                <w:noProof/>
                <w:sz w:val="20"/>
              </w:rPr>
              <w:t>2018</w:t>
            </w:r>
          </w:p>
        </w:tc>
        <w:tc>
          <w:tcPr>
            <w:tcW w:w="2160" w:type="dxa"/>
            <w:gridSpan w:val="2"/>
            <w:vAlign w:val="center"/>
          </w:tcPr>
          <w:p w:rsidR="005E40F8" w:rsidRDefault="007C521D">
            <w:pPr>
              <w:ind w:right="-29"/>
              <w:jc w:val="center"/>
              <w:rPr>
                <w:noProof/>
                <w:sz w:val="18"/>
                <w:szCs w:val="18"/>
              </w:rPr>
            </w:pPr>
            <w:r>
              <w:rPr>
                <w:b/>
                <w:noProof/>
                <w:sz w:val="20"/>
              </w:rPr>
              <w:t>2019</w:t>
            </w:r>
          </w:p>
        </w:tc>
        <w:tc>
          <w:tcPr>
            <w:tcW w:w="1800" w:type="dxa"/>
            <w:gridSpan w:val="2"/>
            <w:vAlign w:val="center"/>
          </w:tcPr>
          <w:p w:rsidR="005E40F8" w:rsidRDefault="007C521D">
            <w:pPr>
              <w:ind w:right="-29"/>
              <w:jc w:val="center"/>
              <w:rPr>
                <w:noProof/>
                <w:sz w:val="18"/>
                <w:szCs w:val="18"/>
              </w:rPr>
            </w:pPr>
            <w:r>
              <w:rPr>
                <w:b/>
                <w:noProof/>
                <w:sz w:val="20"/>
              </w:rPr>
              <w:t>2020</w:t>
            </w:r>
          </w:p>
        </w:tc>
        <w:tc>
          <w:tcPr>
            <w:tcW w:w="2280" w:type="dxa"/>
            <w:gridSpan w:val="2"/>
            <w:vAlign w:val="center"/>
          </w:tcPr>
          <w:p w:rsidR="005E40F8" w:rsidRDefault="007C521D">
            <w:pPr>
              <w:ind w:right="-29"/>
              <w:jc w:val="center"/>
              <w:rPr>
                <w:noProof/>
                <w:sz w:val="18"/>
                <w:szCs w:val="18"/>
              </w:rPr>
            </w:pPr>
            <w:r>
              <w:rPr>
                <w:b/>
                <w:noProof/>
                <w:sz w:val="18"/>
              </w:rPr>
              <w:t>SPOLU</w:t>
            </w:r>
          </w:p>
        </w:tc>
      </w:tr>
      <w:tr w:rsidR="005E40F8">
        <w:tc>
          <w:tcPr>
            <w:tcW w:w="1423" w:type="dxa"/>
            <w:vMerge/>
            <w:vAlign w:val="center"/>
          </w:tcPr>
          <w:p w:rsidR="005E40F8" w:rsidRDefault="005E40F8">
            <w:pPr>
              <w:ind w:right="-29"/>
              <w:jc w:val="center"/>
              <w:rPr>
                <w:noProof/>
                <w:sz w:val="18"/>
                <w:szCs w:val="18"/>
              </w:rPr>
            </w:pPr>
          </w:p>
        </w:tc>
        <w:tc>
          <w:tcPr>
            <w:tcW w:w="12485" w:type="dxa"/>
            <w:gridSpan w:val="12"/>
            <w:vAlign w:val="center"/>
          </w:tcPr>
          <w:p w:rsidR="005E40F8" w:rsidRDefault="007C521D">
            <w:pPr>
              <w:spacing w:before="60" w:after="60"/>
              <w:ind w:right="-29"/>
              <w:jc w:val="center"/>
              <w:rPr>
                <w:noProof/>
                <w:sz w:val="18"/>
                <w:szCs w:val="18"/>
              </w:rPr>
            </w:pPr>
            <w:r>
              <w:rPr>
                <w:b/>
                <w:noProof/>
                <w:sz w:val="18"/>
              </w:rPr>
              <w:t>VÝSTUPY</w:t>
            </w:r>
          </w:p>
        </w:tc>
      </w:tr>
      <w:tr w:rsidR="005E40F8">
        <w:trPr>
          <w:trHeight w:val="1134"/>
        </w:trPr>
        <w:tc>
          <w:tcPr>
            <w:tcW w:w="1423" w:type="dxa"/>
            <w:vMerge/>
          </w:tcPr>
          <w:p w:rsidR="005E40F8" w:rsidRDefault="005E40F8">
            <w:pPr>
              <w:rPr>
                <w:noProof/>
                <w:sz w:val="18"/>
                <w:szCs w:val="18"/>
              </w:rPr>
            </w:pPr>
          </w:p>
        </w:tc>
        <w:tc>
          <w:tcPr>
            <w:tcW w:w="720" w:type="dxa"/>
          </w:tcPr>
          <w:p w:rsidR="005E40F8" w:rsidRDefault="007C521D">
            <w:pPr>
              <w:jc w:val="center"/>
              <w:rPr>
                <w:noProof/>
                <w:sz w:val="18"/>
                <w:szCs w:val="18"/>
              </w:rPr>
            </w:pPr>
            <w:r>
              <w:rPr>
                <w:noProof/>
                <w:sz w:val="18"/>
              </w:rPr>
              <w:t>Druh</w:t>
            </w:r>
            <w:r>
              <w:rPr>
                <w:rStyle w:val="FootnoteReference"/>
                <w:noProof/>
                <w:sz w:val="18"/>
              </w:rPr>
              <w:footnoteReference w:id="23"/>
            </w:r>
          </w:p>
          <w:p w:rsidR="005E40F8" w:rsidRDefault="005E40F8">
            <w:pPr>
              <w:spacing w:before="0" w:after="0"/>
              <w:jc w:val="center"/>
              <w:rPr>
                <w:noProof/>
                <w:sz w:val="18"/>
                <w:szCs w:val="18"/>
              </w:rPr>
            </w:pPr>
          </w:p>
        </w:tc>
        <w:tc>
          <w:tcPr>
            <w:tcW w:w="1325" w:type="dxa"/>
          </w:tcPr>
          <w:p w:rsidR="005E40F8" w:rsidRDefault="007C521D">
            <w:pPr>
              <w:jc w:val="center"/>
              <w:rPr>
                <w:noProof/>
                <w:sz w:val="18"/>
                <w:szCs w:val="18"/>
              </w:rPr>
            </w:pPr>
            <w:r>
              <w:rPr>
                <w:noProof/>
                <w:sz w:val="18"/>
              </w:rPr>
              <w:t>Priemerné náklady</w:t>
            </w:r>
          </w:p>
        </w:tc>
        <w:tc>
          <w:tcPr>
            <w:tcW w:w="960" w:type="dxa"/>
            <w:textDirection w:val="btLr"/>
          </w:tcPr>
          <w:p w:rsidR="005E40F8" w:rsidRDefault="007C521D">
            <w:pPr>
              <w:ind w:left="113" w:right="113"/>
              <w:jc w:val="center"/>
              <w:rPr>
                <w:noProof/>
                <w:sz w:val="18"/>
                <w:szCs w:val="18"/>
              </w:rPr>
            </w:pPr>
            <w:r>
              <w:rPr>
                <w:noProof/>
                <w:sz w:val="18"/>
              </w:rPr>
              <w:t>Počet</w:t>
            </w:r>
          </w:p>
        </w:tc>
        <w:tc>
          <w:tcPr>
            <w:tcW w:w="1080" w:type="dxa"/>
          </w:tcPr>
          <w:p w:rsidR="005E40F8" w:rsidRDefault="007C521D">
            <w:pPr>
              <w:jc w:val="center"/>
              <w:rPr>
                <w:noProof/>
                <w:sz w:val="18"/>
                <w:szCs w:val="18"/>
              </w:rPr>
            </w:pPr>
            <w:r>
              <w:rPr>
                <w:noProof/>
                <w:sz w:val="18"/>
              </w:rPr>
              <w:t>Náklady</w:t>
            </w:r>
          </w:p>
        </w:tc>
        <w:tc>
          <w:tcPr>
            <w:tcW w:w="960" w:type="dxa"/>
            <w:textDirection w:val="btLr"/>
          </w:tcPr>
          <w:p w:rsidR="005E40F8" w:rsidRDefault="007C521D">
            <w:pPr>
              <w:ind w:left="113" w:right="113"/>
              <w:jc w:val="center"/>
              <w:rPr>
                <w:noProof/>
                <w:sz w:val="18"/>
                <w:szCs w:val="18"/>
              </w:rPr>
            </w:pPr>
            <w:r>
              <w:rPr>
                <w:noProof/>
                <w:sz w:val="18"/>
              </w:rPr>
              <w:t>Počet</w:t>
            </w:r>
          </w:p>
        </w:tc>
        <w:tc>
          <w:tcPr>
            <w:tcW w:w="1200" w:type="dxa"/>
          </w:tcPr>
          <w:p w:rsidR="005E40F8" w:rsidRDefault="007C521D">
            <w:pPr>
              <w:jc w:val="center"/>
              <w:rPr>
                <w:noProof/>
                <w:sz w:val="18"/>
                <w:szCs w:val="18"/>
              </w:rPr>
            </w:pPr>
            <w:r>
              <w:rPr>
                <w:noProof/>
                <w:sz w:val="18"/>
              </w:rPr>
              <w:t>Náklady</w:t>
            </w:r>
          </w:p>
        </w:tc>
        <w:tc>
          <w:tcPr>
            <w:tcW w:w="1080" w:type="dxa"/>
            <w:textDirection w:val="btLr"/>
          </w:tcPr>
          <w:p w:rsidR="005E40F8" w:rsidRDefault="007C521D">
            <w:pPr>
              <w:ind w:left="113" w:right="113"/>
              <w:jc w:val="center"/>
              <w:rPr>
                <w:noProof/>
                <w:sz w:val="18"/>
                <w:szCs w:val="18"/>
              </w:rPr>
            </w:pPr>
            <w:r>
              <w:rPr>
                <w:noProof/>
                <w:sz w:val="18"/>
              </w:rPr>
              <w:t>Počet</w:t>
            </w:r>
          </w:p>
        </w:tc>
        <w:tc>
          <w:tcPr>
            <w:tcW w:w="1080" w:type="dxa"/>
          </w:tcPr>
          <w:p w:rsidR="005E40F8" w:rsidRDefault="007C521D">
            <w:pPr>
              <w:jc w:val="center"/>
              <w:rPr>
                <w:noProof/>
                <w:sz w:val="18"/>
                <w:szCs w:val="18"/>
              </w:rPr>
            </w:pPr>
            <w:r>
              <w:rPr>
                <w:noProof/>
                <w:sz w:val="18"/>
              </w:rPr>
              <w:t>Náklady</w:t>
            </w:r>
          </w:p>
        </w:tc>
        <w:tc>
          <w:tcPr>
            <w:tcW w:w="840" w:type="dxa"/>
            <w:textDirection w:val="btLr"/>
          </w:tcPr>
          <w:p w:rsidR="005E40F8" w:rsidRDefault="007C521D">
            <w:pPr>
              <w:ind w:left="113" w:right="113"/>
              <w:jc w:val="center"/>
              <w:rPr>
                <w:noProof/>
                <w:sz w:val="18"/>
                <w:szCs w:val="18"/>
              </w:rPr>
            </w:pPr>
            <w:r>
              <w:rPr>
                <w:noProof/>
                <w:sz w:val="18"/>
              </w:rPr>
              <w:t>Počet</w:t>
            </w:r>
          </w:p>
        </w:tc>
        <w:tc>
          <w:tcPr>
            <w:tcW w:w="960" w:type="dxa"/>
          </w:tcPr>
          <w:p w:rsidR="005E40F8" w:rsidRDefault="007C521D">
            <w:pPr>
              <w:jc w:val="center"/>
              <w:rPr>
                <w:noProof/>
                <w:sz w:val="18"/>
                <w:szCs w:val="18"/>
              </w:rPr>
            </w:pPr>
            <w:r>
              <w:rPr>
                <w:noProof/>
                <w:sz w:val="18"/>
              </w:rPr>
              <w:t>Náklady</w:t>
            </w:r>
          </w:p>
        </w:tc>
        <w:tc>
          <w:tcPr>
            <w:tcW w:w="1080" w:type="dxa"/>
          </w:tcPr>
          <w:p w:rsidR="005E40F8" w:rsidRDefault="007C521D">
            <w:pPr>
              <w:jc w:val="center"/>
              <w:rPr>
                <w:noProof/>
                <w:sz w:val="18"/>
                <w:szCs w:val="18"/>
              </w:rPr>
            </w:pPr>
            <w:r>
              <w:rPr>
                <w:noProof/>
                <w:sz w:val="18"/>
              </w:rPr>
              <w:t>Spolu</w:t>
            </w:r>
          </w:p>
        </w:tc>
        <w:tc>
          <w:tcPr>
            <w:tcW w:w="1200" w:type="dxa"/>
          </w:tcPr>
          <w:p w:rsidR="005E40F8" w:rsidRDefault="007C521D">
            <w:pPr>
              <w:jc w:val="center"/>
              <w:rPr>
                <w:noProof/>
                <w:sz w:val="18"/>
                <w:szCs w:val="18"/>
              </w:rPr>
            </w:pPr>
            <w:r>
              <w:rPr>
                <w:noProof/>
                <w:sz w:val="18"/>
              </w:rPr>
              <w:t>Náklady spolu</w:t>
            </w:r>
          </w:p>
        </w:tc>
      </w:tr>
      <w:tr w:rsidR="005E40F8">
        <w:tc>
          <w:tcPr>
            <w:tcW w:w="3468" w:type="dxa"/>
            <w:gridSpan w:val="3"/>
          </w:tcPr>
          <w:p w:rsidR="005E40F8" w:rsidRDefault="007C521D">
            <w:pPr>
              <w:spacing w:before="60" w:after="60"/>
              <w:ind w:right="-29"/>
              <w:jc w:val="center"/>
              <w:rPr>
                <w:noProof/>
                <w:sz w:val="18"/>
                <w:szCs w:val="18"/>
              </w:rPr>
            </w:pPr>
            <w:r>
              <w:rPr>
                <w:noProof/>
                <w:sz w:val="18"/>
              </w:rPr>
              <w:t xml:space="preserve">OSOBITNÝ CIEĽ </w:t>
            </w:r>
          </w:p>
        </w:tc>
        <w:tc>
          <w:tcPr>
            <w:tcW w:w="960" w:type="dxa"/>
          </w:tcPr>
          <w:p w:rsidR="005E40F8" w:rsidRDefault="005E40F8">
            <w:pPr>
              <w:spacing w:before="60" w:after="60"/>
              <w:ind w:right="-29"/>
              <w:jc w:val="center"/>
              <w:rPr>
                <w:noProof/>
                <w:sz w:val="18"/>
                <w:szCs w:val="18"/>
              </w:rPr>
            </w:pPr>
          </w:p>
        </w:tc>
        <w:tc>
          <w:tcPr>
            <w:tcW w:w="1080" w:type="dxa"/>
          </w:tcPr>
          <w:p w:rsidR="005E40F8" w:rsidRDefault="005E40F8">
            <w:pPr>
              <w:spacing w:before="60" w:after="60"/>
              <w:ind w:right="-29"/>
              <w:jc w:val="center"/>
              <w:rPr>
                <w:noProof/>
                <w:sz w:val="18"/>
                <w:szCs w:val="18"/>
              </w:rPr>
            </w:pPr>
          </w:p>
        </w:tc>
        <w:tc>
          <w:tcPr>
            <w:tcW w:w="960" w:type="dxa"/>
          </w:tcPr>
          <w:p w:rsidR="005E40F8" w:rsidRDefault="005E40F8">
            <w:pPr>
              <w:spacing w:before="60" w:after="60"/>
              <w:ind w:right="-29"/>
              <w:jc w:val="center"/>
              <w:rPr>
                <w:noProof/>
                <w:sz w:val="18"/>
                <w:szCs w:val="18"/>
              </w:rPr>
            </w:pPr>
          </w:p>
        </w:tc>
        <w:tc>
          <w:tcPr>
            <w:tcW w:w="1200" w:type="dxa"/>
          </w:tcPr>
          <w:p w:rsidR="005E40F8" w:rsidRDefault="005E40F8">
            <w:pPr>
              <w:spacing w:before="60" w:after="60"/>
              <w:ind w:right="-29"/>
              <w:jc w:val="center"/>
              <w:rPr>
                <w:noProof/>
                <w:sz w:val="18"/>
                <w:szCs w:val="18"/>
              </w:rPr>
            </w:pPr>
          </w:p>
        </w:tc>
        <w:tc>
          <w:tcPr>
            <w:tcW w:w="1080" w:type="dxa"/>
          </w:tcPr>
          <w:p w:rsidR="005E40F8" w:rsidRDefault="005E40F8">
            <w:pPr>
              <w:spacing w:before="60" w:after="60"/>
              <w:ind w:right="-29"/>
              <w:jc w:val="center"/>
              <w:rPr>
                <w:noProof/>
                <w:sz w:val="18"/>
                <w:szCs w:val="18"/>
              </w:rPr>
            </w:pPr>
          </w:p>
        </w:tc>
        <w:tc>
          <w:tcPr>
            <w:tcW w:w="1080" w:type="dxa"/>
          </w:tcPr>
          <w:p w:rsidR="005E40F8" w:rsidRDefault="005E40F8">
            <w:pPr>
              <w:spacing w:before="60" w:after="60"/>
              <w:ind w:right="-29"/>
              <w:jc w:val="center"/>
              <w:rPr>
                <w:noProof/>
                <w:sz w:val="18"/>
                <w:szCs w:val="18"/>
              </w:rPr>
            </w:pPr>
          </w:p>
        </w:tc>
        <w:tc>
          <w:tcPr>
            <w:tcW w:w="840" w:type="dxa"/>
          </w:tcPr>
          <w:p w:rsidR="005E40F8" w:rsidRDefault="005E40F8">
            <w:pPr>
              <w:spacing w:before="60" w:after="60"/>
              <w:ind w:right="-29"/>
              <w:jc w:val="center"/>
              <w:rPr>
                <w:noProof/>
                <w:sz w:val="18"/>
                <w:szCs w:val="18"/>
              </w:rPr>
            </w:pPr>
          </w:p>
        </w:tc>
        <w:tc>
          <w:tcPr>
            <w:tcW w:w="960" w:type="dxa"/>
          </w:tcPr>
          <w:p w:rsidR="005E40F8" w:rsidRDefault="005E40F8">
            <w:pPr>
              <w:spacing w:before="60" w:after="60"/>
              <w:ind w:right="-29"/>
              <w:jc w:val="center"/>
              <w:rPr>
                <w:noProof/>
                <w:sz w:val="18"/>
                <w:szCs w:val="18"/>
              </w:rPr>
            </w:pPr>
          </w:p>
        </w:tc>
        <w:tc>
          <w:tcPr>
            <w:tcW w:w="1080" w:type="dxa"/>
          </w:tcPr>
          <w:p w:rsidR="005E40F8" w:rsidRDefault="005E40F8">
            <w:pPr>
              <w:spacing w:before="60" w:after="60"/>
              <w:ind w:right="-29"/>
              <w:jc w:val="center"/>
              <w:rPr>
                <w:noProof/>
                <w:sz w:val="18"/>
                <w:szCs w:val="18"/>
              </w:rPr>
            </w:pPr>
          </w:p>
        </w:tc>
        <w:tc>
          <w:tcPr>
            <w:tcW w:w="1200" w:type="dxa"/>
          </w:tcPr>
          <w:p w:rsidR="005E40F8" w:rsidRDefault="005E40F8">
            <w:pPr>
              <w:spacing w:before="60" w:after="60"/>
              <w:ind w:right="-29"/>
              <w:jc w:val="center"/>
              <w:rPr>
                <w:noProof/>
                <w:sz w:val="18"/>
                <w:szCs w:val="18"/>
              </w:rPr>
            </w:pPr>
          </w:p>
        </w:tc>
      </w:tr>
      <w:tr w:rsidR="005E40F8">
        <w:trPr>
          <w:trHeight w:hRule="exact" w:val="369"/>
        </w:trPr>
        <w:tc>
          <w:tcPr>
            <w:tcW w:w="3468" w:type="dxa"/>
            <w:gridSpan w:val="3"/>
          </w:tcPr>
          <w:p w:rsidR="005E40F8" w:rsidRDefault="007C521D">
            <w:pPr>
              <w:spacing w:before="0" w:after="0"/>
              <w:ind w:right="-29"/>
              <w:jc w:val="center"/>
              <w:rPr>
                <w:noProof/>
                <w:sz w:val="18"/>
                <w:szCs w:val="18"/>
              </w:rPr>
            </w:pPr>
            <w:r>
              <w:rPr>
                <w:noProof/>
                <w:sz w:val="18"/>
              </w:rPr>
              <w:t>Prístupy</w:t>
            </w:r>
          </w:p>
        </w:tc>
        <w:tc>
          <w:tcPr>
            <w:tcW w:w="960" w:type="dxa"/>
          </w:tcPr>
          <w:p w:rsidR="005E40F8" w:rsidRDefault="007C521D">
            <w:pPr>
              <w:spacing w:before="0" w:after="0"/>
              <w:ind w:right="-29"/>
              <w:jc w:val="center"/>
              <w:rPr>
                <w:noProof/>
                <w:sz w:val="18"/>
                <w:szCs w:val="18"/>
              </w:rPr>
            </w:pPr>
            <w:r>
              <w:rPr>
                <w:noProof/>
                <w:sz w:val="18"/>
              </w:rPr>
              <w:t>967</w:t>
            </w:r>
          </w:p>
        </w:tc>
        <w:tc>
          <w:tcPr>
            <w:tcW w:w="1080" w:type="dxa"/>
          </w:tcPr>
          <w:p w:rsidR="005E40F8" w:rsidRDefault="007C521D">
            <w:pPr>
              <w:spacing w:before="0" w:after="0"/>
              <w:ind w:right="-29"/>
              <w:jc w:val="center"/>
              <w:rPr>
                <w:noProof/>
                <w:sz w:val="18"/>
                <w:szCs w:val="18"/>
              </w:rPr>
            </w:pPr>
            <w:r>
              <w:rPr>
                <w:noProof/>
                <w:sz w:val="18"/>
              </w:rPr>
              <w:t>0,02</w:t>
            </w:r>
          </w:p>
        </w:tc>
        <w:tc>
          <w:tcPr>
            <w:tcW w:w="960" w:type="dxa"/>
          </w:tcPr>
          <w:p w:rsidR="005E40F8" w:rsidRDefault="007C521D">
            <w:pPr>
              <w:spacing w:before="0" w:after="0"/>
              <w:ind w:right="-29"/>
              <w:jc w:val="center"/>
              <w:rPr>
                <w:noProof/>
                <w:sz w:val="18"/>
                <w:szCs w:val="18"/>
              </w:rPr>
            </w:pPr>
            <w:r>
              <w:rPr>
                <w:noProof/>
                <w:sz w:val="18"/>
              </w:rPr>
              <w:t>2 480</w:t>
            </w:r>
          </w:p>
        </w:tc>
        <w:tc>
          <w:tcPr>
            <w:tcW w:w="1200" w:type="dxa"/>
          </w:tcPr>
          <w:p w:rsidR="005E40F8" w:rsidRDefault="007C521D">
            <w:pPr>
              <w:spacing w:before="0" w:after="0"/>
              <w:ind w:right="-29"/>
              <w:jc w:val="center"/>
              <w:rPr>
                <w:noProof/>
                <w:sz w:val="18"/>
                <w:szCs w:val="18"/>
              </w:rPr>
            </w:pPr>
            <w:r>
              <w:rPr>
                <w:noProof/>
                <w:sz w:val="18"/>
              </w:rPr>
              <w:t>0,02</w:t>
            </w:r>
          </w:p>
        </w:tc>
        <w:tc>
          <w:tcPr>
            <w:tcW w:w="1080" w:type="dxa"/>
          </w:tcPr>
          <w:p w:rsidR="005E40F8" w:rsidRDefault="007C521D">
            <w:pPr>
              <w:spacing w:before="0" w:after="0"/>
              <w:ind w:right="-29"/>
              <w:jc w:val="center"/>
              <w:rPr>
                <w:noProof/>
                <w:sz w:val="18"/>
                <w:szCs w:val="18"/>
              </w:rPr>
            </w:pPr>
            <w:r>
              <w:rPr>
                <w:noProof/>
                <w:sz w:val="18"/>
              </w:rPr>
              <w:t>2 463</w:t>
            </w:r>
          </w:p>
        </w:tc>
        <w:tc>
          <w:tcPr>
            <w:tcW w:w="1080" w:type="dxa"/>
          </w:tcPr>
          <w:p w:rsidR="005E40F8" w:rsidRDefault="007C521D">
            <w:pPr>
              <w:spacing w:before="0" w:after="0"/>
              <w:ind w:right="-29"/>
              <w:jc w:val="center"/>
              <w:rPr>
                <w:noProof/>
                <w:sz w:val="18"/>
                <w:szCs w:val="18"/>
              </w:rPr>
            </w:pPr>
            <w:r>
              <w:rPr>
                <w:noProof/>
                <w:sz w:val="18"/>
              </w:rPr>
              <w:t>0,02</w:t>
            </w:r>
          </w:p>
        </w:tc>
        <w:tc>
          <w:tcPr>
            <w:tcW w:w="840" w:type="dxa"/>
          </w:tcPr>
          <w:p w:rsidR="005E40F8" w:rsidRDefault="005E40F8">
            <w:pPr>
              <w:spacing w:before="0" w:after="0"/>
              <w:ind w:right="-29"/>
              <w:jc w:val="center"/>
              <w:rPr>
                <w:noProof/>
                <w:sz w:val="18"/>
                <w:szCs w:val="18"/>
              </w:rPr>
            </w:pPr>
          </w:p>
        </w:tc>
        <w:tc>
          <w:tcPr>
            <w:tcW w:w="960" w:type="dxa"/>
          </w:tcPr>
          <w:p w:rsidR="005E40F8" w:rsidRDefault="005E40F8">
            <w:pPr>
              <w:spacing w:before="0" w:after="0"/>
              <w:ind w:right="-29"/>
              <w:jc w:val="center"/>
              <w:rPr>
                <w:noProof/>
                <w:sz w:val="18"/>
                <w:szCs w:val="18"/>
              </w:rPr>
            </w:pPr>
          </w:p>
        </w:tc>
        <w:tc>
          <w:tcPr>
            <w:tcW w:w="1080" w:type="dxa"/>
          </w:tcPr>
          <w:p w:rsidR="005E40F8" w:rsidRDefault="007C521D">
            <w:pPr>
              <w:spacing w:before="0" w:after="0"/>
              <w:ind w:right="-29"/>
              <w:jc w:val="center"/>
              <w:rPr>
                <w:noProof/>
                <w:sz w:val="18"/>
                <w:szCs w:val="18"/>
              </w:rPr>
            </w:pPr>
            <w:r>
              <w:rPr>
                <w:noProof/>
                <w:sz w:val="18"/>
              </w:rPr>
              <w:t>5 910</w:t>
            </w:r>
          </w:p>
        </w:tc>
        <w:tc>
          <w:tcPr>
            <w:tcW w:w="1200" w:type="dxa"/>
          </w:tcPr>
          <w:p w:rsidR="005E40F8" w:rsidRDefault="007C521D">
            <w:pPr>
              <w:spacing w:before="0" w:after="0"/>
              <w:ind w:right="-29"/>
              <w:jc w:val="center"/>
              <w:rPr>
                <w:noProof/>
                <w:sz w:val="18"/>
                <w:szCs w:val="18"/>
              </w:rPr>
            </w:pPr>
            <w:r>
              <w:rPr>
                <w:noProof/>
                <w:sz w:val="18"/>
              </w:rPr>
              <w:t>118,200</w:t>
            </w:r>
          </w:p>
        </w:tc>
      </w:tr>
      <w:tr w:rsidR="005E40F8">
        <w:tc>
          <w:tcPr>
            <w:tcW w:w="3468" w:type="dxa"/>
            <w:gridSpan w:val="3"/>
          </w:tcPr>
          <w:p w:rsidR="005E40F8" w:rsidRDefault="007C521D">
            <w:pPr>
              <w:spacing w:before="0" w:after="0"/>
              <w:ind w:right="-29"/>
              <w:jc w:val="center"/>
              <w:rPr>
                <w:noProof/>
                <w:sz w:val="18"/>
                <w:szCs w:val="18"/>
              </w:rPr>
            </w:pPr>
            <w:r>
              <w:rPr>
                <w:b/>
                <w:noProof/>
                <w:sz w:val="18"/>
              </w:rPr>
              <w:t>NÁKLADY SPOLU</w:t>
            </w:r>
          </w:p>
        </w:tc>
        <w:tc>
          <w:tcPr>
            <w:tcW w:w="960" w:type="dxa"/>
          </w:tcPr>
          <w:p w:rsidR="005E40F8" w:rsidRDefault="007C521D">
            <w:pPr>
              <w:spacing w:before="0" w:after="0"/>
              <w:ind w:right="-29"/>
              <w:jc w:val="center"/>
              <w:rPr>
                <w:noProof/>
                <w:sz w:val="18"/>
                <w:szCs w:val="18"/>
              </w:rPr>
            </w:pPr>
            <w:r>
              <w:rPr>
                <w:noProof/>
                <w:sz w:val="18"/>
              </w:rPr>
              <w:t>967</w:t>
            </w:r>
          </w:p>
        </w:tc>
        <w:tc>
          <w:tcPr>
            <w:tcW w:w="1080" w:type="dxa"/>
          </w:tcPr>
          <w:p w:rsidR="005E40F8" w:rsidRDefault="007C521D">
            <w:pPr>
              <w:spacing w:before="0" w:after="0"/>
              <w:ind w:right="-29"/>
              <w:jc w:val="center"/>
              <w:rPr>
                <w:noProof/>
                <w:sz w:val="18"/>
                <w:szCs w:val="18"/>
              </w:rPr>
            </w:pPr>
            <w:r>
              <w:rPr>
                <w:noProof/>
                <w:sz w:val="18"/>
              </w:rPr>
              <w:t>19,330</w:t>
            </w:r>
          </w:p>
        </w:tc>
        <w:tc>
          <w:tcPr>
            <w:tcW w:w="960" w:type="dxa"/>
          </w:tcPr>
          <w:p w:rsidR="005E40F8" w:rsidRDefault="007C521D">
            <w:pPr>
              <w:spacing w:before="0" w:after="0"/>
              <w:ind w:right="-29"/>
              <w:jc w:val="center"/>
              <w:rPr>
                <w:noProof/>
                <w:sz w:val="18"/>
                <w:szCs w:val="18"/>
              </w:rPr>
            </w:pPr>
            <w:r>
              <w:rPr>
                <w:noProof/>
                <w:sz w:val="18"/>
              </w:rPr>
              <w:t>2 480</w:t>
            </w:r>
          </w:p>
        </w:tc>
        <w:tc>
          <w:tcPr>
            <w:tcW w:w="1200" w:type="dxa"/>
          </w:tcPr>
          <w:p w:rsidR="005E40F8" w:rsidRDefault="007C521D">
            <w:pPr>
              <w:spacing w:before="0" w:after="0"/>
              <w:ind w:right="-29"/>
              <w:jc w:val="center"/>
              <w:rPr>
                <w:noProof/>
                <w:sz w:val="18"/>
                <w:szCs w:val="18"/>
              </w:rPr>
            </w:pPr>
            <w:r>
              <w:rPr>
                <w:noProof/>
                <w:sz w:val="18"/>
              </w:rPr>
              <w:t>49,610</w:t>
            </w:r>
          </w:p>
        </w:tc>
        <w:tc>
          <w:tcPr>
            <w:tcW w:w="1080" w:type="dxa"/>
          </w:tcPr>
          <w:p w:rsidR="005E40F8" w:rsidRDefault="007C521D">
            <w:pPr>
              <w:spacing w:before="0" w:after="0"/>
              <w:ind w:right="-29"/>
              <w:jc w:val="center"/>
              <w:rPr>
                <w:noProof/>
                <w:sz w:val="18"/>
                <w:szCs w:val="18"/>
              </w:rPr>
            </w:pPr>
            <w:r>
              <w:rPr>
                <w:noProof/>
                <w:sz w:val="18"/>
              </w:rPr>
              <w:t>2 463</w:t>
            </w:r>
          </w:p>
        </w:tc>
        <w:tc>
          <w:tcPr>
            <w:tcW w:w="1080" w:type="dxa"/>
          </w:tcPr>
          <w:p w:rsidR="005E40F8" w:rsidRDefault="007C521D">
            <w:pPr>
              <w:spacing w:before="0" w:after="0"/>
              <w:ind w:right="-29"/>
              <w:jc w:val="center"/>
              <w:rPr>
                <w:noProof/>
                <w:sz w:val="18"/>
                <w:szCs w:val="18"/>
              </w:rPr>
            </w:pPr>
            <w:r>
              <w:rPr>
                <w:noProof/>
                <w:sz w:val="18"/>
              </w:rPr>
              <w:t>49,260</w:t>
            </w:r>
          </w:p>
        </w:tc>
        <w:tc>
          <w:tcPr>
            <w:tcW w:w="840" w:type="dxa"/>
          </w:tcPr>
          <w:p w:rsidR="005E40F8" w:rsidRDefault="005E40F8">
            <w:pPr>
              <w:spacing w:before="0" w:after="0"/>
              <w:ind w:right="-29"/>
              <w:jc w:val="center"/>
              <w:rPr>
                <w:noProof/>
                <w:sz w:val="18"/>
                <w:szCs w:val="18"/>
              </w:rPr>
            </w:pPr>
          </w:p>
        </w:tc>
        <w:tc>
          <w:tcPr>
            <w:tcW w:w="960" w:type="dxa"/>
          </w:tcPr>
          <w:p w:rsidR="005E40F8" w:rsidRDefault="005E40F8">
            <w:pPr>
              <w:spacing w:before="0" w:after="0"/>
              <w:ind w:right="-29"/>
              <w:jc w:val="center"/>
              <w:rPr>
                <w:noProof/>
                <w:sz w:val="18"/>
                <w:szCs w:val="18"/>
              </w:rPr>
            </w:pPr>
          </w:p>
        </w:tc>
        <w:tc>
          <w:tcPr>
            <w:tcW w:w="1080" w:type="dxa"/>
          </w:tcPr>
          <w:p w:rsidR="005E40F8" w:rsidRDefault="007C521D">
            <w:pPr>
              <w:spacing w:before="0" w:after="0"/>
              <w:ind w:right="-29"/>
              <w:jc w:val="center"/>
              <w:rPr>
                <w:noProof/>
                <w:sz w:val="18"/>
                <w:szCs w:val="18"/>
              </w:rPr>
            </w:pPr>
            <w:r>
              <w:rPr>
                <w:noProof/>
                <w:sz w:val="18"/>
              </w:rPr>
              <w:t>5 910</w:t>
            </w:r>
          </w:p>
        </w:tc>
        <w:tc>
          <w:tcPr>
            <w:tcW w:w="1200" w:type="dxa"/>
          </w:tcPr>
          <w:p w:rsidR="005E40F8" w:rsidRDefault="007C521D">
            <w:pPr>
              <w:spacing w:before="0" w:after="0"/>
              <w:ind w:right="-29"/>
              <w:jc w:val="center"/>
              <w:rPr>
                <w:noProof/>
                <w:sz w:val="18"/>
                <w:szCs w:val="18"/>
              </w:rPr>
            </w:pPr>
            <w:r>
              <w:rPr>
                <w:noProof/>
                <w:sz w:val="18"/>
              </w:rPr>
              <w:t>118,200</w:t>
            </w:r>
          </w:p>
        </w:tc>
      </w:tr>
    </w:tbl>
    <w:p w:rsidR="005E40F8" w:rsidRDefault="005E40F8">
      <w:pPr>
        <w:rPr>
          <w:noProof/>
        </w:rPr>
        <w:sectPr w:rsidR="005E40F8" w:rsidSect="007C521D">
          <w:pgSz w:w="16840" w:h="11907" w:orient="landscape" w:code="9"/>
          <w:pgMar w:top="1134" w:right="1418" w:bottom="567" w:left="1418" w:header="709" w:footer="709" w:gutter="0"/>
          <w:cols w:space="708"/>
          <w:docGrid w:linePitch="360"/>
        </w:sectPr>
      </w:pPr>
    </w:p>
    <w:p w:rsidR="005E40F8" w:rsidRDefault="007C521D">
      <w:pPr>
        <w:pStyle w:val="ManualHeading3"/>
        <w:rPr>
          <w:bCs/>
          <w:noProof/>
          <w:szCs w:val="24"/>
        </w:rPr>
      </w:pPr>
      <w:r>
        <w:t>3.2.3.</w:t>
      </w:r>
      <w:r>
        <w:tab/>
      </w:r>
      <w:r>
        <w:rPr>
          <w:noProof/>
        </w:rPr>
        <w:t>Odhadovaný vplyv na administratívne rozpočtové prostriedky</w:t>
      </w:r>
    </w:p>
    <w:p w:rsidR="005E40F8" w:rsidRDefault="007C521D">
      <w:pPr>
        <w:pStyle w:val="ManualHeading4"/>
        <w:rPr>
          <w:noProof/>
        </w:rPr>
      </w:pPr>
      <w:r>
        <w:t>3.2.3.1.</w:t>
      </w:r>
      <w:r>
        <w:tab/>
      </w:r>
      <w:r>
        <w:rPr>
          <w:noProof/>
        </w:rPr>
        <w:t>Zhrnutie</w:t>
      </w:r>
    </w:p>
    <w:p w:rsidR="005E40F8" w:rsidRDefault="007C521D">
      <w:pPr>
        <w:pStyle w:val="ListDash1"/>
        <w:rPr>
          <w:noProof/>
        </w:rPr>
      </w:pPr>
      <w:r>
        <w:rPr>
          <w:noProof/>
          <w:szCs w:val="24"/>
        </w:rPr>
        <w:sym w:font="Wingdings" w:char="F0A8"/>
      </w:r>
      <w:r>
        <w:rPr>
          <w:noProof/>
        </w:rPr>
        <w:tab/>
        <w:t>Návrh/iniciatíva si nevyžaduje použitie administratívnych rozpočtových prostriedkov.</w:t>
      </w:r>
    </w:p>
    <w:p w:rsidR="005E40F8" w:rsidRDefault="007C521D">
      <w:pPr>
        <w:pStyle w:val="ListDash1"/>
        <w:rPr>
          <w:noProof/>
        </w:rPr>
      </w:pPr>
      <w:r>
        <w:rPr>
          <w:noProof/>
        </w:rPr>
        <w:t>x</w:t>
      </w:r>
      <w:r>
        <w:rPr>
          <w:noProof/>
        </w:rPr>
        <w:tab/>
        <w:t xml:space="preserve">Návrh/iniciatíva si vyžaduje použitie administratívnych </w:t>
      </w:r>
      <w:r>
        <w:rPr>
          <w:noProof/>
        </w:rPr>
        <w:t>rozpočtových prostriedkov, ako je uvedené v nasledujúcej tabuľke:</w:t>
      </w:r>
    </w:p>
    <w:p w:rsidR="005E40F8" w:rsidRDefault="007C521D">
      <w:pPr>
        <w:rPr>
          <w:noProof/>
          <w:sz w:val="20"/>
        </w:rPr>
      </w:pPr>
      <w:r>
        <w:rPr>
          <w:noProof/>
          <w:sz w:val="20"/>
        </w:rPr>
        <w:t>v mil. EUR (zaokrúhlené na 3 desatinné miesta)</w:t>
      </w: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5E40F8">
        <w:trPr>
          <w:trHeight w:val="585"/>
        </w:trPr>
        <w:tc>
          <w:tcPr>
            <w:tcW w:w="2400" w:type="dxa"/>
          </w:tcPr>
          <w:p w:rsidR="005E40F8" w:rsidRDefault="005E40F8">
            <w:pPr>
              <w:spacing w:before="60" w:after="60" w:line="200" w:lineRule="exact"/>
              <w:rPr>
                <w:noProof/>
                <w:sz w:val="16"/>
                <w:szCs w:val="16"/>
              </w:rPr>
            </w:pPr>
          </w:p>
        </w:tc>
        <w:tc>
          <w:tcPr>
            <w:tcW w:w="1416" w:type="dxa"/>
            <w:vAlign w:val="center"/>
          </w:tcPr>
          <w:p w:rsidR="005E40F8" w:rsidRDefault="007C521D">
            <w:pPr>
              <w:spacing w:before="60" w:after="60" w:line="200" w:lineRule="exact"/>
              <w:jc w:val="center"/>
              <w:rPr>
                <w:noProof/>
                <w:sz w:val="16"/>
                <w:szCs w:val="16"/>
              </w:rPr>
            </w:pPr>
            <w:r>
              <w:rPr>
                <w:b/>
                <w:noProof/>
                <w:sz w:val="20"/>
              </w:rPr>
              <w:t>2017</w:t>
            </w:r>
          </w:p>
        </w:tc>
        <w:tc>
          <w:tcPr>
            <w:tcW w:w="1416" w:type="dxa"/>
            <w:vAlign w:val="center"/>
          </w:tcPr>
          <w:p w:rsidR="005E40F8" w:rsidRDefault="007C521D">
            <w:pPr>
              <w:spacing w:before="60" w:after="60" w:line="200" w:lineRule="exact"/>
              <w:jc w:val="center"/>
              <w:rPr>
                <w:noProof/>
                <w:sz w:val="16"/>
                <w:szCs w:val="16"/>
              </w:rPr>
            </w:pPr>
            <w:r>
              <w:rPr>
                <w:b/>
                <w:noProof/>
                <w:sz w:val="20"/>
              </w:rPr>
              <w:t>2018</w:t>
            </w:r>
          </w:p>
        </w:tc>
        <w:tc>
          <w:tcPr>
            <w:tcW w:w="1416" w:type="dxa"/>
            <w:vAlign w:val="center"/>
          </w:tcPr>
          <w:p w:rsidR="005E40F8" w:rsidRDefault="007C521D">
            <w:pPr>
              <w:spacing w:before="60" w:after="60" w:line="200" w:lineRule="exact"/>
              <w:jc w:val="center"/>
              <w:rPr>
                <w:noProof/>
                <w:sz w:val="16"/>
                <w:szCs w:val="16"/>
              </w:rPr>
            </w:pPr>
            <w:r>
              <w:rPr>
                <w:b/>
                <w:noProof/>
                <w:sz w:val="20"/>
              </w:rPr>
              <w:t>2019</w:t>
            </w:r>
          </w:p>
        </w:tc>
        <w:tc>
          <w:tcPr>
            <w:tcW w:w="1416" w:type="dxa"/>
            <w:vAlign w:val="center"/>
          </w:tcPr>
          <w:p w:rsidR="005E40F8" w:rsidRDefault="007C521D">
            <w:pPr>
              <w:spacing w:before="60" w:after="60" w:line="200" w:lineRule="exact"/>
              <w:jc w:val="center"/>
              <w:rPr>
                <w:noProof/>
                <w:sz w:val="16"/>
                <w:szCs w:val="16"/>
              </w:rPr>
            </w:pPr>
            <w:r>
              <w:rPr>
                <w:b/>
                <w:noProof/>
                <w:sz w:val="20"/>
              </w:rPr>
              <w:t>2020</w:t>
            </w:r>
          </w:p>
        </w:tc>
        <w:tc>
          <w:tcPr>
            <w:tcW w:w="1416" w:type="dxa"/>
            <w:vAlign w:val="center"/>
          </w:tcPr>
          <w:p w:rsidR="005E40F8" w:rsidRDefault="007C521D">
            <w:pPr>
              <w:spacing w:before="60" w:after="60" w:line="200" w:lineRule="exact"/>
              <w:jc w:val="center"/>
              <w:rPr>
                <w:b/>
                <w:noProof/>
                <w:sz w:val="16"/>
                <w:szCs w:val="16"/>
              </w:rPr>
            </w:pPr>
            <w:r>
              <w:rPr>
                <w:b/>
                <w:noProof/>
                <w:sz w:val="16"/>
              </w:rPr>
              <w:t>SPOLU</w:t>
            </w:r>
          </w:p>
        </w:tc>
      </w:tr>
    </w:tbl>
    <w:p w:rsidR="005E40F8" w:rsidRDefault="005E40F8">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5E40F8">
        <w:trPr>
          <w:trHeight w:val="585"/>
        </w:trPr>
        <w:tc>
          <w:tcPr>
            <w:tcW w:w="2400" w:type="dxa"/>
            <w:shd w:val="clear" w:color="auto" w:fill="CCCCCC"/>
            <w:vAlign w:val="center"/>
          </w:tcPr>
          <w:p w:rsidR="005E40F8" w:rsidRDefault="007C521D">
            <w:pPr>
              <w:spacing w:before="60" w:after="60" w:line="200" w:lineRule="exact"/>
              <w:jc w:val="left"/>
              <w:rPr>
                <w:b/>
                <w:noProof/>
                <w:sz w:val="16"/>
                <w:szCs w:val="16"/>
              </w:rPr>
            </w:pPr>
            <w:r>
              <w:rPr>
                <w:b/>
                <w:noProof/>
                <w:sz w:val="16"/>
              </w:rPr>
              <w:t>OKRUH 5</w:t>
            </w:r>
            <w:r>
              <w:rPr>
                <w:noProof/>
                <w:sz w:val="22"/>
              </w:rPr>
              <w:br/>
            </w:r>
            <w:r>
              <w:rPr>
                <w:b/>
                <w:noProof/>
                <w:sz w:val="16"/>
              </w:rPr>
              <w:t>viacročného finančného rámca</w:t>
            </w: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b/>
                <w:noProof/>
                <w:sz w:val="16"/>
                <w:szCs w:val="16"/>
              </w:rPr>
            </w:pPr>
          </w:p>
        </w:tc>
      </w:tr>
      <w:tr w:rsidR="005E40F8">
        <w:trPr>
          <w:trHeight w:val="585"/>
        </w:trPr>
        <w:tc>
          <w:tcPr>
            <w:tcW w:w="2400" w:type="dxa"/>
            <w:vAlign w:val="center"/>
          </w:tcPr>
          <w:p w:rsidR="005E40F8" w:rsidRDefault="007C521D">
            <w:pPr>
              <w:spacing w:before="60" w:after="60" w:line="200" w:lineRule="exact"/>
              <w:ind w:left="72"/>
              <w:jc w:val="left"/>
              <w:rPr>
                <w:noProof/>
                <w:sz w:val="16"/>
                <w:szCs w:val="16"/>
              </w:rPr>
            </w:pPr>
            <w:r>
              <w:rPr>
                <w:noProof/>
                <w:sz w:val="16"/>
              </w:rPr>
              <w:t xml:space="preserve">Ľudské zdroje </w:t>
            </w:r>
          </w:p>
        </w:tc>
        <w:tc>
          <w:tcPr>
            <w:tcW w:w="1416" w:type="dxa"/>
            <w:vAlign w:val="center"/>
          </w:tcPr>
          <w:p w:rsidR="005E40F8" w:rsidRDefault="007C521D">
            <w:pPr>
              <w:spacing w:before="60" w:after="60" w:line="200" w:lineRule="exact"/>
              <w:jc w:val="right"/>
              <w:rPr>
                <w:noProof/>
                <w:sz w:val="16"/>
                <w:szCs w:val="16"/>
              </w:rPr>
            </w:pPr>
            <w:r>
              <w:rPr>
                <w:noProof/>
                <w:sz w:val="20"/>
              </w:rPr>
              <w:t>0,204</w:t>
            </w:r>
          </w:p>
        </w:tc>
        <w:tc>
          <w:tcPr>
            <w:tcW w:w="1416" w:type="dxa"/>
            <w:vAlign w:val="center"/>
          </w:tcPr>
          <w:p w:rsidR="005E40F8" w:rsidRDefault="007C521D">
            <w:pPr>
              <w:spacing w:before="60" w:after="60" w:line="200" w:lineRule="exact"/>
              <w:jc w:val="right"/>
              <w:rPr>
                <w:noProof/>
                <w:sz w:val="16"/>
                <w:szCs w:val="16"/>
              </w:rPr>
            </w:pPr>
            <w:r>
              <w:rPr>
                <w:noProof/>
                <w:sz w:val="20"/>
              </w:rPr>
              <w:t>0,204</w:t>
            </w:r>
          </w:p>
        </w:tc>
        <w:tc>
          <w:tcPr>
            <w:tcW w:w="1416" w:type="dxa"/>
            <w:vAlign w:val="center"/>
          </w:tcPr>
          <w:p w:rsidR="005E40F8" w:rsidRDefault="007C521D">
            <w:pPr>
              <w:spacing w:before="60" w:after="60" w:line="200" w:lineRule="exact"/>
              <w:jc w:val="right"/>
              <w:rPr>
                <w:noProof/>
                <w:sz w:val="16"/>
                <w:szCs w:val="16"/>
              </w:rPr>
            </w:pPr>
            <w:r>
              <w:rPr>
                <w:noProof/>
                <w:sz w:val="20"/>
              </w:rPr>
              <w:t>0,204</w:t>
            </w:r>
          </w:p>
        </w:tc>
        <w:tc>
          <w:tcPr>
            <w:tcW w:w="1416" w:type="dxa"/>
            <w:vAlign w:val="center"/>
          </w:tcPr>
          <w:p w:rsidR="005E40F8" w:rsidRDefault="007C521D">
            <w:pPr>
              <w:spacing w:before="60" w:after="60" w:line="200" w:lineRule="exact"/>
              <w:jc w:val="right"/>
              <w:rPr>
                <w:noProof/>
                <w:sz w:val="16"/>
                <w:szCs w:val="16"/>
              </w:rPr>
            </w:pPr>
            <w:r>
              <w:rPr>
                <w:noProof/>
                <w:sz w:val="20"/>
              </w:rPr>
              <w:t>0,204</w:t>
            </w:r>
          </w:p>
        </w:tc>
        <w:tc>
          <w:tcPr>
            <w:tcW w:w="1416" w:type="dxa"/>
            <w:vAlign w:val="center"/>
          </w:tcPr>
          <w:p w:rsidR="005E40F8" w:rsidRDefault="007C521D">
            <w:pPr>
              <w:spacing w:before="60" w:after="60" w:line="200" w:lineRule="exact"/>
              <w:jc w:val="right"/>
              <w:rPr>
                <w:b/>
                <w:noProof/>
                <w:sz w:val="20"/>
                <w:szCs w:val="20"/>
              </w:rPr>
            </w:pPr>
            <w:r>
              <w:rPr>
                <w:b/>
                <w:noProof/>
                <w:sz w:val="20"/>
              </w:rPr>
              <w:t>0,816</w:t>
            </w:r>
          </w:p>
        </w:tc>
      </w:tr>
      <w:tr w:rsidR="005E40F8">
        <w:trPr>
          <w:trHeight w:val="585"/>
        </w:trPr>
        <w:tc>
          <w:tcPr>
            <w:tcW w:w="2400" w:type="dxa"/>
            <w:vAlign w:val="center"/>
          </w:tcPr>
          <w:p w:rsidR="005E40F8" w:rsidRDefault="007C521D">
            <w:pPr>
              <w:spacing w:before="60" w:after="60" w:line="200" w:lineRule="exact"/>
              <w:ind w:left="72"/>
              <w:jc w:val="left"/>
              <w:rPr>
                <w:noProof/>
                <w:sz w:val="16"/>
                <w:szCs w:val="16"/>
              </w:rPr>
            </w:pPr>
            <w:r>
              <w:rPr>
                <w:noProof/>
                <w:sz w:val="16"/>
              </w:rPr>
              <w:t xml:space="preserve">Ostatné administratívne výdavky </w:t>
            </w:r>
          </w:p>
        </w:tc>
        <w:tc>
          <w:tcPr>
            <w:tcW w:w="1416" w:type="dxa"/>
            <w:vAlign w:val="center"/>
          </w:tcPr>
          <w:p w:rsidR="005E40F8" w:rsidRDefault="007C521D">
            <w:pPr>
              <w:spacing w:before="60" w:after="60" w:line="200" w:lineRule="exact"/>
              <w:jc w:val="right"/>
              <w:rPr>
                <w:noProof/>
                <w:sz w:val="16"/>
                <w:szCs w:val="16"/>
              </w:rPr>
            </w:pPr>
            <w:r>
              <w:rPr>
                <w:noProof/>
                <w:sz w:val="20"/>
              </w:rPr>
              <w:t>0,020</w:t>
            </w:r>
          </w:p>
        </w:tc>
        <w:tc>
          <w:tcPr>
            <w:tcW w:w="1416" w:type="dxa"/>
            <w:vAlign w:val="center"/>
          </w:tcPr>
          <w:p w:rsidR="005E40F8" w:rsidRDefault="007C521D">
            <w:pPr>
              <w:spacing w:before="60" w:after="60" w:line="200" w:lineRule="exact"/>
              <w:jc w:val="right"/>
              <w:rPr>
                <w:noProof/>
                <w:sz w:val="16"/>
                <w:szCs w:val="16"/>
              </w:rPr>
            </w:pPr>
            <w:r>
              <w:rPr>
                <w:noProof/>
                <w:sz w:val="20"/>
              </w:rPr>
              <w:t>0,020</w:t>
            </w:r>
          </w:p>
        </w:tc>
        <w:tc>
          <w:tcPr>
            <w:tcW w:w="1416" w:type="dxa"/>
            <w:vAlign w:val="center"/>
          </w:tcPr>
          <w:p w:rsidR="005E40F8" w:rsidRDefault="007C521D">
            <w:pPr>
              <w:spacing w:before="60" w:after="60" w:line="200" w:lineRule="exact"/>
              <w:jc w:val="right"/>
              <w:rPr>
                <w:noProof/>
                <w:sz w:val="16"/>
                <w:szCs w:val="16"/>
              </w:rPr>
            </w:pPr>
            <w:r>
              <w:rPr>
                <w:noProof/>
                <w:sz w:val="20"/>
              </w:rPr>
              <w:t>0,010</w:t>
            </w:r>
          </w:p>
        </w:tc>
        <w:tc>
          <w:tcPr>
            <w:tcW w:w="1416" w:type="dxa"/>
            <w:vAlign w:val="center"/>
          </w:tcPr>
          <w:p w:rsidR="005E40F8" w:rsidRDefault="007C521D">
            <w:pPr>
              <w:spacing w:before="60" w:after="60" w:line="200" w:lineRule="exact"/>
              <w:jc w:val="right"/>
              <w:rPr>
                <w:noProof/>
                <w:sz w:val="16"/>
                <w:szCs w:val="16"/>
              </w:rPr>
            </w:pPr>
            <w:r>
              <w:rPr>
                <w:noProof/>
                <w:sz w:val="20"/>
              </w:rPr>
              <w:t>0,010</w:t>
            </w:r>
          </w:p>
        </w:tc>
        <w:tc>
          <w:tcPr>
            <w:tcW w:w="1416" w:type="dxa"/>
            <w:vAlign w:val="center"/>
          </w:tcPr>
          <w:p w:rsidR="005E40F8" w:rsidRDefault="007C521D">
            <w:pPr>
              <w:spacing w:before="60" w:after="60" w:line="200" w:lineRule="exact"/>
              <w:jc w:val="right"/>
              <w:rPr>
                <w:b/>
                <w:noProof/>
                <w:sz w:val="20"/>
                <w:szCs w:val="20"/>
              </w:rPr>
            </w:pPr>
            <w:r>
              <w:rPr>
                <w:b/>
                <w:noProof/>
                <w:sz w:val="20"/>
              </w:rPr>
              <w:t>0,060</w:t>
            </w:r>
          </w:p>
        </w:tc>
      </w:tr>
      <w:tr w:rsidR="005E40F8">
        <w:trPr>
          <w:trHeight w:val="585"/>
        </w:trPr>
        <w:tc>
          <w:tcPr>
            <w:tcW w:w="2400" w:type="dxa"/>
            <w:shd w:val="clear" w:color="auto" w:fill="CCCCCC"/>
            <w:vAlign w:val="center"/>
          </w:tcPr>
          <w:p w:rsidR="005E40F8" w:rsidRDefault="007C521D">
            <w:pPr>
              <w:spacing w:before="60" w:after="60" w:line="200" w:lineRule="exact"/>
              <w:jc w:val="left"/>
              <w:rPr>
                <w:b/>
                <w:noProof/>
                <w:sz w:val="16"/>
                <w:szCs w:val="16"/>
              </w:rPr>
            </w:pPr>
            <w:r>
              <w:rPr>
                <w:b/>
                <w:noProof/>
                <w:sz w:val="16"/>
              </w:rPr>
              <w:t>Medzisúčet OKRUHU 5</w:t>
            </w:r>
            <w:r>
              <w:rPr>
                <w:noProof/>
                <w:sz w:val="22"/>
              </w:rPr>
              <w:br/>
            </w:r>
            <w:r>
              <w:rPr>
                <w:b/>
                <w:noProof/>
                <w:sz w:val="16"/>
              </w:rPr>
              <w:t xml:space="preserve">viacročného finančného rámca </w:t>
            </w:r>
          </w:p>
        </w:tc>
        <w:tc>
          <w:tcPr>
            <w:tcW w:w="1416" w:type="dxa"/>
            <w:vAlign w:val="bottom"/>
          </w:tcPr>
          <w:p w:rsidR="005E40F8" w:rsidRDefault="007C521D">
            <w:pPr>
              <w:spacing w:before="60" w:after="60" w:line="200" w:lineRule="exact"/>
              <w:jc w:val="right"/>
              <w:rPr>
                <w:b/>
                <w:noProof/>
                <w:sz w:val="16"/>
                <w:szCs w:val="16"/>
              </w:rPr>
            </w:pPr>
            <w:r>
              <w:rPr>
                <w:b/>
                <w:noProof/>
                <w:color w:val="000000"/>
                <w:sz w:val="20"/>
              </w:rPr>
              <w:t>0,224</w:t>
            </w:r>
          </w:p>
        </w:tc>
        <w:tc>
          <w:tcPr>
            <w:tcW w:w="1416" w:type="dxa"/>
            <w:vAlign w:val="bottom"/>
          </w:tcPr>
          <w:p w:rsidR="005E40F8" w:rsidRDefault="007C521D">
            <w:pPr>
              <w:spacing w:before="60" w:after="60" w:line="200" w:lineRule="exact"/>
              <w:jc w:val="right"/>
              <w:rPr>
                <w:b/>
                <w:noProof/>
                <w:sz w:val="16"/>
                <w:szCs w:val="16"/>
              </w:rPr>
            </w:pPr>
            <w:r>
              <w:rPr>
                <w:b/>
                <w:noProof/>
                <w:color w:val="000000"/>
                <w:sz w:val="20"/>
              </w:rPr>
              <w:t>0,224</w:t>
            </w:r>
          </w:p>
        </w:tc>
        <w:tc>
          <w:tcPr>
            <w:tcW w:w="1416" w:type="dxa"/>
            <w:vAlign w:val="bottom"/>
          </w:tcPr>
          <w:p w:rsidR="005E40F8" w:rsidRDefault="007C521D">
            <w:pPr>
              <w:spacing w:before="60" w:after="60" w:line="200" w:lineRule="exact"/>
              <w:jc w:val="right"/>
              <w:rPr>
                <w:b/>
                <w:noProof/>
                <w:sz w:val="16"/>
                <w:szCs w:val="16"/>
              </w:rPr>
            </w:pPr>
            <w:r>
              <w:rPr>
                <w:b/>
                <w:noProof/>
                <w:color w:val="000000"/>
                <w:sz w:val="20"/>
              </w:rPr>
              <w:t>0,214</w:t>
            </w:r>
          </w:p>
        </w:tc>
        <w:tc>
          <w:tcPr>
            <w:tcW w:w="1416" w:type="dxa"/>
            <w:vAlign w:val="bottom"/>
          </w:tcPr>
          <w:p w:rsidR="005E40F8" w:rsidRDefault="007C521D">
            <w:pPr>
              <w:spacing w:before="60" w:after="60" w:line="200" w:lineRule="exact"/>
              <w:jc w:val="right"/>
              <w:rPr>
                <w:b/>
                <w:noProof/>
                <w:sz w:val="16"/>
                <w:szCs w:val="16"/>
              </w:rPr>
            </w:pPr>
            <w:r>
              <w:rPr>
                <w:b/>
                <w:noProof/>
                <w:color w:val="000000"/>
                <w:sz w:val="20"/>
              </w:rPr>
              <w:t>0,214</w:t>
            </w:r>
          </w:p>
        </w:tc>
        <w:tc>
          <w:tcPr>
            <w:tcW w:w="1416" w:type="dxa"/>
            <w:vAlign w:val="bottom"/>
          </w:tcPr>
          <w:p w:rsidR="005E40F8" w:rsidRDefault="007C521D">
            <w:pPr>
              <w:spacing w:before="60" w:after="60" w:line="200" w:lineRule="exact"/>
              <w:jc w:val="right"/>
              <w:rPr>
                <w:b/>
                <w:noProof/>
                <w:sz w:val="20"/>
                <w:szCs w:val="20"/>
              </w:rPr>
            </w:pPr>
            <w:r>
              <w:rPr>
                <w:b/>
                <w:noProof/>
                <w:color w:val="000000"/>
                <w:sz w:val="20"/>
              </w:rPr>
              <w:t>0,876</w:t>
            </w:r>
          </w:p>
        </w:tc>
      </w:tr>
    </w:tbl>
    <w:p w:rsidR="005E40F8" w:rsidRDefault="005E40F8">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5E40F8">
        <w:trPr>
          <w:trHeight w:val="585"/>
        </w:trPr>
        <w:tc>
          <w:tcPr>
            <w:tcW w:w="2400" w:type="dxa"/>
            <w:shd w:val="clear" w:color="auto" w:fill="CCCCCC"/>
            <w:vAlign w:val="center"/>
          </w:tcPr>
          <w:p w:rsidR="005E40F8" w:rsidRDefault="007C521D">
            <w:pPr>
              <w:spacing w:before="60" w:after="60" w:line="200" w:lineRule="exact"/>
              <w:jc w:val="left"/>
              <w:rPr>
                <w:b/>
                <w:noProof/>
                <w:sz w:val="16"/>
                <w:szCs w:val="16"/>
              </w:rPr>
            </w:pPr>
            <w:r>
              <w:rPr>
                <w:b/>
                <w:noProof/>
                <w:sz w:val="16"/>
              </w:rPr>
              <w:t>Mimo OKRUHU 5</w:t>
            </w:r>
            <w:r>
              <w:rPr>
                <w:rStyle w:val="FootnoteReference"/>
                <w:b/>
                <w:noProof/>
                <w:sz w:val="16"/>
              </w:rPr>
              <w:footnoteReference w:id="24"/>
            </w:r>
            <w:r>
              <w:rPr>
                <w:noProof/>
                <w:sz w:val="22"/>
              </w:rPr>
              <w:br/>
            </w:r>
            <w:r>
              <w:rPr>
                <w:b/>
                <w:noProof/>
                <w:sz w:val="16"/>
              </w:rPr>
              <w:t xml:space="preserve">viacročného finančného rámca </w:t>
            </w: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b/>
                <w:noProof/>
                <w:sz w:val="16"/>
                <w:szCs w:val="16"/>
              </w:rPr>
            </w:pPr>
          </w:p>
        </w:tc>
      </w:tr>
      <w:tr w:rsidR="005E40F8">
        <w:trPr>
          <w:trHeight w:val="585"/>
        </w:trPr>
        <w:tc>
          <w:tcPr>
            <w:tcW w:w="2400" w:type="dxa"/>
            <w:vAlign w:val="center"/>
          </w:tcPr>
          <w:p w:rsidR="005E40F8" w:rsidRDefault="007C521D">
            <w:pPr>
              <w:spacing w:before="60" w:after="60" w:line="200" w:lineRule="exact"/>
              <w:ind w:left="72"/>
              <w:jc w:val="left"/>
              <w:rPr>
                <w:noProof/>
                <w:sz w:val="16"/>
                <w:szCs w:val="16"/>
              </w:rPr>
            </w:pPr>
            <w:r>
              <w:rPr>
                <w:noProof/>
                <w:sz w:val="16"/>
              </w:rPr>
              <w:t xml:space="preserve">Ľudské zdroje </w:t>
            </w: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noProof/>
                <w:sz w:val="16"/>
                <w:szCs w:val="16"/>
              </w:rPr>
            </w:pPr>
          </w:p>
        </w:tc>
        <w:tc>
          <w:tcPr>
            <w:tcW w:w="1416" w:type="dxa"/>
            <w:vAlign w:val="center"/>
          </w:tcPr>
          <w:p w:rsidR="005E40F8" w:rsidRDefault="005E40F8">
            <w:pPr>
              <w:spacing w:before="60" w:after="60" w:line="200" w:lineRule="exact"/>
              <w:jc w:val="right"/>
              <w:rPr>
                <w:b/>
                <w:noProof/>
                <w:sz w:val="16"/>
                <w:szCs w:val="16"/>
              </w:rPr>
            </w:pPr>
          </w:p>
        </w:tc>
      </w:tr>
      <w:tr w:rsidR="005E40F8">
        <w:trPr>
          <w:trHeight w:val="585"/>
        </w:trPr>
        <w:tc>
          <w:tcPr>
            <w:tcW w:w="2400" w:type="dxa"/>
            <w:vAlign w:val="center"/>
          </w:tcPr>
          <w:p w:rsidR="005E40F8" w:rsidRDefault="007C521D">
            <w:pPr>
              <w:spacing w:before="60" w:after="60" w:line="200" w:lineRule="exact"/>
              <w:ind w:left="72"/>
              <w:jc w:val="left"/>
              <w:rPr>
                <w:noProof/>
                <w:sz w:val="16"/>
                <w:szCs w:val="16"/>
              </w:rPr>
            </w:pPr>
            <w:r>
              <w:rPr>
                <w:noProof/>
                <w:sz w:val="16"/>
                <w:szCs w:val="16"/>
              </w:rPr>
              <w:t>Ostatné administratívne výdavky</w:t>
            </w:r>
          </w:p>
        </w:tc>
        <w:tc>
          <w:tcPr>
            <w:tcW w:w="1416" w:type="dxa"/>
            <w:vAlign w:val="bottom"/>
          </w:tcPr>
          <w:p w:rsidR="005E40F8" w:rsidRDefault="007C521D">
            <w:pPr>
              <w:spacing w:before="60" w:after="60" w:line="200" w:lineRule="exact"/>
              <w:jc w:val="right"/>
              <w:rPr>
                <w:noProof/>
                <w:sz w:val="20"/>
                <w:szCs w:val="20"/>
              </w:rPr>
            </w:pPr>
            <w:r>
              <w:rPr>
                <w:noProof/>
                <w:color w:val="000000"/>
                <w:sz w:val="20"/>
              </w:rPr>
              <w:t>0,090</w:t>
            </w:r>
          </w:p>
        </w:tc>
        <w:tc>
          <w:tcPr>
            <w:tcW w:w="1416" w:type="dxa"/>
            <w:vAlign w:val="bottom"/>
          </w:tcPr>
          <w:p w:rsidR="005E40F8" w:rsidRDefault="007C521D">
            <w:pPr>
              <w:spacing w:before="60" w:after="60" w:line="200" w:lineRule="exact"/>
              <w:jc w:val="right"/>
              <w:rPr>
                <w:noProof/>
                <w:sz w:val="20"/>
                <w:szCs w:val="20"/>
              </w:rPr>
            </w:pPr>
            <w:r>
              <w:rPr>
                <w:noProof/>
                <w:color w:val="000000"/>
                <w:sz w:val="20"/>
              </w:rPr>
              <w:t>0,025</w:t>
            </w:r>
          </w:p>
        </w:tc>
        <w:tc>
          <w:tcPr>
            <w:tcW w:w="1416" w:type="dxa"/>
            <w:vAlign w:val="bottom"/>
          </w:tcPr>
          <w:p w:rsidR="005E40F8" w:rsidRDefault="007C521D">
            <w:pPr>
              <w:spacing w:before="60" w:after="60" w:line="200" w:lineRule="exact"/>
              <w:jc w:val="right"/>
              <w:rPr>
                <w:noProof/>
                <w:sz w:val="20"/>
                <w:szCs w:val="20"/>
              </w:rPr>
            </w:pPr>
            <w:r>
              <w:rPr>
                <w:noProof/>
                <w:color w:val="000000"/>
                <w:sz w:val="20"/>
              </w:rPr>
              <w:t>0,025</w:t>
            </w:r>
          </w:p>
        </w:tc>
        <w:tc>
          <w:tcPr>
            <w:tcW w:w="1416" w:type="dxa"/>
            <w:vAlign w:val="bottom"/>
          </w:tcPr>
          <w:p w:rsidR="005E40F8" w:rsidRDefault="007C521D">
            <w:pPr>
              <w:spacing w:before="60" w:after="60" w:line="200" w:lineRule="exact"/>
              <w:jc w:val="right"/>
              <w:rPr>
                <w:noProof/>
                <w:sz w:val="20"/>
                <w:szCs w:val="20"/>
              </w:rPr>
            </w:pPr>
            <w:r>
              <w:rPr>
                <w:noProof/>
                <w:color w:val="000000"/>
                <w:sz w:val="20"/>
              </w:rPr>
              <w:t>0,060</w:t>
            </w:r>
          </w:p>
        </w:tc>
        <w:tc>
          <w:tcPr>
            <w:tcW w:w="1416" w:type="dxa"/>
            <w:vAlign w:val="bottom"/>
          </w:tcPr>
          <w:p w:rsidR="005E40F8" w:rsidRDefault="007C521D">
            <w:pPr>
              <w:spacing w:before="60" w:after="60" w:line="200" w:lineRule="exact"/>
              <w:jc w:val="right"/>
              <w:rPr>
                <w:b/>
                <w:noProof/>
                <w:sz w:val="20"/>
                <w:szCs w:val="20"/>
              </w:rPr>
            </w:pPr>
            <w:r>
              <w:rPr>
                <w:noProof/>
                <w:color w:val="000000"/>
                <w:sz w:val="20"/>
              </w:rPr>
              <w:t>0,200</w:t>
            </w:r>
          </w:p>
        </w:tc>
      </w:tr>
      <w:tr w:rsidR="005E40F8">
        <w:trPr>
          <w:trHeight w:val="585"/>
        </w:trPr>
        <w:tc>
          <w:tcPr>
            <w:tcW w:w="2400" w:type="dxa"/>
            <w:shd w:val="clear" w:color="auto" w:fill="CCCCCC"/>
            <w:vAlign w:val="center"/>
          </w:tcPr>
          <w:p w:rsidR="005E40F8" w:rsidRDefault="007C521D">
            <w:pPr>
              <w:spacing w:before="60" w:after="60" w:line="200" w:lineRule="exact"/>
              <w:jc w:val="left"/>
              <w:rPr>
                <w:b/>
                <w:noProof/>
                <w:sz w:val="16"/>
                <w:szCs w:val="16"/>
              </w:rPr>
            </w:pPr>
            <w:r>
              <w:rPr>
                <w:b/>
                <w:noProof/>
                <w:sz w:val="16"/>
              </w:rPr>
              <w:t>Medzisúčet</w:t>
            </w:r>
            <w:r>
              <w:rPr>
                <w:noProof/>
                <w:sz w:val="22"/>
              </w:rPr>
              <w:br/>
            </w:r>
            <w:r>
              <w:rPr>
                <w:b/>
                <w:noProof/>
                <w:sz w:val="16"/>
              </w:rPr>
              <w:t>mimo OKRUHU 5</w:t>
            </w:r>
            <w:r>
              <w:rPr>
                <w:noProof/>
                <w:sz w:val="22"/>
              </w:rPr>
              <w:br/>
            </w:r>
            <w:r>
              <w:rPr>
                <w:b/>
                <w:noProof/>
                <w:sz w:val="16"/>
              </w:rPr>
              <w:t xml:space="preserve">viacročného finančného rámca </w:t>
            </w:r>
          </w:p>
        </w:tc>
        <w:tc>
          <w:tcPr>
            <w:tcW w:w="1416" w:type="dxa"/>
            <w:vAlign w:val="bottom"/>
          </w:tcPr>
          <w:p w:rsidR="005E40F8" w:rsidRDefault="007C521D">
            <w:pPr>
              <w:spacing w:before="60" w:after="60" w:line="200" w:lineRule="exact"/>
              <w:jc w:val="right"/>
              <w:rPr>
                <w:b/>
                <w:noProof/>
                <w:sz w:val="20"/>
                <w:szCs w:val="20"/>
              </w:rPr>
            </w:pPr>
            <w:r>
              <w:rPr>
                <w:noProof/>
                <w:color w:val="000000"/>
                <w:sz w:val="20"/>
              </w:rPr>
              <w:t>0,090</w:t>
            </w:r>
          </w:p>
        </w:tc>
        <w:tc>
          <w:tcPr>
            <w:tcW w:w="1416" w:type="dxa"/>
            <w:vAlign w:val="bottom"/>
          </w:tcPr>
          <w:p w:rsidR="005E40F8" w:rsidRDefault="007C521D">
            <w:pPr>
              <w:spacing w:before="60" w:after="60" w:line="200" w:lineRule="exact"/>
              <w:jc w:val="right"/>
              <w:rPr>
                <w:b/>
                <w:noProof/>
                <w:sz w:val="20"/>
                <w:szCs w:val="20"/>
              </w:rPr>
            </w:pPr>
            <w:r>
              <w:rPr>
                <w:noProof/>
                <w:color w:val="000000"/>
                <w:sz w:val="20"/>
              </w:rPr>
              <w:t>0,025</w:t>
            </w:r>
          </w:p>
        </w:tc>
        <w:tc>
          <w:tcPr>
            <w:tcW w:w="1416" w:type="dxa"/>
            <w:vAlign w:val="bottom"/>
          </w:tcPr>
          <w:p w:rsidR="005E40F8" w:rsidRDefault="007C521D">
            <w:pPr>
              <w:spacing w:before="60" w:after="60" w:line="200" w:lineRule="exact"/>
              <w:jc w:val="right"/>
              <w:rPr>
                <w:b/>
                <w:noProof/>
                <w:sz w:val="20"/>
                <w:szCs w:val="20"/>
              </w:rPr>
            </w:pPr>
            <w:r>
              <w:rPr>
                <w:noProof/>
                <w:color w:val="000000"/>
                <w:sz w:val="20"/>
              </w:rPr>
              <w:t>0,025</w:t>
            </w:r>
          </w:p>
        </w:tc>
        <w:tc>
          <w:tcPr>
            <w:tcW w:w="1416" w:type="dxa"/>
            <w:vAlign w:val="bottom"/>
          </w:tcPr>
          <w:p w:rsidR="005E40F8" w:rsidRDefault="007C521D">
            <w:pPr>
              <w:spacing w:before="60" w:after="60" w:line="200" w:lineRule="exact"/>
              <w:jc w:val="right"/>
              <w:rPr>
                <w:b/>
                <w:noProof/>
                <w:sz w:val="20"/>
                <w:szCs w:val="20"/>
              </w:rPr>
            </w:pPr>
            <w:r>
              <w:rPr>
                <w:noProof/>
                <w:color w:val="000000"/>
                <w:sz w:val="20"/>
              </w:rPr>
              <w:t>0,060</w:t>
            </w:r>
          </w:p>
        </w:tc>
        <w:tc>
          <w:tcPr>
            <w:tcW w:w="1416" w:type="dxa"/>
            <w:vAlign w:val="bottom"/>
          </w:tcPr>
          <w:p w:rsidR="005E40F8" w:rsidRDefault="007C521D">
            <w:pPr>
              <w:spacing w:before="60" w:after="60" w:line="200" w:lineRule="exact"/>
              <w:jc w:val="right"/>
              <w:rPr>
                <w:b/>
                <w:noProof/>
                <w:sz w:val="20"/>
                <w:szCs w:val="20"/>
              </w:rPr>
            </w:pPr>
            <w:r>
              <w:rPr>
                <w:noProof/>
                <w:color w:val="000000"/>
                <w:sz w:val="20"/>
              </w:rPr>
              <w:t>0,200</w:t>
            </w:r>
          </w:p>
        </w:tc>
      </w:tr>
    </w:tbl>
    <w:p w:rsidR="005E40F8" w:rsidRDefault="005E40F8">
      <w:pPr>
        <w:spacing w:line="200" w:lineRule="exact"/>
        <w:rPr>
          <w:noProof/>
          <w:sz w:val="16"/>
          <w:szCs w:val="16"/>
        </w:rPr>
      </w:pPr>
    </w:p>
    <w:tbl>
      <w:tblPr>
        <w:tblW w:w="9480" w:type="dxa"/>
        <w:tblInd w:w="-252" w:type="dxa"/>
        <w:tblLayout w:type="fixed"/>
        <w:tblLook w:val="01E0" w:firstRow="1" w:lastRow="1" w:firstColumn="1" w:lastColumn="1" w:noHBand="0" w:noVBand="0"/>
      </w:tblPr>
      <w:tblGrid>
        <w:gridCol w:w="2400"/>
        <w:gridCol w:w="1416"/>
        <w:gridCol w:w="1416"/>
        <w:gridCol w:w="1416"/>
        <w:gridCol w:w="1416"/>
        <w:gridCol w:w="1416"/>
      </w:tblGrid>
      <w:tr w:rsidR="005E40F8">
        <w:trPr>
          <w:trHeight w:val="585"/>
        </w:trPr>
        <w:tc>
          <w:tcPr>
            <w:tcW w:w="2400" w:type="dxa"/>
            <w:tcBorders>
              <w:top w:val="single" w:sz="12" w:space="0" w:color="auto"/>
              <w:left w:val="single" w:sz="12" w:space="0" w:color="auto"/>
              <w:bottom w:val="single" w:sz="12" w:space="0" w:color="auto"/>
              <w:right w:val="single" w:sz="2" w:space="0" w:color="auto"/>
            </w:tcBorders>
            <w:vAlign w:val="center"/>
          </w:tcPr>
          <w:p w:rsidR="005E40F8" w:rsidRDefault="007C521D">
            <w:pPr>
              <w:spacing w:before="60" w:after="60" w:line="200" w:lineRule="exact"/>
              <w:jc w:val="center"/>
              <w:rPr>
                <w:noProof/>
                <w:sz w:val="16"/>
                <w:szCs w:val="16"/>
              </w:rPr>
            </w:pPr>
            <w:r>
              <w:rPr>
                <w:b/>
                <w:noProof/>
                <w:sz w:val="16"/>
              </w:rPr>
              <w:t>SPOLU</w:t>
            </w:r>
          </w:p>
        </w:tc>
        <w:tc>
          <w:tcPr>
            <w:tcW w:w="1416" w:type="dxa"/>
            <w:tcBorders>
              <w:top w:val="single" w:sz="12" w:space="0" w:color="auto"/>
              <w:left w:val="single" w:sz="2" w:space="0" w:color="auto"/>
              <w:bottom w:val="single" w:sz="12" w:space="0" w:color="auto"/>
              <w:right w:val="single" w:sz="2" w:space="0" w:color="auto"/>
            </w:tcBorders>
            <w:vAlign w:val="bottom"/>
          </w:tcPr>
          <w:p w:rsidR="005E40F8" w:rsidRDefault="007C521D">
            <w:pPr>
              <w:spacing w:before="60" w:after="60" w:line="200" w:lineRule="exact"/>
              <w:jc w:val="right"/>
              <w:rPr>
                <w:b/>
                <w:noProof/>
                <w:sz w:val="20"/>
                <w:szCs w:val="20"/>
              </w:rPr>
            </w:pPr>
            <w:r>
              <w:rPr>
                <w:b/>
                <w:noProof/>
                <w:color w:val="000000"/>
                <w:sz w:val="20"/>
              </w:rPr>
              <w:t>0,314</w:t>
            </w:r>
          </w:p>
        </w:tc>
        <w:tc>
          <w:tcPr>
            <w:tcW w:w="1416" w:type="dxa"/>
            <w:tcBorders>
              <w:top w:val="single" w:sz="12" w:space="0" w:color="auto"/>
              <w:left w:val="single" w:sz="2" w:space="0" w:color="auto"/>
              <w:bottom w:val="single" w:sz="12" w:space="0" w:color="auto"/>
              <w:right w:val="single" w:sz="2" w:space="0" w:color="auto"/>
            </w:tcBorders>
            <w:vAlign w:val="bottom"/>
          </w:tcPr>
          <w:p w:rsidR="005E40F8" w:rsidRDefault="007C521D">
            <w:pPr>
              <w:spacing w:before="60" w:after="60" w:line="200" w:lineRule="exact"/>
              <w:jc w:val="right"/>
              <w:rPr>
                <w:b/>
                <w:noProof/>
                <w:sz w:val="20"/>
                <w:szCs w:val="20"/>
              </w:rPr>
            </w:pPr>
            <w:r>
              <w:rPr>
                <w:b/>
                <w:noProof/>
                <w:color w:val="000000"/>
                <w:sz w:val="20"/>
              </w:rPr>
              <w:t>0,249</w:t>
            </w:r>
          </w:p>
        </w:tc>
        <w:tc>
          <w:tcPr>
            <w:tcW w:w="1416" w:type="dxa"/>
            <w:tcBorders>
              <w:top w:val="single" w:sz="12" w:space="0" w:color="auto"/>
              <w:left w:val="single" w:sz="2" w:space="0" w:color="auto"/>
              <w:bottom w:val="single" w:sz="12" w:space="0" w:color="auto"/>
              <w:right w:val="single" w:sz="2" w:space="0" w:color="auto"/>
            </w:tcBorders>
            <w:vAlign w:val="bottom"/>
          </w:tcPr>
          <w:p w:rsidR="005E40F8" w:rsidRDefault="007C521D">
            <w:pPr>
              <w:spacing w:before="60" w:after="60" w:line="200" w:lineRule="exact"/>
              <w:jc w:val="right"/>
              <w:rPr>
                <w:b/>
                <w:noProof/>
                <w:sz w:val="20"/>
                <w:szCs w:val="20"/>
              </w:rPr>
            </w:pPr>
            <w:r>
              <w:rPr>
                <w:b/>
                <w:noProof/>
                <w:color w:val="000000"/>
                <w:sz w:val="20"/>
              </w:rPr>
              <w:t>0,239</w:t>
            </w:r>
          </w:p>
        </w:tc>
        <w:tc>
          <w:tcPr>
            <w:tcW w:w="1416" w:type="dxa"/>
            <w:tcBorders>
              <w:top w:val="single" w:sz="12" w:space="0" w:color="auto"/>
              <w:left w:val="single" w:sz="2" w:space="0" w:color="auto"/>
              <w:bottom w:val="single" w:sz="12" w:space="0" w:color="auto"/>
              <w:right w:val="single" w:sz="2" w:space="0" w:color="auto"/>
            </w:tcBorders>
            <w:vAlign w:val="bottom"/>
          </w:tcPr>
          <w:p w:rsidR="005E40F8" w:rsidRDefault="007C521D">
            <w:pPr>
              <w:spacing w:before="60" w:after="60" w:line="200" w:lineRule="exact"/>
              <w:jc w:val="right"/>
              <w:rPr>
                <w:b/>
                <w:noProof/>
                <w:sz w:val="20"/>
                <w:szCs w:val="20"/>
              </w:rPr>
            </w:pPr>
            <w:r>
              <w:rPr>
                <w:b/>
                <w:noProof/>
                <w:color w:val="000000"/>
                <w:sz w:val="20"/>
              </w:rPr>
              <w:t>0,274</w:t>
            </w:r>
          </w:p>
        </w:tc>
        <w:tc>
          <w:tcPr>
            <w:tcW w:w="1416" w:type="dxa"/>
            <w:tcBorders>
              <w:top w:val="single" w:sz="12" w:space="0" w:color="auto"/>
              <w:left w:val="single" w:sz="2" w:space="0" w:color="auto"/>
              <w:bottom w:val="single" w:sz="12" w:space="0" w:color="auto"/>
              <w:right w:val="single" w:sz="12" w:space="0" w:color="auto"/>
            </w:tcBorders>
            <w:vAlign w:val="bottom"/>
          </w:tcPr>
          <w:p w:rsidR="005E40F8" w:rsidRDefault="007C521D">
            <w:pPr>
              <w:spacing w:before="60" w:after="60" w:line="200" w:lineRule="exact"/>
              <w:jc w:val="right"/>
              <w:rPr>
                <w:b/>
                <w:noProof/>
                <w:sz w:val="20"/>
                <w:szCs w:val="20"/>
              </w:rPr>
            </w:pPr>
            <w:r>
              <w:rPr>
                <w:b/>
                <w:noProof/>
                <w:color w:val="000000"/>
                <w:sz w:val="20"/>
              </w:rPr>
              <w:t>1,076</w:t>
            </w:r>
          </w:p>
        </w:tc>
      </w:tr>
    </w:tbl>
    <w:p w:rsidR="005E40F8" w:rsidRDefault="007C521D">
      <w:pPr>
        <w:jc w:val="left"/>
        <w:rPr>
          <w:noProof/>
          <w:sz w:val="18"/>
        </w:rPr>
        <w:sectPr w:rsidR="005E40F8" w:rsidSect="007C521D">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w:t>
      </w:r>
      <w:r>
        <w:rPr>
          <w:noProof/>
          <w:sz w:val="18"/>
        </w:rPr>
        <w:t>ré sa môžu prideliť riadiacemu GR v rámci ročného postupu prideľovania zdrojov a v závislosti od rozpočtových obmedzení.</w:t>
      </w:r>
    </w:p>
    <w:p w:rsidR="005E40F8" w:rsidRDefault="007C521D">
      <w:pPr>
        <w:pStyle w:val="ManualHeading4"/>
        <w:rPr>
          <w:bCs/>
          <w:noProof/>
          <w:szCs w:val="24"/>
        </w:rPr>
      </w:pPr>
      <w:r>
        <w:t>3.2.3.2.</w:t>
      </w:r>
      <w:r>
        <w:tab/>
      </w:r>
      <w:r>
        <w:rPr>
          <w:noProof/>
        </w:rPr>
        <w:t>Odhadované potreby ľudských zdrojov</w:t>
      </w:r>
    </w:p>
    <w:p w:rsidR="005E40F8" w:rsidRDefault="007C521D">
      <w:pPr>
        <w:pStyle w:val="ListDash1"/>
        <w:rPr>
          <w:noProof/>
        </w:rPr>
      </w:pPr>
      <w:r>
        <w:rPr>
          <w:noProof/>
          <w:szCs w:val="24"/>
        </w:rPr>
        <w:sym w:font="Wingdings" w:char="F0A8"/>
      </w:r>
      <w:r>
        <w:rPr>
          <w:noProof/>
        </w:rPr>
        <w:tab/>
        <w:t>Návrh/iniciatíva si nevyžaduje použitie ľudských zdrojov.</w:t>
      </w:r>
    </w:p>
    <w:p w:rsidR="005E40F8" w:rsidRDefault="007C521D">
      <w:pPr>
        <w:pStyle w:val="ListDash1"/>
        <w:rPr>
          <w:noProof/>
        </w:rPr>
      </w:pPr>
      <w:r>
        <w:rPr>
          <w:noProof/>
        </w:rPr>
        <w:t>x</w:t>
      </w:r>
      <w:r>
        <w:rPr>
          <w:noProof/>
        </w:rPr>
        <w:tab/>
        <w:t>Návrh/iniciatíva si vyžaduje</w:t>
      </w:r>
      <w:r>
        <w:rPr>
          <w:noProof/>
        </w:rPr>
        <w:t xml:space="preserve"> použitie ľudských zdrojov, ako je uvedené v nasledujúcej tabuľke:</w:t>
      </w:r>
    </w:p>
    <w:p w:rsidR="005E40F8" w:rsidRDefault="007C521D">
      <w:pPr>
        <w:spacing w:after="60"/>
        <w:jc w:val="right"/>
        <w:rPr>
          <w:i/>
          <w:noProof/>
          <w:sz w:val="20"/>
        </w:rPr>
      </w:pPr>
      <w:r>
        <w:rPr>
          <w:i/>
          <w:noProof/>
          <w:sz w:val="20"/>
        </w:rPr>
        <w:t>odhady sa vyjadrujú v jednotkách ekvivalentu plného pracovného času</w:t>
      </w:r>
    </w:p>
    <w:tbl>
      <w:tblPr>
        <w:tblW w:w="5241"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4"/>
        <w:gridCol w:w="1957"/>
        <w:gridCol w:w="1464"/>
        <w:gridCol w:w="1320"/>
        <w:gridCol w:w="1320"/>
        <w:gridCol w:w="1722"/>
      </w:tblGrid>
      <w:tr w:rsidR="005E40F8">
        <w:trPr>
          <w:trHeight w:val="289"/>
          <w:jc w:val="center"/>
        </w:trPr>
        <w:tc>
          <w:tcPr>
            <w:tcW w:w="2008" w:type="pct"/>
            <w:gridSpan w:val="2"/>
          </w:tcPr>
          <w:p w:rsidR="005E40F8" w:rsidRDefault="005E40F8">
            <w:pPr>
              <w:pStyle w:val="Text1"/>
              <w:spacing w:before="40" w:after="40"/>
              <w:ind w:left="0"/>
              <w:jc w:val="center"/>
              <w:rPr>
                <w:i/>
                <w:noProof/>
                <w:sz w:val="16"/>
                <w:szCs w:val="16"/>
              </w:rPr>
            </w:pPr>
          </w:p>
        </w:tc>
        <w:tc>
          <w:tcPr>
            <w:tcW w:w="752" w:type="pct"/>
            <w:vAlign w:val="center"/>
          </w:tcPr>
          <w:p w:rsidR="005E40F8" w:rsidRDefault="007C521D">
            <w:pPr>
              <w:spacing w:before="20" w:after="20"/>
              <w:jc w:val="center"/>
              <w:rPr>
                <w:noProof/>
                <w:sz w:val="16"/>
                <w:szCs w:val="16"/>
              </w:rPr>
            </w:pPr>
            <w:r>
              <w:rPr>
                <w:b/>
                <w:noProof/>
                <w:sz w:val="20"/>
              </w:rPr>
              <w:t>2017</w:t>
            </w:r>
          </w:p>
        </w:tc>
        <w:tc>
          <w:tcPr>
            <w:tcW w:w="678" w:type="pct"/>
            <w:vAlign w:val="center"/>
          </w:tcPr>
          <w:p w:rsidR="005E40F8" w:rsidRDefault="007C521D">
            <w:pPr>
              <w:spacing w:before="20" w:after="20"/>
              <w:jc w:val="center"/>
              <w:rPr>
                <w:noProof/>
                <w:sz w:val="16"/>
                <w:szCs w:val="16"/>
              </w:rPr>
            </w:pPr>
            <w:r>
              <w:rPr>
                <w:b/>
                <w:noProof/>
                <w:sz w:val="20"/>
              </w:rPr>
              <w:t>2018</w:t>
            </w:r>
          </w:p>
        </w:tc>
        <w:tc>
          <w:tcPr>
            <w:tcW w:w="678" w:type="pct"/>
            <w:vAlign w:val="center"/>
          </w:tcPr>
          <w:p w:rsidR="005E40F8" w:rsidRDefault="007C521D">
            <w:pPr>
              <w:spacing w:before="20" w:after="20"/>
              <w:jc w:val="center"/>
              <w:rPr>
                <w:noProof/>
                <w:sz w:val="16"/>
                <w:szCs w:val="16"/>
              </w:rPr>
            </w:pPr>
            <w:r>
              <w:rPr>
                <w:b/>
                <w:noProof/>
                <w:sz w:val="20"/>
              </w:rPr>
              <w:t>2019</w:t>
            </w:r>
          </w:p>
        </w:tc>
        <w:tc>
          <w:tcPr>
            <w:tcW w:w="884" w:type="pct"/>
            <w:vAlign w:val="center"/>
          </w:tcPr>
          <w:p w:rsidR="005E40F8" w:rsidRDefault="007C521D">
            <w:pPr>
              <w:spacing w:before="20" w:after="20"/>
              <w:jc w:val="center"/>
              <w:rPr>
                <w:noProof/>
                <w:sz w:val="16"/>
                <w:szCs w:val="16"/>
              </w:rPr>
            </w:pPr>
            <w:r>
              <w:rPr>
                <w:b/>
                <w:noProof/>
                <w:sz w:val="20"/>
              </w:rPr>
              <w:t>2020</w:t>
            </w:r>
          </w:p>
        </w:tc>
      </w:tr>
      <w:tr w:rsidR="005E40F8">
        <w:trPr>
          <w:trHeight w:val="289"/>
          <w:jc w:val="center"/>
        </w:trPr>
        <w:tc>
          <w:tcPr>
            <w:tcW w:w="5000" w:type="pct"/>
            <w:gridSpan w:val="6"/>
          </w:tcPr>
          <w:p w:rsidR="005E40F8" w:rsidRDefault="007C521D">
            <w:pPr>
              <w:spacing w:before="20" w:after="20"/>
              <w:jc w:val="left"/>
              <w:rPr>
                <w:noProof/>
                <w:sz w:val="16"/>
                <w:szCs w:val="16"/>
              </w:rPr>
            </w:pPr>
            <w:r>
              <w:rPr>
                <w:b/>
                <w:noProof/>
                <w:sz w:val="16"/>
                <w:szCs w:val="16"/>
              </w:rPr>
              <w:sym w:font="Wingdings" w:char="F09F"/>
            </w:r>
            <w:r>
              <w:rPr>
                <w:b/>
                <w:noProof/>
                <w:sz w:val="16"/>
              </w:rPr>
              <w:t xml:space="preserve"> Plán pracovných miest (úradníci a dočasní zamestnanci)</w:t>
            </w:r>
          </w:p>
        </w:tc>
      </w:tr>
      <w:tr w:rsidR="005E40F8">
        <w:trPr>
          <w:trHeight w:val="289"/>
          <w:jc w:val="center"/>
        </w:trPr>
        <w:tc>
          <w:tcPr>
            <w:tcW w:w="2008" w:type="pct"/>
            <w:gridSpan w:val="2"/>
            <w:vAlign w:val="center"/>
          </w:tcPr>
          <w:p w:rsidR="005E40F8" w:rsidRDefault="007C521D">
            <w:pPr>
              <w:pStyle w:val="Text1"/>
              <w:spacing w:beforeLines="20" w:before="48" w:afterLines="20" w:after="48"/>
              <w:ind w:left="134"/>
              <w:jc w:val="left"/>
              <w:rPr>
                <w:b/>
                <w:noProof/>
                <w:sz w:val="16"/>
                <w:szCs w:val="16"/>
              </w:rPr>
            </w:pPr>
            <w:r>
              <w:rPr>
                <w:noProof/>
                <w:sz w:val="16"/>
              </w:rPr>
              <w:t xml:space="preserve">09 01 01 01 (ústredie a zastúpenia </w:t>
            </w:r>
            <w:r>
              <w:rPr>
                <w:noProof/>
                <w:sz w:val="16"/>
              </w:rPr>
              <w:t>Komisie)</w:t>
            </w:r>
          </w:p>
        </w:tc>
        <w:tc>
          <w:tcPr>
            <w:tcW w:w="752" w:type="pct"/>
            <w:vAlign w:val="center"/>
          </w:tcPr>
          <w:p w:rsidR="005E40F8" w:rsidRDefault="007C521D">
            <w:pPr>
              <w:spacing w:beforeLines="20" w:before="48" w:afterLines="20" w:after="48"/>
              <w:jc w:val="center"/>
              <w:rPr>
                <w:noProof/>
                <w:sz w:val="16"/>
                <w:szCs w:val="16"/>
              </w:rPr>
            </w:pPr>
            <w:r>
              <w:rPr>
                <w:noProof/>
                <w:sz w:val="16"/>
              </w:rPr>
              <w:t xml:space="preserve">1,0 </w:t>
            </w:r>
          </w:p>
        </w:tc>
        <w:tc>
          <w:tcPr>
            <w:tcW w:w="678" w:type="pct"/>
            <w:vAlign w:val="center"/>
          </w:tcPr>
          <w:p w:rsidR="005E40F8" w:rsidRDefault="007C521D">
            <w:pPr>
              <w:spacing w:beforeLines="20" w:before="48" w:afterLines="20" w:after="48"/>
              <w:jc w:val="center"/>
              <w:rPr>
                <w:noProof/>
                <w:sz w:val="16"/>
                <w:szCs w:val="16"/>
              </w:rPr>
            </w:pPr>
            <w:r>
              <w:rPr>
                <w:noProof/>
                <w:sz w:val="16"/>
              </w:rPr>
              <w:t xml:space="preserve">1,0 </w:t>
            </w:r>
          </w:p>
        </w:tc>
        <w:tc>
          <w:tcPr>
            <w:tcW w:w="678" w:type="pct"/>
            <w:vAlign w:val="center"/>
          </w:tcPr>
          <w:p w:rsidR="005E40F8" w:rsidRDefault="007C521D">
            <w:pPr>
              <w:spacing w:beforeLines="20" w:before="48" w:afterLines="20" w:after="48"/>
              <w:jc w:val="center"/>
              <w:rPr>
                <w:noProof/>
                <w:sz w:val="16"/>
                <w:szCs w:val="16"/>
              </w:rPr>
            </w:pPr>
            <w:r>
              <w:rPr>
                <w:noProof/>
                <w:sz w:val="16"/>
              </w:rPr>
              <w:t xml:space="preserve">1,0 </w:t>
            </w:r>
          </w:p>
        </w:tc>
        <w:tc>
          <w:tcPr>
            <w:tcW w:w="884" w:type="pct"/>
            <w:vAlign w:val="center"/>
          </w:tcPr>
          <w:p w:rsidR="005E40F8" w:rsidRDefault="007C521D">
            <w:pPr>
              <w:spacing w:beforeLines="20" w:before="48" w:afterLines="20" w:after="48"/>
              <w:jc w:val="center"/>
              <w:rPr>
                <w:noProof/>
                <w:sz w:val="16"/>
                <w:szCs w:val="16"/>
              </w:rPr>
            </w:pPr>
            <w:r>
              <w:rPr>
                <w:noProof/>
                <w:sz w:val="16"/>
              </w:rPr>
              <w:t xml:space="preserve">1,0 </w:t>
            </w:r>
          </w:p>
        </w:tc>
      </w:tr>
      <w:tr w:rsidR="005E40F8">
        <w:trPr>
          <w:trHeight w:val="289"/>
          <w:jc w:val="center"/>
        </w:trPr>
        <w:tc>
          <w:tcPr>
            <w:tcW w:w="2008" w:type="pct"/>
            <w:gridSpan w:val="2"/>
            <w:vAlign w:val="center"/>
          </w:tcPr>
          <w:p w:rsidR="005E40F8" w:rsidRDefault="007C521D">
            <w:pPr>
              <w:pStyle w:val="Text1"/>
              <w:spacing w:beforeLines="20" w:before="48" w:afterLines="20" w:after="48"/>
              <w:ind w:left="134"/>
              <w:jc w:val="left"/>
              <w:rPr>
                <w:noProof/>
                <w:sz w:val="16"/>
                <w:szCs w:val="16"/>
              </w:rPr>
            </w:pPr>
            <w:r>
              <w:rPr>
                <w:noProof/>
                <w:sz w:val="16"/>
              </w:rPr>
              <w:t>XX 01 01 02 (delegácie)</w:t>
            </w:r>
          </w:p>
        </w:tc>
        <w:tc>
          <w:tcPr>
            <w:tcW w:w="752"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884" w:type="pct"/>
            <w:vAlign w:val="center"/>
          </w:tcPr>
          <w:p w:rsidR="005E40F8" w:rsidRDefault="005E40F8">
            <w:pPr>
              <w:spacing w:beforeLines="20" w:before="48" w:afterLines="20" w:after="48"/>
              <w:jc w:val="center"/>
              <w:rPr>
                <w:noProof/>
                <w:sz w:val="16"/>
                <w:szCs w:val="16"/>
              </w:rPr>
            </w:pPr>
          </w:p>
        </w:tc>
      </w:tr>
      <w:tr w:rsidR="005E40F8">
        <w:trPr>
          <w:trHeight w:val="289"/>
          <w:jc w:val="center"/>
        </w:trPr>
        <w:tc>
          <w:tcPr>
            <w:tcW w:w="2008" w:type="pct"/>
            <w:gridSpan w:val="2"/>
            <w:vAlign w:val="center"/>
          </w:tcPr>
          <w:p w:rsidR="005E40F8" w:rsidRDefault="007C521D">
            <w:pPr>
              <w:pStyle w:val="Text1"/>
              <w:spacing w:beforeLines="20" w:before="48" w:afterLines="20" w:after="48"/>
              <w:ind w:left="134"/>
              <w:jc w:val="left"/>
              <w:rPr>
                <w:noProof/>
                <w:sz w:val="16"/>
                <w:szCs w:val="16"/>
              </w:rPr>
            </w:pPr>
            <w:r>
              <w:rPr>
                <w:noProof/>
                <w:sz w:val="16"/>
              </w:rPr>
              <w:t>XX 01 05 01 (nepriamy výskum)</w:t>
            </w:r>
          </w:p>
        </w:tc>
        <w:tc>
          <w:tcPr>
            <w:tcW w:w="752"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884" w:type="pct"/>
            <w:vAlign w:val="center"/>
          </w:tcPr>
          <w:p w:rsidR="005E40F8" w:rsidRDefault="005E40F8">
            <w:pPr>
              <w:spacing w:beforeLines="20" w:before="48" w:afterLines="20" w:after="48"/>
              <w:jc w:val="center"/>
              <w:rPr>
                <w:noProof/>
                <w:sz w:val="16"/>
                <w:szCs w:val="16"/>
              </w:rPr>
            </w:pPr>
          </w:p>
        </w:tc>
      </w:tr>
      <w:tr w:rsidR="005E40F8">
        <w:trPr>
          <w:trHeight w:val="289"/>
          <w:jc w:val="center"/>
        </w:trPr>
        <w:tc>
          <w:tcPr>
            <w:tcW w:w="2008" w:type="pct"/>
            <w:gridSpan w:val="2"/>
            <w:vAlign w:val="center"/>
          </w:tcPr>
          <w:p w:rsidR="005E40F8" w:rsidRDefault="007C521D">
            <w:pPr>
              <w:pStyle w:val="Text1"/>
              <w:spacing w:beforeLines="20" w:before="48" w:afterLines="20" w:after="48"/>
              <w:ind w:left="134"/>
              <w:jc w:val="left"/>
              <w:rPr>
                <w:noProof/>
                <w:sz w:val="16"/>
                <w:szCs w:val="16"/>
              </w:rPr>
            </w:pPr>
            <w:r>
              <w:rPr>
                <w:noProof/>
                <w:sz w:val="16"/>
              </w:rPr>
              <w:t>10 01 05 01 (priamy výskum)</w:t>
            </w:r>
          </w:p>
        </w:tc>
        <w:tc>
          <w:tcPr>
            <w:tcW w:w="752"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884" w:type="pct"/>
            <w:vAlign w:val="center"/>
          </w:tcPr>
          <w:p w:rsidR="005E40F8" w:rsidRDefault="005E40F8">
            <w:pPr>
              <w:spacing w:beforeLines="20" w:before="48" w:afterLines="20" w:after="48"/>
              <w:jc w:val="center"/>
              <w:rPr>
                <w:noProof/>
                <w:sz w:val="16"/>
                <w:szCs w:val="16"/>
              </w:rPr>
            </w:pPr>
          </w:p>
        </w:tc>
      </w:tr>
      <w:tr w:rsidR="005E40F8">
        <w:trPr>
          <w:trHeight w:val="248"/>
          <w:jc w:val="center"/>
        </w:trPr>
        <w:tc>
          <w:tcPr>
            <w:tcW w:w="5000" w:type="pct"/>
            <w:gridSpan w:val="6"/>
            <w:vAlign w:val="center"/>
          </w:tcPr>
          <w:p w:rsidR="005E40F8" w:rsidRDefault="007C521D">
            <w:pPr>
              <w:pStyle w:val="Text1"/>
              <w:spacing w:before="60" w:after="60"/>
              <w:ind w:left="0"/>
              <w:jc w:val="left"/>
              <w:rPr>
                <w:noProof/>
                <w:sz w:val="16"/>
                <w:szCs w:val="16"/>
              </w:rPr>
            </w:pPr>
            <w:r>
              <w:rPr>
                <w:b/>
                <w:noProof/>
                <w:sz w:val="16"/>
                <w:szCs w:val="16"/>
              </w:rPr>
              <w:sym w:font="Wingdings" w:char="F09F"/>
            </w:r>
            <w:r>
              <w:rPr>
                <w:b/>
                <w:noProof/>
                <w:sz w:val="16"/>
              </w:rPr>
              <w:t xml:space="preserve"> Externí zamestnanci (ekvivalent plného pracovného času)</w:t>
            </w:r>
            <w:r>
              <w:rPr>
                <w:rStyle w:val="FootnoteReference"/>
                <w:b/>
                <w:noProof/>
                <w:sz w:val="16"/>
              </w:rPr>
              <w:footnoteReference w:id="25"/>
            </w:r>
          </w:p>
        </w:tc>
      </w:tr>
      <w:tr w:rsidR="005E40F8">
        <w:trPr>
          <w:trHeight w:val="289"/>
          <w:jc w:val="center"/>
        </w:trPr>
        <w:tc>
          <w:tcPr>
            <w:tcW w:w="2008" w:type="pct"/>
            <w:gridSpan w:val="2"/>
            <w:vAlign w:val="center"/>
          </w:tcPr>
          <w:p w:rsidR="005E40F8" w:rsidRDefault="007C521D">
            <w:pPr>
              <w:pStyle w:val="Text1"/>
              <w:spacing w:beforeLines="20" w:before="48" w:afterLines="20" w:after="48"/>
              <w:ind w:left="136"/>
              <w:jc w:val="left"/>
              <w:rPr>
                <w:b/>
                <w:noProof/>
                <w:sz w:val="16"/>
                <w:szCs w:val="16"/>
              </w:rPr>
            </w:pPr>
            <w:r>
              <w:rPr>
                <w:noProof/>
                <w:sz w:val="16"/>
              </w:rPr>
              <w:t>09 01 02 01 (ZZ, VBE, DAZ z celkového finančného krytia)</w:t>
            </w:r>
          </w:p>
        </w:tc>
        <w:tc>
          <w:tcPr>
            <w:tcW w:w="752" w:type="pct"/>
            <w:vAlign w:val="center"/>
          </w:tcPr>
          <w:p w:rsidR="005E40F8" w:rsidRDefault="007C521D">
            <w:pPr>
              <w:spacing w:beforeLines="20" w:before="48" w:afterLines="20" w:after="48"/>
              <w:jc w:val="center"/>
              <w:rPr>
                <w:noProof/>
                <w:sz w:val="16"/>
                <w:szCs w:val="16"/>
              </w:rPr>
            </w:pPr>
            <w:r>
              <w:rPr>
                <w:noProof/>
                <w:sz w:val="16"/>
              </w:rPr>
              <w:t>1,0</w:t>
            </w:r>
          </w:p>
        </w:tc>
        <w:tc>
          <w:tcPr>
            <w:tcW w:w="678" w:type="pct"/>
            <w:vAlign w:val="center"/>
          </w:tcPr>
          <w:p w:rsidR="005E40F8" w:rsidRDefault="007C521D">
            <w:pPr>
              <w:spacing w:beforeLines="20" w:before="48" w:afterLines="20" w:after="48"/>
              <w:jc w:val="center"/>
              <w:rPr>
                <w:noProof/>
                <w:sz w:val="16"/>
                <w:szCs w:val="16"/>
              </w:rPr>
            </w:pPr>
            <w:r>
              <w:rPr>
                <w:noProof/>
                <w:sz w:val="16"/>
              </w:rPr>
              <w:t>1,0</w:t>
            </w:r>
          </w:p>
        </w:tc>
        <w:tc>
          <w:tcPr>
            <w:tcW w:w="678" w:type="pct"/>
            <w:vAlign w:val="center"/>
          </w:tcPr>
          <w:p w:rsidR="005E40F8" w:rsidRDefault="007C521D">
            <w:pPr>
              <w:spacing w:beforeLines="20" w:before="48" w:afterLines="20" w:after="48"/>
              <w:jc w:val="center"/>
              <w:rPr>
                <w:noProof/>
                <w:sz w:val="16"/>
                <w:szCs w:val="16"/>
              </w:rPr>
            </w:pPr>
            <w:r>
              <w:rPr>
                <w:noProof/>
                <w:sz w:val="16"/>
              </w:rPr>
              <w:t>1,0</w:t>
            </w:r>
          </w:p>
        </w:tc>
        <w:tc>
          <w:tcPr>
            <w:tcW w:w="884" w:type="pct"/>
            <w:vAlign w:val="center"/>
          </w:tcPr>
          <w:p w:rsidR="005E40F8" w:rsidRDefault="007C521D">
            <w:pPr>
              <w:spacing w:beforeLines="20" w:before="48" w:afterLines="20" w:after="48"/>
              <w:jc w:val="center"/>
              <w:rPr>
                <w:noProof/>
                <w:sz w:val="16"/>
                <w:szCs w:val="16"/>
              </w:rPr>
            </w:pPr>
            <w:r>
              <w:rPr>
                <w:noProof/>
                <w:sz w:val="16"/>
              </w:rPr>
              <w:t>1,0</w:t>
            </w:r>
          </w:p>
        </w:tc>
      </w:tr>
      <w:tr w:rsidR="005E40F8">
        <w:trPr>
          <w:trHeight w:val="289"/>
          <w:jc w:val="center"/>
        </w:trPr>
        <w:tc>
          <w:tcPr>
            <w:tcW w:w="2008" w:type="pct"/>
            <w:gridSpan w:val="2"/>
            <w:vAlign w:val="center"/>
          </w:tcPr>
          <w:p w:rsidR="005E40F8" w:rsidRDefault="007C521D">
            <w:pPr>
              <w:pStyle w:val="Text1"/>
              <w:spacing w:beforeLines="20" w:before="48" w:afterLines="20" w:after="48"/>
              <w:ind w:left="136"/>
              <w:jc w:val="left"/>
              <w:rPr>
                <w:noProof/>
                <w:sz w:val="16"/>
                <w:szCs w:val="16"/>
              </w:rPr>
            </w:pPr>
            <w:r>
              <w:rPr>
                <w:noProof/>
                <w:sz w:val="16"/>
              </w:rPr>
              <w:t>XX 01 02 02 (ZZ, MZ, VNE, DAZ, PED v delegáciách)</w:t>
            </w:r>
          </w:p>
        </w:tc>
        <w:tc>
          <w:tcPr>
            <w:tcW w:w="752"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884" w:type="pct"/>
            <w:vAlign w:val="center"/>
          </w:tcPr>
          <w:p w:rsidR="005E40F8" w:rsidRDefault="005E40F8">
            <w:pPr>
              <w:spacing w:beforeLines="20" w:before="48" w:afterLines="20" w:after="48"/>
              <w:jc w:val="center"/>
              <w:rPr>
                <w:noProof/>
                <w:sz w:val="16"/>
                <w:szCs w:val="16"/>
              </w:rPr>
            </w:pPr>
          </w:p>
        </w:tc>
      </w:tr>
      <w:tr w:rsidR="005E40F8">
        <w:trPr>
          <w:trHeight w:val="289"/>
          <w:jc w:val="center"/>
        </w:trPr>
        <w:tc>
          <w:tcPr>
            <w:tcW w:w="1003" w:type="pct"/>
            <w:vMerge w:val="restart"/>
            <w:vAlign w:val="center"/>
          </w:tcPr>
          <w:p w:rsidR="005E40F8" w:rsidRDefault="007C521D">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6"/>
            </w:r>
          </w:p>
          <w:p w:rsidR="005E40F8" w:rsidRDefault="005E40F8">
            <w:pPr>
              <w:pStyle w:val="Text1"/>
              <w:spacing w:beforeLines="20" w:before="48" w:afterLines="20" w:after="48"/>
              <w:ind w:left="136"/>
              <w:jc w:val="left"/>
              <w:rPr>
                <w:b/>
                <w:noProof/>
                <w:sz w:val="16"/>
                <w:szCs w:val="16"/>
              </w:rPr>
            </w:pPr>
          </w:p>
        </w:tc>
        <w:tc>
          <w:tcPr>
            <w:tcW w:w="1005" w:type="pct"/>
            <w:vAlign w:val="center"/>
          </w:tcPr>
          <w:p w:rsidR="005E40F8" w:rsidRDefault="007C521D">
            <w:pPr>
              <w:pStyle w:val="Text1"/>
              <w:spacing w:beforeLines="20" w:before="48" w:afterLines="20" w:after="48"/>
              <w:ind w:left="136"/>
              <w:jc w:val="left"/>
              <w:rPr>
                <w:b/>
                <w:noProof/>
                <w:sz w:val="16"/>
                <w:szCs w:val="16"/>
              </w:rPr>
            </w:pPr>
            <w:r>
              <w:rPr>
                <w:noProof/>
                <w:sz w:val="16"/>
              </w:rPr>
              <w:t>‒</w:t>
            </w:r>
            <w:r>
              <w:rPr>
                <w:noProof/>
                <w:sz w:val="16"/>
              </w:rPr>
              <w:t xml:space="preserve"> ústredie</w:t>
            </w:r>
          </w:p>
          <w:p w:rsidR="005E40F8" w:rsidRDefault="005E40F8">
            <w:pPr>
              <w:pStyle w:val="Text1"/>
              <w:spacing w:beforeLines="20" w:before="48" w:afterLines="20" w:after="48"/>
              <w:ind w:left="136"/>
              <w:jc w:val="left"/>
              <w:rPr>
                <w:b/>
                <w:noProof/>
                <w:sz w:val="16"/>
                <w:szCs w:val="16"/>
              </w:rPr>
            </w:pPr>
          </w:p>
        </w:tc>
        <w:tc>
          <w:tcPr>
            <w:tcW w:w="752" w:type="pct"/>
            <w:vAlign w:val="center"/>
          </w:tcPr>
          <w:p w:rsidR="005E40F8" w:rsidRDefault="005E40F8">
            <w:pPr>
              <w:pStyle w:val="Text1"/>
              <w:spacing w:beforeLines="20" w:before="48" w:afterLines="20" w:after="48"/>
              <w:ind w:left="0"/>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884" w:type="pct"/>
            <w:vAlign w:val="center"/>
          </w:tcPr>
          <w:p w:rsidR="005E40F8" w:rsidRDefault="005E40F8">
            <w:pPr>
              <w:spacing w:beforeLines="20" w:before="48" w:afterLines="20" w:after="48"/>
              <w:jc w:val="center"/>
              <w:rPr>
                <w:noProof/>
                <w:sz w:val="16"/>
                <w:szCs w:val="16"/>
              </w:rPr>
            </w:pPr>
          </w:p>
        </w:tc>
      </w:tr>
      <w:tr w:rsidR="005E40F8">
        <w:trPr>
          <w:trHeight w:val="289"/>
          <w:jc w:val="center"/>
        </w:trPr>
        <w:tc>
          <w:tcPr>
            <w:tcW w:w="1003" w:type="pct"/>
            <w:vMerge/>
            <w:vAlign w:val="center"/>
          </w:tcPr>
          <w:p w:rsidR="005E40F8" w:rsidRDefault="005E40F8">
            <w:pPr>
              <w:pStyle w:val="Text1"/>
              <w:spacing w:beforeLines="20" w:before="48" w:afterLines="20" w:after="48"/>
              <w:ind w:left="136"/>
              <w:jc w:val="left"/>
              <w:rPr>
                <w:b/>
                <w:noProof/>
                <w:sz w:val="16"/>
                <w:szCs w:val="16"/>
              </w:rPr>
            </w:pPr>
          </w:p>
        </w:tc>
        <w:tc>
          <w:tcPr>
            <w:tcW w:w="1005" w:type="pct"/>
            <w:vAlign w:val="center"/>
          </w:tcPr>
          <w:p w:rsidR="005E40F8" w:rsidRDefault="007C521D">
            <w:pPr>
              <w:pStyle w:val="Text1"/>
              <w:spacing w:beforeLines="20" w:before="48" w:afterLines="20" w:after="48"/>
              <w:ind w:left="136"/>
              <w:jc w:val="left"/>
              <w:rPr>
                <w:b/>
                <w:noProof/>
                <w:sz w:val="16"/>
                <w:szCs w:val="16"/>
              </w:rPr>
            </w:pPr>
            <w:r>
              <w:rPr>
                <w:noProof/>
                <w:sz w:val="16"/>
              </w:rPr>
              <w:t xml:space="preserve">– delegácie </w:t>
            </w:r>
          </w:p>
        </w:tc>
        <w:tc>
          <w:tcPr>
            <w:tcW w:w="752" w:type="pct"/>
            <w:vAlign w:val="center"/>
          </w:tcPr>
          <w:p w:rsidR="005E40F8" w:rsidRDefault="005E40F8">
            <w:pPr>
              <w:pStyle w:val="Text1"/>
              <w:spacing w:beforeLines="20" w:before="48" w:afterLines="20" w:after="48"/>
              <w:ind w:left="0"/>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884" w:type="pct"/>
            <w:vAlign w:val="center"/>
          </w:tcPr>
          <w:p w:rsidR="005E40F8" w:rsidRDefault="005E40F8">
            <w:pPr>
              <w:spacing w:beforeLines="20" w:before="48" w:afterLines="20" w:after="48"/>
              <w:jc w:val="center"/>
              <w:rPr>
                <w:noProof/>
                <w:sz w:val="16"/>
                <w:szCs w:val="16"/>
              </w:rPr>
            </w:pPr>
          </w:p>
        </w:tc>
      </w:tr>
      <w:tr w:rsidR="005E40F8">
        <w:trPr>
          <w:trHeight w:val="289"/>
          <w:jc w:val="center"/>
        </w:trPr>
        <w:tc>
          <w:tcPr>
            <w:tcW w:w="2008" w:type="pct"/>
            <w:gridSpan w:val="2"/>
            <w:vAlign w:val="center"/>
          </w:tcPr>
          <w:p w:rsidR="005E40F8" w:rsidRDefault="007C521D">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(ZZ, VNE, DAZ – nepriamy výskum)</w:t>
            </w:r>
          </w:p>
        </w:tc>
        <w:tc>
          <w:tcPr>
            <w:tcW w:w="752"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884" w:type="pct"/>
            <w:vAlign w:val="center"/>
          </w:tcPr>
          <w:p w:rsidR="005E40F8" w:rsidRDefault="005E40F8">
            <w:pPr>
              <w:spacing w:beforeLines="20" w:before="48" w:afterLines="20" w:after="48"/>
              <w:jc w:val="center"/>
              <w:rPr>
                <w:noProof/>
                <w:sz w:val="16"/>
                <w:szCs w:val="16"/>
              </w:rPr>
            </w:pPr>
          </w:p>
        </w:tc>
      </w:tr>
      <w:tr w:rsidR="005E40F8">
        <w:trPr>
          <w:trHeight w:val="289"/>
          <w:jc w:val="center"/>
        </w:trPr>
        <w:tc>
          <w:tcPr>
            <w:tcW w:w="2008" w:type="pct"/>
            <w:gridSpan w:val="2"/>
            <w:vAlign w:val="center"/>
          </w:tcPr>
          <w:p w:rsidR="005E40F8" w:rsidRDefault="007C521D">
            <w:pPr>
              <w:pStyle w:val="Text1"/>
              <w:spacing w:beforeLines="20" w:before="48" w:afterLines="20" w:after="48"/>
              <w:ind w:left="136"/>
              <w:jc w:val="left"/>
              <w:rPr>
                <w:noProof/>
                <w:sz w:val="16"/>
                <w:szCs w:val="16"/>
              </w:rPr>
            </w:pPr>
            <w:r>
              <w:rPr>
                <w:noProof/>
                <w:sz w:val="16"/>
              </w:rPr>
              <w:t>10 01 05 02 (ZZ, VNE, DAZ – priamy výskum)</w:t>
            </w:r>
          </w:p>
        </w:tc>
        <w:tc>
          <w:tcPr>
            <w:tcW w:w="752"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678" w:type="pct"/>
            <w:vAlign w:val="center"/>
          </w:tcPr>
          <w:p w:rsidR="005E40F8" w:rsidRDefault="005E40F8">
            <w:pPr>
              <w:spacing w:beforeLines="20" w:before="48" w:afterLines="20" w:after="48"/>
              <w:jc w:val="center"/>
              <w:rPr>
                <w:noProof/>
                <w:sz w:val="16"/>
                <w:szCs w:val="16"/>
              </w:rPr>
            </w:pPr>
          </w:p>
        </w:tc>
        <w:tc>
          <w:tcPr>
            <w:tcW w:w="884" w:type="pct"/>
            <w:vAlign w:val="center"/>
          </w:tcPr>
          <w:p w:rsidR="005E40F8" w:rsidRDefault="005E40F8">
            <w:pPr>
              <w:spacing w:beforeLines="20" w:before="48" w:afterLines="20" w:after="48"/>
              <w:jc w:val="center"/>
              <w:rPr>
                <w:noProof/>
                <w:sz w:val="16"/>
                <w:szCs w:val="16"/>
              </w:rPr>
            </w:pPr>
          </w:p>
        </w:tc>
      </w:tr>
      <w:tr w:rsidR="005E40F8">
        <w:trPr>
          <w:trHeight w:val="289"/>
          <w:jc w:val="center"/>
        </w:trPr>
        <w:tc>
          <w:tcPr>
            <w:tcW w:w="2008" w:type="pct"/>
            <w:gridSpan w:val="2"/>
            <w:tcBorders>
              <w:bottom w:val="double" w:sz="4" w:space="0" w:color="auto"/>
            </w:tcBorders>
            <w:vAlign w:val="center"/>
          </w:tcPr>
          <w:p w:rsidR="005E40F8" w:rsidRDefault="007C521D">
            <w:pPr>
              <w:pStyle w:val="Text1"/>
              <w:spacing w:beforeLines="20" w:before="48" w:afterLines="20" w:after="48"/>
              <w:ind w:left="134"/>
              <w:jc w:val="left"/>
              <w:rPr>
                <w:noProof/>
                <w:sz w:val="16"/>
                <w:szCs w:val="16"/>
              </w:rPr>
            </w:pPr>
            <w:r>
              <w:rPr>
                <w:noProof/>
                <w:sz w:val="16"/>
              </w:rPr>
              <w:t>Iné rozpočtové riadky (uveďte)</w:t>
            </w:r>
          </w:p>
        </w:tc>
        <w:tc>
          <w:tcPr>
            <w:tcW w:w="752" w:type="pct"/>
            <w:tcBorders>
              <w:bottom w:val="double" w:sz="4" w:space="0" w:color="auto"/>
            </w:tcBorders>
            <w:vAlign w:val="center"/>
          </w:tcPr>
          <w:p w:rsidR="005E40F8" w:rsidRDefault="005E40F8">
            <w:pPr>
              <w:spacing w:beforeLines="20" w:before="48" w:afterLines="20" w:after="48"/>
              <w:jc w:val="center"/>
              <w:rPr>
                <w:noProof/>
                <w:sz w:val="16"/>
                <w:szCs w:val="16"/>
              </w:rPr>
            </w:pPr>
          </w:p>
        </w:tc>
        <w:tc>
          <w:tcPr>
            <w:tcW w:w="678" w:type="pct"/>
            <w:tcBorders>
              <w:bottom w:val="double" w:sz="4" w:space="0" w:color="auto"/>
            </w:tcBorders>
            <w:vAlign w:val="center"/>
          </w:tcPr>
          <w:p w:rsidR="005E40F8" w:rsidRDefault="005E40F8">
            <w:pPr>
              <w:spacing w:beforeLines="20" w:before="48" w:afterLines="20" w:after="48"/>
              <w:jc w:val="center"/>
              <w:rPr>
                <w:noProof/>
                <w:sz w:val="16"/>
                <w:szCs w:val="16"/>
              </w:rPr>
            </w:pPr>
          </w:p>
        </w:tc>
        <w:tc>
          <w:tcPr>
            <w:tcW w:w="678" w:type="pct"/>
            <w:tcBorders>
              <w:bottom w:val="double" w:sz="4" w:space="0" w:color="auto"/>
            </w:tcBorders>
            <w:vAlign w:val="center"/>
          </w:tcPr>
          <w:p w:rsidR="005E40F8" w:rsidRDefault="005E40F8">
            <w:pPr>
              <w:spacing w:beforeLines="20" w:before="48" w:afterLines="20" w:after="48"/>
              <w:jc w:val="center"/>
              <w:rPr>
                <w:noProof/>
                <w:sz w:val="16"/>
                <w:szCs w:val="16"/>
              </w:rPr>
            </w:pPr>
          </w:p>
        </w:tc>
        <w:tc>
          <w:tcPr>
            <w:tcW w:w="884" w:type="pct"/>
            <w:tcBorders>
              <w:bottom w:val="double" w:sz="4" w:space="0" w:color="auto"/>
            </w:tcBorders>
            <w:vAlign w:val="center"/>
          </w:tcPr>
          <w:p w:rsidR="005E40F8" w:rsidRDefault="005E40F8">
            <w:pPr>
              <w:spacing w:beforeLines="20" w:before="48" w:afterLines="20" w:after="48"/>
              <w:jc w:val="center"/>
              <w:rPr>
                <w:noProof/>
                <w:sz w:val="16"/>
                <w:szCs w:val="16"/>
              </w:rPr>
            </w:pPr>
          </w:p>
        </w:tc>
      </w:tr>
      <w:tr w:rsidR="005E40F8">
        <w:trPr>
          <w:trHeight w:val="289"/>
          <w:jc w:val="center"/>
        </w:trPr>
        <w:tc>
          <w:tcPr>
            <w:tcW w:w="2008" w:type="pct"/>
            <w:gridSpan w:val="2"/>
            <w:tcBorders>
              <w:top w:val="double" w:sz="4" w:space="0" w:color="auto"/>
            </w:tcBorders>
            <w:vAlign w:val="center"/>
          </w:tcPr>
          <w:p w:rsidR="005E40F8" w:rsidRDefault="007C521D">
            <w:pPr>
              <w:pStyle w:val="Text1"/>
              <w:spacing w:beforeLines="20" w:before="48" w:afterLines="20" w:after="48"/>
              <w:ind w:left="136"/>
              <w:jc w:val="left"/>
              <w:rPr>
                <w:noProof/>
                <w:sz w:val="16"/>
                <w:szCs w:val="16"/>
              </w:rPr>
            </w:pPr>
            <w:r>
              <w:rPr>
                <w:b/>
                <w:noProof/>
                <w:sz w:val="16"/>
              </w:rPr>
              <w:t>SPOLU</w:t>
            </w:r>
          </w:p>
        </w:tc>
        <w:tc>
          <w:tcPr>
            <w:tcW w:w="752" w:type="pct"/>
            <w:tcBorders>
              <w:top w:val="double" w:sz="4" w:space="0" w:color="auto"/>
            </w:tcBorders>
            <w:vAlign w:val="center"/>
          </w:tcPr>
          <w:p w:rsidR="005E40F8" w:rsidRDefault="007C521D">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5E40F8" w:rsidRDefault="007C521D">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5E40F8" w:rsidRDefault="007C521D">
            <w:pPr>
              <w:spacing w:beforeLines="20" w:before="48" w:afterLines="20" w:after="48"/>
              <w:jc w:val="center"/>
              <w:rPr>
                <w:b/>
                <w:noProof/>
                <w:sz w:val="16"/>
                <w:szCs w:val="16"/>
              </w:rPr>
            </w:pPr>
            <w:r>
              <w:rPr>
                <w:b/>
                <w:noProof/>
                <w:sz w:val="16"/>
              </w:rPr>
              <w:t>2,0</w:t>
            </w:r>
          </w:p>
        </w:tc>
        <w:tc>
          <w:tcPr>
            <w:tcW w:w="884" w:type="pct"/>
            <w:tcBorders>
              <w:top w:val="double" w:sz="4" w:space="0" w:color="auto"/>
            </w:tcBorders>
            <w:vAlign w:val="center"/>
          </w:tcPr>
          <w:p w:rsidR="005E40F8" w:rsidRDefault="007C521D">
            <w:pPr>
              <w:spacing w:beforeLines="20" w:before="48" w:afterLines="20" w:after="48"/>
              <w:jc w:val="center"/>
              <w:rPr>
                <w:b/>
                <w:noProof/>
                <w:sz w:val="16"/>
                <w:szCs w:val="16"/>
              </w:rPr>
            </w:pPr>
            <w:r>
              <w:rPr>
                <w:b/>
                <w:noProof/>
                <w:sz w:val="16"/>
              </w:rPr>
              <w:t>2,0</w:t>
            </w:r>
          </w:p>
        </w:tc>
      </w:tr>
    </w:tbl>
    <w:p w:rsidR="005E40F8" w:rsidRDefault="007C521D">
      <w:pPr>
        <w:pStyle w:val="Text1"/>
        <w:spacing w:before="60" w:after="60"/>
        <w:ind w:left="851"/>
        <w:rPr>
          <w:noProof/>
          <w:sz w:val="18"/>
          <w:szCs w:val="18"/>
        </w:rPr>
      </w:pPr>
      <w:r>
        <w:rPr>
          <w:b/>
          <w:noProof/>
          <w:sz w:val="18"/>
          <w:szCs w:val="18"/>
        </w:rPr>
        <w:t>09</w:t>
      </w:r>
      <w:r>
        <w:rPr>
          <w:noProof/>
          <w:sz w:val="18"/>
          <w:szCs w:val="18"/>
        </w:rPr>
        <w:t xml:space="preserve"> predstavuje príslušnú oblasť politiky alebo rozpočtovú hlavu.</w:t>
      </w:r>
    </w:p>
    <w:p w:rsidR="005E40F8" w:rsidRDefault="007C521D">
      <w:pPr>
        <w:pStyle w:val="Text1"/>
        <w:rPr>
          <w:noProof/>
          <w:sz w:val="18"/>
          <w:szCs w:val="18"/>
        </w:rPr>
      </w:pPr>
      <w:r>
        <w:rPr>
          <w:noProof/>
          <w:sz w:val="18"/>
        </w:rPr>
        <w:t xml:space="preserve">Potreby ľudských zdrojov budú pokryté úradníkmi GR, ktorí už boli pridelení na riadenie akcie a/alebo boli interne prerozdelení v rámci GR, a v prípade potreby budú doplnené </w:t>
      </w:r>
      <w:r>
        <w:rPr>
          <w:noProof/>
          <w:sz w:val="18"/>
        </w:rPr>
        <w:t>zdrojmi, ktoré sa môžu prideliť riadiacemu GR v rámci ročného postupu prideľovania zdrojov v závislosti od rozpočtových obmedzení.</w:t>
      </w:r>
    </w:p>
    <w:p w:rsidR="005E40F8" w:rsidRDefault="007C521D">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5E40F8">
        <w:tc>
          <w:tcPr>
            <w:tcW w:w="3240" w:type="dxa"/>
          </w:tcPr>
          <w:p w:rsidR="005E40F8" w:rsidRDefault="007C521D">
            <w:pPr>
              <w:rPr>
                <w:noProof/>
                <w:sz w:val="20"/>
              </w:rPr>
            </w:pPr>
            <w:r>
              <w:rPr>
                <w:noProof/>
                <w:sz w:val="20"/>
              </w:rPr>
              <w:t>Úradníci a dočasní zamestnanci</w:t>
            </w:r>
          </w:p>
        </w:tc>
        <w:tc>
          <w:tcPr>
            <w:tcW w:w="7200" w:type="dxa"/>
          </w:tcPr>
          <w:p w:rsidR="005E40F8" w:rsidRDefault="007C521D">
            <w:pPr>
              <w:rPr>
                <w:noProof/>
                <w:sz w:val="20"/>
                <w:highlight w:val="yellow"/>
              </w:rPr>
            </w:pPr>
            <w:r>
              <w:rPr>
                <w:noProof/>
                <w:sz w:val="20"/>
                <w:highlight w:val="yellow"/>
              </w:rPr>
              <w:t xml:space="preserve"> </w:t>
            </w:r>
          </w:p>
        </w:tc>
      </w:tr>
      <w:tr w:rsidR="005E40F8">
        <w:tc>
          <w:tcPr>
            <w:tcW w:w="3240" w:type="dxa"/>
          </w:tcPr>
          <w:p w:rsidR="005E40F8" w:rsidRDefault="007C521D">
            <w:pPr>
              <w:spacing w:before="60" w:after="60"/>
              <w:rPr>
                <w:noProof/>
                <w:sz w:val="20"/>
              </w:rPr>
            </w:pPr>
            <w:r>
              <w:rPr>
                <w:noProof/>
                <w:sz w:val="20"/>
              </w:rPr>
              <w:t>Externí zamestnanci</w:t>
            </w:r>
          </w:p>
        </w:tc>
        <w:tc>
          <w:tcPr>
            <w:tcW w:w="7200" w:type="dxa"/>
          </w:tcPr>
          <w:p w:rsidR="005E40F8" w:rsidRDefault="005E40F8">
            <w:pPr>
              <w:rPr>
                <w:noProof/>
                <w:sz w:val="20"/>
                <w:highlight w:val="yellow"/>
              </w:rPr>
            </w:pPr>
          </w:p>
        </w:tc>
      </w:tr>
    </w:tbl>
    <w:p w:rsidR="005E40F8" w:rsidRDefault="007C521D">
      <w:pPr>
        <w:pStyle w:val="ManualHeading3"/>
        <w:rPr>
          <w:noProof/>
        </w:rPr>
      </w:pPr>
      <w:r>
        <w:t>3.2.4.</w:t>
      </w:r>
      <w:r>
        <w:tab/>
      </w:r>
      <w:r>
        <w:rPr>
          <w:noProof/>
        </w:rPr>
        <w:t xml:space="preserve">Súlad s platným viacročným </w:t>
      </w:r>
      <w:r>
        <w:rPr>
          <w:noProof/>
        </w:rPr>
        <w:t>finančným rámcom</w:t>
      </w:r>
    </w:p>
    <w:p w:rsidR="005E40F8" w:rsidRDefault="007C521D">
      <w:pPr>
        <w:pStyle w:val="ListDash1"/>
        <w:rPr>
          <w:noProof/>
        </w:rPr>
      </w:pPr>
      <w:r>
        <w:rPr>
          <w:noProof/>
        </w:rPr>
        <w:t>X</w:t>
      </w:r>
      <w:r>
        <w:rPr>
          <w:noProof/>
        </w:rPr>
        <w:tab/>
        <w:t>Návrh/iniciatíva je v súlade s platným viacročným finančným rámcom.</w:t>
      </w:r>
    </w:p>
    <w:p w:rsidR="005E40F8" w:rsidRDefault="007C521D">
      <w:pPr>
        <w:pStyle w:val="ListDash1"/>
        <w:rPr>
          <w:noProof/>
        </w:rPr>
      </w:pPr>
      <w:r>
        <w:rPr>
          <w:noProof/>
          <w:szCs w:val="24"/>
        </w:rPr>
        <w:sym w:font="Wingdings" w:char="F0A8"/>
      </w:r>
      <w:r>
        <w:rPr>
          <w:noProof/>
        </w:rPr>
        <w:tab/>
        <w:t>Návrh/iniciatíva si vyžaduje zmenu v plánovaní príslušného okruhu vo viacročnom finančnom rámci.</w:t>
      </w:r>
    </w:p>
    <w:p w:rsidR="005E40F8" w:rsidRDefault="007C521D">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Vysvetlite požadovanú zmenu v plánovaní a uveďte príslušné rozpočtové </w:t>
      </w:r>
      <w:r>
        <w:rPr>
          <w:noProof/>
          <w:sz w:val="20"/>
        </w:rPr>
        <w:t>riadky a zodpovedajúce sumy.</w:t>
      </w:r>
    </w:p>
    <w:p w:rsidR="005E40F8" w:rsidRDefault="007C521D">
      <w:pPr>
        <w:pStyle w:val="ListDash1"/>
        <w:rPr>
          <w:noProof/>
        </w:rPr>
      </w:pPr>
      <w:r>
        <w:rPr>
          <w:noProof/>
          <w:szCs w:val="24"/>
        </w:rPr>
        <w:sym w:font="Wingdings" w:char="F0A8"/>
      </w:r>
      <w:r>
        <w:rPr>
          <w:noProof/>
        </w:rPr>
        <w:tab/>
        <w:t>Návrh/iniciatíva si vyžaduje, aby sa použil nástroj flexibility alebo aby sa uskutočnila revízia viacročného finančného rámca.</w:t>
      </w:r>
    </w:p>
    <w:p w:rsidR="005E40F8" w:rsidRDefault="007C521D">
      <w:pPr>
        <w:pStyle w:val="Text1"/>
        <w:pBdr>
          <w:top w:val="single" w:sz="4" w:space="1" w:color="auto"/>
          <w:left w:val="single" w:sz="4" w:space="4" w:color="auto"/>
          <w:bottom w:val="single" w:sz="4" w:space="1" w:color="auto"/>
          <w:right w:val="single" w:sz="4" w:space="4" w:color="auto"/>
        </w:pBdr>
        <w:rPr>
          <w:noProof/>
        </w:rPr>
      </w:pPr>
      <w:r>
        <w:rPr>
          <w:noProof/>
          <w:sz w:val="20"/>
        </w:rPr>
        <w:t>Vysvetlite potrebu a uveďte príslušné okruhy, rozpočtové riadky a zodpovedajúce sumy.</w:t>
      </w:r>
    </w:p>
    <w:p w:rsidR="005E40F8" w:rsidRDefault="007C521D">
      <w:pPr>
        <w:pStyle w:val="ManualHeading3"/>
        <w:rPr>
          <w:noProof/>
        </w:rPr>
      </w:pPr>
      <w:r>
        <w:t>3.2.5.</w:t>
      </w:r>
      <w:r>
        <w:tab/>
      </w:r>
      <w:r>
        <w:rPr>
          <w:noProof/>
        </w:rPr>
        <w:t>Prísp</w:t>
      </w:r>
      <w:r>
        <w:rPr>
          <w:noProof/>
        </w:rPr>
        <w:t>evky od tretích strán</w:t>
      </w:r>
    </w:p>
    <w:p w:rsidR="005E40F8" w:rsidRDefault="007C521D">
      <w:pPr>
        <w:pStyle w:val="ListDash1"/>
        <w:rPr>
          <w:noProof/>
        </w:rPr>
      </w:pPr>
      <w:r>
        <w:rPr>
          <w:noProof/>
        </w:rPr>
        <w:t>Návrh/iniciatíva nezahŕňa spolufinancovanie tretími stranami.</w:t>
      </w:r>
    </w:p>
    <w:p w:rsidR="005E40F8" w:rsidRDefault="007C521D">
      <w:pPr>
        <w:pStyle w:val="ManualHeading2"/>
        <w:rPr>
          <w:noProof/>
        </w:rPr>
      </w:pPr>
      <w:r>
        <w:t>3.3.</w:t>
      </w:r>
      <w:r>
        <w:tab/>
      </w:r>
      <w:r>
        <w:rPr>
          <w:noProof/>
        </w:rPr>
        <w:t>Odhadovaný vplyv na príjmy</w:t>
      </w:r>
    </w:p>
    <w:p w:rsidR="005E40F8" w:rsidRDefault="007C521D">
      <w:pPr>
        <w:pStyle w:val="ListDash1"/>
        <w:rPr>
          <w:strike/>
          <w:noProof/>
        </w:rPr>
      </w:pPr>
      <w:r>
        <w:rPr>
          <w:noProof/>
        </w:rPr>
        <w:t>x</w:t>
      </w:r>
      <w:r>
        <w:rPr>
          <w:noProof/>
        </w:rPr>
        <w:tab/>
        <w:t>Návrh/iniciatíva nemá finančný vplyv na príjmy.</w:t>
      </w:r>
    </w:p>
    <w:p w:rsidR="005E40F8" w:rsidRDefault="005E40F8">
      <w:pPr>
        <w:spacing w:before="0" w:after="200" w:line="276" w:lineRule="auto"/>
        <w:jc w:val="left"/>
        <w:rPr>
          <w:i/>
          <w:noProof/>
        </w:rPr>
        <w:sectPr w:rsidR="005E40F8" w:rsidSect="007C521D">
          <w:pgSz w:w="11907" w:h="16839"/>
          <w:pgMar w:top="1134" w:right="1417" w:bottom="1134" w:left="1417" w:header="709" w:footer="709" w:gutter="0"/>
          <w:cols w:space="708"/>
          <w:docGrid w:linePitch="360"/>
        </w:sectPr>
      </w:pPr>
    </w:p>
    <w:p w:rsidR="005E40F8" w:rsidRDefault="005E40F8">
      <w:pPr>
        <w:jc w:val="center"/>
        <w:rPr>
          <w:b/>
          <w:bCs/>
          <w:noProof/>
          <w:sz w:val="28"/>
          <w:szCs w:val="28"/>
          <w:u w:val="single"/>
        </w:rPr>
      </w:pPr>
    </w:p>
    <w:p w:rsidR="005E40F8" w:rsidRDefault="005E40F8">
      <w:pPr>
        <w:jc w:val="center"/>
        <w:rPr>
          <w:b/>
          <w:bCs/>
          <w:noProof/>
          <w:sz w:val="28"/>
          <w:szCs w:val="28"/>
          <w:u w:val="single"/>
        </w:rPr>
      </w:pPr>
    </w:p>
    <w:p w:rsidR="005E40F8" w:rsidRDefault="007C521D">
      <w:pPr>
        <w:jc w:val="center"/>
        <w:rPr>
          <w:b/>
          <w:bCs/>
          <w:noProof/>
          <w:sz w:val="36"/>
          <w:szCs w:val="36"/>
          <w:u w:val="single"/>
        </w:rPr>
      </w:pPr>
      <w:r>
        <w:rPr>
          <w:b/>
          <w:noProof/>
          <w:sz w:val="36"/>
          <w:u w:val="single"/>
        </w:rPr>
        <w:t>PRÍLOHA</w:t>
      </w:r>
      <w:r>
        <w:rPr>
          <w:noProof/>
        </w:rPr>
        <w:br/>
      </w:r>
      <w:r>
        <w:rPr>
          <w:b/>
          <w:noProof/>
          <w:sz w:val="36"/>
          <w:u w:val="single"/>
        </w:rPr>
        <w:t>K LEGISLATÍVNEMU FINANČNÉMU VÝKAZU</w:t>
      </w:r>
    </w:p>
    <w:p w:rsidR="005E40F8" w:rsidRDefault="005E40F8">
      <w:pPr>
        <w:jc w:val="center"/>
        <w:rPr>
          <w:noProof/>
        </w:rPr>
      </w:pPr>
    </w:p>
    <w:p w:rsidR="005E40F8" w:rsidRDefault="005E40F8">
      <w:pPr>
        <w:outlineLvl w:val="0"/>
        <w:rPr>
          <w:b/>
          <w:bCs/>
          <w:noProof/>
        </w:rPr>
      </w:pPr>
    </w:p>
    <w:p w:rsidR="005E40F8" w:rsidRDefault="005E40F8">
      <w:pPr>
        <w:outlineLvl w:val="0"/>
        <w:rPr>
          <w:b/>
          <w:bCs/>
          <w:noProof/>
        </w:rPr>
      </w:pPr>
    </w:p>
    <w:p w:rsidR="005E40F8" w:rsidRDefault="005E40F8">
      <w:pPr>
        <w:outlineLvl w:val="0"/>
        <w:rPr>
          <w:b/>
          <w:bCs/>
          <w:noProof/>
        </w:rPr>
      </w:pPr>
    </w:p>
    <w:p w:rsidR="005E40F8" w:rsidRDefault="007C521D">
      <w:pPr>
        <w:spacing w:before="240"/>
        <w:ind w:left="360"/>
        <w:jc w:val="center"/>
        <w:rPr>
          <w:noProof/>
        </w:rPr>
      </w:pPr>
      <w:r>
        <w:rPr>
          <w:noProof/>
        </w:rPr>
        <w:t xml:space="preserve">Názov </w:t>
      </w:r>
      <w:r>
        <w:rPr>
          <w:noProof/>
        </w:rPr>
        <w:t>návrhu/iniciatívy:</w:t>
      </w:r>
    </w:p>
    <w:p w:rsidR="005E40F8" w:rsidRDefault="007C521D">
      <w:pPr>
        <w:pBdr>
          <w:top w:val="dotted" w:sz="4" w:space="1" w:color="auto"/>
          <w:left w:val="dotted" w:sz="4" w:space="4" w:color="auto"/>
          <w:bottom w:val="dotted" w:sz="4" w:space="1" w:color="auto"/>
          <w:right w:val="dotted" w:sz="4" w:space="4" w:color="auto"/>
        </w:pBdr>
        <w:shd w:val="clear" w:color="auto" w:fill="FFFF99"/>
        <w:spacing w:after="60"/>
        <w:rPr>
          <w:noProof/>
          <w:color w:val="808080"/>
        </w:rPr>
      </w:pPr>
      <w:r>
        <w:rPr>
          <w:noProof/>
          <w:color w:val="808080"/>
        </w:rPr>
        <w:t>Návrh nariadenia, ktorým sa menia nariadenia (EÚ) č. 1316/2013 a (EÚ) č. 283/2014, pokiaľ ide o podporu internetového pripojenia v miestnych spoločenstvách</w:t>
      </w:r>
    </w:p>
    <w:p w:rsidR="005E40F8" w:rsidRDefault="005E40F8">
      <w:pPr>
        <w:outlineLvl w:val="0"/>
        <w:rPr>
          <w:b/>
          <w:bCs/>
          <w:noProof/>
        </w:rPr>
      </w:pPr>
    </w:p>
    <w:p w:rsidR="005E40F8" w:rsidRDefault="007C521D">
      <w:pPr>
        <w:pStyle w:val="ManualHeading1"/>
        <w:rPr>
          <w:noProof/>
          <w:szCs w:val="32"/>
        </w:rPr>
      </w:pPr>
      <w:r>
        <w:t>1.</w:t>
      </w:r>
      <w:r>
        <w:tab/>
      </w:r>
      <w:r>
        <w:rPr>
          <w:noProof/>
        </w:rPr>
        <w:t>POČET a NÁKLADY na ĽUDSKÉ ZDROJE POVAŽOVANÉ ZA NEVYHNUTNÉ</w:t>
      </w:r>
    </w:p>
    <w:p w:rsidR="005E40F8" w:rsidRDefault="007C521D">
      <w:pPr>
        <w:pStyle w:val="ManualHeading1"/>
        <w:rPr>
          <w:noProof/>
          <w:szCs w:val="32"/>
        </w:rPr>
      </w:pPr>
      <w:r>
        <w:t>2.</w:t>
      </w:r>
      <w:r>
        <w:tab/>
      </w:r>
      <w:r>
        <w:rPr>
          <w:noProof/>
        </w:rPr>
        <w:t>NÁKLADY na OSTAT</w:t>
      </w:r>
      <w:r>
        <w:rPr>
          <w:noProof/>
        </w:rPr>
        <w:t>NÉ ADMINISTRATÍVNE VÝDAVKY</w:t>
      </w:r>
    </w:p>
    <w:p w:rsidR="005E40F8" w:rsidRDefault="007C521D">
      <w:pPr>
        <w:pStyle w:val="ManualHeading1"/>
        <w:rPr>
          <w:noProof/>
          <w:szCs w:val="32"/>
        </w:rPr>
      </w:pPr>
      <w:r>
        <w:t>3.</w:t>
      </w:r>
      <w:r>
        <w:tab/>
      </w:r>
      <w:r>
        <w:rPr>
          <w:noProof/>
        </w:rPr>
        <w:t>METÓDY VÝPOČTU POUŽITÉ NA ODHAD NÁKLADOV</w:t>
      </w:r>
    </w:p>
    <w:p w:rsidR="005E40F8" w:rsidRDefault="007C521D">
      <w:pPr>
        <w:pStyle w:val="ManualHeading2"/>
        <w:rPr>
          <w:noProof/>
          <w:szCs w:val="32"/>
        </w:rPr>
      </w:pPr>
      <w:r>
        <w:t>3.1.</w:t>
      </w:r>
      <w:r>
        <w:tab/>
      </w:r>
      <w:r>
        <w:rPr>
          <w:noProof/>
        </w:rPr>
        <w:t>Ľudské zdroje</w:t>
      </w:r>
    </w:p>
    <w:p w:rsidR="005E40F8" w:rsidRDefault="007C521D">
      <w:pPr>
        <w:pStyle w:val="ManualHeading2"/>
        <w:rPr>
          <w:noProof/>
          <w:szCs w:val="32"/>
        </w:rPr>
      </w:pPr>
      <w:r>
        <w:t>3.2.</w:t>
      </w:r>
      <w:r>
        <w:tab/>
      </w:r>
      <w:r>
        <w:rPr>
          <w:noProof/>
        </w:rPr>
        <w:t>Ostatné administratívne výdavky</w:t>
      </w:r>
    </w:p>
    <w:p w:rsidR="005E40F8" w:rsidRDefault="005E40F8">
      <w:pPr>
        <w:spacing w:before="240" w:after="240"/>
        <w:rPr>
          <w:rFonts w:ascii="Times New Roman Bold" w:hAnsi="Times New Roman Bold"/>
          <w:bCs/>
          <w:noProof/>
          <w:sz w:val="32"/>
          <w:szCs w:val="32"/>
        </w:rPr>
      </w:pPr>
    </w:p>
    <w:p w:rsidR="005E40F8" w:rsidRDefault="005E40F8">
      <w:pPr>
        <w:spacing w:before="240" w:after="240"/>
        <w:rPr>
          <w:rFonts w:ascii="Times New Roman Bold" w:hAnsi="Times New Roman Bold"/>
          <w:bCs/>
          <w:noProof/>
          <w:sz w:val="32"/>
          <w:szCs w:val="32"/>
        </w:rPr>
      </w:pPr>
    </w:p>
    <w:p w:rsidR="005E40F8" w:rsidRDefault="005E40F8">
      <w:pPr>
        <w:pBdr>
          <w:top w:val="single" w:sz="4" w:space="0" w:color="auto"/>
          <w:left w:val="single" w:sz="4" w:space="4" w:color="auto"/>
          <w:bottom w:val="single" w:sz="4" w:space="1" w:color="auto"/>
          <w:right w:val="single" w:sz="4" w:space="4" w:color="auto"/>
        </w:pBdr>
        <w:shd w:val="pct30" w:color="CCFFFF" w:fill="auto"/>
        <w:rPr>
          <w:noProof/>
          <w:sz w:val="16"/>
          <w:szCs w:val="16"/>
        </w:rPr>
      </w:pPr>
    </w:p>
    <w:p w:rsidR="005E40F8" w:rsidRDefault="007C521D">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Táto príloha musí byť súčasťou legislatívneho finančného výkazu po začatí konzultácie medzi zainteresovanými útvarmi.</w:t>
      </w:r>
    </w:p>
    <w:p w:rsidR="005E40F8" w:rsidRDefault="007C521D">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 xml:space="preserve">Tabuľky </w:t>
      </w:r>
      <w:r>
        <w:rPr>
          <w:i/>
          <w:noProof/>
          <w:sz w:val="22"/>
        </w:rPr>
        <w:t>s údajmi sú použité ako zdroj tabuliek nachádzajúcich sa vo legislatívnom finančnom výkaze. Slúžia výlučne na vnútorné použitie v rámci Komisie.</w:t>
      </w:r>
    </w:p>
    <w:p w:rsidR="005E40F8" w:rsidRDefault="005E40F8">
      <w:pPr>
        <w:pBdr>
          <w:top w:val="single" w:sz="4" w:space="0" w:color="auto"/>
          <w:left w:val="single" w:sz="4" w:space="4" w:color="auto"/>
          <w:bottom w:val="single" w:sz="4" w:space="1" w:color="auto"/>
          <w:right w:val="single" w:sz="4" w:space="4" w:color="auto"/>
        </w:pBdr>
        <w:shd w:val="pct30" w:color="CCFFFF" w:fill="auto"/>
        <w:rPr>
          <w:bCs/>
          <w:noProof/>
          <w:sz w:val="16"/>
          <w:szCs w:val="16"/>
        </w:rPr>
      </w:pPr>
    </w:p>
    <w:p w:rsidR="005E40F8" w:rsidRDefault="005E40F8">
      <w:pPr>
        <w:spacing w:after="80"/>
        <w:rPr>
          <w:b/>
          <w:bCs/>
          <w:noProof/>
        </w:rPr>
      </w:pPr>
    </w:p>
    <w:p w:rsidR="005E40F8" w:rsidRDefault="005E40F8">
      <w:pPr>
        <w:rPr>
          <w:noProof/>
        </w:rPr>
        <w:sectPr w:rsidR="005E40F8" w:rsidSect="007C521D">
          <w:pgSz w:w="12240" w:h="15840" w:code="1"/>
          <w:pgMar w:top="902" w:right="1134" w:bottom="1247" w:left="902" w:header="709" w:footer="709" w:gutter="0"/>
          <w:cols w:space="708"/>
          <w:docGrid w:linePitch="360"/>
        </w:sectPr>
      </w:pPr>
    </w:p>
    <w:p w:rsidR="005E40F8" w:rsidRDefault="007C521D">
      <w:pPr>
        <w:pStyle w:val="ManualHeading1"/>
        <w:rPr>
          <w:noProof/>
        </w:rPr>
      </w:pPr>
      <w:r>
        <w:t>1.</w:t>
      </w:r>
      <w:r>
        <w:tab/>
      </w:r>
      <w:r>
        <w:rPr>
          <w:noProof/>
        </w:rPr>
        <w:t>Náklady na ľudské zdroje považované za nevyhnutné</w:t>
      </w:r>
      <w:r>
        <w:rPr>
          <w:noProof/>
        </w:rPr>
        <w:tab/>
      </w:r>
    </w:p>
    <w:p w:rsidR="005E40F8" w:rsidRDefault="007C521D">
      <w:pPr>
        <w:pStyle w:val="Point1"/>
        <w:spacing w:after="0"/>
        <w:ind w:left="2263" w:hanging="284"/>
        <w:rPr>
          <w:noProof/>
        </w:rPr>
      </w:pPr>
      <w:r>
        <w:rPr>
          <w:noProof/>
        </w:rPr>
        <w:sym w:font="Wingdings" w:char="F0A8"/>
      </w:r>
      <w:r>
        <w:rPr>
          <w:noProof/>
        </w:rPr>
        <w:tab/>
      </w:r>
      <w:r>
        <w:rPr>
          <w:noProof/>
          <w:sz w:val="22"/>
        </w:rPr>
        <w:t>Návrh/iniciatíva si nevyžaduje po</w:t>
      </w:r>
      <w:r>
        <w:rPr>
          <w:noProof/>
          <w:sz w:val="22"/>
        </w:rPr>
        <w:t>užitie ľudských zdrojov.</w:t>
      </w:r>
    </w:p>
    <w:p w:rsidR="005E40F8" w:rsidRDefault="007C521D">
      <w:pPr>
        <w:pStyle w:val="Text1"/>
        <w:spacing w:before="60" w:after="0"/>
        <w:ind w:left="2263" w:hanging="284"/>
        <w:rPr>
          <w:noProof/>
        </w:rPr>
      </w:pPr>
      <w:r>
        <w:rPr>
          <w:noProof/>
        </w:rPr>
        <w:t>X</w:t>
      </w:r>
      <w:r>
        <w:rPr>
          <w:noProof/>
        </w:rPr>
        <w:tab/>
      </w:r>
      <w:r>
        <w:rPr>
          <w:noProof/>
          <w:sz w:val="22"/>
        </w:rPr>
        <w:t>Návrh/iniciatíva si vyžaduje použitie ľudských zdrojov, ako je uvedené v nasledujúcej tabuľke:</w:t>
      </w:r>
    </w:p>
    <w:p w:rsidR="005E40F8" w:rsidRDefault="005E40F8">
      <w:pPr>
        <w:jc w:val="right"/>
        <w:rPr>
          <w:rFonts w:ascii="Arial Narrow" w:hAnsi="Arial Narrow"/>
          <w:iCs/>
          <w:noProof/>
          <w:sz w:val="20"/>
          <w:szCs w:val="20"/>
        </w:rPr>
      </w:pPr>
    </w:p>
    <w:p w:rsidR="005E40F8" w:rsidRDefault="007C521D">
      <w:pPr>
        <w:jc w:val="right"/>
        <w:rPr>
          <w:iCs/>
          <w:noProof/>
          <w:sz w:val="20"/>
          <w:szCs w:val="20"/>
        </w:rPr>
      </w:pPr>
      <w:r>
        <w:rPr>
          <w:noProof/>
          <w:sz w:val="20"/>
        </w:rPr>
        <w:t>v mil. EUR (zaokrúhlené na 3 desatinné miesta)</w:t>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42"/>
        <w:gridCol w:w="618"/>
        <w:gridCol w:w="666"/>
        <w:gridCol w:w="1077"/>
        <w:gridCol w:w="667"/>
        <w:gridCol w:w="1077"/>
        <w:gridCol w:w="667"/>
        <w:gridCol w:w="1077"/>
        <w:gridCol w:w="667"/>
        <w:gridCol w:w="1077"/>
        <w:gridCol w:w="667"/>
        <w:gridCol w:w="1077"/>
        <w:gridCol w:w="667"/>
        <w:gridCol w:w="1077"/>
      </w:tblGrid>
      <w:tr w:rsidR="005E40F8">
        <w:trPr>
          <w:trHeight w:val="289"/>
        </w:trPr>
        <w:tc>
          <w:tcPr>
            <w:tcW w:w="3960" w:type="dxa"/>
            <w:gridSpan w:val="2"/>
            <w:vMerge w:val="restart"/>
            <w:shd w:val="pct50" w:color="C0C0C0" w:fill="auto"/>
            <w:vAlign w:val="center"/>
          </w:tcPr>
          <w:p w:rsidR="005E40F8" w:rsidRDefault="007C521D">
            <w:pPr>
              <w:jc w:val="center"/>
              <w:rPr>
                <w:rFonts w:ascii="Arial Narrow" w:hAnsi="Arial Narrow"/>
                <w:noProof/>
                <w:sz w:val="16"/>
                <w:szCs w:val="16"/>
              </w:rPr>
            </w:pPr>
            <w:r>
              <w:rPr>
                <w:rFonts w:ascii="Arial Narrow" w:hAnsi="Arial Narrow"/>
                <w:b/>
                <w:noProof/>
                <w:sz w:val="22"/>
              </w:rPr>
              <w:t>OKRUH 5</w:t>
            </w:r>
            <w:r>
              <w:rPr>
                <w:noProof/>
              </w:rPr>
              <w:br/>
            </w:r>
            <w:r>
              <w:rPr>
                <w:rFonts w:ascii="Arial Narrow" w:hAnsi="Arial Narrow"/>
                <w:noProof/>
                <w:sz w:val="22"/>
              </w:rPr>
              <w:t>viacročného finančného rámca</w:t>
            </w:r>
          </w:p>
        </w:tc>
        <w:tc>
          <w:tcPr>
            <w:tcW w:w="1743" w:type="dxa"/>
            <w:gridSpan w:val="2"/>
            <w:shd w:val="pct10" w:color="CCFFFF" w:fill="auto"/>
            <w:vAlign w:val="center"/>
          </w:tcPr>
          <w:p w:rsidR="005E40F8" w:rsidRDefault="007C521D">
            <w:pPr>
              <w:jc w:val="center"/>
              <w:rPr>
                <w:noProof/>
                <w:sz w:val="20"/>
                <w:szCs w:val="20"/>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5E40F8" w:rsidRDefault="007C521D">
            <w:pPr>
              <w:jc w:val="center"/>
              <w:rPr>
                <w:noProof/>
                <w:sz w:val="20"/>
                <w:szCs w:val="20"/>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5E40F8" w:rsidRDefault="007C521D">
            <w:pPr>
              <w:jc w:val="center"/>
              <w:rPr>
                <w:noProof/>
                <w:sz w:val="20"/>
                <w:szCs w:val="20"/>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5E40F8" w:rsidRDefault="007C521D">
            <w:pPr>
              <w:jc w:val="center"/>
              <w:rPr>
                <w:noProof/>
                <w:sz w:val="20"/>
                <w:szCs w:val="20"/>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color w:val="0000FF"/>
                <w:sz w:val="16"/>
              </w:rPr>
              <w:t xml:space="preserve">...Uveďte všetky roky, počas </w:t>
            </w:r>
            <w:r>
              <w:rPr>
                <w:rFonts w:ascii="Arial Narrow" w:hAnsi="Arial Narrow"/>
                <w:noProof/>
                <w:color w:val="0000FF"/>
                <w:sz w:val="16"/>
              </w:rPr>
              <w:t>ktorých vplyv trvá (pozri bod 1.6)</w:t>
            </w:r>
          </w:p>
        </w:tc>
        <w:tc>
          <w:tcPr>
            <w:tcW w:w="1744" w:type="dxa"/>
            <w:gridSpan w:val="2"/>
            <w:tcBorders>
              <w:right w:val="single" w:sz="6" w:space="0" w:color="auto"/>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20"/>
              </w:rPr>
              <w:t>SPOLU</w:t>
            </w:r>
          </w:p>
        </w:tc>
      </w:tr>
      <w:tr w:rsidR="005E40F8">
        <w:trPr>
          <w:trHeight w:val="289"/>
        </w:trPr>
        <w:tc>
          <w:tcPr>
            <w:tcW w:w="3960" w:type="dxa"/>
            <w:gridSpan w:val="2"/>
            <w:vMerge/>
            <w:shd w:val="pct50" w:color="C0C0C0" w:fill="auto"/>
            <w:vAlign w:val="center"/>
          </w:tcPr>
          <w:p w:rsidR="005E40F8" w:rsidRDefault="005E40F8">
            <w:pPr>
              <w:jc w:val="center"/>
              <w:rPr>
                <w:rFonts w:ascii="Arial Narrow" w:hAnsi="Arial Narrow"/>
                <w:noProof/>
                <w:sz w:val="16"/>
                <w:szCs w:val="16"/>
              </w:rPr>
            </w:pPr>
          </w:p>
        </w:tc>
        <w:tc>
          <w:tcPr>
            <w:tcW w:w="666" w:type="dxa"/>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c>
          <w:tcPr>
            <w:tcW w:w="66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c>
          <w:tcPr>
            <w:tcW w:w="66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c>
          <w:tcPr>
            <w:tcW w:w="66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c>
          <w:tcPr>
            <w:tcW w:w="66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c>
          <w:tcPr>
            <w:tcW w:w="66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single" w:sz="6" w:space="0" w:color="auto"/>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r>
      <w:tr w:rsidR="005E40F8">
        <w:trPr>
          <w:trHeight w:val="289"/>
        </w:trPr>
        <w:tc>
          <w:tcPr>
            <w:tcW w:w="14423" w:type="dxa"/>
            <w:gridSpan w:val="14"/>
            <w:shd w:val="pct10" w:color="CCFFFF" w:fill="CCFFCC"/>
            <w:vAlign w:val="center"/>
          </w:tcPr>
          <w:p w:rsidR="005E40F8" w:rsidRDefault="007C521D">
            <w:pPr>
              <w:spacing w:before="60" w:after="6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2"/>
              </w:rPr>
              <w:t xml:space="preserve"> Plán pracovných miest (úradníci a dočasní zamestnanci)</w:t>
            </w:r>
          </w:p>
        </w:tc>
      </w:tr>
      <w:tr w:rsidR="005E40F8">
        <w:trPr>
          <w:trHeight w:val="289"/>
        </w:trPr>
        <w:tc>
          <w:tcPr>
            <w:tcW w:w="3342" w:type="dxa"/>
            <w:vMerge w:val="restart"/>
            <w:shd w:val="pct10" w:color="CCFFFF" w:fill="auto"/>
            <w:vAlign w:val="center"/>
          </w:tcPr>
          <w:p w:rsidR="005E40F8" w:rsidRDefault="007C521D">
            <w:pPr>
              <w:pStyle w:val="Text1"/>
              <w:spacing w:before="40" w:after="40"/>
              <w:ind w:left="0"/>
              <w:rPr>
                <w:rFonts w:ascii="Arial Narrow" w:hAnsi="Arial Narrow"/>
                <w:i/>
                <w:noProof/>
                <w:sz w:val="20"/>
                <w:szCs w:val="20"/>
              </w:rPr>
            </w:pPr>
            <w:r>
              <w:rPr>
                <w:rFonts w:ascii="Arial Narrow" w:hAnsi="Arial Narrow"/>
                <w:noProof/>
                <w:sz w:val="20"/>
              </w:rPr>
              <w:t>09 01 01 01 (ústredie a zastúpenia Komisie)</w:t>
            </w: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5E40F8" w:rsidRDefault="007C521D">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5E40F8" w:rsidRDefault="007C521D">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5E40F8" w:rsidRDefault="007C521D">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5E40F8" w:rsidRDefault="007C521D">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7C521D">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0,536</w:t>
            </w:r>
          </w:p>
        </w:tc>
      </w:tr>
      <w:tr w:rsidR="005E40F8">
        <w:trPr>
          <w:trHeight w:val="289"/>
        </w:trPr>
        <w:tc>
          <w:tcPr>
            <w:tcW w:w="3342" w:type="dxa"/>
            <w:vMerge/>
            <w:tcBorders>
              <w:bottom w:val="single" w:sz="6" w:space="0" w:color="auto"/>
            </w:tcBorders>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vMerge w:val="restart"/>
            <w:shd w:val="pct10" w:color="CCFFFF" w:fill="auto"/>
            <w:vAlign w:val="center"/>
          </w:tcPr>
          <w:p w:rsidR="005E40F8" w:rsidRDefault="007C521D">
            <w:pPr>
              <w:pStyle w:val="Text1"/>
              <w:spacing w:before="40" w:after="40"/>
              <w:ind w:left="0"/>
              <w:rPr>
                <w:rFonts w:ascii="Arial Narrow" w:hAnsi="Arial Narrow"/>
                <w:i/>
                <w:noProof/>
                <w:sz w:val="20"/>
                <w:szCs w:val="20"/>
              </w:rPr>
            </w:pPr>
            <w:r>
              <w:rPr>
                <w:rFonts w:ascii="Arial Narrow" w:hAnsi="Arial Narrow"/>
                <w:noProof/>
                <w:sz w:val="20"/>
              </w:rPr>
              <w:t>XX 01 01 02 (v delegáciách Únie)</w:t>
            </w: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vMerge/>
            <w:tcBorders>
              <w:bottom w:val="single" w:sz="6" w:space="0" w:color="auto"/>
            </w:tcBorders>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14423" w:type="dxa"/>
            <w:gridSpan w:val="14"/>
            <w:shd w:val="pct10" w:color="CCFFFF" w:fill="FFFF99"/>
            <w:vAlign w:val="center"/>
          </w:tcPr>
          <w:p w:rsidR="005E40F8" w:rsidRDefault="007C521D">
            <w:pPr>
              <w:spacing w:before="60" w:after="6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Externí zamestnanci</w:t>
            </w:r>
            <w:r>
              <w:rPr>
                <w:rStyle w:val="FootnoteReference"/>
              </w:rPr>
              <w:footnoteReference w:id="27"/>
            </w:r>
          </w:p>
        </w:tc>
      </w:tr>
      <w:tr w:rsidR="005E40F8">
        <w:trPr>
          <w:trHeight w:val="289"/>
        </w:trPr>
        <w:tc>
          <w:tcPr>
            <w:tcW w:w="3342" w:type="dxa"/>
            <w:vMerge w:val="restart"/>
            <w:shd w:val="pct10" w:color="CCFFFF" w:fill="auto"/>
            <w:vAlign w:val="center"/>
          </w:tcPr>
          <w:p w:rsidR="005E40F8" w:rsidRDefault="007C521D">
            <w:pPr>
              <w:pStyle w:val="Text1"/>
              <w:spacing w:before="60" w:after="6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01 (celkové finančné krytie)</w:t>
            </w: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ZZ</w:t>
            </w:r>
          </w:p>
        </w:tc>
        <w:tc>
          <w:tcPr>
            <w:tcW w:w="666" w:type="dxa"/>
            <w:shd w:val="pct10" w:color="CCFFFF" w:fill="auto"/>
          </w:tcPr>
          <w:p w:rsidR="005E40F8" w:rsidRDefault="007C521D">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5E40F8" w:rsidRDefault="007C521D">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5E40F8" w:rsidRDefault="007C521D">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5E40F8" w:rsidRDefault="007C521D">
            <w:pP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7C521D">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0,280</w:t>
            </w:r>
          </w:p>
        </w:tc>
      </w:tr>
      <w:tr w:rsidR="005E40F8">
        <w:trPr>
          <w:trHeight w:val="289"/>
        </w:trPr>
        <w:tc>
          <w:tcPr>
            <w:tcW w:w="334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VNE</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DAZ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vMerge w:val="restart"/>
            <w:shd w:val="pct10" w:color="CCFFFF" w:fill="auto"/>
            <w:vAlign w:val="center"/>
          </w:tcPr>
          <w:p w:rsidR="005E40F8" w:rsidRDefault="007C521D">
            <w:pPr>
              <w:pStyle w:val="Text1"/>
              <w:spacing w:before="60" w:after="60"/>
              <w:ind w:left="0"/>
              <w:jc w:val="left"/>
              <w:rPr>
                <w:rFonts w:ascii="Arial Narrow" w:hAnsi="Arial Narrow"/>
                <w:noProof/>
                <w:sz w:val="20"/>
                <w:szCs w:val="20"/>
              </w:rPr>
            </w:pPr>
            <w:r>
              <w:rPr>
                <w:rFonts w:ascii="Arial Narrow" w:hAnsi="Arial Narrow"/>
                <w:noProof/>
                <w:sz w:val="20"/>
              </w:rPr>
              <w:t xml:space="preserve">XX 01 02 </w:t>
            </w:r>
            <w:r>
              <w:rPr>
                <w:rFonts w:ascii="Arial Narrow" w:hAnsi="Arial Narrow"/>
                <w:noProof/>
                <w:sz w:val="20"/>
              </w:rPr>
              <w:t>02 (v delegáciách Únie)</w:t>
            </w: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ZZ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MZ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VNE</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DAZ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PED</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21"/>
        </w:trPr>
        <w:tc>
          <w:tcPr>
            <w:tcW w:w="3342" w:type="dxa"/>
            <w:tcBorders>
              <w:bottom w:val="single" w:sz="12" w:space="0" w:color="auto"/>
            </w:tcBorders>
            <w:shd w:val="pct10" w:color="CCFFFF" w:fill="auto"/>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noProof/>
                <w:sz w:val="20"/>
              </w:rPr>
              <w:t>Iné rozpo</w:t>
            </w:r>
            <w:r>
              <w:rPr>
                <w:rFonts w:ascii="Arial Narrow" w:hAnsi="Arial Narrow"/>
                <w:noProof/>
                <w:sz w:val="20"/>
              </w:rPr>
              <w:t>čtové riadky (</w:t>
            </w:r>
            <w:r>
              <w:rPr>
                <w:rFonts w:ascii="Arial Narrow" w:hAnsi="Arial Narrow"/>
                <w:i/>
                <w:noProof/>
                <w:sz w:val="20"/>
              </w:rPr>
              <w:t>uveďte</w:t>
            </w:r>
            <w:r>
              <w:rPr>
                <w:rFonts w:ascii="Arial Narrow" w:hAnsi="Arial Narrow"/>
                <w:noProof/>
                <w:sz w:val="20"/>
              </w:rPr>
              <w:t>)</w:t>
            </w:r>
          </w:p>
        </w:tc>
        <w:tc>
          <w:tcPr>
            <w:tcW w:w="618" w:type="dxa"/>
            <w:tcBorders>
              <w:bottom w:val="single" w:sz="12" w:space="0" w:color="auto"/>
            </w:tcBorders>
            <w:shd w:val="pct10" w:color="CCFFFF" w:fill="auto"/>
            <w:vAlign w:val="center"/>
          </w:tcPr>
          <w:p w:rsidR="005E40F8" w:rsidRDefault="005E40F8">
            <w:pPr>
              <w:jc w:val="center"/>
              <w:rPr>
                <w:rFonts w:ascii="Arial Narrow" w:hAnsi="Arial Narrow"/>
                <w:noProof/>
                <w:sz w:val="18"/>
                <w:szCs w:val="18"/>
              </w:rPr>
            </w:pPr>
          </w:p>
        </w:tc>
        <w:tc>
          <w:tcPr>
            <w:tcW w:w="666"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tcBorders>
              <w:top w:val="single" w:sz="12" w:space="0" w:color="auto"/>
              <w:left w:val="single" w:sz="12" w:space="0" w:color="auto"/>
              <w:bottom w:val="single" w:sz="12" w:space="0" w:color="auto"/>
            </w:tcBorders>
            <w:shd w:val="pct10" w:color="CCFFFF" w:fill="auto"/>
            <w:vAlign w:val="center"/>
          </w:tcPr>
          <w:p w:rsidR="005E40F8" w:rsidRDefault="007C521D">
            <w:pPr>
              <w:pStyle w:val="Text1"/>
              <w:spacing w:before="60" w:after="60"/>
              <w:ind w:left="0"/>
              <w:jc w:val="center"/>
              <w:rPr>
                <w:rFonts w:ascii="Arial Narrow" w:hAnsi="Arial Narrow"/>
                <w:b/>
                <w:noProof/>
              </w:rPr>
            </w:pPr>
            <w:r>
              <w:rPr>
                <w:rFonts w:ascii="Arial Narrow" w:hAnsi="Arial Narrow"/>
                <w:b/>
                <w:noProof/>
                <w:sz w:val="22"/>
              </w:rPr>
              <w:t>Medzis</w:t>
            </w:r>
            <w:r>
              <w:rPr>
                <w:rFonts w:ascii="Arial Narrow" w:hAnsi="Arial Narrow"/>
                <w:b/>
                <w:noProof/>
                <w:sz w:val="22"/>
              </w:rPr>
              <w:t>účet – OKRUH 5</w:t>
            </w:r>
            <w:r>
              <w:rPr>
                <w:noProof/>
              </w:rPr>
              <w:br/>
            </w:r>
            <w:r>
              <w:rPr>
                <w:rFonts w:ascii="Arial Narrow" w:hAnsi="Arial Narrow"/>
                <w:noProof/>
                <w:sz w:val="22"/>
              </w:rPr>
              <w:t>viacročného finančného rámca</w:t>
            </w:r>
          </w:p>
        </w:tc>
        <w:tc>
          <w:tcPr>
            <w:tcW w:w="618"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p w:rsidR="005E40F8" w:rsidRDefault="007C521D">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p w:rsidR="005E40F8" w:rsidRDefault="007C521D">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p w:rsidR="005E40F8" w:rsidRDefault="007C521D">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p w:rsidR="005E40F8" w:rsidRDefault="007C521D">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p w:rsidR="005E40F8" w:rsidRDefault="007C521D">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5E40F8" w:rsidRDefault="007C521D">
            <w:pPr>
              <w:jc w:val="center"/>
              <w:rPr>
                <w:rFonts w:ascii="Arial Narrow" w:hAnsi="Arial Narrow"/>
                <w:noProof/>
                <w:sz w:val="20"/>
                <w:szCs w:val="20"/>
              </w:rPr>
            </w:pPr>
            <w:r>
              <w:rPr>
                <w:rFonts w:ascii="Arial Narrow" w:hAnsi="Arial Narrow"/>
                <w:noProof/>
                <w:sz w:val="20"/>
              </w:rPr>
              <w:t>0,816</w:t>
            </w:r>
          </w:p>
        </w:tc>
      </w:tr>
    </w:tbl>
    <w:p w:rsidR="005E40F8" w:rsidRDefault="007C521D">
      <w:pPr>
        <w:rPr>
          <w:noProof/>
          <w:sz w:val="20"/>
          <w:szCs w:val="20"/>
        </w:rPr>
      </w:pPr>
      <w:r>
        <w:rPr>
          <w:b/>
          <w:noProof/>
          <w:color w:val="0000FF"/>
          <w:sz w:val="20"/>
        </w:rPr>
        <w:t>XX</w:t>
      </w:r>
      <w:r>
        <w:rPr>
          <w:noProof/>
          <w:sz w:val="20"/>
        </w:rPr>
        <w:t xml:space="preserve"> predstavuje príslušnú oblasť politiky alebo rozpočtovú hlavu.</w:t>
      </w:r>
    </w:p>
    <w:p w:rsidR="005E40F8" w:rsidRDefault="005E40F8">
      <w:pPr>
        <w:rPr>
          <w:iCs/>
          <w:noProof/>
          <w:sz w:val="20"/>
          <w:szCs w:val="20"/>
        </w:rPr>
      </w:pPr>
    </w:p>
    <w:p w:rsidR="005E40F8" w:rsidRDefault="007C521D">
      <w:pPr>
        <w:pStyle w:val="Text1"/>
        <w:spacing w:before="0" w:after="0"/>
        <w:ind w:left="-540" w:right="-694"/>
        <w:rPr>
          <w:rFonts w:ascii="Arial Narrow" w:hAnsi="Arial Narrow"/>
          <w:iCs/>
          <w:noProof/>
          <w:sz w:val="6"/>
          <w:szCs w:val="6"/>
        </w:rPr>
      </w:pPr>
      <w:r>
        <w:rPr>
          <w:noProof/>
          <w:sz w:val="18"/>
        </w:rPr>
        <w:t xml:space="preserve">Potreby ľudských zdrojov budú pokryté úradníkmi GR, ktorí už boli pridelení na riadenie akcie a/alebo boli interne prerozdelení v rámci GR, a v prípade potreby budú doplnené zdrojmi, ktoré </w:t>
      </w:r>
      <w:r>
        <w:rPr>
          <w:noProof/>
          <w:sz w:val="18"/>
        </w:rPr>
        <w:t>sa môžu prideliť riadiacemu GR v rámci ročného postupu prideľovania zdrojov v závislosti od rozpočtových obmedzení.</w:t>
      </w:r>
      <w:r>
        <w:rPr>
          <w:noProof/>
        </w:rPr>
        <w:tab/>
      </w:r>
      <w:r>
        <w:rPr>
          <w:noProof/>
        </w:rPr>
        <w:br w:type="page"/>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1362"/>
        <w:gridCol w:w="618"/>
        <w:gridCol w:w="666"/>
        <w:gridCol w:w="1077"/>
        <w:gridCol w:w="667"/>
        <w:gridCol w:w="1077"/>
        <w:gridCol w:w="667"/>
        <w:gridCol w:w="1077"/>
        <w:gridCol w:w="667"/>
        <w:gridCol w:w="1077"/>
        <w:gridCol w:w="667"/>
        <w:gridCol w:w="1077"/>
        <w:gridCol w:w="667"/>
        <w:gridCol w:w="1077"/>
      </w:tblGrid>
      <w:tr w:rsidR="005E40F8">
        <w:trPr>
          <w:trHeight w:val="289"/>
        </w:trPr>
        <w:tc>
          <w:tcPr>
            <w:tcW w:w="3960" w:type="dxa"/>
            <w:gridSpan w:val="3"/>
            <w:vMerge w:val="restart"/>
            <w:shd w:val="pct50" w:color="C0C0C0" w:fill="auto"/>
            <w:vAlign w:val="center"/>
          </w:tcPr>
          <w:p w:rsidR="005E40F8" w:rsidRDefault="007C521D">
            <w:pPr>
              <w:jc w:val="center"/>
              <w:rPr>
                <w:rFonts w:ascii="Arial Narrow" w:hAnsi="Arial Narrow"/>
                <w:noProof/>
                <w:sz w:val="16"/>
                <w:szCs w:val="16"/>
              </w:rPr>
            </w:pPr>
            <w:r>
              <w:rPr>
                <w:rFonts w:ascii="Arial Narrow" w:hAnsi="Arial Narrow"/>
                <w:b/>
                <w:noProof/>
                <w:sz w:val="22"/>
              </w:rPr>
              <w:t>Mimo OKRUHU 5</w:t>
            </w:r>
            <w:r>
              <w:rPr>
                <w:noProof/>
              </w:rPr>
              <w:br/>
            </w:r>
            <w:r>
              <w:rPr>
                <w:rFonts w:ascii="Arial Narrow" w:hAnsi="Arial Narrow"/>
                <w:noProof/>
                <w:sz w:val="22"/>
              </w:rPr>
              <w:t>viacročného finančného rámca</w:t>
            </w:r>
          </w:p>
        </w:tc>
        <w:tc>
          <w:tcPr>
            <w:tcW w:w="1743" w:type="dxa"/>
            <w:gridSpan w:val="2"/>
            <w:shd w:val="pct10" w:color="CCFFFF" w:fill="auto"/>
            <w:vAlign w:val="center"/>
          </w:tcPr>
          <w:p w:rsidR="005E40F8" w:rsidRDefault="007C521D">
            <w:pPr>
              <w:jc w:val="center"/>
              <w:rPr>
                <w:rFonts w:ascii="Arial Narrow" w:hAnsi="Arial Narrow"/>
                <w:noProof/>
                <w:sz w:val="16"/>
                <w:szCs w:val="16"/>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color w:val="0000FF"/>
                <w:sz w:val="16"/>
              </w:rPr>
              <w:t>...Uveďte všetky roky, počas ktorých vplyv trvá (pozri bod 1.6)</w:t>
            </w:r>
          </w:p>
        </w:tc>
        <w:tc>
          <w:tcPr>
            <w:tcW w:w="1744" w:type="dxa"/>
            <w:gridSpan w:val="2"/>
            <w:tcBorders>
              <w:right w:val="single" w:sz="6" w:space="0" w:color="auto"/>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20"/>
              </w:rPr>
              <w:t>SPOLU</w:t>
            </w:r>
          </w:p>
        </w:tc>
      </w:tr>
      <w:tr w:rsidR="005E40F8">
        <w:trPr>
          <w:trHeight w:val="289"/>
        </w:trPr>
        <w:tc>
          <w:tcPr>
            <w:tcW w:w="3960" w:type="dxa"/>
            <w:gridSpan w:val="3"/>
            <w:vMerge/>
            <w:shd w:val="pct50" w:color="C0C0C0" w:fill="auto"/>
            <w:vAlign w:val="center"/>
          </w:tcPr>
          <w:p w:rsidR="005E40F8" w:rsidRDefault="005E40F8">
            <w:pPr>
              <w:jc w:val="center"/>
              <w:rPr>
                <w:rFonts w:ascii="Arial Narrow" w:hAnsi="Arial Narrow"/>
                <w:noProof/>
                <w:sz w:val="16"/>
                <w:szCs w:val="16"/>
              </w:rPr>
            </w:pPr>
          </w:p>
        </w:tc>
        <w:tc>
          <w:tcPr>
            <w:tcW w:w="666" w:type="dxa"/>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c>
          <w:tcPr>
            <w:tcW w:w="66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c>
          <w:tcPr>
            <w:tcW w:w="66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c>
          <w:tcPr>
            <w:tcW w:w="66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c>
          <w:tcPr>
            <w:tcW w:w="66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c>
          <w:tcPr>
            <w:tcW w:w="667" w:type="dxa"/>
            <w:tcBorders>
              <w:right w:val="nil"/>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FTE</w:t>
            </w:r>
          </w:p>
        </w:tc>
        <w:tc>
          <w:tcPr>
            <w:tcW w:w="1077" w:type="dxa"/>
            <w:tcBorders>
              <w:right w:val="single" w:sz="6" w:space="0" w:color="auto"/>
            </w:tcBorders>
            <w:shd w:val="pct10" w:color="CCFFFF" w:fill="auto"/>
            <w:vAlign w:val="center"/>
          </w:tcPr>
          <w:p w:rsidR="005E40F8" w:rsidRDefault="007C521D">
            <w:pPr>
              <w:jc w:val="center"/>
              <w:rPr>
                <w:rFonts w:ascii="Arial Narrow" w:hAnsi="Arial Narrow"/>
                <w:noProof/>
                <w:sz w:val="16"/>
                <w:szCs w:val="16"/>
              </w:rPr>
            </w:pPr>
            <w:r>
              <w:rPr>
                <w:rFonts w:ascii="Arial Narrow" w:hAnsi="Arial Narrow"/>
                <w:noProof/>
                <w:sz w:val="16"/>
              </w:rPr>
              <w:t>Rozpočtové prostriedky</w:t>
            </w:r>
          </w:p>
        </w:tc>
      </w:tr>
      <w:tr w:rsidR="005E40F8">
        <w:trPr>
          <w:trHeight w:val="289"/>
        </w:trPr>
        <w:tc>
          <w:tcPr>
            <w:tcW w:w="14423" w:type="dxa"/>
            <w:gridSpan w:val="15"/>
            <w:shd w:val="pct10" w:color="CCFFFF" w:fill="CCFFCC"/>
            <w:vAlign w:val="center"/>
          </w:tcPr>
          <w:p w:rsidR="005E40F8" w:rsidRDefault="007C521D">
            <w:pPr>
              <w:spacing w:before="20" w:after="2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2"/>
              </w:rPr>
              <w:t xml:space="preserve"> Plán pracovných miest (úradníci a dočasní zamestnanci)</w:t>
            </w:r>
          </w:p>
        </w:tc>
      </w:tr>
      <w:tr w:rsidR="005E40F8">
        <w:trPr>
          <w:trHeight w:val="289"/>
        </w:trPr>
        <w:tc>
          <w:tcPr>
            <w:tcW w:w="3342" w:type="dxa"/>
            <w:gridSpan w:val="2"/>
            <w:vMerge w:val="restart"/>
            <w:shd w:val="pct10" w:color="CCFFFF" w:fill="auto"/>
            <w:vAlign w:val="center"/>
          </w:tcPr>
          <w:p w:rsidR="005E40F8" w:rsidRDefault="007C521D">
            <w:pPr>
              <w:pStyle w:val="Text1"/>
              <w:spacing w:before="60" w:after="60"/>
              <w:ind w:left="252"/>
              <w:jc w:val="left"/>
              <w:rPr>
                <w:rFonts w:ascii="Arial Narrow" w:hAnsi="Arial Narrow"/>
                <w:noProof/>
                <w:sz w:val="20"/>
                <w:szCs w:val="20"/>
              </w:rPr>
            </w:pPr>
            <w:r>
              <w:rPr>
                <w:rFonts w:ascii="Arial Narrow" w:hAnsi="Arial Narrow"/>
                <w:noProof/>
                <w:sz w:val="20"/>
              </w:rPr>
              <w:t>10 01 05 02 (priamy výskum)</w:t>
            </w: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gridSpan w:val="2"/>
            <w:vMerge/>
            <w:tcBorders>
              <w:bottom w:val="single" w:sz="6" w:space="0" w:color="auto"/>
            </w:tcBorders>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gridSpan w:val="2"/>
            <w:vMerge w:val="restart"/>
            <w:shd w:val="pct10" w:color="CCFFFF" w:fill="auto"/>
            <w:vAlign w:val="center"/>
          </w:tcPr>
          <w:p w:rsidR="005E40F8" w:rsidRDefault="007C521D">
            <w:pPr>
              <w:pStyle w:val="Text1"/>
              <w:spacing w:before="60" w:after="60"/>
              <w:ind w:left="252"/>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01 (nepriamy výskum)</w:t>
            </w: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gridSpan w:val="2"/>
            <w:vMerge/>
            <w:tcBorders>
              <w:bottom w:val="single" w:sz="6" w:space="0" w:color="auto"/>
            </w:tcBorders>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6"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14423" w:type="dxa"/>
            <w:gridSpan w:val="15"/>
            <w:shd w:val="pct10" w:color="CCFFFF" w:fill="FFFF99"/>
            <w:vAlign w:val="center"/>
          </w:tcPr>
          <w:p w:rsidR="005E40F8" w:rsidRDefault="007C521D">
            <w:pPr>
              <w:spacing w:before="20" w:after="2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Externí zamestnanci</w:t>
            </w:r>
            <w:r>
              <w:rPr>
                <w:rStyle w:val="FootnoteReference"/>
              </w:rPr>
              <w:footnoteReference w:id="28"/>
            </w:r>
          </w:p>
        </w:tc>
      </w:tr>
      <w:tr w:rsidR="005E40F8">
        <w:trPr>
          <w:trHeight w:val="289"/>
        </w:trPr>
        <w:tc>
          <w:tcPr>
            <w:tcW w:w="1980" w:type="dxa"/>
            <w:vMerge w:val="restart"/>
            <w:shd w:val="pct10" w:color="CCFFFF" w:fill="auto"/>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01 04 </w:t>
            </w:r>
            <w:r>
              <w:rPr>
                <w:rFonts w:ascii="Arial Narrow" w:hAnsi="Arial Narrow"/>
                <w:b/>
                <w:i/>
                <w:noProof/>
                <w:color w:val="0000FF"/>
                <w:sz w:val="20"/>
              </w:rPr>
              <w:t>01</w:t>
            </w:r>
            <w:r>
              <w:rPr>
                <w:rFonts w:ascii="Arial Narrow" w:hAnsi="Arial Narrow"/>
                <w:noProof/>
                <w:sz w:val="20"/>
              </w:rPr>
              <w:t xml:space="preserve"> </w:t>
            </w:r>
            <w:r>
              <w:rPr>
                <w:noProof/>
              </w:rPr>
              <w:br/>
            </w:r>
            <w:r>
              <w:rPr>
                <w:rFonts w:ascii="Arial Narrow" w:hAnsi="Arial Narrow"/>
                <w:noProof/>
                <w:sz w:val="20"/>
              </w:rPr>
              <w:t>Čiastkový strop pre externých zamestnancov financovaných z operačných rozpočtových prostriedkov (pôvodné rozpočtové riadky „BA“).</w:t>
            </w:r>
          </w:p>
        </w:tc>
        <w:tc>
          <w:tcPr>
            <w:tcW w:w="1362" w:type="dxa"/>
            <w:vMerge w:val="restart"/>
            <w:shd w:val="pct10" w:color="CCFFFF" w:fill="auto"/>
            <w:vAlign w:val="center"/>
          </w:tcPr>
          <w:p w:rsidR="005E40F8" w:rsidRDefault="007C521D">
            <w:pPr>
              <w:pStyle w:val="Text1"/>
              <w:spacing w:before="60" w:after="60"/>
              <w:ind w:left="72"/>
              <w:jc w:val="left"/>
              <w:rPr>
                <w:rFonts w:ascii="Arial Narrow" w:hAnsi="Arial Narrow"/>
                <w:noProof/>
                <w:sz w:val="20"/>
                <w:szCs w:val="20"/>
              </w:rPr>
            </w:pPr>
            <w:r>
              <w:rPr>
                <w:noProof/>
                <w:sz w:val="16"/>
              </w:rPr>
              <w:t>‒</w:t>
            </w:r>
            <w:r>
              <w:rPr>
                <w:rFonts w:ascii="Arial Narrow" w:hAnsi="Arial Narrow"/>
                <w:noProof/>
                <w:sz w:val="20"/>
              </w:rPr>
              <w:t xml:space="preserve"> ústredie</w:t>
            </w: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ZZ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1980"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VNE</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1980"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DAZ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1980"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1362" w:type="dxa"/>
            <w:vMerge w:val="restart"/>
            <w:shd w:val="pct10" w:color="CCFFFF" w:fill="auto"/>
            <w:vAlign w:val="center"/>
          </w:tcPr>
          <w:p w:rsidR="005E40F8" w:rsidRDefault="007C521D">
            <w:pPr>
              <w:pStyle w:val="Text1"/>
              <w:spacing w:before="40" w:after="40"/>
              <w:ind w:left="0"/>
              <w:jc w:val="left"/>
              <w:rPr>
                <w:rFonts w:ascii="Arial Narrow" w:hAnsi="Arial Narrow"/>
                <w:noProof/>
                <w:sz w:val="20"/>
                <w:szCs w:val="20"/>
              </w:rPr>
            </w:pPr>
            <w:r>
              <w:rPr>
                <w:noProof/>
                <w:sz w:val="16"/>
              </w:rPr>
              <w:t>‒</w:t>
            </w:r>
            <w:r>
              <w:rPr>
                <w:rFonts w:ascii="Arial Narrow" w:hAnsi="Arial Narrow"/>
                <w:noProof/>
                <w:sz w:val="20"/>
              </w:rPr>
              <w:t xml:space="preserve"> v delegáciách Únie</w:t>
            </w: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ZZ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1980"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MZ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1980"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VNE</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1980"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DAZ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1980"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PED</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gridSpan w:val="2"/>
            <w:vMerge w:val="restart"/>
            <w:shd w:val="pct10" w:color="CCFFFF" w:fill="auto"/>
            <w:vAlign w:val="center"/>
          </w:tcPr>
          <w:p w:rsidR="005E40F8" w:rsidRDefault="007C521D">
            <w:pPr>
              <w:pStyle w:val="Text1"/>
              <w:spacing w:before="60" w:after="6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02 (nepriamy výskum)</w:t>
            </w: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ZZ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gridSpan w:val="2"/>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VNE</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gridSpan w:val="2"/>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DAZ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gridSpan w:val="2"/>
            <w:vMerge w:val="restart"/>
            <w:shd w:val="pct10" w:color="CCFFFF" w:fill="auto"/>
            <w:vAlign w:val="center"/>
          </w:tcPr>
          <w:p w:rsidR="005E40F8" w:rsidRDefault="007C521D">
            <w:pPr>
              <w:pStyle w:val="Text1"/>
              <w:spacing w:before="60" w:after="60"/>
              <w:ind w:left="0"/>
              <w:jc w:val="left"/>
              <w:rPr>
                <w:rFonts w:ascii="Arial Narrow" w:hAnsi="Arial Narrow"/>
                <w:noProof/>
                <w:sz w:val="20"/>
                <w:szCs w:val="20"/>
              </w:rPr>
            </w:pPr>
            <w:r>
              <w:rPr>
                <w:rFonts w:ascii="Arial Narrow" w:hAnsi="Arial Narrow"/>
                <w:noProof/>
                <w:sz w:val="20"/>
              </w:rPr>
              <w:t>10 01 05 02 (priamy výskum)</w:t>
            </w: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ZZ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gridSpan w:val="2"/>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VNE</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gridSpan w:val="2"/>
            <w:vMerge/>
            <w:shd w:val="pct10" w:color="CCFFFF" w:fill="auto"/>
            <w:vAlign w:val="center"/>
          </w:tcPr>
          <w:p w:rsidR="005E40F8" w:rsidRDefault="005E40F8">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E40F8" w:rsidRDefault="007C521D">
            <w:pPr>
              <w:jc w:val="center"/>
              <w:rPr>
                <w:rFonts w:ascii="Arial Narrow" w:hAnsi="Arial Narrow"/>
                <w:noProof/>
                <w:sz w:val="18"/>
                <w:szCs w:val="18"/>
              </w:rPr>
            </w:pPr>
            <w:r>
              <w:rPr>
                <w:rFonts w:ascii="Arial Narrow" w:hAnsi="Arial Narrow"/>
                <w:noProof/>
                <w:sz w:val="18"/>
              </w:rPr>
              <w:t>DAZ</w:t>
            </w:r>
          </w:p>
        </w:tc>
        <w:tc>
          <w:tcPr>
            <w:tcW w:w="666"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c>
          <w:tcPr>
            <w:tcW w:w="667" w:type="dxa"/>
            <w:shd w:val="pct10" w:color="CCFFFF" w:fill="auto"/>
          </w:tcPr>
          <w:p w:rsidR="005E40F8" w:rsidRDefault="005E40F8">
            <w:pPr>
              <w:jc w:val="center"/>
              <w:rPr>
                <w:rFonts w:ascii="Arial Narrow" w:hAnsi="Arial Narrow"/>
                <w:noProof/>
                <w:sz w:val="20"/>
                <w:szCs w:val="20"/>
              </w:rPr>
            </w:pPr>
          </w:p>
        </w:tc>
        <w:tc>
          <w:tcPr>
            <w:tcW w:w="1077" w:type="dxa"/>
            <w:shd w:val="pct10" w:color="CCFFFF" w:fill="auto"/>
            <w:vAlign w:val="center"/>
          </w:tcPr>
          <w:p w:rsidR="005E40F8" w:rsidRDefault="005E40F8">
            <w:pPr>
              <w:jc w:val="center"/>
              <w:rPr>
                <w:rFonts w:ascii="Arial Narrow" w:hAnsi="Arial Narrow"/>
                <w:noProof/>
                <w:sz w:val="20"/>
                <w:szCs w:val="20"/>
              </w:rPr>
            </w:pPr>
          </w:p>
        </w:tc>
      </w:tr>
      <w:tr w:rsidR="005E40F8">
        <w:trPr>
          <w:trHeight w:val="221"/>
        </w:trPr>
        <w:tc>
          <w:tcPr>
            <w:tcW w:w="3342" w:type="dxa"/>
            <w:gridSpan w:val="2"/>
            <w:tcBorders>
              <w:bottom w:val="single" w:sz="12" w:space="0" w:color="auto"/>
            </w:tcBorders>
            <w:shd w:val="pct10" w:color="CCFFFF" w:fill="auto"/>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noProof/>
                <w:sz w:val="20"/>
              </w:rPr>
              <w:t>Iné rozpočtové riadky (</w:t>
            </w:r>
            <w:r>
              <w:rPr>
                <w:rFonts w:ascii="Arial Narrow" w:hAnsi="Arial Narrow"/>
                <w:i/>
                <w:noProof/>
                <w:sz w:val="20"/>
              </w:rPr>
              <w:t>uveďte</w:t>
            </w:r>
            <w:r>
              <w:rPr>
                <w:rFonts w:ascii="Arial Narrow" w:hAnsi="Arial Narrow"/>
                <w:noProof/>
                <w:sz w:val="20"/>
              </w:rPr>
              <w:t>)</w:t>
            </w:r>
          </w:p>
        </w:tc>
        <w:tc>
          <w:tcPr>
            <w:tcW w:w="618" w:type="dxa"/>
            <w:tcBorders>
              <w:bottom w:val="single" w:sz="12" w:space="0" w:color="auto"/>
            </w:tcBorders>
            <w:shd w:val="pct10" w:color="CCFFFF" w:fill="auto"/>
            <w:vAlign w:val="center"/>
          </w:tcPr>
          <w:p w:rsidR="005E40F8" w:rsidRDefault="005E40F8">
            <w:pPr>
              <w:jc w:val="center"/>
              <w:rPr>
                <w:rFonts w:ascii="Arial Narrow" w:hAnsi="Arial Narrow"/>
                <w:noProof/>
                <w:sz w:val="18"/>
                <w:szCs w:val="18"/>
              </w:rPr>
            </w:pPr>
          </w:p>
        </w:tc>
        <w:tc>
          <w:tcPr>
            <w:tcW w:w="666"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5E40F8" w:rsidRDefault="007C521D">
            <w:pPr>
              <w:pStyle w:val="Text1"/>
              <w:spacing w:before="0" w:after="0"/>
              <w:ind w:left="0"/>
              <w:jc w:val="center"/>
              <w:rPr>
                <w:rFonts w:ascii="Arial Narrow" w:hAnsi="Arial Narrow"/>
                <w:b/>
                <w:noProof/>
              </w:rPr>
            </w:pPr>
            <w:r>
              <w:rPr>
                <w:rFonts w:ascii="Arial Narrow" w:hAnsi="Arial Narrow"/>
                <w:b/>
                <w:noProof/>
                <w:sz w:val="22"/>
              </w:rPr>
              <w:t>Medzisúčet – Mimo OKRUHU 5</w:t>
            </w:r>
            <w:r>
              <w:rPr>
                <w:noProof/>
              </w:rPr>
              <w:br/>
            </w:r>
            <w:r>
              <w:rPr>
                <w:rFonts w:ascii="Arial Narrow" w:hAnsi="Arial Narrow"/>
                <w:noProof/>
                <w:sz w:val="22"/>
              </w:rPr>
              <w:t>viacročného finančného rámca</w:t>
            </w:r>
          </w:p>
        </w:tc>
        <w:tc>
          <w:tcPr>
            <w:tcW w:w="618"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r>
      <w:tr w:rsidR="005E40F8">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5E40F8" w:rsidRDefault="007C521D">
            <w:pPr>
              <w:pStyle w:val="Text1"/>
              <w:ind w:left="0"/>
              <w:jc w:val="center"/>
              <w:rPr>
                <w:rFonts w:ascii="Arial Narrow" w:hAnsi="Arial Narrow"/>
                <w:b/>
                <w:noProof/>
                <w:sz w:val="22"/>
              </w:rPr>
            </w:pPr>
            <w:r>
              <w:rPr>
                <w:rFonts w:ascii="Arial Narrow" w:hAnsi="Arial Narrow"/>
                <w:b/>
                <w:noProof/>
                <w:color w:val="0000FF"/>
                <w:sz w:val="20"/>
              </w:rPr>
              <w:t>09</w:t>
            </w:r>
            <w:r>
              <w:rPr>
                <w:noProof/>
              </w:rPr>
              <w:t xml:space="preserve"> </w:t>
            </w:r>
            <w:r>
              <w:rPr>
                <w:rFonts w:ascii="Arial Narrow" w:hAnsi="Arial Narrow"/>
                <w:noProof/>
                <w:sz w:val="20"/>
              </w:rPr>
              <w:t xml:space="preserve">predstavuje príslušnú oblasť politiky alebo rozpočtovú hlavu. </w:t>
            </w:r>
            <w:r>
              <w:rPr>
                <w:rFonts w:ascii="Arial Narrow" w:hAnsi="Arial Narrow"/>
                <w:b/>
                <w:noProof/>
                <w:sz w:val="20"/>
              </w:rPr>
              <w:t>SPOLU</w:t>
            </w:r>
          </w:p>
        </w:tc>
        <w:tc>
          <w:tcPr>
            <w:tcW w:w="618"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E40F8" w:rsidRDefault="005E40F8">
            <w:pPr>
              <w:jc w:val="center"/>
              <w:rPr>
                <w:rFonts w:ascii="Arial Narrow" w:hAnsi="Arial Narrow"/>
                <w:noProof/>
                <w:sz w:val="20"/>
                <w:szCs w:val="20"/>
              </w:rPr>
            </w:pPr>
          </w:p>
        </w:tc>
      </w:tr>
    </w:tbl>
    <w:p w:rsidR="005E40F8" w:rsidRDefault="007C521D">
      <w:pPr>
        <w:keepNext/>
        <w:rPr>
          <w:noProof/>
          <w:sz w:val="28"/>
          <w:szCs w:val="28"/>
          <w:u w:val="single"/>
        </w:rPr>
      </w:pPr>
      <w:r>
        <w:rPr>
          <w:noProof/>
          <w:sz w:val="18"/>
        </w:rPr>
        <w:t xml:space="preserve">Potreby ľudských zdrojov budú pokryté úradníkmi GR, ktorí už boli pridelení na riadenie akcie a/alebo boli interne prerozdelení v rámci GR, a v prípade potreby budú </w:t>
      </w:r>
      <w:r>
        <w:rPr>
          <w:noProof/>
          <w:sz w:val="18"/>
        </w:rPr>
        <w:t>doplnené zdrojmi, ktoré sa môžu prideliť riadiacemu GR v rámci ročného postupu prideľovania zdrojov v závislosti od rozpočtových obmedzení.</w:t>
      </w:r>
    </w:p>
    <w:p w:rsidR="005E40F8" w:rsidRDefault="005E40F8">
      <w:pPr>
        <w:keepNext/>
        <w:spacing w:after="60"/>
        <w:ind w:left="540"/>
        <w:rPr>
          <w:noProof/>
        </w:rPr>
        <w:sectPr w:rsidR="005E40F8" w:rsidSect="007C521D">
          <w:headerReference w:type="default" r:id="rId27"/>
          <w:footerReference w:type="default" r:id="rId28"/>
          <w:headerReference w:type="first" r:id="rId29"/>
          <w:footerReference w:type="first" r:id="rId30"/>
          <w:pgSz w:w="15840" w:h="12240" w:orient="landscape" w:code="1"/>
          <w:pgMar w:top="624" w:right="902" w:bottom="624" w:left="1191" w:header="709" w:footer="567" w:gutter="0"/>
          <w:cols w:space="708"/>
          <w:docGrid w:linePitch="360"/>
        </w:sectPr>
      </w:pPr>
    </w:p>
    <w:p w:rsidR="005E40F8" w:rsidRDefault="007C521D">
      <w:pPr>
        <w:pStyle w:val="ManualHeading1"/>
        <w:rPr>
          <w:noProof/>
        </w:rPr>
      </w:pPr>
      <w:r>
        <w:t>2.</w:t>
      </w:r>
      <w:r>
        <w:tab/>
      </w:r>
      <w:r>
        <w:rPr>
          <w:noProof/>
        </w:rPr>
        <w:t>Náklady na ostatné administratívne výdavky</w:t>
      </w:r>
    </w:p>
    <w:p w:rsidR="005E40F8" w:rsidRDefault="007C521D">
      <w:pPr>
        <w:pStyle w:val="Point1"/>
        <w:spacing w:after="0"/>
        <w:ind w:left="2263" w:hanging="284"/>
        <w:rPr>
          <w:noProof/>
        </w:rPr>
      </w:pPr>
      <w:r>
        <w:rPr>
          <w:noProof/>
        </w:rPr>
        <w:sym w:font="Wingdings" w:char="F0A8"/>
      </w:r>
      <w:r>
        <w:rPr>
          <w:noProof/>
        </w:rPr>
        <w:tab/>
        <w:t>Návrh/iniciatíva si nevyžaduje použitie administratívnych rozpočtových prostriedkov.</w:t>
      </w:r>
    </w:p>
    <w:p w:rsidR="005E40F8" w:rsidRDefault="007C521D">
      <w:pPr>
        <w:pStyle w:val="Text1"/>
        <w:spacing w:before="0" w:after="0"/>
        <w:ind w:left="2263" w:hanging="284"/>
        <w:rPr>
          <w:noProof/>
        </w:rPr>
      </w:pPr>
      <w:r>
        <w:rPr>
          <w:noProof/>
        </w:rPr>
        <w:t>x</w:t>
      </w:r>
      <w:r>
        <w:rPr>
          <w:noProof/>
        </w:rPr>
        <w:tab/>
        <w:t>Návrh/iniciatíva si vyžaduje použitie administratívnych rozpočtových prostriedkov, je uvedené v nasledujúcej tabuľke:</w:t>
      </w:r>
    </w:p>
    <w:p w:rsidR="005E40F8" w:rsidRDefault="005E40F8">
      <w:pPr>
        <w:tabs>
          <w:tab w:val="left" w:pos="870"/>
        </w:tabs>
        <w:rPr>
          <w:noProof/>
          <w:sz w:val="16"/>
          <w:szCs w:val="16"/>
        </w:rPr>
      </w:pPr>
    </w:p>
    <w:p w:rsidR="005E40F8" w:rsidRDefault="007C521D">
      <w:pPr>
        <w:jc w:val="right"/>
        <w:rPr>
          <w:noProof/>
          <w:sz w:val="20"/>
          <w:szCs w:val="20"/>
        </w:rPr>
      </w:pPr>
      <w:r>
        <w:rPr>
          <w:i/>
          <w:noProof/>
          <w:sz w:val="20"/>
        </w:rPr>
        <w:t>v mil</w:t>
      </w:r>
      <w:r>
        <w:rPr>
          <w:i/>
          <w:noProof/>
          <w:sz w:val="20"/>
        </w:rPr>
        <w:t>. EUR (zaokrúhlené na 3 desatinné miesta)</w:t>
      </w:r>
    </w:p>
    <w:tbl>
      <w:tblPr>
        <w:tblW w:w="14973"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6"/>
        <w:gridCol w:w="1186"/>
        <w:gridCol w:w="1185"/>
        <w:gridCol w:w="1185"/>
        <w:gridCol w:w="1185"/>
        <w:gridCol w:w="1185"/>
        <w:gridCol w:w="1185"/>
        <w:gridCol w:w="1185"/>
        <w:gridCol w:w="1371"/>
      </w:tblGrid>
      <w:tr w:rsidR="005E40F8">
        <w:trPr>
          <w:trHeight w:val="289"/>
          <w:jc w:val="center"/>
        </w:trPr>
        <w:tc>
          <w:tcPr>
            <w:tcW w:w="5306" w:type="dxa"/>
          </w:tcPr>
          <w:p w:rsidR="005E40F8" w:rsidRDefault="005E40F8">
            <w:pPr>
              <w:pStyle w:val="Text1"/>
              <w:spacing w:before="40" w:after="40"/>
              <w:ind w:left="0"/>
              <w:jc w:val="center"/>
              <w:rPr>
                <w:i/>
                <w:noProof/>
                <w:sz w:val="20"/>
                <w:szCs w:val="20"/>
              </w:rPr>
            </w:pPr>
          </w:p>
        </w:tc>
        <w:tc>
          <w:tcPr>
            <w:tcW w:w="1186" w:type="dxa"/>
            <w:vAlign w:val="center"/>
          </w:tcPr>
          <w:p w:rsidR="005E40F8" w:rsidRDefault="007C521D">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5E40F8" w:rsidRDefault="007C521D">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5E40F8" w:rsidRDefault="007C521D">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5E40F8" w:rsidRDefault="007C521D">
            <w:pPr>
              <w:jc w:val="center"/>
              <w:rPr>
                <w:rFonts w:ascii="Arial Narrow" w:hAnsi="Arial Narrow"/>
                <w:noProof/>
                <w:sz w:val="20"/>
                <w:szCs w:val="20"/>
              </w:rPr>
            </w:pPr>
            <w:r>
              <w:rPr>
                <w:rFonts w:ascii="Arial Narrow" w:hAnsi="Arial Narrow"/>
                <w:b/>
                <w:noProof/>
                <w:color w:val="0000FF"/>
                <w:sz w:val="20"/>
              </w:rPr>
              <w:t>2020</w:t>
            </w:r>
          </w:p>
        </w:tc>
        <w:tc>
          <w:tcPr>
            <w:tcW w:w="3555" w:type="dxa"/>
            <w:gridSpan w:val="3"/>
            <w:vAlign w:val="center"/>
          </w:tcPr>
          <w:p w:rsidR="005E40F8" w:rsidRDefault="007C521D">
            <w:pPr>
              <w:jc w:val="center"/>
              <w:rPr>
                <w:rFonts w:ascii="Arial Narrow" w:hAnsi="Arial Narrow"/>
                <w:noProof/>
                <w:sz w:val="20"/>
                <w:szCs w:val="20"/>
              </w:rPr>
            </w:pPr>
            <w:r>
              <w:rPr>
                <w:rFonts w:ascii="Arial Narrow" w:hAnsi="Arial Narrow"/>
                <w:noProof/>
                <w:color w:val="0000FF"/>
                <w:sz w:val="20"/>
              </w:rPr>
              <w:t>... Uveďte všetky roky, počas ktorých vplyv trvá</w:t>
            </w:r>
            <w:r>
              <w:rPr>
                <w:noProof/>
              </w:rPr>
              <w:br/>
            </w:r>
            <w:r>
              <w:rPr>
                <w:rFonts w:ascii="Arial Narrow" w:hAnsi="Arial Narrow"/>
                <w:noProof/>
                <w:color w:val="0000FF"/>
                <w:sz w:val="18"/>
              </w:rPr>
              <w:t>(pozri bod 1.6)</w:t>
            </w:r>
          </w:p>
        </w:tc>
        <w:tc>
          <w:tcPr>
            <w:tcW w:w="1371" w:type="dxa"/>
            <w:vAlign w:val="center"/>
          </w:tcPr>
          <w:p w:rsidR="005E40F8" w:rsidRDefault="007C521D">
            <w:pPr>
              <w:jc w:val="center"/>
              <w:rPr>
                <w:rFonts w:ascii="Arial Narrow" w:hAnsi="Arial Narrow"/>
                <w:b/>
                <w:noProof/>
                <w:sz w:val="20"/>
                <w:szCs w:val="20"/>
              </w:rPr>
            </w:pPr>
            <w:r>
              <w:rPr>
                <w:rFonts w:ascii="Arial Narrow" w:hAnsi="Arial Narrow"/>
                <w:b/>
                <w:noProof/>
                <w:sz w:val="20"/>
              </w:rPr>
              <w:t>SPOLU</w:t>
            </w:r>
          </w:p>
        </w:tc>
      </w:tr>
      <w:tr w:rsidR="005E40F8">
        <w:trPr>
          <w:trHeight w:val="289"/>
          <w:jc w:val="center"/>
        </w:trPr>
        <w:tc>
          <w:tcPr>
            <w:tcW w:w="5306" w:type="dxa"/>
            <w:shd w:val="clear" w:color="auto" w:fill="D9D9D9"/>
          </w:tcPr>
          <w:p w:rsidR="005E40F8" w:rsidRDefault="007C521D">
            <w:pPr>
              <w:pStyle w:val="Text1"/>
              <w:spacing w:before="0" w:after="0"/>
              <w:ind w:left="0"/>
              <w:jc w:val="center"/>
              <w:rPr>
                <w:rFonts w:ascii="Arial Narrow" w:hAnsi="Arial Narrow"/>
                <w:i/>
                <w:noProof/>
                <w:sz w:val="20"/>
                <w:szCs w:val="20"/>
              </w:rPr>
            </w:pPr>
            <w:r>
              <w:rPr>
                <w:rFonts w:ascii="Arial Narrow" w:hAnsi="Arial Narrow"/>
                <w:b/>
                <w:noProof/>
                <w:sz w:val="22"/>
              </w:rPr>
              <w:t>OKRUH 5</w:t>
            </w:r>
            <w:r>
              <w:rPr>
                <w:noProof/>
              </w:rPr>
              <w:br/>
            </w:r>
            <w:r>
              <w:rPr>
                <w:rFonts w:ascii="Arial Narrow" w:hAnsi="Arial Narrow"/>
                <w:noProof/>
                <w:sz w:val="22"/>
              </w:rPr>
              <w:t>viacročného finančného rámca</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shd w:val="pct30" w:color="CCFFCC" w:fill="auto"/>
          </w:tcPr>
          <w:p w:rsidR="005E40F8" w:rsidRDefault="007C521D">
            <w:pPr>
              <w:pStyle w:val="Text1"/>
              <w:spacing w:before="40" w:after="40"/>
              <w:ind w:left="0"/>
              <w:jc w:val="left"/>
              <w:rPr>
                <w:rFonts w:ascii="Arial Narrow" w:hAnsi="Arial Narrow"/>
                <w:b/>
                <w:i/>
                <w:noProof/>
                <w:color w:val="008000"/>
                <w:sz w:val="20"/>
                <w:szCs w:val="20"/>
              </w:rPr>
            </w:pPr>
            <w:r>
              <w:rPr>
                <w:noProof/>
              </w:rPr>
              <w:tab/>
            </w:r>
            <w:r>
              <w:rPr>
                <w:rFonts w:ascii="Arial Narrow" w:hAnsi="Arial Narrow"/>
                <w:b/>
                <w:noProof/>
                <w:color w:val="008000"/>
                <w:sz w:val="20"/>
                <w:u w:val="single"/>
              </w:rPr>
              <w:t>Ústredie:</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vAlign w:val="center"/>
          </w:tcPr>
          <w:p w:rsidR="005E40F8" w:rsidRDefault="007C521D">
            <w:pPr>
              <w:pStyle w:val="Text1"/>
              <w:spacing w:before="40" w:after="40"/>
              <w:ind w:left="0"/>
              <w:jc w:val="left"/>
              <w:rPr>
                <w:rFonts w:ascii="Arial Narrow" w:hAnsi="Arial Narrow"/>
                <w:b/>
                <w:noProof/>
                <w:sz w:val="20"/>
                <w:szCs w:val="20"/>
              </w:rPr>
            </w:pPr>
            <w:r>
              <w:rPr>
                <w:rFonts w:ascii="Arial Narrow" w:hAnsi="Arial Narrow"/>
                <w:b/>
                <w:noProof/>
                <w:color w:val="0000FF"/>
                <w:sz w:val="20"/>
              </w:rPr>
              <w:t>09</w:t>
            </w:r>
            <w:r>
              <w:rPr>
                <w:rFonts w:ascii="Arial Narrow" w:hAnsi="Arial Narrow"/>
                <w:noProof/>
                <w:sz w:val="20"/>
              </w:rPr>
              <w:t xml:space="preserve"> 01 02 11 01 – Misie a výdavky na reprezentáciu</w:t>
            </w:r>
          </w:p>
        </w:tc>
        <w:tc>
          <w:tcPr>
            <w:tcW w:w="1186" w:type="dxa"/>
            <w:vAlign w:val="center"/>
          </w:tcPr>
          <w:p w:rsidR="005E40F8" w:rsidRDefault="007C521D">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5E40F8" w:rsidRDefault="007C521D">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5E40F8" w:rsidRDefault="007C521D">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5E40F8" w:rsidRDefault="007C521D">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7C521D">
            <w:pPr>
              <w:jc w:val="center"/>
              <w:rPr>
                <w:rFonts w:ascii="Arial Narrow" w:hAnsi="Arial Narrow"/>
                <w:b/>
                <w:noProof/>
                <w:sz w:val="20"/>
                <w:szCs w:val="20"/>
              </w:rPr>
            </w:pPr>
            <w:r>
              <w:rPr>
                <w:rFonts w:ascii="Arial Narrow" w:hAnsi="Arial Narrow"/>
                <w:b/>
                <w:noProof/>
                <w:sz w:val="20"/>
              </w:rPr>
              <w:t>0,060</w:t>
            </w:r>
          </w:p>
        </w:tc>
      </w:tr>
      <w:tr w:rsidR="005E40F8">
        <w:trPr>
          <w:trHeight w:val="289"/>
          <w:jc w:val="center"/>
        </w:trPr>
        <w:tc>
          <w:tcPr>
            <w:tcW w:w="5306" w:type="dxa"/>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02 – Náklady na konferencie a zasadnutia</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03 – Výbory</w:t>
            </w:r>
            <w:r>
              <w:rPr>
                <w:rStyle w:val="FootnoteReference"/>
                <w:rFonts w:ascii="Arial Narrow" w:hAnsi="Arial Narrow"/>
                <w:noProof/>
                <w:sz w:val="20"/>
              </w:rPr>
              <w:footnoteReference w:id="29"/>
            </w:r>
            <w:r>
              <w:rPr>
                <w:rFonts w:ascii="Arial Narrow" w:hAnsi="Arial Narrow"/>
                <w:noProof/>
                <w:sz w:val="20"/>
              </w:rPr>
              <w:t xml:space="preserve"> </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04 – Štúdie a konzultácie</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b/>
                <w:noProof/>
                <w:color w:val="1F497D"/>
                <w:sz w:val="20"/>
              </w:rPr>
              <w:t>09</w:t>
            </w:r>
            <w:r>
              <w:rPr>
                <w:rFonts w:ascii="Arial Narrow" w:hAnsi="Arial Narrow"/>
                <w:noProof/>
                <w:sz w:val="20"/>
              </w:rPr>
              <w:t xml:space="preserve"> 01 02 11 05 – Informačné a riadiace systémy</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vAlign w:val="center"/>
          </w:tcPr>
          <w:p w:rsidR="005E40F8" w:rsidRDefault="007C521D">
            <w:pPr>
              <w:pStyle w:val="Text1"/>
              <w:spacing w:before="40" w:after="40"/>
              <w:ind w:left="0"/>
              <w:jc w:val="left"/>
              <w:rPr>
                <w:rFonts w:ascii="Arial Narrow" w:hAnsi="Arial Narrow"/>
                <w:noProof/>
                <w:color w:val="0000FF"/>
                <w:sz w:val="20"/>
                <w:szCs w:val="20"/>
              </w:rPr>
            </w:pPr>
            <w:r>
              <w:rPr>
                <w:rFonts w:ascii="Arial Narrow" w:hAnsi="Arial Narrow"/>
                <w:noProof/>
                <w:sz w:val="20"/>
              </w:rPr>
              <w:t xml:space="preserve">XX 01 03 01 – Vybavenie a </w:t>
            </w:r>
            <w:r>
              <w:rPr>
                <w:rFonts w:ascii="Arial Narrow" w:hAnsi="Arial Narrow"/>
                <w:noProof/>
                <w:sz w:val="20"/>
              </w:rPr>
              <w:t>služby IKT</w:t>
            </w:r>
            <w:r>
              <w:rPr>
                <w:rStyle w:val="FootnoteReference"/>
                <w:rFonts w:ascii="Arial Narrow" w:hAnsi="Arial Narrow"/>
                <w:noProof/>
                <w:sz w:val="20"/>
              </w:rPr>
              <w:footnoteReference w:id="30"/>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noProof/>
                <w:sz w:val="20"/>
              </w:rPr>
              <w:t>Ostatné rozpočtové riadky (</w:t>
            </w:r>
            <w:r>
              <w:rPr>
                <w:rFonts w:ascii="Arial Narrow" w:hAnsi="Arial Narrow"/>
                <w:i/>
                <w:noProof/>
                <w:sz w:val="20"/>
              </w:rPr>
              <w:t>uveďte v prípade potreby</w:t>
            </w:r>
            <w:r>
              <w:rPr>
                <w:rFonts w:ascii="Arial Narrow" w:hAnsi="Arial Narrow"/>
                <w:noProof/>
                <w:sz w:val="20"/>
              </w:rPr>
              <w:t>)</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shd w:val="pct30" w:color="CCFFCC" w:fill="auto"/>
            <w:vAlign w:val="center"/>
          </w:tcPr>
          <w:p w:rsidR="005E40F8" w:rsidRDefault="007C521D">
            <w:pPr>
              <w:pStyle w:val="Text1"/>
              <w:spacing w:before="20" w:after="20"/>
              <w:ind w:left="0"/>
              <w:jc w:val="left"/>
              <w:rPr>
                <w:rFonts w:ascii="Arial Narrow" w:hAnsi="Arial Narrow"/>
                <w:b/>
                <w:noProof/>
                <w:color w:val="008000"/>
                <w:sz w:val="20"/>
                <w:szCs w:val="20"/>
                <w:u w:val="single"/>
              </w:rPr>
            </w:pPr>
            <w:r>
              <w:rPr>
                <w:noProof/>
              </w:rPr>
              <w:tab/>
            </w:r>
            <w:r>
              <w:rPr>
                <w:rFonts w:ascii="Arial Narrow" w:hAnsi="Arial Narrow"/>
                <w:b/>
                <w:noProof/>
                <w:color w:val="008000"/>
                <w:sz w:val="20"/>
                <w:u w:val="single"/>
              </w:rPr>
              <w:t>V delegáciách Únie</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noProof/>
                <w:sz w:val="20"/>
              </w:rPr>
              <w:t>XX 01 02 12 01 – Misie a výdavky na reprezentáciu</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noProof/>
                <w:sz w:val="20"/>
              </w:rPr>
              <w:t>XX 01 02 12 02 – Ďalšie odborné vzdelávanie zamestnancov</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vAlign w:val="center"/>
          </w:tcPr>
          <w:p w:rsidR="005E40F8" w:rsidRDefault="007C521D">
            <w:pPr>
              <w:pStyle w:val="Text1"/>
              <w:spacing w:before="40" w:after="40"/>
              <w:ind w:left="0"/>
              <w:jc w:val="left"/>
              <w:rPr>
                <w:rFonts w:ascii="Arial Narrow" w:hAnsi="Arial Narrow"/>
                <w:noProof/>
                <w:color w:val="0000FF"/>
                <w:sz w:val="20"/>
                <w:szCs w:val="20"/>
              </w:rPr>
            </w:pPr>
            <w:r>
              <w:rPr>
                <w:rFonts w:ascii="Arial Narrow" w:hAnsi="Arial Narrow"/>
                <w:noProof/>
                <w:sz w:val="20"/>
              </w:rPr>
              <w:t xml:space="preserve">XX 01 03 02 01 – </w:t>
            </w:r>
            <w:r>
              <w:rPr>
                <w:rFonts w:ascii="Arial Narrow" w:hAnsi="Arial Narrow"/>
                <w:noProof/>
                <w:sz w:val="20"/>
              </w:rPr>
              <w:t>Nadobúdanie, nájom a súvisiace výdavky</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tcBorders>
              <w:bottom w:val="single" w:sz="12" w:space="0" w:color="auto"/>
            </w:tcBorders>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noProof/>
                <w:sz w:val="20"/>
              </w:rPr>
              <w:t>XX 01 03 02 02 – Vybavenie, nábytok, dodávky a služby</w:t>
            </w:r>
          </w:p>
        </w:tc>
        <w:tc>
          <w:tcPr>
            <w:tcW w:w="1186"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371" w:type="dxa"/>
            <w:tcBorders>
              <w:bottom w:val="single" w:sz="12" w:space="0" w:color="auto"/>
            </w:tcBorders>
            <w:vAlign w:val="center"/>
          </w:tcPr>
          <w:p w:rsidR="005E40F8" w:rsidRDefault="005E40F8">
            <w:pPr>
              <w:jc w:val="center"/>
              <w:rPr>
                <w:rFonts w:ascii="Arial Narrow" w:hAnsi="Arial Narrow"/>
                <w:b/>
                <w:noProof/>
                <w:sz w:val="20"/>
                <w:szCs w:val="20"/>
              </w:rPr>
            </w:pPr>
          </w:p>
        </w:tc>
      </w:tr>
      <w:tr w:rsidR="005E40F8">
        <w:trPr>
          <w:trHeight w:val="289"/>
          <w:jc w:val="center"/>
        </w:trPr>
        <w:tc>
          <w:tcPr>
            <w:tcW w:w="5306" w:type="dxa"/>
            <w:tcBorders>
              <w:top w:val="single" w:sz="12" w:space="0" w:color="auto"/>
              <w:left w:val="single" w:sz="12" w:space="0" w:color="auto"/>
              <w:bottom w:val="single" w:sz="12" w:space="0" w:color="auto"/>
            </w:tcBorders>
            <w:vAlign w:val="center"/>
          </w:tcPr>
          <w:p w:rsidR="005E40F8" w:rsidRDefault="007C521D">
            <w:pPr>
              <w:pStyle w:val="Text1"/>
              <w:spacing w:before="20" w:after="20"/>
              <w:ind w:left="0"/>
              <w:jc w:val="center"/>
              <w:rPr>
                <w:rFonts w:ascii="Arial Narrow" w:hAnsi="Arial Narrow"/>
                <w:b/>
                <w:noProof/>
                <w:color w:val="0000FF"/>
                <w:sz w:val="20"/>
                <w:szCs w:val="20"/>
              </w:rPr>
            </w:pPr>
            <w:r>
              <w:rPr>
                <w:rFonts w:ascii="Arial Narrow" w:hAnsi="Arial Narrow"/>
                <w:b/>
                <w:noProof/>
                <w:sz w:val="22"/>
              </w:rPr>
              <w:t>Medzisúčet OKRUHU 5</w:t>
            </w:r>
            <w:r>
              <w:rPr>
                <w:noProof/>
              </w:rPr>
              <w:br/>
            </w:r>
            <w:r>
              <w:rPr>
                <w:rFonts w:ascii="Arial Narrow" w:hAnsi="Arial Narrow"/>
                <w:noProof/>
                <w:sz w:val="22"/>
              </w:rPr>
              <w:t>viacročného finančného rámca</w:t>
            </w:r>
          </w:p>
        </w:tc>
        <w:tc>
          <w:tcPr>
            <w:tcW w:w="1186" w:type="dxa"/>
            <w:tcBorders>
              <w:top w:val="single" w:sz="12" w:space="0" w:color="auto"/>
              <w:bottom w:val="single" w:sz="12" w:space="0" w:color="auto"/>
            </w:tcBorders>
            <w:vAlign w:val="center"/>
          </w:tcPr>
          <w:p w:rsidR="005E40F8" w:rsidRDefault="007C521D">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5E40F8" w:rsidRDefault="007C521D">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5E40F8" w:rsidRDefault="007C521D">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5E40F8" w:rsidRDefault="007C521D">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5E40F8" w:rsidRDefault="005E40F8">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5E40F8" w:rsidRDefault="007C521D">
            <w:pPr>
              <w:jc w:val="center"/>
              <w:rPr>
                <w:rFonts w:ascii="Arial Narrow" w:hAnsi="Arial Narrow"/>
                <w:b/>
                <w:noProof/>
                <w:sz w:val="20"/>
                <w:szCs w:val="20"/>
              </w:rPr>
            </w:pPr>
            <w:r>
              <w:rPr>
                <w:rFonts w:ascii="Arial Narrow" w:hAnsi="Arial Narrow"/>
                <w:b/>
                <w:noProof/>
                <w:sz w:val="20"/>
              </w:rPr>
              <w:t>0,060</w:t>
            </w:r>
          </w:p>
        </w:tc>
      </w:tr>
    </w:tbl>
    <w:p w:rsidR="005E40F8" w:rsidRDefault="007C521D">
      <w:pPr>
        <w:rPr>
          <w:noProof/>
          <w:sz w:val="20"/>
          <w:szCs w:val="20"/>
        </w:rPr>
      </w:pPr>
      <w:r>
        <w:rPr>
          <w:b/>
          <w:noProof/>
        </w:rPr>
        <w:t>09</w:t>
      </w:r>
      <w:r>
        <w:rPr>
          <w:noProof/>
        </w:rPr>
        <w:t xml:space="preserve"> predstavuje príslušnú oblasť politiky alebo rozpočtovú hlavu.</w:t>
      </w:r>
    </w:p>
    <w:p w:rsidR="005E40F8" w:rsidRDefault="007C521D">
      <w:pPr>
        <w:ind w:right="-496"/>
        <w:jc w:val="right"/>
        <w:rPr>
          <w:noProof/>
        </w:rPr>
      </w:pPr>
      <w:r>
        <w:rPr>
          <w:noProof/>
        </w:rPr>
        <w:br w:type="page"/>
      </w:r>
    </w:p>
    <w:p w:rsidR="005E40F8" w:rsidRDefault="005E40F8">
      <w:pPr>
        <w:ind w:right="-496"/>
        <w:jc w:val="right"/>
        <w:rPr>
          <w:noProof/>
        </w:rPr>
      </w:pPr>
    </w:p>
    <w:p w:rsidR="005E40F8" w:rsidRDefault="007C521D">
      <w:pPr>
        <w:ind w:right="-496"/>
        <w:jc w:val="right"/>
        <w:rPr>
          <w:i/>
          <w:iCs/>
          <w:noProof/>
          <w:sz w:val="20"/>
          <w:szCs w:val="20"/>
        </w:rPr>
      </w:pPr>
      <w:r>
        <w:rPr>
          <w:i/>
          <w:noProof/>
          <w:sz w:val="20"/>
        </w:rPr>
        <w:t>v mil. EUR (zaokrúhlené na 3 desatinné miesta)</w:t>
      </w: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3555"/>
        <w:gridCol w:w="1371"/>
      </w:tblGrid>
      <w:tr w:rsidR="005E40F8">
        <w:trPr>
          <w:trHeight w:val="289"/>
          <w:jc w:val="center"/>
        </w:trPr>
        <w:tc>
          <w:tcPr>
            <w:tcW w:w="4789" w:type="dxa"/>
          </w:tcPr>
          <w:p w:rsidR="005E40F8" w:rsidRDefault="005E40F8">
            <w:pPr>
              <w:pStyle w:val="Text1"/>
              <w:spacing w:before="40" w:after="40"/>
              <w:ind w:left="0"/>
              <w:jc w:val="center"/>
              <w:rPr>
                <w:i/>
                <w:noProof/>
                <w:sz w:val="20"/>
                <w:szCs w:val="20"/>
              </w:rPr>
            </w:pPr>
          </w:p>
        </w:tc>
        <w:tc>
          <w:tcPr>
            <w:tcW w:w="1186" w:type="dxa"/>
            <w:vAlign w:val="center"/>
          </w:tcPr>
          <w:p w:rsidR="005E40F8" w:rsidRDefault="007C521D">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5E40F8" w:rsidRDefault="007C521D">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5E40F8" w:rsidRDefault="007C521D">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5E40F8" w:rsidRDefault="007C521D">
            <w:pPr>
              <w:jc w:val="center"/>
              <w:rPr>
                <w:rFonts w:ascii="Arial Narrow" w:hAnsi="Arial Narrow"/>
                <w:noProof/>
                <w:sz w:val="20"/>
                <w:szCs w:val="20"/>
              </w:rPr>
            </w:pPr>
            <w:r>
              <w:rPr>
                <w:rFonts w:ascii="Arial Narrow" w:hAnsi="Arial Narrow"/>
                <w:b/>
                <w:noProof/>
                <w:color w:val="0000FF"/>
                <w:sz w:val="20"/>
              </w:rPr>
              <w:t>2020</w:t>
            </w:r>
          </w:p>
        </w:tc>
        <w:tc>
          <w:tcPr>
            <w:tcW w:w="3555" w:type="dxa"/>
            <w:vAlign w:val="center"/>
          </w:tcPr>
          <w:p w:rsidR="005E40F8" w:rsidRDefault="007C521D">
            <w:pPr>
              <w:jc w:val="center"/>
              <w:rPr>
                <w:rFonts w:ascii="Arial Narrow" w:hAnsi="Arial Narrow"/>
                <w:noProof/>
                <w:sz w:val="20"/>
                <w:szCs w:val="20"/>
              </w:rPr>
            </w:pPr>
            <w:r>
              <w:rPr>
                <w:rFonts w:ascii="Arial Narrow" w:hAnsi="Arial Narrow"/>
                <w:noProof/>
                <w:color w:val="0000FF"/>
                <w:sz w:val="20"/>
              </w:rPr>
              <w:t>... Uveďte všetky roky, počas ktorých vplyv trvá</w:t>
            </w:r>
            <w:r>
              <w:rPr>
                <w:noProof/>
              </w:rPr>
              <w:br/>
            </w:r>
            <w:r>
              <w:rPr>
                <w:rFonts w:ascii="Arial Narrow" w:hAnsi="Arial Narrow"/>
                <w:noProof/>
                <w:color w:val="0000FF"/>
                <w:sz w:val="18"/>
              </w:rPr>
              <w:t>(pozri bod 1.6)</w:t>
            </w:r>
          </w:p>
        </w:tc>
        <w:tc>
          <w:tcPr>
            <w:tcW w:w="1371" w:type="dxa"/>
            <w:vAlign w:val="center"/>
          </w:tcPr>
          <w:p w:rsidR="005E40F8" w:rsidRDefault="007C521D">
            <w:pPr>
              <w:jc w:val="center"/>
              <w:rPr>
                <w:rFonts w:ascii="Arial Narrow" w:hAnsi="Arial Narrow"/>
                <w:b/>
                <w:noProof/>
                <w:sz w:val="20"/>
                <w:szCs w:val="20"/>
              </w:rPr>
            </w:pPr>
            <w:r>
              <w:rPr>
                <w:rFonts w:ascii="Arial Narrow" w:hAnsi="Arial Narrow"/>
                <w:b/>
                <w:noProof/>
                <w:sz w:val="20"/>
              </w:rPr>
              <w:t>SPOLU</w:t>
            </w:r>
          </w:p>
        </w:tc>
      </w:tr>
    </w:tbl>
    <w:p w:rsidR="005E40F8" w:rsidRDefault="005E40F8">
      <w:pPr>
        <w:rPr>
          <w:rFonts w:ascii="Arial Narrow" w:hAnsi="Arial Narrow"/>
          <w:noProof/>
          <w:sz w:val="18"/>
          <w:szCs w:val="18"/>
        </w:rPr>
      </w:pP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1185"/>
        <w:gridCol w:w="1185"/>
        <w:gridCol w:w="1185"/>
        <w:gridCol w:w="1371"/>
      </w:tblGrid>
      <w:tr w:rsidR="005E40F8">
        <w:trPr>
          <w:trHeight w:val="289"/>
          <w:jc w:val="center"/>
        </w:trPr>
        <w:tc>
          <w:tcPr>
            <w:tcW w:w="4789" w:type="dxa"/>
            <w:tcBorders>
              <w:top w:val="single" w:sz="12" w:space="0" w:color="auto"/>
            </w:tcBorders>
            <w:shd w:val="clear" w:color="auto" w:fill="D9D9D9"/>
            <w:vAlign w:val="center"/>
          </w:tcPr>
          <w:p w:rsidR="005E40F8" w:rsidRDefault="007C521D">
            <w:pPr>
              <w:pStyle w:val="Text1"/>
              <w:spacing w:before="40" w:after="40"/>
              <w:ind w:left="0"/>
              <w:jc w:val="center"/>
              <w:rPr>
                <w:rFonts w:ascii="Arial Narrow" w:hAnsi="Arial Narrow"/>
                <w:b/>
                <w:noProof/>
                <w:color w:val="0000FF"/>
                <w:sz w:val="20"/>
                <w:szCs w:val="20"/>
              </w:rPr>
            </w:pPr>
            <w:r>
              <w:rPr>
                <w:rFonts w:ascii="Arial Narrow" w:hAnsi="Arial Narrow"/>
                <w:b/>
                <w:noProof/>
                <w:sz w:val="22"/>
              </w:rPr>
              <w:t>Mimo OKRUHU 5</w:t>
            </w:r>
            <w:r>
              <w:rPr>
                <w:noProof/>
              </w:rPr>
              <w:br/>
            </w:r>
            <w:r>
              <w:rPr>
                <w:rFonts w:ascii="Arial Narrow" w:hAnsi="Arial Narrow"/>
                <w:noProof/>
                <w:sz w:val="22"/>
              </w:rPr>
              <w:t>viacročného finančného rámca</w:t>
            </w:r>
          </w:p>
        </w:tc>
        <w:tc>
          <w:tcPr>
            <w:tcW w:w="1186" w:type="dxa"/>
            <w:tcBorders>
              <w:top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tcBorders>
            <w:vAlign w:val="center"/>
          </w:tcPr>
          <w:p w:rsidR="005E40F8" w:rsidRDefault="005E40F8">
            <w:pPr>
              <w:jc w:val="center"/>
              <w:rPr>
                <w:rFonts w:ascii="Arial Narrow" w:hAnsi="Arial Narrow"/>
                <w:noProof/>
                <w:sz w:val="20"/>
                <w:szCs w:val="20"/>
              </w:rPr>
            </w:pPr>
          </w:p>
        </w:tc>
        <w:tc>
          <w:tcPr>
            <w:tcW w:w="1371" w:type="dxa"/>
            <w:tcBorders>
              <w:top w:val="single" w:sz="12" w:space="0" w:color="auto"/>
            </w:tcBorders>
            <w:vAlign w:val="center"/>
          </w:tcPr>
          <w:p w:rsidR="005E40F8" w:rsidRDefault="005E40F8">
            <w:pPr>
              <w:jc w:val="center"/>
              <w:rPr>
                <w:rFonts w:ascii="Arial Narrow" w:hAnsi="Arial Narrow"/>
                <w:b/>
                <w:noProof/>
                <w:sz w:val="20"/>
                <w:szCs w:val="20"/>
              </w:rPr>
            </w:pPr>
          </w:p>
        </w:tc>
      </w:tr>
      <w:tr w:rsidR="005E40F8">
        <w:trPr>
          <w:trHeight w:val="289"/>
          <w:jc w:val="center"/>
        </w:trPr>
        <w:tc>
          <w:tcPr>
            <w:tcW w:w="4789" w:type="dxa"/>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01 04 01 </w:t>
            </w:r>
            <w:r>
              <w:rPr>
                <w:rFonts w:ascii="Arial Narrow" w:hAnsi="Arial Narrow"/>
                <w:noProof/>
                <w:sz w:val="20"/>
              </w:rPr>
              <w:t>– Výdavky na technickú a administratívnu pomoc (</w:t>
            </w:r>
            <w:r>
              <w:rPr>
                <w:rFonts w:ascii="Arial Narrow" w:hAnsi="Arial Narrow"/>
                <w:noProof/>
                <w:sz w:val="20"/>
                <w:u w:val="single"/>
              </w:rPr>
              <w:t>bez</w:t>
            </w:r>
            <w:r>
              <w:rPr>
                <w:rFonts w:ascii="Arial Narrow" w:hAnsi="Arial Narrow"/>
                <w:noProof/>
                <w:sz w:val="20"/>
              </w:rPr>
              <w:t xml:space="preserve"> externých zamestnancov) z operačných rozpočtových prostriedkov (pôvodné rozpočtové riadky „BA“)</w:t>
            </w:r>
          </w:p>
        </w:tc>
        <w:tc>
          <w:tcPr>
            <w:tcW w:w="1186" w:type="dxa"/>
            <w:vAlign w:val="center"/>
          </w:tcPr>
          <w:p w:rsidR="005E40F8" w:rsidRDefault="007C521D">
            <w:pPr>
              <w:jc w:val="center"/>
              <w:rPr>
                <w:rFonts w:ascii="Arial Narrow" w:hAnsi="Arial Narrow"/>
                <w:noProof/>
                <w:sz w:val="20"/>
                <w:szCs w:val="20"/>
              </w:rPr>
            </w:pPr>
            <w:r>
              <w:rPr>
                <w:rFonts w:ascii="Arial Narrow" w:hAnsi="Arial Narrow"/>
                <w:noProof/>
                <w:sz w:val="20"/>
              </w:rPr>
              <w:t>0,090</w:t>
            </w:r>
          </w:p>
        </w:tc>
        <w:tc>
          <w:tcPr>
            <w:tcW w:w="1185" w:type="dxa"/>
            <w:vAlign w:val="center"/>
          </w:tcPr>
          <w:p w:rsidR="005E40F8" w:rsidRDefault="007C521D">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5E40F8" w:rsidRDefault="007C521D">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5E40F8" w:rsidRDefault="007C521D">
            <w:pPr>
              <w:jc w:val="center"/>
              <w:rPr>
                <w:rFonts w:ascii="Arial Narrow" w:hAnsi="Arial Narrow"/>
                <w:noProof/>
                <w:sz w:val="20"/>
                <w:szCs w:val="20"/>
              </w:rPr>
            </w:pPr>
            <w:r>
              <w:rPr>
                <w:rFonts w:ascii="Arial Narrow" w:hAnsi="Arial Narrow"/>
                <w:noProof/>
                <w:sz w:val="20"/>
              </w:rPr>
              <w:t>0,060</w:t>
            </w: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7C521D">
            <w:pPr>
              <w:jc w:val="center"/>
              <w:rPr>
                <w:rFonts w:ascii="Arial Narrow" w:hAnsi="Arial Narrow"/>
                <w:b/>
                <w:noProof/>
                <w:sz w:val="20"/>
                <w:szCs w:val="20"/>
              </w:rPr>
            </w:pPr>
            <w:r>
              <w:rPr>
                <w:rFonts w:ascii="Arial Narrow" w:hAnsi="Arial Narrow"/>
                <w:b/>
                <w:noProof/>
                <w:sz w:val="20"/>
              </w:rPr>
              <w:t>0,200</w:t>
            </w:r>
          </w:p>
        </w:tc>
      </w:tr>
      <w:tr w:rsidR="005E40F8">
        <w:trPr>
          <w:trHeight w:val="289"/>
          <w:jc w:val="center"/>
        </w:trPr>
        <w:tc>
          <w:tcPr>
            <w:tcW w:w="4789" w:type="dxa"/>
            <w:vAlign w:val="center"/>
          </w:tcPr>
          <w:p w:rsidR="005E40F8" w:rsidRDefault="007C521D">
            <w:pPr>
              <w:pStyle w:val="Text1"/>
              <w:spacing w:before="40" w:after="40"/>
              <w:ind w:left="136"/>
              <w:jc w:val="left"/>
              <w:rPr>
                <w:rFonts w:ascii="Arial Narrow" w:hAnsi="Arial Narrow"/>
                <w:noProof/>
                <w:sz w:val="20"/>
                <w:szCs w:val="20"/>
              </w:rPr>
            </w:pPr>
            <w:r>
              <w:rPr>
                <w:noProof/>
                <w:sz w:val="16"/>
              </w:rPr>
              <w:t>‒</w:t>
            </w:r>
            <w:r>
              <w:rPr>
                <w:rFonts w:ascii="Arial Narrow" w:hAnsi="Arial Narrow"/>
                <w:noProof/>
                <w:sz w:val="20"/>
              </w:rPr>
              <w:t xml:space="preserve"> ústredie</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4789" w:type="dxa"/>
            <w:vAlign w:val="center"/>
          </w:tcPr>
          <w:p w:rsidR="005E40F8" w:rsidRDefault="007C521D">
            <w:pPr>
              <w:pStyle w:val="Text1"/>
              <w:spacing w:before="40" w:after="40"/>
              <w:ind w:left="136"/>
              <w:jc w:val="left"/>
              <w:rPr>
                <w:rFonts w:ascii="Arial Narrow" w:hAnsi="Arial Narrow"/>
                <w:noProof/>
                <w:sz w:val="20"/>
                <w:szCs w:val="20"/>
              </w:rPr>
            </w:pPr>
            <w:r>
              <w:rPr>
                <w:noProof/>
                <w:sz w:val="16"/>
              </w:rPr>
              <w:t>‒</w:t>
            </w:r>
            <w:r>
              <w:rPr>
                <w:rFonts w:ascii="Arial Narrow" w:hAnsi="Arial Narrow"/>
                <w:noProof/>
                <w:sz w:val="20"/>
              </w:rPr>
              <w:t xml:space="preserve"> v delegáciách Únie</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4789" w:type="dxa"/>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03 – Ostatné výdavky na riadenie pre nepriamy výskum</w:t>
            </w:r>
          </w:p>
        </w:tc>
        <w:tc>
          <w:tcPr>
            <w:tcW w:w="1186"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185" w:type="dxa"/>
            <w:vAlign w:val="center"/>
          </w:tcPr>
          <w:p w:rsidR="005E40F8" w:rsidRDefault="005E40F8">
            <w:pPr>
              <w:jc w:val="center"/>
              <w:rPr>
                <w:rFonts w:ascii="Arial Narrow" w:hAnsi="Arial Narrow"/>
                <w:noProof/>
                <w:sz w:val="20"/>
                <w:szCs w:val="20"/>
              </w:rPr>
            </w:pPr>
          </w:p>
        </w:tc>
        <w:tc>
          <w:tcPr>
            <w:tcW w:w="1371" w:type="dxa"/>
            <w:vAlign w:val="center"/>
          </w:tcPr>
          <w:p w:rsidR="005E40F8" w:rsidRDefault="005E40F8">
            <w:pPr>
              <w:jc w:val="center"/>
              <w:rPr>
                <w:rFonts w:ascii="Arial Narrow" w:hAnsi="Arial Narrow"/>
                <w:b/>
                <w:noProof/>
                <w:sz w:val="20"/>
                <w:szCs w:val="20"/>
              </w:rPr>
            </w:pPr>
          </w:p>
        </w:tc>
      </w:tr>
      <w:tr w:rsidR="005E40F8">
        <w:trPr>
          <w:trHeight w:val="289"/>
          <w:jc w:val="center"/>
        </w:trPr>
        <w:tc>
          <w:tcPr>
            <w:tcW w:w="4789" w:type="dxa"/>
            <w:tcBorders>
              <w:bottom w:val="single" w:sz="12" w:space="0" w:color="auto"/>
            </w:tcBorders>
            <w:vAlign w:val="center"/>
          </w:tcPr>
          <w:p w:rsidR="005E40F8" w:rsidRDefault="007C521D">
            <w:pPr>
              <w:pStyle w:val="Text1"/>
              <w:spacing w:before="40" w:after="40"/>
              <w:ind w:left="0"/>
              <w:jc w:val="left"/>
              <w:rPr>
                <w:rFonts w:ascii="Arial Narrow" w:hAnsi="Arial Narrow"/>
                <w:noProof/>
                <w:sz w:val="20"/>
                <w:szCs w:val="20"/>
              </w:rPr>
            </w:pPr>
            <w:r>
              <w:rPr>
                <w:rFonts w:ascii="Arial Narrow" w:hAnsi="Arial Narrow"/>
                <w:noProof/>
                <w:sz w:val="20"/>
              </w:rPr>
              <w:t>10 01 05 03 – Ostatné výdavky na riadenie pre priamy výskum</w:t>
            </w:r>
          </w:p>
        </w:tc>
        <w:tc>
          <w:tcPr>
            <w:tcW w:w="1186"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371" w:type="dxa"/>
            <w:tcBorders>
              <w:bottom w:val="single" w:sz="12" w:space="0" w:color="auto"/>
            </w:tcBorders>
            <w:vAlign w:val="center"/>
          </w:tcPr>
          <w:p w:rsidR="005E40F8" w:rsidRDefault="005E40F8">
            <w:pPr>
              <w:jc w:val="center"/>
              <w:rPr>
                <w:rFonts w:ascii="Arial Narrow" w:hAnsi="Arial Narrow"/>
                <w:b/>
                <w:noProof/>
                <w:sz w:val="20"/>
                <w:szCs w:val="20"/>
              </w:rPr>
            </w:pPr>
          </w:p>
        </w:tc>
      </w:tr>
      <w:tr w:rsidR="005E40F8">
        <w:trPr>
          <w:trHeight w:val="289"/>
          <w:jc w:val="center"/>
        </w:trPr>
        <w:tc>
          <w:tcPr>
            <w:tcW w:w="4789" w:type="dxa"/>
            <w:tcBorders>
              <w:bottom w:val="single" w:sz="12" w:space="0" w:color="auto"/>
            </w:tcBorders>
            <w:vAlign w:val="center"/>
          </w:tcPr>
          <w:p w:rsidR="005E40F8" w:rsidRDefault="007C521D">
            <w:pPr>
              <w:pStyle w:val="Text1"/>
              <w:spacing w:before="40" w:after="40"/>
              <w:ind w:left="0"/>
              <w:jc w:val="left"/>
              <w:rPr>
                <w:rFonts w:ascii="Arial Narrow" w:hAnsi="Arial Narrow"/>
                <w:b/>
                <w:noProof/>
                <w:sz w:val="20"/>
                <w:szCs w:val="20"/>
              </w:rPr>
            </w:pPr>
            <w:r>
              <w:rPr>
                <w:rFonts w:ascii="Arial Narrow" w:hAnsi="Arial Narrow"/>
                <w:noProof/>
                <w:sz w:val="20"/>
              </w:rPr>
              <w:t>Ostatné rozpočtové riadky (</w:t>
            </w:r>
            <w:r>
              <w:rPr>
                <w:rFonts w:ascii="Arial Narrow" w:hAnsi="Arial Narrow"/>
                <w:i/>
                <w:noProof/>
                <w:sz w:val="20"/>
              </w:rPr>
              <w:t>uveďte v prípade potreby</w:t>
            </w:r>
            <w:r>
              <w:rPr>
                <w:rFonts w:ascii="Arial Narrow" w:hAnsi="Arial Narrow"/>
                <w:noProof/>
                <w:sz w:val="20"/>
              </w:rPr>
              <w:t>)</w:t>
            </w:r>
          </w:p>
        </w:tc>
        <w:tc>
          <w:tcPr>
            <w:tcW w:w="1186"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bottom w:val="single" w:sz="12" w:space="0" w:color="auto"/>
            </w:tcBorders>
            <w:vAlign w:val="center"/>
          </w:tcPr>
          <w:p w:rsidR="005E40F8" w:rsidRDefault="005E40F8">
            <w:pPr>
              <w:jc w:val="center"/>
              <w:rPr>
                <w:rFonts w:ascii="Arial Narrow" w:hAnsi="Arial Narrow"/>
                <w:noProof/>
                <w:sz w:val="20"/>
                <w:szCs w:val="20"/>
              </w:rPr>
            </w:pPr>
          </w:p>
        </w:tc>
        <w:tc>
          <w:tcPr>
            <w:tcW w:w="1371" w:type="dxa"/>
            <w:tcBorders>
              <w:bottom w:val="single" w:sz="12" w:space="0" w:color="auto"/>
            </w:tcBorders>
            <w:vAlign w:val="center"/>
          </w:tcPr>
          <w:p w:rsidR="005E40F8" w:rsidRDefault="005E40F8">
            <w:pPr>
              <w:jc w:val="center"/>
              <w:rPr>
                <w:rFonts w:ascii="Arial Narrow" w:hAnsi="Arial Narrow"/>
                <w:b/>
                <w:noProof/>
                <w:sz w:val="20"/>
                <w:szCs w:val="20"/>
              </w:rPr>
            </w:pPr>
          </w:p>
        </w:tc>
      </w:tr>
      <w:tr w:rsidR="005E40F8">
        <w:trPr>
          <w:trHeight w:val="289"/>
          <w:jc w:val="center"/>
        </w:trPr>
        <w:tc>
          <w:tcPr>
            <w:tcW w:w="4789" w:type="dxa"/>
            <w:tcBorders>
              <w:top w:val="single" w:sz="12" w:space="0" w:color="auto"/>
              <w:left w:val="single" w:sz="12" w:space="0" w:color="auto"/>
              <w:bottom w:val="single" w:sz="12" w:space="0" w:color="auto"/>
            </w:tcBorders>
            <w:vAlign w:val="center"/>
          </w:tcPr>
          <w:p w:rsidR="005E40F8" w:rsidRDefault="007C521D">
            <w:pPr>
              <w:pStyle w:val="Text1"/>
              <w:spacing w:before="20" w:after="20"/>
              <w:ind w:left="0"/>
              <w:jc w:val="center"/>
              <w:rPr>
                <w:rFonts w:ascii="Arial Narrow" w:hAnsi="Arial Narrow"/>
                <w:b/>
                <w:noProof/>
                <w:color w:val="0000FF"/>
                <w:sz w:val="20"/>
                <w:szCs w:val="20"/>
              </w:rPr>
            </w:pPr>
            <w:r>
              <w:rPr>
                <w:rFonts w:ascii="Arial Narrow" w:hAnsi="Arial Narrow"/>
                <w:b/>
                <w:noProof/>
                <w:sz w:val="22"/>
              </w:rPr>
              <w:t>Medzisúčet – Mimo OKRUHU 5</w:t>
            </w:r>
            <w:r>
              <w:rPr>
                <w:noProof/>
              </w:rPr>
              <w:br/>
            </w:r>
            <w:r>
              <w:rPr>
                <w:rFonts w:ascii="Arial Narrow" w:hAnsi="Arial Narrow"/>
                <w:noProof/>
                <w:sz w:val="22"/>
              </w:rPr>
              <w:t>viacročného finančného rámca</w:t>
            </w:r>
          </w:p>
        </w:tc>
        <w:tc>
          <w:tcPr>
            <w:tcW w:w="1186" w:type="dxa"/>
            <w:tcBorders>
              <w:top w:val="single" w:sz="12" w:space="0" w:color="auto"/>
              <w:bottom w:val="single" w:sz="12" w:space="0" w:color="auto"/>
            </w:tcBorders>
            <w:vAlign w:val="center"/>
          </w:tcPr>
          <w:p w:rsidR="005E40F8" w:rsidRDefault="007C521D">
            <w:pPr>
              <w:jc w:val="center"/>
              <w:rPr>
                <w:rFonts w:ascii="Arial Narrow" w:hAnsi="Arial Narrow"/>
                <w:noProof/>
                <w:sz w:val="20"/>
                <w:szCs w:val="20"/>
              </w:rPr>
            </w:pPr>
            <w:r>
              <w:rPr>
                <w:rFonts w:ascii="Arial Narrow" w:hAnsi="Arial Narrow"/>
                <w:noProof/>
                <w:sz w:val="20"/>
              </w:rPr>
              <w:t>0,090</w:t>
            </w:r>
          </w:p>
        </w:tc>
        <w:tc>
          <w:tcPr>
            <w:tcW w:w="1185" w:type="dxa"/>
            <w:tcBorders>
              <w:top w:val="single" w:sz="12" w:space="0" w:color="auto"/>
              <w:bottom w:val="single" w:sz="12" w:space="0" w:color="auto"/>
            </w:tcBorders>
            <w:vAlign w:val="center"/>
          </w:tcPr>
          <w:p w:rsidR="005E40F8" w:rsidRDefault="007C521D">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5E40F8" w:rsidRDefault="007C521D">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5E40F8" w:rsidRDefault="007C521D">
            <w:pPr>
              <w:jc w:val="center"/>
              <w:rPr>
                <w:rFonts w:ascii="Arial Narrow" w:hAnsi="Arial Narrow"/>
                <w:noProof/>
                <w:sz w:val="20"/>
                <w:szCs w:val="20"/>
              </w:rPr>
            </w:pPr>
            <w:r>
              <w:rPr>
                <w:rFonts w:ascii="Arial Narrow" w:hAnsi="Arial Narrow"/>
                <w:noProof/>
                <w:sz w:val="20"/>
              </w:rPr>
              <w:t>0,060</w:t>
            </w:r>
          </w:p>
        </w:tc>
        <w:tc>
          <w:tcPr>
            <w:tcW w:w="1185" w:type="dxa"/>
            <w:tcBorders>
              <w:top w:val="single" w:sz="12" w:space="0" w:color="auto"/>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5E40F8" w:rsidRDefault="005E40F8">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5E40F8" w:rsidRDefault="007C521D">
            <w:pPr>
              <w:jc w:val="center"/>
              <w:rPr>
                <w:rFonts w:ascii="Arial Narrow" w:hAnsi="Arial Narrow"/>
                <w:b/>
                <w:noProof/>
                <w:sz w:val="20"/>
                <w:szCs w:val="20"/>
              </w:rPr>
            </w:pPr>
            <w:r>
              <w:rPr>
                <w:rFonts w:ascii="Arial Narrow" w:hAnsi="Arial Narrow"/>
                <w:b/>
                <w:noProof/>
                <w:sz w:val="20"/>
              </w:rPr>
              <w:t>0,200</w:t>
            </w:r>
          </w:p>
        </w:tc>
      </w:tr>
    </w:tbl>
    <w:p w:rsidR="005E40F8" w:rsidRDefault="007C521D">
      <w:pPr>
        <w:spacing w:before="60"/>
        <w:rPr>
          <w:noProof/>
          <w:sz w:val="20"/>
          <w:szCs w:val="20"/>
        </w:rPr>
      </w:pPr>
      <w:r>
        <w:rPr>
          <w:b/>
          <w:noProof/>
          <w:color w:val="0000FF"/>
          <w:sz w:val="20"/>
        </w:rPr>
        <w:t>XX</w:t>
      </w:r>
      <w:r>
        <w:rPr>
          <w:noProof/>
          <w:sz w:val="20"/>
        </w:rPr>
        <w:t xml:space="preserve"> predstavuje príslušnú oblasť politiky alebo rozpočtovú hlavu.</w:t>
      </w:r>
    </w:p>
    <w:p w:rsidR="005E40F8" w:rsidRDefault="005E40F8">
      <w:pPr>
        <w:rPr>
          <w:noProof/>
          <w:sz w:val="18"/>
          <w:szCs w:val="18"/>
        </w:rPr>
      </w:pPr>
    </w:p>
    <w:p w:rsidR="005E40F8" w:rsidRDefault="005E40F8">
      <w:pPr>
        <w:rPr>
          <w:rFonts w:ascii="Arial Narrow" w:hAnsi="Arial Narrow"/>
          <w:noProof/>
          <w:sz w:val="18"/>
          <w:szCs w:val="18"/>
        </w:rPr>
      </w:pPr>
    </w:p>
    <w:p w:rsidR="005E40F8" w:rsidRDefault="005E40F8">
      <w:pPr>
        <w:rPr>
          <w:rFonts w:ascii="Arial Narrow" w:hAnsi="Arial Narrow"/>
          <w:noProof/>
          <w:sz w:val="18"/>
          <w:szCs w:val="18"/>
        </w:rPr>
      </w:pPr>
    </w:p>
    <w:tbl>
      <w:tblPr>
        <w:tblW w:w="14568"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01"/>
        <w:gridCol w:w="1186"/>
        <w:gridCol w:w="1185"/>
        <w:gridCol w:w="1185"/>
        <w:gridCol w:w="1185"/>
        <w:gridCol w:w="1185"/>
        <w:gridCol w:w="1185"/>
        <w:gridCol w:w="1185"/>
        <w:gridCol w:w="1371"/>
      </w:tblGrid>
      <w:tr w:rsidR="005E40F8">
        <w:trPr>
          <w:trHeight w:val="289"/>
          <w:jc w:val="center"/>
        </w:trPr>
        <w:tc>
          <w:tcPr>
            <w:tcW w:w="4901" w:type="dxa"/>
            <w:tcBorders>
              <w:top w:val="single" w:sz="12" w:space="0" w:color="auto"/>
            </w:tcBorders>
            <w:vAlign w:val="center"/>
          </w:tcPr>
          <w:p w:rsidR="005E40F8" w:rsidRDefault="007C521D">
            <w:pPr>
              <w:pStyle w:val="Text1"/>
              <w:spacing w:after="0"/>
              <w:ind w:left="0"/>
              <w:jc w:val="center"/>
              <w:rPr>
                <w:rFonts w:ascii="Arial Narrow" w:hAnsi="Arial Narrow"/>
                <w:b/>
                <w:noProof/>
                <w:sz w:val="22"/>
              </w:rPr>
            </w:pPr>
            <w:r>
              <w:rPr>
                <w:rFonts w:ascii="Arial Narrow" w:hAnsi="Arial Narrow"/>
                <w:b/>
                <w:noProof/>
                <w:sz w:val="22"/>
              </w:rPr>
              <w:t>SPOLU</w:t>
            </w:r>
          </w:p>
          <w:p w:rsidR="005E40F8" w:rsidRDefault="007C521D">
            <w:pPr>
              <w:pStyle w:val="Text1"/>
              <w:spacing w:before="0"/>
              <w:ind w:left="0"/>
              <w:jc w:val="center"/>
              <w:rPr>
                <w:rFonts w:ascii="Arial Narrow" w:hAnsi="Arial Narrow"/>
                <w:b/>
                <w:noProof/>
                <w:sz w:val="22"/>
              </w:rPr>
            </w:pPr>
            <w:r>
              <w:rPr>
                <w:rFonts w:ascii="Arial Narrow" w:hAnsi="Arial Narrow"/>
                <w:b/>
                <w:noProof/>
                <w:sz w:val="22"/>
              </w:rPr>
              <w:t>OKRUH 5 a mimo OKRUHU 5</w:t>
            </w:r>
            <w:r>
              <w:rPr>
                <w:noProof/>
              </w:rPr>
              <w:br/>
            </w:r>
            <w:r>
              <w:rPr>
                <w:rFonts w:ascii="Arial Narrow" w:hAnsi="Arial Narrow"/>
                <w:noProof/>
                <w:sz w:val="22"/>
              </w:rPr>
              <w:t>viacročného finančného rámca</w:t>
            </w:r>
          </w:p>
        </w:tc>
        <w:tc>
          <w:tcPr>
            <w:tcW w:w="1186" w:type="dxa"/>
            <w:tcBorders>
              <w:top w:val="single" w:sz="12" w:space="0" w:color="auto"/>
            </w:tcBorders>
            <w:vAlign w:val="bottom"/>
          </w:tcPr>
          <w:p w:rsidR="005E40F8" w:rsidRDefault="007C521D">
            <w:pPr>
              <w:jc w:val="center"/>
              <w:rPr>
                <w:rFonts w:ascii="Arial Narrow" w:hAnsi="Arial Narrow"/>
                <w:noProof/>
                <w:sz w:val="20"/>
                <w:szCs w:val="20"/>
              </w:rPr>
            </w:pPr>
            <w:r>
              <w:rPr>
                <w:rFonts w:ascii="Arial" w:hAnsi="Arial"/>
                <w:noProof/>
                <w:color w:val="000000"/>
                <w:sz w:val="20"/>
              </w:rPr>
              <w:t>0,314</w:t>
            </w:r>
          </w:p>
        </w:tc>
        <w:tc>
          <w:tcPr>
            <w:tcW w:w="1185" w:type="dxa"/>
            <w:tcBorders>
              <w:top w:val="single" w:sz="12" w:space="0" w:color="auto"/>
            </w:tcBorders>
            <w:vAlign w:val="bottom"/>
          </w:tcPr>
          <w:p w:rsidR="005E40F8" w:rsidRDefault="007C521D">
            <w:pPr>
              <w:jc w:val="center"/>
              <w:rPr>
                <w:rFonts w:ascii="Arial Narrow" w:hAnsi="Arial Narrow"/>
                <w:noProof/>
                <w:sz w:val="20"/>
                <w:szCs w:val="20"/>
              </w:rPr>
            </w:pPr>
            <w:r>
              <w:rPr>
                <w:rFonts w:ascii="Arial" w:hAnsi="Arial"/>
                <w:noProof/>
                <w:color w:val="000000"/>
                <w:sz w:val="20"/>
              </w:rPr>
              <w:t>0,249</w:t>
            </w:r>
          </w:p>
        </w:tc>
        <w:tc>
          <w:tcPr>
            <w:tcW w:w="1185" w:type="dxa"/>
            <w:tcBorders>
              <w:top w:val="single" w:sz="12" w:space="0" w:color="auto"/>
            </w:tcBorders>
            <w:vAlign w:val="bottom"/>
          </w:tcPr>
          <w:p w:rsidR="005E40F8" w:rsidRDefault="007C521D">
            <w:pPr>
              <w:jc w:val="center"/>
              <w:rPr>
                <w:rFonts w:ascii="Arial Narrow" w:hAnsi="Arial Narrow"/>
                <w:noProof/>
                <w:sz w:val="20"/>
                <w:szCs w:val="20"/>
              </w:rPr>
            </w:pPr>
            <w:r>
              <w:rPr>
                <w:rFonts w:ascii="Arial" w:hAnsi="Arial"/>
                <w:noProof/>
                <w:color w:val="000000"/>
                <w:sz w:val="20"/>
              </w:rPr>
              <w:t>0,239</w:t>
            </w:r>
          </w:p>
        </w:tc>
        <w:tc>
          <w:tcPr>
            <w:tcW w:w="1185" w:type="dxa"/>
            <w:tcBorders>
              <w:top w:val="single" w:sz="12" w:space="0" w:color="auto"/>
            </w:tcBorders>
            <w:vAlign w:val="bottom"/>
          </w:tcPr>
          <w:p w:rsidR="005E40F8" w:rsidRDefault="007C521D">
            <w:pPr>
              <w:jc w:val="center"/>
              <w:rPr>
                <w:rFonts w:ascii="Arial Narrow" w:hAnsi="Arial Narrow"/>
                <w:noProof/>
                <w:sz w:val="20"/>
                <w:szCs w:val="20"/>
              </w:rPr>
            </w:pPr>
            <w:r>
              <w:rPr>
                <w:rFonts w:ascii="Arial" w:hAnsi="Arial"/>
                <w:noProof/>
                <w:color w:val="000000"/>
                <w:sz w:val="20"/>
              </w:rPr>
              <w:t>0,274</w:t>
            </w:r>
          </w:p>
        </w:tc>
        <w:tc>
          <w:tcPr>
            <w:tcW w:w="1185" w:type="dxa"/>
            <w:tcBorders>
              <w:top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tcBorders>
            <w:vAlign w:val="center"/>
          </w:tcPr>
          <w:p w:rsidR="005E40F8" w:rsidRDefault="005E40F8">
            <w:pPr>
              <w:jc w:val="center"/>
              <w:rPr>
                <w:rFonts w:ascii="Arial Narrow" w:hAnsi="Arial Narrow"/>
                <w:noProof/>
                <w:sz w:val="20"/>
                <w:szCs w:val="20"/>
              </w:rPr>
            </w:pPr>
          </w:p>
        </w:tc>
        <w:tc>
          <w:tcPr>
            <w:tcW w:w="1185" w:type="dxa"/>
            <w:tcBorders>
              <w:top w:val="single" w:sz="12" w:space="0" w:color="auto"/>
            </w:tcBorders>
            <w:vAlign w:val="center"/>
          </w:tcPr>
          <w:p w:rsidR="005E40F8" w:rsidRDefault="005E40F8">
            <w:pPr>
              <w:jc w:val="center"/>
              <w:rPr>
                <w:rFonts w:ascii="Arial Narrow" w:hAnsi="Arial Narrow"/>
                <w:noProof/>
                <w:sz w:val="20"/>
                <w:szCs w:val="20"/>
              </w:rPr>
            </w:pPr>
          </w:p>
        </w:tc>
        <w:tc>
          <w:tcPr>
            <w:tcW w:w="1371" w:type="dxa"/>
            <w:tcBorders>
              <w:top w:val="single" w:sz="12" w:space="0" w:color="auto"/>
            </w:tcBorders>
            <w:vAlign w:val="center"/>
          </w:tcPr>
          <w:p w:rsidR="005E40F8" w:rsidRDefault="007C521D">
            <w:pPr>
              <w:jc w:val="center"/>
              <w:rPr>
                <w:rFonts w:ascii="Arial Narrow" w:hAnsi="Arial Narrow"/>
                <w:b/>
                <w:noProof/>
                <w:sz w:val="20"/>
                <w:szCs w:val="20"/>
              </w:rPr>
            </w:pPr>
            <w:r>
              <w:rPr>
                <w:rFonts w:ascii="Arial Narrow" w:hAnsi="Arial Narrow"/>
                <w:b/>
                <w:noProof/>
                <w:sz w:val="20"/>
              </w:rPr>
              <w:t>1,076</w:t>
            </w:r>
          </w:p>
        </w:tc>
      </w:tr>
    </w:tbl>
    <w:p w:rsidR="005E40F8" w:rsidRDefault="005E40F8">
      <w:pPr>
        <w:spacing w:before="60"/>
        <w:ind w:left="-360" w:firstLine="900"/>
        <w:jc w:val="center"/>
        <w:rPr>
          <w:noProof/>
          <w:sz w:val="20"/>
          <w:szCs w:val="20"/>
        </w:rPr>
      </w:pPr>
    </w:p>
    <w:p w:rsidR="005E40F8" w:rsidRDefault="005E40F8">
      <w:pPr>
        <w:spacing w:before="60"/>
        <w:ind w:left="-360" w:firstLine="900"/>
        <w:jc w:val="center"/>
        <w:rPr>
          <w:noProof/>
          <w:sz w:val="20"/>
          <w:szCs w:val="20"/>
        </w:rPr>
      </w:pPr>
    </w:p>
    <w:p w:rsidR="005E40F8" w:rsidRDefault="007C521D">
      <w:pPr>
        <w:pStyle w:val="Text2"/>
        <w:spacing w:before="0" w:after="0"/>
        <w:ind w:left="0"/>
        <w:jc w:val="center"/>
        <w:rPr>
          <w:iCs/>
          <w:noProof/>
          <w:sz w:val="18"/>
          <w:szCs w:val="18"/>
        </w:rPr>
      </w:pPr>
      <w:r>
        <w:rPr>
          <w:noProof/>
          <w:sz w:val="18"/>
        </w:rPr>
        <w:t xml:space="preserve">Požadované administratívne rozpočtové prostriedky budú </w:t>
      </w:r>
      <w:r>
        <w:rPr>
          <w:noProof/>
          <w:sz w:val="18"/>
        </w:rPr>
        <w:t>pokryté rozpočtovými prostriedkami, ktoré už boli pridelené na riadenie akcie a/alebo boli prerozdelené, a v prípade potreby budú doplnené rozpočtovými prostriedkami, ktoré sa môžu prideliť riadiacemu GR v rámci ročného postupu prideľovania zdrojov v závis</w:t>
      </w:r>
      <w:r>
        <w:rPr>
          <w:noProof/>
          <w:sz w:val="18"/>
        </w:rPr>
        <w:t>losti od rozpočtových obmedzení.</w:t>
      </w:r>
    </w:p>
    <w:p w:rsidR="005E40F8" w:rsidRDefault="005E40F8">
      <w:pPr>
        <w:spacing w:before="60"/>
        <w:ind w:left="-360" w:firstLine="900"/>
        <w:rPr>
          <w:noProof/>
          <w:sz w:val="20"/>
          <w:szCs w:val="20"/>
        </w:rPr>
      </w:pPr>
    </w:p>
    <w:p w:rsidR="005E40F8" w:rsidRDefault="005E40F8">
      <w:pPr>
        <w:keepNext/>
        <w:spacing w:before="240" w:after="0"/>
        <w:rPr>
          <w:noProof/>
        </w:rPr>
        <w:sectPr w:rsidR="005E40F8" w:rsidSect="007C521D">
          <w:pgSz w:w="15840" w:h="12240" w:orient="landscape" w:code="1"/>
          <w:pgMar w:top="1418" w:right="1247" w:bottom="1418" w:left="1247" w:header="709" w:footer="709" w:gutter="0"/>
          <w:cols w:space="708"/>
          <w:docGrid w:linePitch="360"/>
        </w:sectPr>
      </w:pPr>
    </w:p>
    <w:p w:rsidR="005E40F8" w:rsidRDefault="007C521D">
      <w:pPr>
        <w:pStyle w:val="ManualHeading1"/>
        <w:rPr>
          <w:noProof/>
        </w:rPr>
      </w:pPr>
      <w:r>
        <w:t>3.</w:t>
      </w:r>
      <w:r>
        <w:tab/>
      </w:r>
      <w:r>
        <w:rPr>
          <w:noProof/>
        </w:rPr>
        <w:t>Metódy výpočtu použité na odhad nákladov</w:t>
      </w:r>
    </w:p>
    <w:p w:rsidR="005E40F8" w:rsidRDefault="007C521D">
      <w:pPr>
        <w:pStyle w:val="ManualHeading2"/>
        <w:rPr>
          <w:noProof/>
          <w:szCs w:val="28"/>
        </w:rPr>
      </w:pPr>
      <w:r>
        <w:t>3.1.</w:t>
      </w:r>
      <w:r>
        <w:tab/>
      </w:r>
      <w:r>
        <w:rPr>
          <w:noProof/>
        </w:rPr>
        <w:t xml:space="preserve"> Ľudské zdroje</w:t>
      </w:r>
    </w:p>
    <w:p w:rsidR="005E40F8" w:rsidRDefault="005E40F8">
      <w:pPr>
        <w:ind w:left="-357" w:firstLine="902"/>
        <w:rPr>
          <w:noProof/>
          <w:sz w:val="20"/>
          <w:szCs w:val="20"/>
        </w:rPr>
      </w:pPr>
    </w:p>
    <w:p w:rsidR="005E40F8" w:rsidRDefault="005E40F8">
      <w:pPr>
        <w:spacing w:after="60"/>
        <w:jc w:val="center"/>
        <w:rPr>
          <w:i/>
          <w:noProof/>
          <w:sz w:val="20"/>
          <w:szCs w:val="20"/>
        </w:rPr>
      </w:pPr>
    </w:p>
    <w:p w:rsidR="005E40F8" w:rsidRDefault="007C521D">
      <w:pPr>
        <w:spacing w:after="60"/>
        <w:jc w:val="center"/>
        <w:rPr>
          <w:i/>
          <w:noProof/>
          <w:sz w:val="20"/>
          <w:szCs w:val="20"/>
        </w:rPr>
      </w:pPr>
      <w:r>
        <w:rPr>
          <w:i/>
          <w:noProof/>
          <w:sz w:val="20"/>
        </w:rPr>
        <w:t xml:space="preserve">V tejto časti sa stanovuje metóda výpočtu použitá na odhad ľudských zdrojov považovaných za potrebné [predpokladané pracovné </w:t>
      </w:r>
      <w:r>
        <w:rPr>
          <w:i/>
          <w:noProof/>
          <w:sz w:val="20"/>
        </w:rPr>
        <w:t>zaťaženie vrátane konkrétnych pracovných miest (pracovné profily Sysper 2), kategórií zamestnancov a zodpovedajúcich priemerných nákladov]</w:t>
      </w:r>
    </w:p>
    <w:p w:rsidR="005E40F8" w:rsidRDefault="005E40F8">
      <w:pPr>
        <w:spacing w:after="60"/>
        <w:ind w:left="540"/>
        <w:jc w:val="center"/>
        <w:rPr>
          <w:i/>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5E40F8">
        <w:trPr>
          <w:jc w:val="center"/>
        </w:trPr>
        <w:tc>
          <w:tcPr>
            <w:tcW w:w="12474" w:type="dxa"/>
            <w:tcBorders>
              <w:top w:val="single" w:sz="4" w:space="0" w:color="auto"/>
            </w:tcBorders>
          </w:tcPr>
          <w:p w:rsidR="005E40F8" w:rsidRDefault="007C521D">
            <w:pPr>
              <w:pStyle w:val="Text2"/>
              <w:spacing w:before="60" w:after="60"/>
              <w:ind w:left="0"/>
              <w:jc w:val="left"/>
              <w:rPr>
                <w:rFonts w:ascii="Arial Narrow" w:hAnsi="Arial Narrow"/>
                <w:b/>
                <w:noProof/>
                <w:sz w:val="22"/>
              </w:rPr>
            </w:pPr>
            <w:r>
              <w:rPr>
                <w:rFonts w:ascii="Arial Narrow" w:hAnsi="Arial Narrow"/>
                <w:b/>
                <w:noProof/>
                <w:sz w:val="22"/>
              </w:rPr>
              <w:t>OKRUH 5</w:t>
            </w:r>
            <w:r>
              <w:rPr>
                <w:rFonts w:ascii="Arial Narrow" w:hAnsi="Arial Narrow"/>
                <w:noProof/>
                <w:sz w:val="22"/>
              </w:rPr>
              <w:t xml:space="preserve"> viacročného finančného rámca</w:t>
            </w:r>
          </w:p>
        </w:tc>
      </w:tr>
      <w:tr w:rsidR="005E40F8">
        <w:trPr>
          <w:jc w:val="center"/>
        </w:trPr>
        <w:tc>
          <w:tcPr>
            <w:tcW w:w="12474" w:type="dxa"/>
          </w:tcPr>
          <w:p w:rsidR="005E40F8" w:rsidRDefault="007C521D">
            <w:pPr>
              <w:pStyle w:val="Text2"/>
              <w:spacing w:before="20" w:after="20"/>
              <w:ind w:left="0"/>
              <w:jc w:val="center"/>
              <w:rPr>
                <w:rFonts w:ascii="Arial Narrow" w:hAnsi="Arial Narrow"/>
                <w:noProof/>
                <w:sz w:val="18"/>
                <w:szCs w:val="18"/>
              </w:rPr>
            </w:pPr>
            <w:r>
              <w:rPr>
                <w:rFonts w:ascii="Arial Narrow" w:hAnsi="Arial Narrow"/>
                <w:noProof/>
                <w:sz w:val="18"/>
                <w:u w:val="single"/>
              </w:rPr>
              <w:t>Pozn.:</w:t>
            </w:r>
            <w:r>
              <w:rPr>
                <w:rFonts w:ascii="Arial Narrow" w:hAnsi="Arial Narrow"/>
                <w:noProof/>
                <w:sz w:val="18"/>
              </w:rPr>
              <w:t xml:space="preserve"> Priemerné náklady na každú kategóriu zamestnancov v ústrediach sú k dispozícii na webovom sídle BudgWeb:</w:t>
            </w:r>
          </w:p>
          <w:p w:rsidR="005E40F8" w:rsidRDefault="007C521D">
            <w:pPr>
              <w:pStyle w:val="Text2"/>
              <w:spacing w:before="0" w:after="20"/>
              <w:ind w:left="0"/>
              <w:jc w:val="center"/>
              <w:rPr>
                <w:rFonts w:ascii="Arial Narrow" w:hAnsi="Arial Narrow"/>
                <w:noProof/>
                <w:sz w:val="18"/>
                <w:szCs w:val="18"/>
              </w:rPr>
            </w:pPr>
            <w:hyperlink r:id="rId31">
              <w:r>
                <w:rPr>
                  <w:rStyle w:val="Hyperlink"/>
                  <w:rFonts w:ascii="Arial Narrow" w:hAnsi="Arial Narrow"/>
                  <w:noProof/>
                  <w:sz w:val="18"/>
                </w:rPr>
                <w:t>https://myintracomm.ec.europa.eu/budg</w:t>
              </w:r>
              <w:r>
                <w:rPr>
                  <w:rStyle w:val="Hyperlink"/>
                  <w:rFonts w:ascii="Arial Narrow" w:hAnsi="Arial Narrow"/>
                  <w:noProof/>
                  <w:sz w:val="18"/>
                </w:rPr>
                <w:t>web/EN/pre/legalbasis/Pages/pre-040-020_preparation.aspx</w:t>
              </w:r>
            </w:hyperlink>
          </w:p>
        </w:tc>
      </w:tr>
      <w:tr w:rsidR="005E40F8">
        <w:trPr>
          <w:jc w:val="center"/>
        </w:trPr>
        <w:tc>
          <w:tcPr>
            <w:tcW w:w="12474" w:type="dxa"/>
          </w:tcPr>
          <w:p w:rsidR="005E40F8" w:rsidRDefault="007C521D">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Úradníci a dočasní zamestnanci</w:t>
            </w:r>
          </w:p>
          <w:p w:rsidR="005E40F8" w:rsidRDefault="005E40F8">
            <w:pPr>
              <w:pStyle w:val="Text2"/>
              <w:spacing w:before="0" w:after="0"/>
              <w:ind w:left="0"/>
              <w:rPr>
                <w:rFonts w:ascii="Arial Narrow" w:hAnsi="Arial Narrow"/>
                <w:noProof/>
                <w:sz w:val="20"/>
                <w:szCs w:val="20"/>
                <w:u w:val="single"/>
              </w:rPr>
            </w:pPr>
          </w:p>
          <w:p w:rsidR="005E40F8" w:rsidRDefault="007C521D">
            <w:pPr>
              <w:pStyle w:val="Text2"/>
              <w:spacing w:before="0" w:after="0"/>
              <w:ind w:left="0"/>
              <w:rPr>
                <w:rFonts w:ascii="Arial Narrow" w:hAnsi="Arial Narrow"/>
                <w:noProof/>
                <w:sz w:val="20"/>
              </w:rPr>
            </w:pPr>
            <w:r>
              <w:rPr>
                <w:rFonts w:ascii="Arial Narrow" w:hAnsi="Arial Narrow"/>
                <w:noProof/>
                <w:sz w:val="20"/>
              </w:rPr>
              <w:t>Použitie priemerných nákladov GR BUDG</w:t>
            </w:r>
          </w:p>
          <w:p w:rsidR="005E40F8" w:rsidRDefault="005E40F8">
            <w:pPr>
              <w:pStyle w:val="Text2"/>
              <w:spacing w:before="60" w:after="0"/>
              <w:ind w:left="0"/>
              <w:rPr>
                <w:rFonts w:ascii="Arial Narrow" w:hAnsi="Arial Narrow"/>
                <w:noProof/>
                <w:sz w:val="18"/>
                <w:szCs w:val="18"/>
                <w:u w:val="single"/>
              </w:rPr>
            </w:pPr>
          </w:p>
        </w:tc>
      </w:tr>
      <w:tr w:rsidR="005E40F8">
        <w:trPr>
          <w:jc w:val="center"/>
        </w:trPr>
        <w:tc>
          <w:tcPr>
            <w:tcW w:w="12474" w:type="dxa"/>
            <w:tcBorders>
              <w:bottom w:val="single" w:sz="4" w:space="0" w:color="auto"/>
            </w:tcBorders>
          </w:tcPr>
          <w:p w:rsidR="005E40F8" w:rsidRDefault="007C521D">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Externí zamestnanci</w:t>
            </w:r>
          </w:p>
          <w:p w:rsidR="005E40F8" w:rsidRDefault="005E40F8">
            <w:pPr>
              <w:pStyle w:val="Text2"/>
              <w:spacing w:before="0" w:after="0"/>
              <w:ind w:left="0"/>
              <w:rPr>
                <w:rFonts w:ascii="Arial Narrow" w:hAnsi="Arial Narrow"/>
                <w:noProof/>
                <w:sz w:val="20"/>
                <w:szCs w:val="20"/>
                <w:u w:val="single"/>
              </w:rPr>
            </w:pPr>
          </w:p>
          <w:p w:rsidR="005E40F8" w:rsidRDefault="007C521D">
            <w:pPr>
              <w:pStyle w:val="Text2"/>
              <w:spacing w:before="0" w:after="0"/>
              <w:ind w:left="0"/>
              <w:rPr>
                <w:rFonts w:ascii="Arial Narrow" w:hAnsi="Arial Narrow"/>
                <w:noProof/>
                <w:sz w:val="20"/>
              </w:rPr>
            </w:pPr>
            <w:r>
              <w:rPr>
                <w:rFonts w:ascii="Arial Narrow" w:hAnsi="Arial Narrow"/>
                <w:noProof/>
                <w:sz w:val="20"/>
              </w:rPr>
              <w:t>Použitie priemerných nákladov GR BUDG</w:t>
            </w:r>
          </w:p>
          <w:p w:rsidR="005E40F8" w:rsidRDefault="005E40F8">
            <w:pPr>
              <w:pStyle w:val="Text2"/>
              <w:spacing w:before="0" w:after="0"/>
              <w:ind w:left="0"/>
              <w:rPr>
                <w:rFonts w:ascii="Arial Narrow" w:hAnsi="Arial Narrow"/>
                <w:noProof/>
                <w:sz w:val="20"/>
                <w:szCs w:val="20"/>
                <w:u w:val="single"/>
              </w:rPr>
            </w:pPr>
          </w:p>
          <w:p w:rsidR="005E40F8" w:rsidRDefault="005E40F8">
            <w:pPr>
              <w:pStyle w:val="Text2"/>
              <w:spacing w:before="60" w:after="0"/>
              <w:ind w:left="0"/>
              <w:rPr>
                <w:rFonts w:ascii="Arial Narrow" w:hAnsi="Arial Narrow"/>
                <w:noProof/>
                <w:sz w:val="18"/>
                <w:szCs w:val="18"/>
                <w:u w:val="single"/>
              </w:rPr>
            </w:pPr>
          </w:p>
        </w:tc>
      </w:tr>
    </w:tbl>
    <w:p w:rsidR="005E40F8" w:rsidRDefault="005E40F8">
      <w:pPr>
        <w:rPr>
          <w:rFonts w:ascii="Arial Narrow" w:hAnsi="Arial Narrow"/>
          <w:noProof/>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5E40F8">
        <w:trPr>
          <w:jc w:val="center"/>
        </w:trPr>
        <w:tc>
          <w:tcPr>
            <w:tcW w:w="12474" w:type="dxa"/>
            <w:tcBorders>
              <w:top w:val="single" w:sz="4" w:space="0" w:color="auto"/>
            </w:tcBorders>
          </w:tcPr>
          <w:p w:rsidR="005E40F8" w:rsidRDefault="007C521D">
            <w:pPr>
              <w:pStyle w:val="Text2"/>
              <w:spacing w:before="60" w:after="60"/>
              <w:ind w:left="0"/>
              <w:jc w:val="left"/>
              <w:rPr>
                <w:rFonts w:ascii="Arial Narrow" w:hAnsi="Arial Narrow"/>
                <w:b/>
                <w:noProof/>
                <w:sz w:val="22"/>
              </w:rPr>
            </w:pPr>
            <w:r>
              <w:rPr>
                <w:rFonts w:ascii="Arial Narrow" w:hAnsi="Arial Narrow"/>
                <w:b/>
                <w:noProof/>
                <w:sz w:val="22"/>
              </w:rPr>
              <w:t>Mimo OKRUHU 5</w:t>
            </w:r>
            <w:r>
              <w:rPr>
                <w:rFonts w:ascii="Arial Narrow" w:hAnsi="Arial Narrow"/>
                <w:noProof/>
                <w:sz w:val="22"/>
              </w:rPr>
              <w:t xml:space="preserve"> viacročného finančného rámca</w:t>
            </w:r>
          </w:p>
        </w:tc>
      </w:tr>
      <w:tr w:rsidR="005E40F8">
        <w:trPr>
          <w:jc w:val="center"/>
        </w:trPr>
        <w:tc>
          <w:tcPr>
            <w:tcW w:w="12474" w:type="dxa"/>
          </w:tcPr>
          <w:p w:rsidR="005E40F8" w:rsidRDefault="007C521D">
            <w:pPr>
              <w:pStyle w:val="Text2"/>
              <w:spacing w:before="40" w:after="0"/>
              <w:ind w:left="0"/>
              <w:jc w:val="left"/>
              <w:rPr>
                <w:rFonts w:ascii="Arial Narrow" w:hAnsi="Arial Narrow"/>
                <w:noProof/>
                <w:sz w:val="22"/>
              </w:rPr>
            </w:pPr>
            <w:r>
              <w:rPr>
                <w:rFonts w:ascii="Arial Narrow" w:hAnsi="Arial Narrow"/>
                <w:b/>
                <w:noProof/>
              </w:rPr>
              <w:sym w:font="Wingdings" w:char="F09F"/>
            </w:r>
            <w:r>
              <w:rPr>
                <w:rFonts w:ascii="Arial Narrow" w:hAnsi="Arial Narrow"/>
                <w:b/>
                <w:noProof/>
              </w:rPr>
              <w:t xml:space="preserve"> </w:t>
            </w:r>
            <w:r>
              <w:rPr>
                <w:rFonts w:ascii="Arial Narrow" w:hAnsi="Arial Narrow"/>
                <w:noProof/>
              </w:rPr>
              <w:t xml:space="preserve">Len miesta </w:t>
            </w:r>
            <w:r>
              <w:rPr>
                <w:rFonts w:ascii="Arial Narrow" w:hAnsi="Arial Narrow"/>
                <w:noProof/>
              </w:rPr>
              <w:t>financované z rozpočtu na výskum</w:t>
            </w:r>
          </w:p>
          <w:p w:rsidR="005E40F8" w:rsidRDefault="005E40F8">
            <w:pPr>
              <w:pStyle w:val="Text2"/>
              <w:spacing w:before="0" w:after="0"/>
              <w:ind w:left="0"/>
              <w:rPr>
                <w:rFonts w:ascii="Arial Narrow" w:hAnsi="Arial Narrow"/>
                <w:noProof/>
                <w:sz w:val="20"/>
                <w:szCs w:val="20"/>
                <w:u w:val="single"/>
              </w:rPr>
            </w:pPr>
          </w:p>
          <w:p w:rsidR="005E40F8" w:rsidRDefault="005E40F8">
            <w:pPr>
              <w:pStyle w:val="Text2"/>
              <w:spacing w:before="0" w:after="0"/>
              <w:ind w:left="0"/>
              <w:rPr>
                <w:rFonts w:ascii="Arial Narrow" w:hAnsi="Arial Narrow"/>
                <w:noProof/>
                <w:sz w:val="20"/>
                <w:szCs w:val="20"/>
                <w:u w:val="single"/>
              </w:rPr>
            </w:pPr>
          </w:p>
          <w:p w:rsidR="005E40F8" w:rsidRDefault="005E40F8">
            <w:pPr>
              <w:pStyle w:val="Text2"/>
              <w:spacing w:before="60" w:after="0"/>
              <w:ind w:left="0"/>
              <w:rPr>
                <w:rFonts w:ascii="Arial Narrow" w:hAnsi="Arial Narrow"/>
                <w:noProof/>
                <w:sz w:val="18"/>
                <w:szCs w:val="18"/>
                <w:u w:val="single"/>
              </w:rPr>
            </w:pPr>
          </w:p>
        </w:tc>
      </w:tr>
      <w:tr w:rsidR="005E40F8">
        <w:trPr>
          <w:jc w:val="center"/>
        </w:trPr>
        <w:tc>
          <w:tcPr>
            <w:tcW w:w="12474" w:type="dxa"/>
            <w:tcBorders>
              <w:bottom w:val="single" w:sz="4" w:space="0" w:color="auto"/>
            </w:tcBorders>
          </w:tcPr>
          <w:p w:rsidR="005E40F8" w:rsidRDefault="007C521D">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Externí zamestnanci</w:t>
            </w:r>
          </w:p>
          <w:p w:rsidR="005E40F8" w:rsidRDefault="005E40F8">
            <w:pPr>
              <w:pStyle w:val="Text2"/>
              <w:spacing w:before="0" w:after="0"/>
              <w:ind w:left="0"/>
              <w:rPr>
                <w:rFonts w:ascii="Arial Narrow" w:hAnsi="Arial Narrow"/>
                <w:noProof/>
                <w:sz w:val="20"/>
                <w:szCs w:val="20"/>
                <w:u w:val="single"/>
              </w:rPr>
            </w:pPr>
          </w:p>
          <w:p w:rsidR="005E40F8" w:rsidRDefault="005E40F8">
            <w:pPr>
              <w:pStyle w:val="Text2"/>
              <w:spacing w:before="0" w:after="0"/>
              <w:ind w:left="0"/>
              <w:rPr>
                <w:rFonts w:ascii="Arial Narrow" w:hAnsi="Arial Narrow"/>
                <w:noProof/>
                <w:sz w:val="20"/>
                <w:szCs w:val="20"/>
                <w:u w:val="single"/>
              </w:rPr>
            </w:pPr>
          </w:p>
          <w:p w:rsidR="005E40F8" w:rsidRDefault="005E40F8">
            <w:pPr>
              <w:pStyle w:val="Text2"/>
              <w:spacing w:before="60" w:after="0"/>
              <w:ind w:left="0"/>
              <w:rPr>
                <w:rFonts w:ascii="Arial Narrow" w:hAnsi="Arial Narrow"/>
                <w:noProof/>
                <w:sz w:val="18"/>
                <w:szCs w:val="18"/>
                <w:u w:val="single"/>
              </w:rPr>
            </w:pPr>
          </w:p>
        </w:tc>
      </w:tr>
    </w:tbl>
    <w:p w:rsidR="005E40F8" w:rsidRDefault="005E40F8">
      <w:pPr>
        <w:spacing w:before="60"/>
        <w:ind w:left="-360" w:firstLine="900"/>
        <w:rPr>
          <w:noProof/>
          <w:sz w:val="20"/>
          <w:szCs w:val="20"/>
        </w:rPr>
      </w:pPr>
    </w:p>
    <w:p w:rsidR="005E40F8" w:rsidRDefault="007C521D">
      <w:pPr>
        <w:pStyle w:val="ManualHeading2"/>
        <w:rPr>
          <w:noProof/>
          <w:szCs w:val="28"/>
        </w:rPr>
      </w:pPr>
      <w:r>
        <w:t>3.2.</w:t>
      </w:r>
      <w:r>
        <w:tab/>
      </w:r>
      <w:r>
        <w:rPr>
          <w:noProof/>
        </w:rPr>
        <w:t>Ostatné administratívne výdavky</w:t>
      </w:r>
    </w:p>
    <w:p w:rsidR="005E40F8" w:rsidRDefault="005E40F8">
      <w:pPr>
        <w:ind w:left="-357" w:firstLine="902"/>
        <w:rPr>
          <w:noProof/>
          <w:sz w:val="20"/>
          <w:szCs w:val="20"/>
        </w:rPr>
      </w:pPr>
    </w:p>
    <w:p w:rsidR="005E40F8" w:rsidRDefault="007C521D">
      <w:pPr>
        <w:spacing w:before="60"/>
        <w:ind w:left="539"/>
        <w:jc w:val="center"/>
        <w:rPr>
          <w:i/>
          <w:noProof/>
          <w:sz w:val="20"/>
        </w:rPr>
      </w:pPr>
      <w:r>
        <w:rPr>
          <w:i/>
          <w:noProof/>
          <w:sz w:val="20"/>
        </w:rPr>
        <w:t>Uveďte podrobnosti o metóde výpočtu použitej pri každom rozpočtovom riadku</w:t>
      </w:r>
    </w:p>
    <w:p w:rsidR="005E40F8" w:rsidRDefault="007C521D">
      <w:pPr>
        <w:spacing w:after="60"/>
        <w:ind w:left="539"/>
        <w:jc w:val="center"/>
        <w:rPr>
          <w:i/>
          <w:noProof/>
          <w:sz w:val="20"/>
          <w:szCs w:val="20"/>
        </w:rPr>
      </w:pPr>
      <w:r>
        <w:rPr>
          <w:i/>
          <w:noProof/>
          <w:sz w:val="20"/>
        </w:rPr>
        <w:t xml:space="preserve">a najmä východiskové predpoklady (napr. počet zasadnutí za rok, priemerné </w:t>
      </w:r>
      <w:r>
        <w:rPr>
          <w:i/>
          <w:noProof/>
          <w:sz w:val="20"/>
        </w:rPr>
        <w:t>náklady atď.)</w:t>
      </w:r>
    </w:p>
    <w:tbl>
      <w:tblPr>
        <w:tblW w:w="0" w:type="auto"/>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37"/>
      </w:tblGrid>
      <w:tr w:rsidR="005E40F8">
        <w:trPr>
          <w:jc w:val="center"/>
        </w:trPr>
        <w:tc>
          <w:tcPr>
            <w:tcW w:w="9537" w:type="dxa"/>
            <w:tcBorders>
              <w:top w:val="single" w:sz="4" w:space="0" w:color="auto"/>
            </w:tcBorders>
          </w:tcPr>
          <w:p w:rsidR="005E40F8" w:rsidRDefault="007C521D">
            <w:pPr>
              <w:pStyle w:val="Text2"/>
              <w:spacing w:before="60" w:after="60"/>
              <w:ind w:left="0"/>
              <w:jc w:val="left"/>
              <w:rPr>
                <w:rFonts w:ascii="Arial Narrow" w:hAnsi="Arial Narrow"/>
                <w:b/>
                <w:noProof/>
                <w:sz w:val="22"/>
              </w:rPr>
            </w:pPr>
            <w:r>
              <w:rPr>
                <w:rFonts w:ascii="Arial Narrow" w:hAnsi="Arial Narrow"/>
                <w:b/>
                <w:noProof/>
                <w:sz w:val="22"/>
              </w:rPr>
              <w:t>OKRUH 5</w:t>
            </w:r>
            <w:r>
              <w:rPr>
                <w:rFonts w:ascii="Arial Narrow" w:hAnsi="Arial Narrow"/>
                <w:noProof/>
                <w:sz w:val="22"/>
              </w:rPr>
              <w:t xml:space="preserve"> viacročného finančného rámca</w:t>
            </w:r>
          </w:p>
        </w:tc>
      </w:tr>
      <w:tr w:rsidR="005E40F8">
        <w:trPr>
          <w:jc w:val="center"/>
        </w:trPr>
        <w:tc>
          <w:tcPr>
            <w:tcW w:w="9537" w:type="dxa"/>
            <w:tcBorders>
              <w:bottom w:val="single" w:sz="4" w:space="0" w:color="auto"/>
            </w:tcBorders>
          </w:tcPr>
          <w:p w:rsidR="005E40F8" w:rsidRDefault="005E40F8">
            <w:pPr>
              <w:pStyle w:val="Text2"/>
              <w:spacing w:before="0" w:after="0"/>
              <w:ind w:left="0"/>
              <w:rPr>
                <w:rFonts w:ascii="Arial Narrow" w:hAnsi="Arial Narrow"/>
                <w:noProof/>
                <w:sz w:val="22"/>
                <w:u w:val="single"/>
              </w:rPr>
            </w:pPr>
          </w:p>
          <w:p w:rsidR="005E40F8" w:rsidRDefault="007C521D">
            <w:pPr>
              <w:pStyle w:val="Text2"/>
              <w:spacing w:before="0" w:after="0"/>
              <w:ind w:left="0"/>
              <w:rPr>
                <w:rFonts w:ascii="Arial Narrow" w:hAnsi="Arial Narrow"/>
                <w:noProof/>
                <w:sz w:val="22"/>
              </w:rPr>
            </w:pPr>
            <w:r>
              <w:rPr>
                <w:rFonts w:ascii="Arial Narrow" w:hAnsi="Arial Narrow"/>
                <w:noProof/>
                <w:sz w:val="22"/>
              </w:rPr>
              <w:t>1 návšteva za každý ČŠ počas prvých 2 rokov (priemerné náklady +/-715 EUR)</w:t>
            </w:r>
          </w:p>
          <w:p w:rsidR="005E40F8" w:rsidRDefault="007C521D">
            <w:pPr>
              <w:pStyle w:val="Text2"/>
              <w:spacing w:before="0" w:after="0"/>
              <w:ind w:left="0"/>
              <w:rPr>
                <w:rFonts w:ascii="Arial Narrow" w:hAnsi="Arial Narrow"/>
                <w:noProof/>
                <w:sz w:val="22"/>
              </w:rPr>
            </w:pPr>
            <w:r>
              <w:rPr>
                <w:rFonts w:ascii="Arial Narrow" w:hAnsi="Arial Narrow"/>
                <w:noProof/>
                <w:sz w:val="22"/>
              </w:rPr>
              <w:t>Menej intenzívne následné opatrenia počas posledných 2 rokov.</w:t>
            </w:r>
          </w:p>
          <w:p w:rsidR="005E40F8" w:rsidRDefault="005E40F8">
            <w:pPr>
              <w:pStyle w:val="Text2"/>
              <w:spacing w:before="0" w:after="0"/>
              <w:ind w:left="0"/>
              <w:rPr>
                <w:rFonts w:ascii="Arial Narrow" w:hAnsi="Arial Narrow"/>
                <w:noProof/>
                <w:sz w:val="22"/>
                <w:u w:val="single"/>
              </w:rPr>
            </w:pPr>
          </w:p>
          <w:p w:rsidR="005E40F8" w:rsidRDefault="005E40F8">
            <w:pPr>
              <w:pStyle w:val="Text2"/>
              <w:spacing w:before="0" w:after="0"/>
              <w:ind w:left="0"/>
              <w:rPr>
                <w:rFonts w:ascii="Arial Narrow" w:hAnsi="Arial Narrow"/>
                <w:noProof/>
                <w:sz w:val="22"/>
                <w:u w:val="single"/>
              </w:rPr>
            </w:pPr>
          </w:p>
          <w:p w:rsidR="005E40F8" w:rsidRDefault="005E40F8">
            <w:pPr>
              <w:pStyle w:val="Text2"/>
              <w:spacing w:before="60" w:after="0"/>
              <w:ind w:left="0"/>
              <w:rPr>
                <w:rFonts w:ascii="Arial Narrow" w:hAnsi="Arial Narrow"/>
                <w:noProof/>
                <w:sz w:val="22"/>
                <w:u w:val="single"/>
              </w:rPr>
            </w:pPr>
          </w:p>
        </w:tc>
      </w:tr>
    </w:tbl>
    <w:p w:rsidR="005E40F8" w:rsidRDefault="005E40F8">
      <w:pPr>
        <w:rPr>
          <w:rFonts w:ascii="Arial Narrow"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84"/>
      </w:tblGrid>
      <w:tr w:rsidR="005E40F8">
        <w:trPr>
          <w:jc w:val="center"/>
        </w:trPr>
        <w:tc>
          <w:tcPr>
            <w:tcW w:w="9584" w:type="dxa"/>
            <w:tcBorders>
              <w:top w:val="single" w:sz="4" w:space="0" w:color="auto"/>
            </w:tcBorders>
          </w:tcPr>
          <w:p w:rsidR="005E40F8" w:rsidRDefault="007C521D">
            <w:pPr>
              <w:pStyle w:val="Text2"/>
              <w:spacing w:before="60" w:after="60"/>
              <w:ind w:left="0"/>
              <w:jc w:val="left"/>
              <w:rPr>
                <w:rFonts w:ascii="Arial Narrow" w:hAnsi="Arial Narrow"/>
                <w:b/>
                <w:noProof/>
                <w:sz w:val="22"/>
              </w:rPr>
            </w:pPr>
            <w:r>
              <w:rPr>
                <w:rFonts w:ascii="Arial Narrow" w:hAnsi="Arial Narrow"/>
                <w:b/>
                <w:noProof/>
                <w:sz w:val="22"/>
              </w:rPr>
              <w:t>Mimo OKRUHU 5</w:t>
            </w:r>
            <w:r>
              <w:rPr>
                <w:rFonts w:ascii="Arial Narrow" w:hAnsi="Arial Narrow"/>
                <w:noProof/>
                <w:sz w:val="22"/>
              </w:rPr>
              <w:t xml:space="preserve"> viacročného finančného rámca</w:t>
            </w:r>
          </w:p>
        </w:tc>
      </w:tr>
      <w:tr w:rsidR="005E40F8">
        <w:trPr>
          <w:jc w:val="center"/>
        </w:trPr>
        <w:tc>
          <w:tcPr>
            <w:tcW w:w="9584" w:type="dxa"/>
            <w:tcBorders>
              <w:bottom w:val="single" w:sz="4" w:space="0" w:color="auto"/>
            </w:tcBorders>
          </w:tcPr>
          <w:p w:rsidR="005E40F8" w:rsidRDefault="007C521D">
            <w:pPr>
              <w:pStyle w:val="Text2"/>
              <w:spacing w:before="0" w:after="0"/>
              <w:ind w:left="0"/>
              <w:jc w:val="left"/>
              <w:rPr>
                <w:rFonts w:ascii="Arial Narrow" w:hAnsi="Arial Narrow"/>
                <w:noProof/>
                <w:sz w:val="20"/>
                <w:szCs w:val="20"/>
              </w:rPr>
            </w:pPr>
            <w:r>
              <w:rPr>
                <w:rFonts w:ascii="Arial Narrow" w:hAnsi="Arial Narrow"/>
                <w:noProof/>
                <w:sz w:val="20"/>
              </w:rPr>
              <w:t xml:space="preserve">Vývoj IT v roku </w:t>
            </w:r>
            <w:r>
              <w:rPr>
                <w:rFonts w:ascii="Arial Narrow" w:hAnsi="Arial Narrow"/>
                <w:noProof/>
                <w:sz w:val="20"/>
              </w:rPr>
              <w:t>2017 a následná údržba</w:t>
            </w:r>
            <w:r>
              <w:rPr>
                <w:rFonts w:ascii="Arial Narrow" w:hAnsi="Arial Narrow"/>
                <w:noProof/>
                <w:sz w:val="20"/>
                <w:szCs w:val="20"/>
              </w:rPr>
              <w:br/>
            </w:r>
            <w:r>
              <w:rPr>
                <w:rFonts w:ascii="Arial Narrow" w:hAnsi="Arial Narrow"/>
                <w:noProof/>
                <w:sz w:val="20"/>
              </w:rPr>
              <w:t>Náklady na hodnotenie na konci vykonávania</w:t>
            </w:r>
          </w:p>
          <w:p w:rsidR="005E40F8" w:rsidRDefault="005E40F8">
            <w:pPr>
              <w:pStyle w:val="Text2"/>
              <w:spacing w:before="0" w:after="0"/>
              <w:ind w:left="0"/>
              <w:rPr>
                <w:rFonts w:ascii="Arial Narrow" w:hAnsi="Arial Narrow"/>
                <w:noProof/>
                <w:sz w:val="20"/>
                <w:szCs w:val="20"/>
                <w:u w:val="single"/>
              </w:rPr>
            </w:pPr>
          </w:p>
          <w:p w:rsidR="005E40F8" w:rsidRDefault="005E40F8">
            <w:pPr>
              <w:pStyle w:val="Text2"/>
              <w:spacing w:before="0" w:after="0"/>
              <w:ind w:left="0"/>
              <w:rPr>
                <w:rFonts w:ascii="Arial Narrow" w:hAnsi="Arial Narrow"/>
                <w:noProof/>
                <w:sz w:val="20"/>
                <w:szCs w:val="20"/>
                <w:u w:val="single"/>
              </w:rPr>
            </w:pPr>
          </w:p>
          <w:p w:rsidR="005E40F8" w:rsidRDefault="005E40F8">
            <w:pPr>
              <w:pStyle w:val="Text2"/>
              <w:spacing w:before="0" w:after="0"/>
              <w:ind w:left="0"/>
              <w:rPr>
                <w:rFonts w:ascii="Arial Narrow" w:hAnsi="Arial Narrow"/>
                <w:noProof/>
                <w:sz w:val="20"/>
                <w:szCs w:val="20"/>
                <w:u w:val="single"/>
              </w:rPr>
            </w:pPr>
          </w:p>
          <w:p w:rsidR="005E40F8" w:rsidRDefault="005E40F8">
            <w:pPr>
              <w:pStyle w:val="Text2"/>
              <w:spacing w:before="0" w:after="0"/>
              <w:ind w:left="0"/>
              <w:rPr>
                <w:rFonts w:ascii="Arial Narrow" w:hAnsi="Arial Narrow"/>
                <w:noProof/>
                <w:sz w:val="20"/>
                <w:szCs w:val="20"/>
                <w:u w:val="single"/>
              </w:rPr>
            </w:pPr>
          </w:p>
          <w:p w:rsidR="005E40F8" w:rsidRDefault="005E40F8">
            <w:pPr>
              <w:pStyle w:val="Text2"/>
              <w:spacing w:before="60" w:after="0"/>
              <w:ind w:left="0"/>
              <w:rPr>
                <w:rFonts w:ascii="Arial Narrow" w:hAnsi="Arial Narrow"/>
                <w:noProof/>
                <w:sz w:val="18"/>
                <w:szCs w:val="18"/>
                <w:u w:val="single"/>
              </w:rPr>
            </w:pPr>
          </w:p>
        </w:tc>
      </w:tr>
    </w:tbl>
    <w:p w:rsidR="005E40F8" w:rsidRDefault="005E40F8">
      <w:pPr>
        <w:rPr>
          <w:noProof/>
        </w:rPr>
      </w:pPr>
    </w:p>
    <w:sectPr w:rsidR="005E40F8" w:rsidSect="007C521D">
      <w:headerReference w:type="default" r:id="rId32"/>
      <w:footerReference w:type="default" r:id="rId33"/>
      <w:headerReference w:type="first" r:id="rId34"/>
      <w:footerReference w:type="first" r:id="rId35"/>
      <w:pgSz w:w="12240" w:h="15840" w:code="1"/>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F8" w:rsidRDefault="007C521D">
      <w:pPr>
        <w:spacing w:before="0" w:after="0"/>
      </w:pPr>
      <w:r>
        <w:separator/>
      </w:r>
    </w:p>
  </w:endnote>
  <w:endnote w:type="continuationSeparator" w:id="0">
    <w:p w:rsidR="005E40F8" w:rsidRDefault="007C52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Landscape"/>
      <w:rPr>
        <w:rFonts w:ascii="Arial" w:hAnsi="Arial" w:cs="Arial"/>
        <w:b/>
        <w:sz w:val="48"/>
      </w:rPr>
    </w:pPr>
    <w:r w:rsidRPr="007C521D">
      <w:rPr>
        <w:rFonts w:ascii="Arial" w:hAnsi="Arial" w:cs="Arial"/>
        <w:b/>
        <w:sz w:val="48"/>
      </w:rPr>
      <w:t>SK</w:t>
    </w:r>
    <w:r w:rsidRPr="007C521D">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7C521D">
      <w:tab/>
    </w:r>
    <w:r w:rsidRPr="007C521D">
      <w:rPr>
        <w:rFonts w:ascii="Arial" w:hAnsi="Arial" w:cs="Arial"/>
        <w:b/>
        <w:sz w:val="48"/>
      </w:rPr>
      <w:t>SK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
      <w:rPr>
        <w:rFonts w:ascii="Arial" w:hAnsi="Arial" w:cs="Arial"/>
        <w:b/>
        <w:sz w:val="48"/>
      </w:rPr>
    </w:pPr>
    <w:r w:rsidRPr="007C521D">
      <w:rPr>
        <w:rFonts w:ascii="Arial" w:hAnsi="Arial" w:cs="Arial"/>
        <w:b/>
        <w:sz w:val="48"/>
      </w:rPr>
      <w:t>SK</w:t>
    </w:r>
    <w:r w:rsidRPr="007C521D">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7C521D">
      <w:tab/>
    </w:r>
    <w:r w:rsidRPr="007C521D">
      <w:rPr>
        <w:rFonts w:ascii="Arial" w:hAnsi="Arial" w:cs="Arial"/>
        <w:b/>
        <w:sz w:val="48"/>
      </w:rPr>
      <w:t>SK</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F8" w:rsidRPr="007C521D" w:rsidRDefault="007C521D" w:rsidP="007C521D">
    <w:pPr>
      <w:pStyle w:val="Footer"/>
      <w:rPr>
        <w:rFonts w:ascii="Arial" w:hAnsi="Arial" w:cs="Arial"/>
        <w:b/>
        <w:sz w:val="48"/>
      </w:rPr>
    </w:pPr>
    <w:r w:rsidRPr="007C521D">
      <w:rPr>
        <w:rFonts w:ascii="Arial" w:hAnsi="Arial" w:cs="Arial"/>
        <w:b/>
        <w:sz w:val="48"/>
      </w:rPr>
      <w:t>SK</w:t>
    </w:r>
    <w:r w:rsidRPr="007C521D">
      <w:rPr>
        <w:rFonts w:ascii="Arial" w:hAnsi="Arial" w:cs="Arial"/>
        <w:b/>
        <w:sz w:val="48"/>
      </w:rPr>
      <w:tab/>
    </w:r>
    <w:r w:rsidRPr="007C521D">
      <w:rPr>
        <w:rFonts w:ascii="Arial" w:hAnsi="Arial" w:cs="Arial"/>
        <w:b/>
        <w:sz w:val="48"/>
      </w:rPr>
      <w:tab/>
    </w:r>
    <w:fldSimple w:instr=" DOCVARIABLE &quot;LW_Confidence&quot; \* MERGEFORMAT ">
      <w:r>
        <w:t xml:space="preserve"> </w:t>
      </w:r>
    </w:fldSimple>
    <w:r w:rsidRPr="007C521D">
      <w:tab/>
    </w:r>
    <w:proofErr w:type="spellStart"/>
    <w:r w:rsidRPr="007C521D">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
      <w:rPr>
        <w:rFonts w:ascii="Arial" w:hAnsi="Arial" w:cs="Arial"/>
        <w:b/>
        <w:sz w:val="48"/>
      </w:rPr>
    </w:pPr>
    <w:r w:rsidRPr="007C521D">
      <w:rPr>
        <w:rFonts w:ascii="Arial" w:hAnsi="Arial" w:cs="Arial"/>
        <w:b/>
        <w:sz w:val="48"/>
      </w:rPr>
      <w:t>SK</w:t>
    </w:r>
    <w:r w:rsidRPr="007C521D">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fldSimple w:instr=" DOCVARIABLE &quot;LW_Confidence&quot; \* MERGEFORMAT ">
      <w:r>
        <w:t xml:space="preserve"> </w:t>
      </w:r>
    </w:fldSimple>
    <w:r w:rsidRPr="007C521D">
      <w:tab/>
    </w:r>
    <w:r w:rsidRPr="007C521D">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Landscape"/>
      <w:rPr>
        <w:rFonts w:ascii="Arial" w:hAnsi="Arial" w:cs="Arial"/>
        <w:b/>
        <w:sz w:val="48"/>
      </w:rPr>
    </w:pPr>
    <w:r w:rsidRPr="007C521D">
      <w:rPr>
        <w:rFonts w:ascii="Arial" w:hAnsi="Arial" w:cs="Arial"/>
        <w:b/>
        <w:sz w:val="48"/>
      </w:rPr>
      <w:t>SK</w:t>
    </w:r>
    <w:r w:rsidRPr="007C521D">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7C521D">
      <w:tab/>
    </w:r>
    <w:r w:rsidRPr="007C521D">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
      <w:rPr>
        <w:rFonts w:ascii="Arial" w:hAnsi="Arial" w:cs="Arial"/>
        <w:b/>
        <w:sz w:val="48"/>
      </w:rPr>
    </w:pPr>
    <w:r w:rsidRPr="007C521D">
      <w:rPr>
        <w:rFonts w:ascii="Arial" w:hAnsi="Arial" w:cs="Arial"/>
        <w:b/>
        <w:sz w:val="48"/>
      </w:rPr>
      <w:t>SK</w:t>
    </w:r>
    <w:r w:rsidRPr="007C521D">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7C521D">
      <w:tab/>
    </w:r>
    <w:r w:rsidRPr="007C521D">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F8" w:rsidRDefault="007C521D">
      <w:pPr>
        <w:spacing w:before="0" w:after="0"/>
      </w:pPr>
      <w:r>
        <w:separator/>
      </w:r>
    </w:p>
  </w:footnote>
  <w:footnote w:type="continuationSeparator" w:id="0">
    <w:p w:rsidR="005E40F8" w:rsidRDefault="007C521D">
      <w:pPr>
        <w:spacing w:before="0" w:after="0"/>
      </w:pPr>
      <w:r>
        <w:continuationSeparator/>
      </w:r>
    </w:p>
  </w:footnote>
  <w:footnote w:id="1">
    <w:p w:rsidR="005E40F8" w:rsidRDefault="007C521D">
      <w:pPr>
        <w:pStyle w:val="FootnoteText"/>
      </w:pPr>
      <w:r>
        <w:rPr>
          <w:rStyle w:val="FootnoteReference"/>
        </w:rPr>
        <w:footnoteRef/>
      </w:r>
      <w:r>
        <w:tab/>
        <w:t>Oznámenie Komisie Európskemu parlamentu, Rade, Európskemu hospodárskemu a sociálnemu výboru</w:t>
      </w:r>
      <w:r>
        <w:t xml:space="preserve"> a Výboru regiónov s názvom Pripojenie pre konkurencieschopný digitálny jednotný trh – smerom k európskej gigabitovej spoločnosti [COM(2016) 587].</w:t>
      </w:r>
    </w:p>
  </w:footnote>
  <w:footnote w:id="2">
    <w:p w:rsidR="005E40F8" w:rsidRDefault="007C521D">
      <w:pPr>
        <w:pStyle w:val="FootnoteText"/>
      </w:pPr>
      <w:r>
        <w:rPr>
          <w:rStyle w:val="FootnoteReference"/>
        </w:rPr>
        <w:footnoteRef/>
      </w:r>
      <w:r>
        <w:tab/>
      </w:r>
      <w:r>
        <w:t>Návrh smernice Európskeho parlamentu a Rady o zriadení európskeho kódexu elektronickej komunikácie (preprac</w:t>
      </w:r>
      <w:r>
        <w:t>ované znenie) [COM(2016) 590].</w:t>
      </w:r>
    </w:p>
  </w:footnote>
  <w:footnote w:id="3">
    <w:p w:rsidR="005E40F8" w:rsidRDefault="007C521D">
      <w:pPr>
        <w:pStyle w:val="FootnoteText"/>
      </w:pPr>
      <w:r>
        <w:rPr>
          <w:rStyle w:val="FootnoteReference"/>
        </w:rPr>
        <w:footnoteRef/>
      </w:r>
      <w:r>
        <w:tab/>
      </w:r>
      <w:r>
        <w:t xml:space="preserve">Nariadenie Európskeho parlamentu a Rady (EÚ) č. 1316/2013 z 11. decembra 2013 o zriadení Nástroja na prepájanie Európy, ktorým sa mení nariadenie (EÚ) č. 913/2010 a zrušujú sa nariadenia (ES) č. 680/2007 a (ES) č. 67/2010, </w:t>
      </w:r>
      <w:r>
        <w:t>Ú. v. EÚ L 348, 20.12.2013, s. 129, naposledy zmenené nariadením Európskeho parlamentu a Rady (EÚ) 2015/1017 z 25. júna 2015, Ú. v. EÚ L 169, 1.7.2015, s. 1.</w:t>
      </w:r>
    </w:p>
  </w:footnote>
  <w:footnote w:id="4">
    <w:p w:rsidR="005E40F8" w:rsidRDefault="007C521D">
      <w:pPr>
        <w:pStyle w:val="FootnoteText"/>
      </w:pPr>
      <w:r>
        <w:rPr>
          <w:rStyle w:val="FootnoteReference"/>
        </w:rPr>
        <w:footnoteRef/>
      </w:r>
      <w:r>
        <w:tab/>
      </w:r>
      <w:r>
        <w:t xml:space="preserve">Nariadenie Európskeho parlamentu a Rady (EÚ) č. 283/2014 z 11. marca 2014 o usmerneniach pre </w:t>
      </w:r>
      <w:proofErr w:type="spellStart"/>
      <w:r>
        <w:t>tra</w:t>
      </w:r>
      <w:r>
        <w:t>nseurópske</w:t>
      </w:r>
      <w:proofErr w:type="spellEnd"/>
      <w:r>
        <w:t xml:space="preserve"> siete v oblasti telekomunikačnej infraštruktúry, ktorým sa zrušuje rozhodnutie č. 1336/97/ES, Ú. v. EÚ L 86, 21.3.2014, s. 14.</w:t>
      </w:r>
    </w:p>
  </w:footnote>
  <w:footnote w:id="5">
    <w:p w:rsidR="005E40F8" w:rsidRDefault="007C521D">
      <w:pPr>
        <w:pStyle w:val="FootnoteText"/>
      </w:pPr>
      <w:r>
        <w:rPr>
          <w:rStyle w:val="FootnoteReference"/>
        </w:rPr>
        <w:footnoteRef/>
      </w:r>
      <w:r>
        <w:tab/>
      </w:r>
      <w:r>
        <w:t>Vymedzená v článku 185 nariadenia (EÚ) č. 1268/2012 z 29. októbra 2012 o pravidlách uplatňovania nariadenia Európske</w:t>
      </w:r>
      <w:r>
        <w:t xml:space="preserve">ho parlamentu a Rady (EÚ, </w:t>
      </w:r>
      <w:proofErr w:type="spellStart"/>
      <w:r>
        <w:t>Euratom</w:t>
      </w:r>
      <w:proofErr w:type="spellEnd"/>
      <w:r>
        <w:t>) č. 966/2012 o rozpočtových pravidlách, ktoré sa vzťahujú na všeobecný rozpočet Únie, Ú. v. EÚ L 362, 31.12.2012, s. 1, zmeneného delegovaným nariadením Komisie (EÚ) 2015/2462 z 30. októbra 2015 Ú. v. EÚ L 342, 29.12.2015,</w:t>
      </w:r>
      <w:r>
        <w:t xml:space="preserve"> s. 7.</w:t>
      </w:r>
    </w:p>
  </w:footnote>
  <w:footnote w:id="6">
    <w:p w:rsidR="005E40F8" w:rsidRDefault="007C521D">
      <w:pPr>
        <w:pStyle w:val="FootnoteText"/>
      </w:pPr>
      <w:r>
        <w:rPr>
          <w:rStyle w:val="FootnoteReference"/>
        </w:rPr>
        <w:footnoteRef/>
      </w:r>
      <w:r>
        <w:tab/>
      </w:r>
      <w:r>
        <w:t xml:space="preserve">Všetka ďalšia finančná pomoc členských štátov by sa za bežných okolností mala považovať za pomoc </w:t>
      </w:r>
      <w:proofErr w:type="spellStart"/>
      <w:r>
        <w:t>de</w:t>
      </w:r>
      <w:proofErr w:type="spellEnd"/>
      <w:r>
        <w:t xml:space="preserve"> </w:t>
      </w:r>
      <w:proofErr w:type="spellStart"/>
      <w:r>
        <w:t>minimis</w:t>
      </w:r>
      <w:proofErr w:type="spellEnd"/>
      <w:r>
        <w:t>, ako sa vymedzuje v článku 3 nariadenia Komisie (EÚ) č. 1407/2013 z 18. decembra 2013 o uplatňovaní článkov 107 a 108 Zmluvy o fungovaní Eu</w:t>
      </w:r>
      <w:r>
        <w:t xml:space="preserve">rópskej únie na pomoc </w:t>
      </w:r>
      <w:proofErr w:type="spellStart"/>
      <w:r>
        <w:t>de</w:t>
      </w:r>
      <w:proofErr w:type="spellEnd"/>
      <w:r>
        <w:t xml:space="preserve"> </w:t>
      </w:r>
      <w:proofErr w:type="spellStart"/>
      <w:r>
        <w:t>minimis</w:t>
      </w:r>
      <w:proofErr w:type="spellEnd"/>
      <w:r>
        <w:t xml:space="preserve"> Ú. v. EÚ L 352, 24.12.2013, s. 1. Ak takéto dodatočné financovanie zo strany členského štátu nespĺňa požiadavky na to, aby sa považovalo za pomoc </w:t>
      </w:r>
      <w:proofErr w:type="spellStart"/>
      <w:r>
        <w:t>de</w:t>
      </w:r>
      <w:proofErr w:type="spellEnd"/>
      <w:r>
        <w:t xml:space="preserve"> </w:t>
      </w:r>
      <w:proofErr w:type="spellStart"/>
      <w:r>
        <w:t>minimis</w:t>
      </w:r>
      <w:proofErr w:type="spellEnd"/>
      <w:r>
        <w:t>, uplatňujú sa naň články 107 a 108 ZFEÚ.</w:t>
      </w:r>
    </w:p>
  </w:footnote>
  <w:footnote w:id="7">
    <w:p w:rsidR="005E40F8" w:rsidRDefault="007C521D">
      <w:pPr>
        <w:pStyle w:val="FootnoteText"/>
      </w:pPr>
      <w:r>
        <w:rPr>
          <w:rStyle w:val="FootnoteReference"/>
        </w:rPr>
        <w:footnoteRef/>
      </w:r>
      <w:r>
        <w:tab/>
      </w:r>
      <w:r>
        <w:t>Cieľ geograficky vyváže</w:t>
      </w:r>
      <w:r>
        <w:t>ného rozdelenia finančnej pomoci Únie sa musí dosiahnuť v medziach skutočne prijatých návrhov a v plnom súlade so zásadami osobitných finančných foriem pomoci, ako sa vymedzuje v nariadení o rozpočtových pravidlách.</w:t>
      </w:r>
    </w:p>
  </w:footnote>
  <w:footnote w:id="8">
    <w:p w:rsidR="005E40F8" w:rsidRDefault="007C521D">
      <w:pPr>
        <w:pStyle w:val="FootnoteText"/>
      </w:pPr>
      <w:r>
        <w:rPr>
          <w:rStyle w:val="FootnoteReference"/>
        </w:rPr>
        <w:footnoteRef/>
      </w:r>
      <w:r>
        <w:tab/>
      </w:r>
      <w:hyperlink r:id="rId1">
        <w:r>
          <w:rPr>
            <w:rStyle w:val="Hyperlink"/>
            <w:rFonts w:ascii="Times New Roman" w:hAnsi="Times New Roman"/>
          </w:rPr>
          <w:t>https://ec.europa.eu/digital-single-market/en/broadband-competence-offices</w:t>
        </w:r>
      </w:hyperlink>
    </w:p>
  </w:footnote>
  <w:footnote w:id="9">
    <w:p w:rsidR="005E40F8" w:rsidRDefault="007C521D">
      <w:pPr>
        <w:pStyle w:val="FootnoteText"/>
        <w:jc w:val="left"/>
      </w:pPr>
      <w:r>
        <w:rPr>
          <w:rStyle w:val="FootnoteReference"/>
        </w:rPr>
        <w:footnoteRef/>
      </w:r>
      <w:r>
        <w:tab/>
      </w:r>
      <w:hyperlink r:id="rId2">
        <w:r>
          <w:rPr>
            <w:rStyle w:val="Hyperlink"/>
            <w:rFonts w:ascii="Times New Roman" w:hAnsi="Times New Roman"/>
          </w:rPr>
          <w:t>h</w:t>
        </w:r>
        <w:r>
          <w:rPr>
            <w:rStyle w:val="Hyperlink"/>
            <w:rFonts w:ascii="Times New Roman" w:hAnsi="Times New Roman"/>
            <w:sz w:val="18"/>
          </w:rPr>
          <w:t>ttps://ec.europa.eu/digital-single-market/en/news/full-synopsis-report-public-consultation-evaluation-and-review-regulatory-framework-electronic</w:t>
        </w:r>
      </w:hyperlink>
    </w:p>
  </w:footnote>
  <w:footnote w:id="10">
    <w:p w:rsidR="005E40F8" w:rsidRDefault="007C521D">
      <w:pPr>
        <w:pStyle w:val="FootnoteText"/>
      </w:pPr>
      <w:r>
        <w:rPr>
          <w:rStyle w:val="FootnoteReference"/>
        </w:rPr>
        <w:footnoteRef/>
      </w:r>
      <w:r>
        <w:tab/>
      </w:r>
      <w:r>
        <w:t>Návrh nariadenia Európskeho parlamentu a Rady, ktorým sa menia nar</w:t>
      </w:r>
      <w:r>
        <w:t>iadenia (EÚ) č. 1316/2013 a (EÚ) 2015/1017, pokiaľ ide o predĺženie trvania Európskeho fondu pre strategické investície, ako aj zavedenie technických vylepšení pre uvedený fond a pre Európske centrum investičného poradenstva [COM(2016) 597].</w:t>
      </w:r>
    </w:p>
  </w:footnote>
  <w:footnote w:id="11">
    <w:p w:rsidR="005E40F8" w:rsidRDefault="007C521D">
      <w:pPr>
        <w:pStyle w:val="FootnoteText"/>
      </w:pPr>
      <w:r>
        <w:rPr>
          <w:rStyle w:val="FootnoteReference"/>
        </w:rPr>
        <w:footnoteRef/>
      </w:r>
      <w:r>
        <w:tab/>
      </w:r>
      <w:r>
        <w:t>Nariadenie E</w:t>
      </w:r>
      <w:r>
        <w:t>urópskeho parlamentu a Rady (EÚ) 2015/1017 z 25. júna 2015 o Európskom fonde pre strategické investície, Európskom centre investičného poradenstva a Európskom portáli investičných projektov a o zmene nariadení (EÚ) č. 1291/2013 a (EÚ) č. 1316/2013 – Európs</w:t>
      </w:r>
      <w:r>
        <w:t xml:space="preserve">ky fond pre strategické investície, </w:t>
      </w:r>
      <w:r>
        <w:rPr>
          <w:color w:val="000000"/>
        </w:rPr>
        <w:t xml:space="preserve">Ú. v. EÚ L </w:t>
      </w:r>
      <w:r>
        <w:t>169, 1.7.2015, s. 1.</w:t>
      </w:r>
    </w:p>
  </w:footnote>
  <w:footnote w:id="12">
    <w:p w:rsidR="005E40F8" w:rsidRDefault="007C521D">
      <w:pPr>
        <w:pStyle w:val="FootnoteText"/>
      </w:pPr>
      <w:r>
        <w:rPr>
          <w:rStyle w:val="FootnoteReference"/>
        </w:rPr>
        <w:footnoteRef/>
      </w:r>
      <w:r>
        <w:tab/>
      </w:r>
      <w:r>
        <w:t>Ú. v. EÚ C, s...</w:t>
      </w:r>
    </w:p>
  </w:footnote>
  <w:footnote w:id="13">
    <w:p w:rsidR="005E40F8" w:rsidRDefault="007C521D">
      <w:pPr>
        <w:pStyle w:val="FootnoteText"/>
      </w:pPr>
      <w:r>
        <w:rPr>
          <w:rStyle w:val="FootnoteReference"/>
        </w:rPr>
        <w:footnoteRef/>
      </w:r>
      <w:r>
        <w:tab/>
      </w:r>
      <w:r>
        <w:t>Ú. v. EÚ C, s.</w:t>
      </w:r>
    </w:p>
  </w:footnote>
  <w:footnote w:id="14">
    <w:p w:rsidR="005E40F8" w:rsidRDefault="007C521D">
      <w:pPr>
        <w:pStyle w:val="FootnoteText"/>
      </w:pPr>
      <w:r>
        <w:rPr>
          <w:rStyle w:val="FootnoteReference"/>
        </w:rPr>
        <w:footnoteRef/>
      </w:r>
      <w:r>
        <w:tab/>
      </w:r>
      <w:r>
        <w:t xml:space="preserve">Oznámenie Komisie Európskemu parlamentu, Rade, Európskemu hospodárskemu a sociálnemu výboru a Výboru regiónov s názvom Pripojenie pre </w:t>
      </w:r>
      <w:r>
        <w:t>konkurencieschopný digitálny jednotný trh – smerom k európskej gigabitovej spoločnosti [COM(2016) 587].</w:t>
      </w:r>
    </w:p>
  </w:footnote>
  <w:footnote w:id="15">
    <w:p w:rsidR="005E40F8" w:rsidRDefault="007C521D">
      <w:pPr>
        <w:pStyle w:val="FootnoteText"/>
      </w:pPr>
      <w:r>
        <w:rPr>
          <w:rStyle w:val="FootnoteReference"/>
        </w:rPr>
        <w:footnoteRef/>
      </w:r>
      <w:r>
        <w:tab/>
      </w:r>
      <w:r>
        <w:t>Nariadenie Európskeho parlamentu a Rady (EÚ) č. 1316/2013 z 11. decembra 2013 o zriadení Nástroja na prepájanie Európy, ktorým sa mení nariadenie (EÚ)</w:t>
      </w:r>
      <w:r>
        <w:t xml:space="preserve"> č. 913/2010 a zrušujú sa nariadenia (ES) č. 680/2007 a (ES) č. 67/2010, Ú. v. EÚ L 348, 20.12.2013, s. 129, naposledy zmenené nariadením Európskeho parlamentu a Rady (EÚ) 2015/1017 z 25. júna 2015, Ú. v. EÚ L 169, 1.7.2015, s. 1.</w:t>
      </w:r>
    </w:p>
  </w:footnote>
  <w:footnote w:id="16">
    <w:p w:rsidR="005E40F8" w:rsidRDefault="007C521D">
      <w:pPr>
        <w:pStyle w:val="FootnoteText"/>
      </w:pPr>
      <w:r>
        <w:rPr>
          <w:rStyle w:val="FootnoteReference"/>
        </w:rPr>
        <w:footnoteRef/>
      </w:r>
      <w:r>
        <w:tab/>
      </w:r>
      <w:r>
        <w:t>Nariadenie Európskeho p</w:t>
      </w:r>
      <w:r>
        <w:t xml:space="preserve">arlamentu a Rady (EÚ) č. 283/2014 z 11. marca 2014 o usmerneniach pre </w:t>
      </w:r>
      <w:proofErr w:type="spellStart"/>
      <w:r>
        <w:t>transeurópske</w:t>
      </w:r>
      <w:proofErr w:type="spellEnd"/>
      <w:r>
        <w:t xml:space="preserve"> siete v oblasti telekomunikačnej infraštruktúry, ktorým sa zrušuje rozhodnutie č. 1336/97/ES, Ú. v. EÚ L 86, 21.3.2014, s. 14.</w:t>
      </w:r>
    </w:p>
  </w:footnote>
  <w:footnote w:id="17">
    <w:p w:rsidR="005E40F8" w:rsidRDefault="007C521D">
      <w:pPr>
        <w:pStyle w:val="FootnoteText"/>
      </w:pPr>
      <w:r>
        <w:rPr>
          <w:rStyle w:val="FootnoteReference"/>
        </w:rPr>
        <w:footnoteRef/>
      </w:r>
      <w:r>
        <w:tab/>
      </w:r>
      <w:r>
        <w:t>ABM: riadenie podľa činností; ABB: zostavov</w:t>
      </w:r>
      <w:r>
        <w:t>anie rozpočtu podľa činností.</w:t>
      </w:r>
    </w:p>
  </w:footnote>
  <w:footnote w:id="18">
    <w:p w:rsidR="005E40F8" w:rsidRDefault="007C521D">
      <w:pPr>
        <w:pStyle w:val="FootnoteText"/>
      </w:pPr>
      <w:r>
        <w:rPr>
          <w:rStyle w:val="FootnoteReference"/>
        </w:rPr>
        <w:footnoteRef/>
      </w:r>
      <w:r>
        <w:tab/>
      </w:r>
      <w:r>
        <w:t>Podľa článku 54 ods. 2 písm. a) alebo b) nariadenia o rozpočtových pravidlách.</w:t>
      </w:r>
    </w:p>
  </w:footnote>
  <w:footnote w:id="19">
    <w:p w:rsidR="005E40F8" w:rsidRDefault="007C521D">
      <w:pPr>
        <w:pStyle w:val="FootnoteText"/>
      </w:pPr>
      <w:r>
        <w:rPr>
          <w:rStyle w:val="FootnoteReference"/>
        </w:rPr>
        <w:footnoteRef/>
      </w:r>
      <w:r>
        <w:tab/>
      </w:r>
      <w:r>
        <w:t>Patria sem napr. základné a stredné školy, železničné stanice, prístavy a letiská, budovy miestnych orgánov, univerzity, výskumné centrá, lekár</w:t>
      </w:r>
      <w:r>
        <w:t>ske ordinácie, nemocnice a štadióny.</w:t>
      </w:r>
    </w:p>
  </w:footnote>
  <w:footnote w:id="20">
    <w:p w:rsidR="005E40F8" w:rsidRDefault="007C521D">
      <w:pPr>
        <w:pStyle w:val="FootnoteText"/>
        <w:jc w:val="left"/>
      </w:pPr>
      <w:r>
        <w:rPr>
          <w:rStyle w:val="FootnoteReference"/>
        </w:rPr>
        <w:footnoteRef/>
      </w:r>
      <w:r>
        <w:tab/>
      </w:r>
      <w:r>
        <w:t xml:space="preserve">Vysvetlenie spôsobov hospodárenia a odkazy na nariadenie o rozpočtových pravidlách sú k dispozícii na webovej stránke </w:t>
      </w:r>
      <w:proofErr w:type="spellStart"/>
      <w:r>
        <w:t>BudgWeb</w:t>
      </w:r>
      <w:proofErr w:type="spellEnd"/>
      <w:r>
        <w:t xml:space="preserve">: </w:t>
      </w:r>
      <w:hyperlink r:id="rId3">
        <w:r>
          <w:rPr>
            <w:rStyle w:val="Hyperlink"/>
            <w:rFonts w:ascii="Times New Roman" w:hAnsi="Times New Roman"/>
          </w:rPr>
          <w:t>https://myintracomm.ec.europa.eu/budgweb/EN/man/budgmanag/Pages/budgmanag.aspx</w:t>
        </w:r>
      </w:hyperlink>
    </w:p>
  </w:footnote>
  <w:footnote w:id="21">
    <w:p w:rsidR="005E40F8" w:rsidRDefault="007C521D">
      <w:pPr>
        <w:pStyle w:val="FootnoteText"/>
      </w:pPr>
      <w:r>
        <w:rPr>
          <w:rStyle w:val="FootnoteReference"/>
        </w:rPr>
        <w:footnoteRef/>
      </w:r>
      <w:r>
        <w:tab/>
      </w:r>
      <w:r>
        <w:t>Táto suma sa vráti z DSI NPE (09.0303) do H2020 v období 2019 – 2020.</w:t>
      </w:r>
    </w:p>
  </w:footnote>
  <w:footnote w:id="22">
    <w:p w:rsidR="005E40F8" w:rsidRDefault="007C521D">
      <w:pPr>
        <w:pStyle w:val="FootnoteText"/>
      </w:pPr>
      <w:r>
        <w:rPr>
          <w:rStyle w:val="FootnoteReference"/>
        </w:rPr>
        <w:footnoteRef/>
      </w:r>
      <w:r>
        <w:tab/>
      </w:r>
      <w:r>
        <w:t>Technická a/alebo administratívna pomoc a výdavky určené na financovanie realizácie programov a</w:t>
      </w:r>
      <w:r>
        <w:t>/alebo akcií Európskej únie (pôvodné rozpočtové riadky „BA“), nepriamy výskum, priamy výskum.</w:t>
      </w:r>
    </w:p>
  </w:footnote>
  <w:footnote w:id="23">
    <w:p w:rsidR="005E40F8" w:rsidRDefault="007C521D">
      <w:pPr>
        <w:pStyle w:val="FootnoteText"/>
      </w:pPr>
      <w:r>
        <w:rPr>
          <w:rStyle w:val="FootnoteReference"/>
        </w:rPr>
        <w:footnoteRef/>
      </w:r>
      <w:r>
        <w:tab/>
      </w:r>
      <w:r>
        <w:t>Výstupy znamenajú dodané produkty a služby (napr.: počet financovaných výmen študentov, vybudované cesty v km atď.).</w:t>
      </w:r>
    </w:p>
  </w:footnote>
  <w:footnote w:id="24">
    <w:p w:rsidR="005E40F8" w:rsidRDefault="007C521D">
      <w:pPr>
        <w:pStyle w:val="FootnoteText"/>
      </w:pPr>
      <w:r>
        <w:rPr>
          <w:rStyle w:val="FootnoteReference"/>
        </w:rPr>
        <w:footnoteRef/>
      </w:r>
      <w:r>
        <w:tab/>
      </w:r>
      <w:r>
        <w:t>Technická a/alebo administratívna pomoc a</w:t>
      </w:r>
      <w:r>
        <w:t xml:space="preserve"> výdavky určené na financovanie realizácie programov a/alebo akcií Európskej únie (pôvodné rozpočtové riadky „BA“), nepriamy výskum, priamy výskum.</w:t>
      </w:r>
    </w:p>
  </w:footnote>
  <w:footnote w:id="25">
    <w:p w:rsidR="005E40F8" w:rsidRDefault="007C521D">
      <w:pPr>
        <w:pStyle w:val="FootnoteText"/>
      </w:pPr>
      <w:r>
        <w:rPr>
          <w:rStyle w:val="FootnoteReference"/>
        </w:rPr>
        <w:footnoteRef/>
      </w:r>
      <w:r>
        <w:tab/>
      </w:r>
      <w:r>
        <w:t xml:space="preserve">ZZ = zmluvný zamestnanec; MZ = miestny zamestnanec; VNE = vyslaný národný expert; DAZ = dočasný agentúrny </w:t>
      </w:r>
      <w:r>
        <w:t>zamestnanec; PED = pomocný expert v delegácii.</w:t>
      </w:r>
    </w:p>
  </w:footnote>
  <w:footnote w:id="26">
    <w:p w:rsidR="005E40F8" w:rsidRDefault="007C521D">
      <w:pPr>
        <w:pStyle w:val="FootnoteText"/>
      </w:pPr>
      <w:r>
        <w:rPr>
          <w:rStyle w:val="FootnoteReference"/>
        </w:rPr>
        <w:footnoteRef/>
      </w:r>
      <w:r>
        <w:tab/>
      </w:r>
      <w:r>
        <w:t>Čiastkový strop pre externých zamestnancov financovaných z operačných rozpočtových prostriedkov (pôvodné rozpočtové riadky „BA“).</w:t>
      </w:r>
    </w:p>
  </w:footnote>
  <w:footnote w:id="27">
    <w:p w:rsidR="005E40F8" w:rsidRDefault="007C521D">
      <w:pPr>
        <w:pStyle w:val="FootnoteText"/>
        <w:spacing w:after="120"/>
      </w:pPr>
      <w:r>
        <w:rPr>
          <w:rStyle w:val="FootnoteReference"/>
        </w:rPr>
        <w:footnoteRef/>
      </w:r>
      <w:r>
        <w:tab/>
      </w:r>
      <w:r>
        <w:rPr>
          <w:sz w:val="18"/>
        </w:rPr>
        <w:t xml:space="preserve">ZZ = zmluvný zamestnanec; MZ = miestny zamestnanec; VNE = vyslaný národný </w:t>
      </w:r>
      <w:r>
        <w:rPr>
          <w:sz w:val="18"/>
        </w:rPr>
        <w:t>expert; DAZ = dočasný agentúrny zamestnanec; PED = pomocný expert v delegácii.</w:t>
      </w:r>
    </w:p>
  </w:footnote>
  <w:footnote w:id="28">
    <w:p w:rsidR="005E40F8" w:rsidRDefault="007C521D">
      <w:pPr>
        <w:pStyle w:val="FootnoteText"/>
        <w:spacing w:after="120"/>
      </w:pPr>
      <w:r>
        <w:rPr>
          <w:rStyle w:val="FootnoteReference"/>
        </w:rPr>
        <w:footnoteRef/>
      </w:r>
      <w:r>
        <w:tab/>
      </w:r>
      <w:r>
        <w:rPr>
          <w:sz w:val="18"/>
        </w:rPr>
        <w:t>ZZ = zmluvný zamestnanec; MZ = miestny zamestnanec; VNE = vyslaný národný expert; DAZ = dočasný agentúrny zamestnanec; PED = pomocný expert v delegácii.</w:t>
      </w:r>
    </w:p>
  </w:footnote>
  <w:footnote w:id="29">
    <w:p w:rsidR="005E40F8" w:rsidRDefault="007C521D">
      <w:pPr>
        <w:pStyle w:val="FootnoteText"/>
      </w:pPr>
      <w:r>
        <w:rPr>
          <w:rStyle w:val="FootnoteReference"/>
        </w:rPr>
        <w:footnoteRef/>
      </w:r>
      <w:r>
        <w:tab/>
      </w:r>
      <w:r>
        <w:rPr>
          <w:sz w:val="18"/>
        </w:rPr>
        <w:t xml:space="preserve">Uveďte typ výboru a </w:t>
      </w:r>
      <w:r>
        <w:rPr>
          <w:sz w:val="18"/>
        </w:rPr>
        <w:t>skupine, do ktorej patrí.</w:t>
      </w:r>
    </w:p>
  </w:footnote>
  <w:footnote w:id="30">
    <w:p w:rsidR="005E40F8" w:rsidRDefault="007C521D">
      <w:pPr>
        <w:pStyle w:val="FootnoteText"/>
      </w:pPr>
      <w:r>
        <w:rPr>
          <w:rStyle w:val="FootnoteReference"/>
        </w:rPr>
        <w:footnoteRef/>
      </w:r>
      <w:r>
        <w:tab/>
      </w:r>
      <w:r>
        <w:t>IKT: Informačné a komunikačné technológie: Musí sa konzultovať DIGIT.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1D" w:rsidRPr="007C521D" w:rsidRDefault="007C521D" w:rsidP="007C521D">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0EEDCDE"/>
    <w:lvl w:ilvl="0">
      <w:start w:val="1"/>
      <w:numFmt w:val="decimal"/>
      <w:pStyle w:val="ListNumber3"/>
      <w:lvlText w:val="%1."/>
      <w:lvlJc w:val="left"/>
      <w:pPr>
        <w:tabs>
          <w:tab w:val="num" w:pos="1209"/>
        </w:tabs>
        <w:ind w:left="1209" w:hanging="360"/>
      </w:pPr>
      <w:rPr>
        <w:rFonts w:cs="Times New Roman"/>
      </w:rPr>
    </w:lvl>
  </w:abstractNum>
  <w:abstractNum w:abstractNumId="1">
    <w:nsid w:val="FFFFFF7E"/>
    <w:multiLevelType w:val="singleLevel"/>
    <w:tmpl w:val="4BD6CDDC"/>
    <w:lvl w:ilvl="0">
      <w:start w:val="1"/>
      <w:numFmt w:val="decimal"/>
      <w:pStyle w:val="ListNumber2"/>
      <w:lvlText w:val="%1."/>
      <w:lvlJc w:val="left"/>
      <w:pPr>
        <w:tabs>
          <w:tab w:val="num" w:pos="926"/>
        </w:tabs>
        <w:ind w:left="926" w:hanging="360"/>
      </w:pPr>
      <w:rPr>
        <w:rFonts w:cs="Times New Roman"/>
      </w:rPr>
    </w:lvl>
  </w:abstractNum>
  <w:abstractNum w:abstractNumId="2">
    <w:nsid w:val="FFFFFF7F"/>
    <w:multiLevelType w:val="singleLevel"/>
    <w:tmpl w:val="8CB8FB90"/>
    <w:lvl w:ilvl="0">
      <w:start w:val="1"/>
      <w:numFmt w:val="decimal"/>
      <w:pStyle w:val="ListNumber"/>
      <w:lvlText w:val="%1."/>
      <w:lvlJc w:val="left"/>
      <w:pPr>
        <w:tabs>
          <w:tab w:val="num" w:pos="643"/>
        </w:tabs>
        <w:ind w:left="643" w:hanging="360"/>
      </w:pPr>
      <w:rPr>
        <w:rFonts w:cs="Times New Roman"/>
      </w:rPr>
    </w:lvl>
  </w:abstractNum>
  <w:abstractNum w:abstractNumId="3">
    <w:nsid w:val="FFFFFF81"/>
    <w:multiLevelType w:val="singleLevel"/>
    <w:tmpl w:val="AB00CCCA"/>
    <w:lvl w:ilvl="0">
      <w:start w:val="1"/>
      <w:numFmt w:val="bullet"/>
      <w:pStyle w:val="ListBullet3"/>
      <w:lvlText w:val=""/>
      <w:lvlJc w:val="left"/>
      <w:pPr>
        <w:tabs>
          <w:tab w:val="num" w:pos="1209"/>
        </w:tabs>
        <w:ind w:left="1209" w:hanging="360"/>
      </w:pPr>
      <w:rPr>
        <w:rFonts w:ascii="Symbol" w:hAnsi="Symbol" w:hint="default"/>
      </w:rPr>
    </w:lvl>
  </w:abstractNum>
  <w:abstractNum w:abstractNumId="4">
    <w:nsid w:val="FFFFFF82"/>
    <w:multiLevelType w:val="singleLevel"/>
    <w:tmpl w:val="5A2E2900"/>
    <w:lvl w:ilvl="0">
      <w:start w:val="1"/>
      <w:numFmt w:val="bullet"/>
      <w:pStyle w:val="ListBullet2"/>
      <w:lvlText w:val=""/>
      <w:lvlJc w:val="left"/>
      <w:pPr>
        <w:tabs>
          <w:tab w:val="num" w:pos="926"/>
        </w:tabs>
        <w:ind w:left="926" w:hanging="360"/>
      </w:pPr>
      <w:rPr>
        <w:rFonts w:ascii="Symbol" w:hAnsi="Symbol" w:hint="default"/>
      </w:rPr>
    </w:lvl>
  </w:abstractNum>
  <w:abstractNum w:abstractNumId="5">
    <w:nsid w:val="FFFFFF83"/>
    <w:multiLevelType w:val="singleLevel"/>
    <w:tmpl w:val="E44AA05A"/>
    <w:lvl w:ilvl="0">
      <w:start w:val="1"/>
      <w:numFmt w:val="bullet"/>
      <w:pStyle w:val="ListBullet"/>
      <w:lvlText w:val=""/>
      <w:lvlJc w:val="left"/>
      <w:pPr>
        <w:tabs>
          <w:tab w:val="num" w:pos="643"/>
        </w:tabs>
        <w:ind w:left="643" w:hanging="360"/>
      </w:pPr>
      <w:rPr>
        <w:rFonts w:ascii="Symbol" w:hAnsi="Symbol" w:hint="default"/>
      </w:rPr>
    </w:lvl>
  </w:abstractNum>
  <w:abstractNum w:abstractNumId="6">
    <w:nsid w:val="FFFFFF88"/>
    <w:multiLevelType w:val="singleLevel"/>
    <w:tmpl w:val="A60CB450"/>
    <w:lvl w:ilvl="0">
      <w:start w:val="1"/>
      <w:numFmt w:val="decimal"/>
      <w:pStyle w:val="ListBullet4"/>
      <w:lvlText w:val="%1."/>
      <w:lvlJc w:val="left"/>
      <w:pPr>
        <w:tabs>
          <w:tab w:val="num" w:pos="360"/>
        </w:tabs>
        <w:ind w:left="360" w:hanging="360"/>
      </w:pPr>
      <w:rPr>
        <w:rFonts w:cs="Times New Roman"/>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23"/>
    <w:lvlOverride w:ilvl="0">
      <w:startOverride w:val="1"/>
    </w:lvlOverride>
  </w:num>
  <w:num w:numId="9">
    <w:abstractNumId w:val="7"/>
  </w:num>
  <w:num w:numId="10">
    <w:abstractNumId w:val="16"/>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22"/>
  </w:num>
  <w:num w:numId="18">
    <w:abstractNumId w:val="11"/>
  </w:num>
  <w:num w:numId="19">
    <w:abstractNumId w:val="13"/>
  </w:num>
  <w:num w:numId="20">
    <w:abstractNumId w:val="9"/>
  </w:num>
  <w:num w:numId="21">
    <w:abstractNumId w:val="21"/>
  </w:num>
  <w:num w:numId="22">
    <w:abstractNumId w:val="8"/>
  </w:num>
  <w:num w:numId="23">
    <w:abstractNumId w:val="14"/>
  </w:num>
  <w:num w:numId="24">
    <w:abstractNumId w:val="18"/>
  </w:num>
  <w:num w:numId="25">
    <w:abstractNumId w:val="19"/>
  </w:num>
  <w:num w:numId="26">
    <w:abstractNumId w:val="10"/>
  </w:num>
  <w:num w:numId="27">
    <w:abstractNumId w:val="17"/>
  </w:num>
  <w:num w:numId="28">
    <w:abstractNumId w:val="23"/>
  </w:num>
  <w:num w:numId="29">
    <w:abstractNumId w:val="20"/>
  </w:num>
  <w:num w:numId="30">
    <w:abstractNumId w:val="12"/>
  </w:num>
  <w:num w:numId="31">
    <w:abstractNumId w:val="22"/>
  </w:num>
  <w:num w:numId="32">
    <w:abstractNumId w:val="11"/>
  </w:num>
  <w:num w:numId="33">
    <w:abstractNumId w:val="13"/>
  </w:num>
  <w:num w:numId="34">
    <w:abstractNumId w:val="9"/>
  </w:num>
  <w:num w:numId="35">
    <w:abstractNumId w:val="21"/>
  </w:num>
  <w:num w:numId="36">
    <w:abstractNumId w:val="8"/>
  </w:num>
  <w:num w:numId="37">
    <w:abstractNumId w:val="14"/>
  </w:num>
  <w:num w:numId="38">
    <w:abstractNumId w:val="18"/>
  </w:num>
  <w:num w:numId="39">
    <w:abstractNumId w:val="19"/>
  </w:num>
  <w:num w:numId="40">
    <w:abstractNumId w:val="10"/>
  </w:num>
  <w:num w:numId="41">
    <w:abstractNumId w:val="17"/>
  </w:num>
  <w:num w:numId="4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proofState w:spelling="clean" w:grammar="clean"/>
  <w:attachedTemplate r:id="rId1"/>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5:27: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3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B4760015633144DFA177BEC5CC61B03D"/>
    <w:docVar w:name="LW_CROSSREFERENCE" w:val="&lt;UNUSED&gt;"/>
    <w:docVar w:name="LW_DocType" w:val="COM"/>
    <w:docVar w:name="LW_EMISSION" w:val="14. 9. 2016"/>
    <w:docVar w:name="LW_EMISSION_ISODATE" w:val="2016-09-14"/>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87"/>
    <w:docVar w:name="LW_REF.II.NEW.CP_YEAR" w:val="2016"/>
    <w:docVar w:name="LW_REF.INST.NEW" w:val="COM"/>
    <w:docVar w:name="LW_REF.INST.NEW_ADOPTED" w:val="final"/>
    <w:docVar w:name="LW_REF.INST.NEW_TEXT" w:val="(2016) 589"/>
    <w:docVar w:name="LW_REF.INTERNE" w:val="&lt;UNUSED&gt;"/>
    <w:docVar w:name="LW_SOUS.TITRE.OBJ.CP" w:val="&lt;UNUSED&gt;"/>
    <w:docVar w:name="LW_STATUT.CP" w:val="Návrh"/>
    <w:docVar w:name="LW_SUPERTITRE" w:val="&lt;UNUSED&gt;"/>
    <w:docVar w:name="LW_TITRE.OBJ.CP" w:val="_x000b_ktorým sa menia nariadenia (EÚ) \u269?. 1316/2013 a (EÚ) \u269?. 283/2014, pokia\u318? ide o podporu internetového pripojenia v miestnych spolo\u269?enstvách"/>
    <w:docVar w:name="LW_TYPE.DOC.CP" w:val="NARIADENIE EURÓPSKEHO PARLAMENTU A RADY,"/>
  </w:docVars>
  <w:rsids>
    <w:rsidRoot w:val="005E40F8"/>
    <w:rsid w:val="005E40F8"/>
    <w:rsid w:val="007C52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sk-SK"/>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sk-SK"/>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sk-SK"/>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sk-SK" w:eastAsia="sk-SK"/>
    </w:rPr>
  </w:style>
  <w:style w:type="paragraph" w:styleId="Header">
    <w:name w:val="header"/>
    <w:basedOn w:val="Normal"/>
    <w:link w:val="HeaderChar"/>
    <w:uiPriority w:val="99"/>
    <w:unhideWhenUsed/>
    <w:rsid w:val="007C521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7C521D"/>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C521D"/>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sk-SK"/>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sk-SK"/>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sk-SK"/>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sk-SK" w:eastAsia="sk-SK"/>
    </w:rPr>
  </w:style>
  <w:style w:type="paragraph" w:styleId="Header">
    <w:name w:val="header"/>
    <w:basedOn w:val="Normal"/>
    <w:link w:val="HeaderChar"/>
    <w:uiPriority w:val="99"/>
    <w:unhideWhenUsed/>
    <w:rsid w:val="007C521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7C521D"/>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C521D"/>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myintracomm.ec.europa.eu/budgweb/EN/pre/legalbasis/Pages/pre-040-020_preparation.as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digital-single-market/en/news/full-synopsis-report-public-consultation-evaluation-and-review-regulatory-framework-electronic" TargetMode="External"/><Relationship Id="rId1" Type="http://schemas.openxmlformats.org/officeDocument/2006/relationships/hyperlink" Target="https://ec.europa.eu/digital-single-market/en/broadband-competence-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8E59-3D3C-4C6F-BB4B-34886B46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17</Pages>
  <Words>7858</Words>
  <Characters>49811</Characters>
  <Application>Microsoft Office Word</Application>
  <DocSecurity>0</DocSecurity>
  <Lines>2090</Lines>
  <Paragraphs>775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cp:lastPrinted>2016-09-09T18:03:00Z</cp:lastPrinted>
  <dcterms:created xsi:type="dcterms:W3CDTF">2016-09-30T16:26:00Z</dcterms:created>
  <dcterms:modified xsi:type="dcterms:W3CDTF">2016-10-03T13:51:00Z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