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F5" w:rsidRDefault="004A11FE" w:rsidP="004A11F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FF4E088A2F13404CA407E1361ABE7C81" style="width:450.45pt;height:409.55pt">
            <v:imagedata r:id="rId9" o:title=""/>
          </v:shape>
        </w:pict>
      </w:r>
    </w:p>
    <w:p w:rsidR="008949F5" w:rsidRDefault="008949F5">
      <w:pPr>
        <w:rPr>
          <w:noProof/>
        </w:rPr>
        <w:sectPr w:rsidR="008949F5" w:rsidSect="004A11FE">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949F5" w:rsidRDefault="004A11FE">
      <w:pPr>
        <w:pStyle w:val="Exposdesmotifstitre"/>
        <w:rPr>
          <w:noProof/>
        </w:rPr>
      </w:pPr>
      <w:bookmarkStart w:id="0" w:name="_GoBack"/>
      <w:bookmarkEnd w:id="0"/>
      <w:r>
        <w:rPr>
          <w:noProof/>
        </w:rPr>
        <w:lastRenderedPageBreak/>
        <w:t>INDOKOLÁS</w:t>
      </w:r>
    </w:p>
    <w:p w:rsidR="008949F5" w:rsidRDefault="004A11FE">
      <w:pPr>
        <w:pStyle w:val="ManualHeading1"/>
        <w:tabs>
          <w:tab w:val="left" w:pos="5190"/>
        </w:tabs>
        <w:rPr>
          <w:noProof/>
        </w:rPr>
      </w:pPr>
      <w:r>
        <w:rPr>
          <w:noProof/>
        </w:rPr>
        <w:t>1.</w:t>
      </w:r>
      <w:r>
        <w:rPr>
          <w:noProof/>
        </w:rPr>
        <w:tab/>
        <w:t>A JAVASLAT HÁTTERE</w:t>
      </w:r>
      <w:r>
        <w:rPr>
          <w:noProof/>
        </w:rPr>
        <w:tab/>
      </w:r>
    </w:p>
    <w:p w:rsidR="008949F5" w:rsidRDefault="004A11FE">
      <w:pPr>
        <w:pStyle w:val="ManualHeading2"/>
        <w:rPr>
          <w:rFonts w:eastAsia="Arial Unicode MS"/>
          <w:noProof/>
        </w:rPr>
      </w:pPr>
      <w:r>
        <w:rPr>
          <w:noProof/>
        </w:rPr>
        <w:t>•</w:t>
      </w:r>
      <w:r>
        <w:rPr>
          <w:noProof/>
        </w:rPr>
        <w:tab/>
        <w:t>A javaslat indokai és céljai</w:t>
      </w:r>
    </w:p>
    <w:p w:rsidR="008949F5" w:rsidRDefault="004A11FE">
      <w:pPr>
        <w:rPr>
          <w:noProof/>
          <w:szCs w:val="24"/>
        </w:rPr>
      </w:pPr>
      <w:r>
        <w:rPr>
          <w:noProof/>
        </w:rPr>
        <w:t xml:space="preserve">A Bizottság által ma elfogadott új </w:t>
      </w:r>
      <w:r>
        <w:rPr>
          <w:noProof/>
        </w:rPr>
        <w:t>távközlési csomag tartalmaz egy, a digitális egységes piacon a polgárokat és vállalkozásokat szolgáló internetkapcsolat európai jövőképét meghatározó közleményt</w:t>
      </w:r>
      <w:r>
        <w:rPr>
          <w:rStyle w:val="FootnoteReference"/>
          <w:noProof/>
        </w:rPr>
        <w:footnoteReference w:id="1"/>
      </w:r>
      <w:r>
        <w:rPr>
          <w:noProof/>
        </w:rPr>
        <w:t>, valamint egy, az Európai Elektronikus Hírközlési Kódex létrehozására irányuló jogalkotási jav</w:t>
      </w:r>
      <w:r>
        <w:rPr>
          <w:noProof/>
        </w:rPr>
        <w:t>aslatot</w:t>
      </w:r>
      <w:r>
        <w:rPr>
          <w:rStyle w:val="FootnoteReference"/>
          <w:noProof/>
        </w:rPr>
        <w:footnoteReference w:id="2"/>
      </w:r>
      <w:r>
        <w:rPr>
          <w:noProof/>
        </w:rPr>
        <w:t>, amely az elektronikus hírközlés szabályozási keretének felülvizsgálatára irányul. A Bizottság javaslatai meghatározzák a digitális egységes piacon a termékek, szolgáltatások és alkalmazások széleskörű felhasználását lehetővé tevő, nagyon nagy kap</w:t>
      </w:r>
      <w:r>
        <w:rPr>
          <w:noProof/>
        </w:rPr>
        <w:t xml:space="preserve">acitású hálózatok elérhetőségének és elterjedésének biztosításához szükséges reformokat. </w:t>
      </w:r>
    </w:p>
    <w:p w:rsidR="008949F5" w:rsidRDefault="004A11FE">
      <w:pPr>
        <w:rPr>
          <w:noProof/>
          <w:szCs w:val="24"/>
        </w:rPr>
      </w:pPr>
      <w:r>
        <w:rPr>
          <w:noProof/>
        </w:rPr>
        <w:t>Mivel az internet és a digitális csatlakozás az Unión belül és kívül is átalakítja a magánéletet és a szakmai módszereket, gondoskodni kell a nagyközönségnek az átala</w:t>
      </w:r>
      <w:r>
        <w:rPr>
          <w:noProof/>
        </w:rPr>
        <w:t>kulás adta lehetőségek megragadására ösztönzéséről.</w:t>
      </w:r>
    </w:p>
    <w:p w:rsidR="008949F5" w:rsidRDefault="004A11FE">
      <w:pPr>
        <w:rPr>
          <w:noProof/>
          <w:szCs w:val="24"/>
        </w:rPr>
      </w:pPr>
      <w:r>
        <w:rPr>
          <w:noProof/>
        </w:rPr>
        <w:t>Ez okból a Bizottság által megfogalmazott egyik, az Unió által 2025-ig megvalósítandó stratégiai cél szerint a közszolgáltatásokat kínáló helyeket, így például a közigazgatási szerveket, könyvtárakat és k</w:t>
      </w:r>
      <w:r>
        <w:rPr>
          <w:noProof/>
        </w:rPr>
        <w:t>órházakat gigabitalapú internetkapcsolattal kell ellátni. A közösségi élet ezen és más központjainak, ideértve a nagyközönség számára nyitva álló szabad téri helyeknek a funkcionális internet hozzáférést jelentősen meghaladó sebességen történő csatlakoztat</w:t>
      </w:r>
      <w:r>
        <w:rPr>
          <w:noProof/>
        </w:rPr>
        <w:t xml:space="preserve">ásával az élet bármely területéről érkező polgár útközben is megtapasztalhatja a újgenerációs internetcsatlakozás előnyeit azokon a helyeken, ahol a kapcsolódás fontos lehet. </w:t>
      </w:r>
    </w:p>
    <w:p w:rsidR="008949F5" w:rsidRDefault="004A11FE">
      <w:pPr>
        <w:rPr>
          <w:noProof/>
          <w:szCs w:val="24"/>
        </w:rPr>
      </w:pPr>
      <w:r>
        <w:rPr>
          <w:noProof/>
        </w:rPr>
        <w:t xml:space="preserve">Az e célkitűzést támogató intézkedések között ez az új csomag elősegíti a helyi </w:t>
      </w:r>
      <w:r>
        <w:rPr>
          <w:noProof/>
        </w:rPr>
        <w:t xml:space="preserve">vezeték nélküli hozzáférési pontok kiépítését, egyszerűsített tervezési eljárások és kiemelt szabályozási kötelezettségek révén, többek között ott, ahol az ilyen hozzáférés nem kereskedelmi alapon biztosított, vagy más közszolgáltatások nyújtását egészíti </w:t>
      </w:r>
      <w:r>
        <w:rPr>
          <w:noProof/>
        </w:rPr>
        <w:t xml:space="preserve">ki. </w:t>
      </w:r>
    </w:p>
    <w:p w:rsidR="008949F5" w:rsidRDefault="004A11FE">
      <w:pPr>
        <w:rPr>
          <w:noProof/>
        </w:rPr>
      </w:pPr>
      <w:r>
        <w:rPr>
          <w:noProof/>
        </w:rPr>
        <w:t>Az itt javasolt intézkedés ezt az erőfeszítést egészíti ki az Európai Hálózatfinanszírozási Eszköz keretében a távközlési jogi keret módosításaival, amelyeket az 1316/2013/EU rendelet</w:t>
      </w:r>
      <w:r>
        <w:rPr>
          <w:rStyle w:val="FootnoteReference"/>
          <w:noProof/>
        </w:rPr>
        <w:footnoteReference w:id="3"/>
      </w:r>
      <w:r>
        <w:rPr>
          <w:noProof/>
        </w:rPr>
        <w:t xml:space="preserve"> (a továbbiakban: CEF-rendelet) és a 283/2014/EU rendelet</w:t>
      </w:r>
      <w:r>
        <w:rPr>
          <w:rStyle w:val="FootnoteReference"/>
          <w:noProof/>
        </w:rPr>
        <w:footnoteReference w:id="4"/>
      </w:r>
      <w:r>
        <w:rPr>
          <w:noProof/>
        </w:rPr>
        <w:t xml:space="preserve"> (a továb</w:t>
      </w:r>
      <w:r>
        <w:rPr>
          <w:noProof/>
        </w:rPr>
        <w:t>biakban: iránymutatási rendelet) tartalmaz. Ezek a módosítások arra bátorítják a közfeladatot ellátó szervezeteket, ideértve a közigazgatási szerveket és a közszolgáltatókat, hogy ingyenes helyi vezeték nélküli internet-hozzáférést kínáljanak a helyi közél</w:t>
      </w:r>
      <w:r>
        <w:rPr>
          <w:noProof/>
        </w:rPr>
        <w:t>et központjaiban (pl. közigazgatási szerveknél, könyvtárakban, egészségügyi központokban és szabadtéri nyilvános helyeken). E célból pénzügyi ösztönzőket biztosít azon szervezetek számára, amelyek ingyenes, magas teljesítményű, helyi vezeték nélküli intern</w:t>
      </w:r>
      <w:r>
        <w:rPr>
          <w:noProof/>
        </w:rPr>
        <w:t xml:space="preserve">et-hozzáférést kívánnak biztosítani az illetékességi területükhöz tartozó nyilvános helyeken vagy a szolgáltatási helyszíneiken.  A </w:t>
      </w:r>
      <w:r>
        <w:rPr>
          <w:noProof/>
        </w:rPr>
        <w:lastRenderedPageBreak/>
        <w:t xml:space="preserve">közigazgatási szervek részére a helyi közélet központjaiban, így a nagyközönség számára nyitva álló szabadtéri helyszíneken </w:t>
      </w:r>
      <w:r>
        <w:rPr>
          <w:noProof/>
        </w:rPr>
        <w:t xml:space="preserve">hozzáférési pontok kialakítása céljából nyújtott támogatás elsőbbséget fog élvezni a beavatkozás első szakaszában. </w:t>
      </w:r>
    </w:p>
    <w:p w:rsidR="008949F5" w:rsidRDefault="004A11FE">
      <w:pPr>
        <w:rPr>
          <w:noProof/>
        </w:rPr>
      </w:pPr>
      <w:r>
        <w:rPr>
          <w:noProof/>
        </w:rPr>
        <w:t>A meglévő közszolgáltatásokba való beépítés ösztönzése révén a beavatkozás elősegíti a polgárok nagy teljesítményű internetszolgáltatáshoz f</w:t>
      </w:r>
      <w:r>
        <w:rPr>
          <w:noProof/>
        </w:rPr>
        <w:t>űződő érdekét és ezáltal jelentősen hozzájárul a széles sávú szolgáltatások elterjedéséhez és a közcélú infrastruktúra fejlesztéséhez is. Ingyenes vezeték nélküli internet-hozzáférés biztosítása olyan forgalmas helyeken, ahol sok emberek gyűlik össze és vá</w:t>
      </w:r>
      <w:r>
        <w:rPr>
          <w:noProof/>
        </w:rPr>
        <w:t>rakozik a napirendje következő lépésére, jelentős hozzáadott értéket biztosíthat azáltal, hogy az üresjáratként és utazással töltött időt termékeny, pihenéssel vagy tájékozódással töltött idővé alakítja át. Ezen felül az ilyen helyi vezeték nélküli hozzáfé</w:t>
      </w:r>
      <w:r>
        <w:rPr>
          <w:noProof/>
        </w:rPr>
        <w:t>rési pontok fokozott lefedettséget biztosíthatnak a nehezen elérhető vagy olyan helyeken, ahol a felhasználók nagy száma nem részesülhetne a vezeték nélküli kapcsolat élményében. A felhasználók mobilitása, rugalmassága és a közcélú szervezetek által nyújto</w:t>
      </w:r>
      <w:r>
        <w:rPr>
          <w:noProof/>
        </w:rPr>
        <w:t>tt szolgáltatások igénybevételéhez fűződő érdeke is fokozódik és a saját időbeosztásuk hatékonyabb kezelése is lehetővé válik azáltal, hogy a felhasználók az egyik helyről a másikra utazás közben csatlakozva maradhatnak.  Ugyanakkor az egyes hozzáférési he</w:t>
      </w:r>
      <w:r>
        <w:rPr>
          <w:noProof/>
        </w:rPr>
        <w:t xml:space="preserve">lyek korlátozott elérhetősége biztosítja, hogy az ilyen közcélú elérés nem érinti hátrányosan a kereskedelmi ajánlatokat, azonban fontos szerepet játszhat a széles sáv használatának támogatásában és a digitális jártasság elősegítésében. Ez viszont növelni </w:t>
      </w:r>
      <w:r>
        <w:rPr>
          <w:noProof/>
        </w:rPr>
        <w:t>fogja a felhasználók érdekeltségét abban, hogy kereskedelmi célú lakossági vagy mobil széles sávú ajánlatokat vegyenek igénybe. A javasolt beavatkozás kiegészíti az egyetemes szolgáltatásnak az Európai Elektronikus Hírközlési Kódex létrehozására irányuló j</w:t>
      </w:r>
      <w:r>
        <w:rPr>
          <w:noProof/>
        </w:rPr>
        <w:t>avaslatban szereplő új jogalkotási koncepcióját, amely szerint minden uniós polgárnak joga van a csatlakozáshoz: joga van legalább egy helyhez kötött funkcionális internetkapcsolathoz, amely megfizethető és lehetővé teszi a digitális gazdaság és társadalom</w:t>
      </w:r>
      <w:r>
        <w:rPr>
          <w:noProof/>
        </w:rPr>
        <w:t xml:space="preserve"> iránti teljes elköteleződést.</w:t>
      </w:r>
    </w:p>
    <w:p w:rsidR="008949F5" w:rsidRDefault="004A11FE">
      <w:pPr>
        <w:rPr>
          <w:noProof/>
          <w:szCs w:val="24"/>
        </w:rPr>
      </w:pPr>
      <w:r>
        <w:rPr>
          <w:noProof/>
        </w:rPr>
        <w:t>A javasolt intézkedés a helyi vezeték nélküli hozzáférési pontok kiépítése céljából egyszerű finanszírozási mechanizmust biztosít. A beavatkozás célja, hogy a polgárok internet-hozzáférési szolgáltatásokhoz fűződő érdekének t</w:t>
      </w:r>
      <w:r>
        <w:rPr>
          <w:noProof/>
        </w:rPr>
        <w:t>ámogatása révén rövid távon maximális hatást gyakoroljon, és hogy megkönnyítse a közcélú digitális szolgáltatások igénybevételét, ideértve a digitális szolgáltatási infrastruktúrákat. Az a várakozás, hogy az így létrehozott érdeklődés a hozzáférési pontokn</w:t>
      </w:r>
      <w:r>
        <w:rPr>
          <w:noProof/>
        </w:rPr>
        <w:t>ak a rendeletek szerinti további pénzügyi támogatás nyújtása nélküli folyamatos működtetésének és mással való esetleges felváltásának alapját fogja képezni, összhangban van e támogatás lehetőség szerinti kivonása és az alternatív finanszírozási mechanizmus</w:t>
      </w:r>
      <w:r>
        <w:rPr>
          <w:noProof/>
        </w:rPr>
        <w:t xml:space="preserve">okra támaszkodás célkitűzésével. </w:t>
      </w:r>
    </w:p>
    <w:p w:rsidR="008949F5" w:rsidRDefault="004A11FE">
      <w:pPr>
        <w:rPr>
          <w:noProof/>
          <w:szCs w:val="24"/>
        </w:rPr>
      </w:pPr>
      <w:r>
        <w:rPr>
          <w:noProof/>
        </w:rPr>
        <w:t>A beavatkozás célzott jellege biztosításának és a maximális társadalmi haszon elérésének érdekében a finanszírozás olyan esetekre fog csak vonatkozni, ahol a nagyon nagy sebességű széles sávot biztosító, ingyenesen hozzáfé</w:t>
      </w:r>
      <w:r>
        <w:rPr>
          <w:noProof/>
        </w:rPr>
        <w:t>rhető nyilvános vagy magán hozzáférési pontok teljes mértékben hiányoznak. Mivel az egyedi intézkedésekre odaítélendő uniós pénzügyi támogatás összege a költségvetési rendelet szerinti csekély összegű támogatásokra vonatkozó 60 000 EUR küszöbérték alatt le</w:t>
      </w:r>
      <w:r>
        <w:rPr>
          <w:noProof/>
        </w:rPr>
        <w:t>sz</w:t>
      </w:r>
      <w:r>
        <w:rPr>
          <w:rStyle w:val="FootnoteReference"/>
          <w:noProof/>
        </w:rPr>
        <w:footnoteReference w:id="5"/>
      </w:r>
      <w:r>
        <w:rPr>
          <w:noProof/>
        </w:rPr>
        <w:t>, a beavatkozás várhatóan nem gyakorol számottevő hatást a versenyre</w:t>
      </w:r>
      <w:r>
        <w:rPr>
          <w:rStyle w:val="FootnoteReference"/>
          <w:noProof/>
        </w:rPr>
        <w:footnoteReference w:id="6"/>
      </w:r>
      <w:r>
        <w:rPr>
          <w:noProof/>
        </w:rPr>
        <w:t>. Ezen felül a támogatást földrajzilag kiegyenlített módon kell odaítélni, ami hozzájárul az Unióban a gazdasági, társadalmi és területi kohézióhoz azáltal, hogy különös figyelmet ford</w:t>
      </w:r>
      <w:r>
        <w:rPr>
          <w:noProof/>
        </w:rPr>
        <w:t>ít a helyi közösségek szükségleteire</w:t>
      </w:r>
      <w:r>
        <w:rPr>
          <w:rStyle w:val="FootnoteReference"/>
          <w:noProof/>
        </w:rPr>
        <w:footnoteReference w:id="7"/>
      </w:r>
      <w:r>
        <w:rPr>
          <w:noProof/>
        </w:rPr>
        <w:t>. E kritériumok együttes alkalmazása révén a javasolt beavatkozás a transzeurópai hálózatok működését támogató nyitott és versengő piacok keretébe illeszkedik.</w:t>
      </w:r>
    </w:p>
    <w:p w:rsidR="008949F5" w:rsidRDefault="004A11FE">
      <w:pPr>
        <w:rPr>
          <w:noProof/>
        </w:rPr>
      </w:pPr>
      <w:r>
        <w:rPr>
          <w:noProof/>
        </w:rPr>
        <w:t>A nagy sebességű széles sávú kapcsolat iránti kereslet foko</w:t>
      </w:r>
      <w:r>
        <w:rPr>
          <w:noProof/>
        </w:rPr>
        <w:t>zása és a közösségi szintű széles körű elterjedés ösztönzése mellett a beavatkozás számos pozitív dominóhatást is ki fog váltani, amelyek az elektronikus kormányzathoz való fokozott hozzáféréstől és a demokratikus életben a z internetkapcsolathoz való hozz</w:t>
      </w:r>
      <w:r>
        <w:rPr>
          <w:noProof/>
        </w:rPr>
        <w:t>áférés terén egyébként nehézségekkel küzdő demográfiai csoportokra (például menekültekre és alacsony jövedelmű csoportokra) is kiterjedő részvételtől kezdve a veszélyhelyzet és válság, valamint a közszolgálati közlemények közlésére szolgáló kiegészítő infr</w:t>
      </w:r>
      <w:r>
        <w:rPr>
          <w:noProof/>
        </w:rPr>
        <w:t>astruktúráig terjednek. Annak érdekében, hogy a korlátozott erőforrásokkal rendelkező helyi közösségek is részesülhessenek a digitális egységes piacon való részvétel ezen előnyeiből, az intézkedés alapján az elszámolható költségek 100 %-áig terjedő támogat</w:t>
      </w:r>
      <w:r>
        <w:rPr>
          <w:noProof/>
        </w:rPr>
        <w:t>ást kell biztosítani, a társfinanszírozás alapelvének sérelme nélkül. A potenciális kedvezményezettek körébe tartozhatnak a helyi közösség tagjai a javasolt intézkedéssel finanszírozott azon programok végrehajtása során, amelyek a közélet olyan központjain</w:t>
      </w:r>
      <w:r>
        <w:rPr>
          <w:noProof/>
        </w:rPr>
        <w:t>ak meghatározására irányulnak, ahol az ingyenes hozzáférést biztosító hozzáférési pontok a legnagyobb hozzáadott értéket nyújtják a közösség számára.</w:t>
      </w:r>
    </w:p>
    <w:p w:rsidR="008949F5" w:rsidRDefault="004A11FE">
      <w:pPr>
        <w:rPr>
          <w:noProof/>
          <w:szCs w:val="24"/>
        </w:rPr>
      </w:pPr>
      <w:r>
        <w:rPr>
          <w:noProof/>
        </w:rPr>
        <w:t>A CEF-rendelet végrehajtását célzó távközlési ágazati keretösszegen belül a beavatkozás a széles sávú háló</w:t>
      </w:r>
      <w:r>
        <w:rPr>
          <w:noProof/>
        </w:rPr>
        <w:t>zatok támogatásával kapcsolatos rugalmas és fókuszált jellegének köszönhetően egy közös érdekű, elkülönült projektként ismerhető el, a CEF-rendelet szerinti kapcsolódó intézkedésekkel és az e célra rendelt költségvetéssel, amelynek részleteiről az iránymut</w:t>
      </w:r>
      <w:r>
        <w:rPr>
          <w:noProof/>
        </w:rPr>
        <w:t>atási rendelet rendelkezik. Tekintettel az egyes kedvezményezettek, azonban jelentős összlétszámú kedvezményezett részére odaítélt pénzügyi támogatás korlátozott mértékére, fontos, hogy a közigazgatási eljárások egyszerűsödjenek, így karcsú szervezetű és g</w:t>
      </w:r>
      <w:r>
        <w:rPr>
          <w:noProof/>
        </w:rPr>
        <w:t>yors határozathozatalt biztosítsanak. E célból a CEF-rendeletben lehetővé kell tenni a tagállamok számára, hogy e beavatkozás keretében javaslatkategóriákat támogassanak az egyes kedvezményezettek listájához való hozzájárulásuk megadása helyett. E módosítá</w:t>
      </w:r>
      <w:r>
        <w:rPr>
          <w:noProof/>
        </w:rPr>
        <w:t>s más közös érdekű projektek javát szolgáló horizontális végrehajtása révén a javaslat választ jelent a programok digitális szolgáltatási infrastruktúrák területén való végrehajtása érdekében hatékonyabb eszközök biztosítását igénylő tagállami felhívásokra</w:t>
      </w:r>
      <w:r>
        <w:rPr>
          <w:noProof/>
        </w:rPr>
        <w:t xml:space="preserve">. </w:t>
      </w:r>
    </w:p>
    <w:p w:rsidR="008949F5" w:rsidRDefault="004A11FE">
      <w:pPr>
        <w:rPr>
          <w:noProof/>
          <w:szCs w:val="24"/>
        </w:rPr>
      </w:pPr>
      <w:r>
        <w:rPr>
          <w:noProof/>
        </w:rPr>
        <w:t>Annak érdekében, hogy az intézkedés számos különböző típusú helyzetre választ adjon és a lehető leghamarabb konkrét eredményeket hozzon, az elérhető támogatási formák szükségtelen korlátozásának mellőzése alapvető fontosságú. Ebben az összefüggésben jel</w:t>
      </w:r>
      <w:r>
        <w:rPr>
          <w:noProof/>
        </w:rPr>
        <w:t>entős fokú rugalmasság őrizhető meg, ha a végrehajtás során a beavatkozásnak megfelelő támogatási formák lehető legnagyobb választéka vehető igénybe. E célból és a költségvetési rendelet folyamatban lévő tárgyalására tekintettel, a CEF-rendelet szövegét mó</w:t>
      </w:r>
      <w:r>
        <w:rPr>
          <w:noProof/>
        </w:rPr>
        <w:t>dosítani kell annak egyértelművé tétele érdekében, hogy a közös érdekű projektekhez hozzájáruló valamennyi cselekmény, ideértve a szóban forgó beavatkozást is, általában támogatható a költségvetési rendelet alapján jelenleg és várhatóan a jövőben is elérhe</w:t>
      </w:r>
      <w:r>
        <w:rPr>
          <w:noProof/>
        </w:rPr>
        <w:t xml:space="preserve">tő pénzügyi támogatási formák révén. </w:t>
      </w:r>
    </w:p>
    <w:p w:rsidR="008949F5" w:rsidRDefault="004A11FE">
      <w:pPr>
        <w:rPr>
          <w:noProof/>
          <w:szCs w:val="24"/>
        </w:rPr>
      </w:pPr>
      <w:r>
        <w:rPr>
          <w:noProof/>
        </w:rPr>
        <w:t>Másfelől ugyanezen okokból javasolt a beavatkozáshoz rendelkezésre álló pénzügyi támogatás formáit a CEF-rendeletben és az iránymutatási rendeletben egymással kölcsönösen összhangban meghatározni. Valószínűleg a vissza</w:t>
      </w:r>
      <w:r>
        <w:rPr>
          <w:noProof/>
        </w:rPr>
        <w:t xml:space="preserve"> nem térítendő támogatás a helyi közösségekben ingyenes helyi vezeték nélküli internet-hozzáférés elősegítésére irányuló célkitűzés elérésére alkalmas pénzügyi támogatás elsődleges formája, azonban a pénzügyi támogatás más formái sem zárhatók eleve ki, a p</w:t>
      </w:r>
      <w:r>
        <w:rPr>
          <w:noProof/>
        </w:rPr>
        <w:t>énzügyi eszközök kivételével.  A pénzügyi eszközök kizárásának oka, hogy viszonylagosan nagymértékű adminisztratív teherrel és ebből következően a végrehajtás során időbeli késedelemmel járnak, ami nem áll megfelelően összhangban a tervezett cselekmények j</w:t>
      </w:r>
      <w:r>
        <w:rPr>
          <w:noProof/>
        </w:rPr>
        <w:t xml:space="preserve">ellemzőivel </w:t>
      </w:r>
    </w:p>
    <w:p w:rsidR="008949F5" w:rsidRDefault="004A11FE">
      <w:pPr>
        <w:rPr>
          <w:noProof/>
        </w:rPr>
      </w:pPr>
      <w:r>
        <w:rPr>
          <w:noProof/>
        </w:rPr>
        <w:t>A gyorsaság és hatékonyság biztosítása érdekében e beavatkozás végrehajtására szabványosított dokumentációt (például utalványokat) és az alkalmazások kezelésre, valamint a kiépített helyi vezeték nélküli hozzáférési pontok későbbi nyomon követ</w:t>
      </w:r>
      <w:r>
        <w:rPr>
          <w:noProof/>
        </w:rPr>
        <w:t>ésére és ellenőrzésére szolgáló online eszközöket alkalmazó, ésszerűsített közigazgatási eljárásban kerül sor.</w:t>
      </w:r>
    </w:p>
    <w:p w:rsidR="008949F5" w:rsidRDefault="004A11FE">
      <w:pPr>
        <w:rPr>
          <w:noProof/>
        </w:rPr>
      </w:pPr>
      <w:r>
        <w:rPr>
          <w:noProof/>
        </w:rPr>
        <w:t>A szélessáv-szakértői szolgálatok uniós hálózatán</w:t>
      </w:r>
      <w:r>
        <w:rPr>
          <w:rStyle w:val="FootnoteReference"/>
          <w:noProof/>
        </w:rPr>
        <w:footnoteReference w:id="8"/>
      </w:r>
      <w:r>
        <w:rPr>
          <w:noProof/>
        </w:rPr>
        <w:t xml:space="preserve"> keresztül támogatott, javasolt intézkedés várhatóan növelni fogja a helyi hatóságoknak és a polgároknak a gigabitalapú társadalommal összefüggő új bizottsági prioritásokkal kapcsolatos ismereteit és nagymértékű láthatóságot biztosít, valamint megalapozza </w:t>
      </w:r>
      <w:r>
        <w:rPr>
          <w:noProof/>
        </w:rPr>
        <w:t>az abban való bizalmat, hogy az EU képes megteremteni az internetcsatlakozást és a digitális szolgáltatásokhoz való hozzáférést az európai kontinensen. A javasolt intézkedéssel finanszírozott cselekvések felismerhetőségét a Bizottság által e célra létrehoz</w:t>
      </w:r>
      <w:r>
        <w:rPr>
          <w:noProof/>
        </w:rPr>
        <w:t>ott képi azonosító biztosítja, amelyet a Bizottság a végrehajtáshoz a kedvezményezettek rendelkezésére bocsát, ezáltal gondoskodva a márka elismertségéről.</w:t>
      </w:r>
    </w:p>
    <w:p w:rsidR="008949F5" w:rsidRDefault="004A11FE">
      <w:pPr>
        <w:pStyle w:val="ManualHeading2"/>
        <w:rPr>
          <w:rFonts w:eastAsia="Arial Unicode MS"/>
          <w:noProof/>
          <w:u w:color="000000"/>
        </w:rPr>
      </w:pPr>
      <w:r>
        <w:rPr>
          <w:noProof/>
        </w:rPr>
        <w:t>•</w:t>
      </w:r>
      <w:r>
        <w:rPr>
          <w:noProof/>
        </w:rPr>
        <w:tab/>
        <w:t>Összhang a szabályozási terület jelenlegi rendelkezéseivel</w:t>
      </w:r>
    </w:p>
    <w:p w:rsidR="008949F5" w:rsidRDefault="004A11FE">
      <w:pPr>
        <w:rPr>
          <w:noProof/>
        </w:rPr>
      </w:pPr>
      <w:r>
        <w:rPr>
          <w:noProof/>
        </w:rPr>
        <w:t>Jelenleg az Európai Hálózatfinanszírozási Eszköz keretében a távközlési jogi keret a távközlési területen pénzügyi támogatást ír elő (vissza nem térítendő támogatás és/vagy közbeszerzés formájában) a digitális szolgáltatási infrastruktúrák és (pénzügyi esz</w:t>
      </w:r>
      <w:r>
        <w:rPr>
          <w:noProof/>
        </w:rPr>
        <w:t xml:space="preserve">közök formájában) a széles sávú hálózatok létrehozására. </w:t>
      </w:r>
    </w:p>
    <w:p w:rsidR="008949F5" w:rsidRDefault="004A11FE">
      <w:pPr>
        <w:rPr>
          <w:noProof/>
        </w:rPr>
      </w:pPr>
      <w:r>
        <w:rPr>
          <w:noProof/>
        </w:rPr>
        <w:t>A széles sávú hálózatoknak a növekedés terén és munka világában betöltött kulcsfontosságú szerepére tekintettel a széles sáv támogatását célzó beavatkozást és a szóban forgó ágazatban végzett közber</w:t>
      </w:r>
      <w:r>
        <w:rPr>
          <w:noProof/>
        </w:rPr>
        <w:t>uházással összefüggő – mind pénzügyi, mind műszaki – kihívásokat illetően az iránymutatási rendelet korlátozott beavatkozásról rendelkezik. A CEF uniós szinten a pénzügyi eszközök megteremtéséhez való kismértékű hozzájárulásról rendelkezik, főként az Európ</w:t>
      </w:r>
      <w:r>
        <w:rPr>
          <w:noProof/>
        </w:rPr>
        <w:t>ai Befektetési Bankkal együttműködésben, más állami és magánjellegű források hatékony felhasználásának megkönnyítése érdekében. Célja az innovatív széles sávú projektek megvalósítása a legkorszerűbb technológia alapján, az elterjedés lehetőségével, ezáltal</w:t>
      </w:r>
      <w:r>
        <w:rPr>
          <w:noProof/>
        </w:rPr>
        <w:t xml:space="preserve"> annak célkitűzéseit közvetlenül és a példaértéke révén is elérve. </w:t>
      </w:r>
    </w:p>
    <w:p w:rsidR="008949F5" w:rsidRDefault="004A11FE">
      <w:pPr>
        <w:rPr>
          <w:i/>
          <w:noProof/>
        </w:rPr>
      </w:pPr>
      <w:r>
        <w:rPr>
          <w:noProof/>
        </w:rPr>
        <w:t>A javasolt intézkedés kiegészíti az Európai Elektronikus Hírközlési Kódex létrehozásáról szóló javaslat végfelhasználó-központú elemeit. A helyi közélet központjaiban helyi vezeték nélküli</w:t>
      </w:r>
      <w:r>
        <w:rPr>
          <w:noProof/>
        </w:rPr>
        <w:t xml:space="preserve"> hozzáférési pontok kiépítésére irányuló támogatás kiegészíti a széles sávú hálózatok bevezetését támogató CEF távközlési ágazatban végzett más intézkedéseket, valamint a pénzügyi támogatás egyéb forrásait, ideértve az európai strukturális és beruházási al</w:t>
      </w:r>
      <w:r>
        <w:rPr>
          <w:noProof/>
        </w:rPr>
        <w:t>apokat. Mivel ezeket az intézkedéseket se a CEF, se az iránymutatási rendelet nem tartalmazza, javasolt e rendeletek megfelelő módosítása.</w:t>
      </w:r>
    </w:p>
    <w:p w:rsidR="008949F5" w:rsidRDefault="004A11FE">
      <w:pPr>
        <w:pStyle w:val="ManualHeading1"/>
        <w:rPr>
          <w:noProof/>
        </w:rPr>
      </w:pPr>
      <w:r>
        <w:rPr>
          <w:noProof/>
        </w:rPr>
        <w:t>2.</w:t>
      </w:r>
      <w:r>
        <w:rPr>
          <w:noProof/>
        </w:rPr>
        <w:tab/>
        <w:t>JOGALAP, SZUBSZIDIARITÁS ÉS ARÁNYOSSÁG</w:t>
      </w:r>
    </w:p>
    <w:p w:rsidR="008949F5" w:rsidRDefault="004A11FE">
      <w:pPr>
        <w:pStyle w:val="ManualHeading2"/>
        <w:rPr>
          <w:rFonts w:eastAsia="Arial Unicode MS"/>
          <w:noProof/>
          <w:u w:color="000000"/>
        </w:rPr>
      </w:pPr>
      <w:r>
        <w:rPr>
          <w:noProof/>
        </w:rPr>
        <w:t>•</w:t>
      </w:r>
      <w:r>
        <w:rPr>
          <w:noProof/>
        </w:rPr>
        <w:tab/>
        <w:t>Jogalap</w:t>
      </w:r>
    </w:p>
    <w:p w:rsidR="008949F5" w:rsidRDefault="004A11FE">
      <w:pPr>
        <w:rPr>
          <w:noProof/>
        </w:rPr>
      </w:pPr>
      <w:r>
        <w:rPr>
          <w:noProof/>
        </w:rPr>
        <w:t>A javaslat az EUMSZ 172. cikkén alapul, amely a közlekedés, távkö</w:t>
      </w:r>
      <w:r>
        <w:rPr>
          <w:noProof/>
        </w:rPr>
        <w:t>zlés és energiaipari infrastruktúra terén transzeurópai hálózatok létrehozását és fejlesztését támogató uniós intézkedésre vonatkozik. Az EUMSZ 170. cikkének (1) bekezdésével összhangban a kezdeményezés célja annak biztosítása, hogy a helyi közösségek telj</w:t>
      </w:r>
      <w:r>
        <w:rPr>
          <w:noProof/>
        </w:rPr>
        <w:t>es mértékben kihasználják a digitális egységes piac előnyeit azáltal, hogy e hálózatok kiépítése révén belső határok nélküli térséget hoznak létre.</w:t>
      </w:r>
    </w:p>
    <w:p w:rsidR="008949F5" w:rsidRDefault="004A11FE">
      <w:pPr>
        <w:pStyle w:val="ManualHeading2"/>
        <w:rPr>
          <w:rFonts w:eastAsia="Arial Unicode MS"/>
          <w:i/>
          <w:noProof/>
          <w:u w:color="000000"/>
        </w:rPr>
      </w:pPr>
      <w:r>
        <w:rPr>
          <w:noProof/>
        </w:rPr>
        <w:t>•</w:t>
      </w:r>
      <w:r>
        <w:rPr>
          <w:noProof/>
        </w:rPr>
        <w:tab/>
        <w:t>Szubszidiaritás és arányosság</w:t>
      </w:r>
    </w:p>
    <w:p w:rsidR="008949F5" w:rsidRDefault="004A11FE">
      <w:pPr>
        <w:autoSpaceDE w:val="0"/>
        <w:autoSpaceDN w:val="0"/>
        <w:adjustRightInd w:val="0"/>
        <w:rPr>
          <w:noProof/>
          <w:szCs w:val="24"/>
        </w:rPr>
      </w:pPr>
      <w:r>
        <w:rPr>
          <w:noProof/>
        </w:rPr>
        <w:t>A javaslat összhangban van az arányosság elvével és a transzeurópai távközlé</w:t>
      </w:r>
      <w:r>
        <w:rPr>
          <w:noProof/>
        </w:rPr>
        <w:t>si hálózatok terén az Európai Unió működéséről szóló szerződés 170. cikkében meghatározott intézkedési körön belül marad.</w:t>
      </w:r>
    </w:p>
    <w:p w:rsidR="008949F5" w:rsidRDefault="004A11FE">
      <w:pPr>
        <w:autoSpaceDE w:val="0"/>
        <w:autoSpaceDN w:val="0"/>
        <w:adjustRightInd w:val="0"/>
        <w:rPr>
          <w:noProof/>
        </w:rPr>
      </w:pPr>
      <w:r>
        <w:rPr>
          <w:noProof/>
        </w:rPr>
        <w:t>Figyelembe véve különösen a helyi közösségek szükségleteit a digitális egységes piaci stratégia tágabb összefüggésében, a javaslat hoz</w:t>
      </w:r>
      <w:r>
        <w:rPr>
          <w:noProof/>
        </w:rPr>
        <w:t>zájárul az elektronikus hírközlés belső piacának megvalósításához és lehetővé teszi a közösségek számára az abban való részvételt.  Mivel az egész Európai Uniót magas minőségű vezeték nélküli internet-hozzáféréssel lefedő terület létrehozása tagállami beav</w:t>
      </w:r>
      <w:r>
        <w:rPr>
          <w:noProof/>
        </w:rPr>
        <w:t>atkozással nem érhető el megfelelően, a javaslat összhangban van az EUSZ 5. cikkével. A beavatkozást várhatóan támogatni fogja többek között a szélessáv-szakértői szolgálatok uniós hálózata, amelynek hozzá kell járulnia a helyi közösségek szükségleteinek h</w:t>
      </w:r>
      <w:r>
        <w:rPr>
          <w:noProof/>
        </w:rPr>
        <w:t>atékony kezeléséhez és az adminisztratív korlátok lehető legalacsonyabb szinten tartásához.</w:t>
      </w:r>
    </w:p>
    <w:p w:rsidR="008949F5" w:rsidRDefault="004A11FE">
      <w:pPr>
        <w:autoSpaceDE w:val="0"/>
        <w:autoSpaceDN w:val="0"/>
        <w:adjustRightInd w:val="0"/>
        <w:rPr>
          <w:noProof/>
          <w:szCs w:val="24"/>
        </w:rPr>
      </w:pPr>
      <w:r>
        <w:rPr>
          <w:noProof/>
        </w:rPr>
        <w:t>Az ingyenes helyi vezeték nélküli internet-hozzáféréshez kapcsolódó jelenlegi kezdeményezések szétaprózottak, emiatt alacsony hatékonyságot eredményeznek. Láthatóla</w:t>
      </w:r>
      <w:r>
        <w:rPr>
          <w:noProof/>
        </w:rPr>
        <w:t>g nem létezik átfogó stratégia a helyi közösségek digitális egységes piacon való részvételének fokozása érdekében az ingyenes vezeték nélküli kapcsolathoz való hozzáférés Unión belüli támogatására. Mivel a helyi vezeték nélküli hozzáférési pontok egyedi ki</w:t>
      </w:r>
      <w:r>
        <w:rPr>
          <w:noProof/>
        </w:rPr>
        <w:t>építése még a helyi közösségeken belül is területileg korlátozott, az említett erőfeszítés összehangolása nagy fontossággal bír annak biztosítása érdekében, hogy a kiépítés koherensen segítse elő az EU-szintű internetkapcsolathoz fűződő közös érdeket. Az i</w:t>
      </w:r>
      <w:r>
        <w:rPr>
          <w:noProof/>
        </w:rPr>
        <w:t>ngyenes vezeték nélküli internet-hozzáférési megoldások páneurópai kiépítésének koherenciája lehetővé teszi a beavatkozás költségeinek optimalizálását (különösen a csekély összegű támogatások adminisztrációs költségeinek méretgazdaságossági megfontolásokbó</w:t>
      </w:r>
      <w:r>
        <w:rPr>
          <w:noProof/>
        </w:rPr>
        <w:t>l történő csökkentésével, valamint a berendezések árának leszállításával) és a hozzáférés nagyobb mértékű egyenlőségének biztosítását is, ezáltal az Unión belül hozzájárul a gazdasági, társadalmi és területi kohézióhoz. A javasolt intézkedés célja, hogy to</w:t>
      </w:r>
      <w:r>
        <w:rPr>
          <w:noProof/>
        </w:rPr>
        <w:t>vábbi európai értéket nyújtson annak biztosítása révén, hogy a kiépített infrastruktúrák a digitális szolgáltatási infrastruktúrákon keresztül lehetővé tegyék a hozzáférést a közös érdekű transzeurópai átjárható szolgáltatásokhoz, mint amilyen az Europeana</w:t>
      </w:r>
      <w:r>
        <w:rPr>
          <w:noProof/>
        </w:rPr>
        <w:t>, a biztonságosabb internet szolgáltatási infrastruktúrákhoz és az átjárható, határokon átnyúló elektronikus egészségügyi szolgáltatásokhoz.</w:t>
      </w:r>
    </w:p>
    <w:p w:rsidR="008949F5" w:rsidRDefault="004A11FE">
      <w:pPr>
        <w:autoSpaceDE w:val="0"/>
        <w:autoSpaceDN w:val="0"/>
        <w:adjustRightInd w:val="0"/>
        <w:rPr>
          <w:noProof/>
          <w:szCs w:val="24"/>
        </w:rPr>
      </w:pPr>
      <w:r>
        <w:rPr>
          <w:noProof/>
        </w:rPr>
        <w:t>A javasolt beavatkozás köre a közélet központjaiban és a nyilvánosság számára nyitva álló szabadtéri helyeken jelle</w:t>
      </w:r>
      <w:r>
        <w:rPr>
          <w:noProof/>
        </w:rPr>
        <w:t>güknél fogva korlátozott lefedettségű hozzáférési pontokon keresztüli internetcsatlakozás biztosítására korlátozódik, az egyedi projektek pedig kisméretűek lesznek. Következésképpen a beavatkozás arányos marad a helyi közösségek digitális egységes piac vez</w:t>
      </w:r>
      <w:r>
        <w:rPr>
          <w:noProof/>
        </w:rPr>
        <w:t>eték nélküli dimenziójában való, a kereskedelmi ajánlatokat nem sértő részvétele lehetővé tételének célkitűzésével. Ugyanakkor az intézkedés pozitív hatásai várhatóan továbbgyűrűznek a kereskedelmi alapon nyújtott hozzáférési szolgáltatások keretében a csa</w:t>
      </w:r>
      <w:r>
        <w:rPr>
          <w:noProof/>
        </w:rPr>
        <w:t>tlakozási ajánlatok általános körű igénybevételében. A beavatkozás hatékonyságát várhatóan tovább növeli az elterjedés könnyítése és a sikeres felhasználás eseteinek lehetséges példaértéke.</w:t>
      </w:r>
    </w:p>
    <w:p w:rsidR="008949F5" w:rsidRDefault="004A11FE">
      <w:pPr>
        <w:autoSpaceDE w:val="0"/>
        <w:autoSpaceDN w:val="0"/>
        <w:adjustRightInd w:val="0"/>
        <w:rPr>
          <w:noProof/>
          <w:szCs w:val="24"/>
        </w:rPr>
      </w:pPr>
      <w:r>
        <w:rPr>
          <w:noProof/>
        </w:rPr>
        <w:t>A javasolt intézkedés online adminisztrációja többek között a nemz</w:t>
      </w:r>
      <w:r>
        <w:rPr>
          <w:noProof/>
        </w:rPr>
        <w:t>eti szélessáv-szakértői szolgálatok hálózatától kapott támogatással együtt biztosítja, hogy a kezdeményezés végrehajtása és az abban való részvétel okán felmerült adminisztrációs teher a lehető legalacsonyabb szinten maradjon.</w:t>
      </w:r>
    </w:p>
    <w:p w:rsidR="008949F5" w:rsidRDefault="004A11FE">
      <w:pPr>
        <w:pStyle w:val="ManualHeading1"/>
        <w:rPr>
          <w:noProof/>
        </w:rPr>
      </w:pPr>
      <w:r>
        <w:rPr>
          <w:noProof/>
        </w:rPr>
        <w:t>3.</w:t>
      </w:r>
      <w:r>
        <w:rPr>
          <w:noProof/>
        </w:rPr>
        <w:tab/>
        <w:t>AZ UTÓLAGOS ÉRTÉKELÉSEK, A</w:t>
      </w:r>
      <w:r>
        <w:rPr>
          <w:noProof/>
        </w:rPr>
        <w:t>Z ÉRDEKELT FELEKKEL FOLYTATOTT KONZULTÁCIÓK ÉS A HATÁSVIZSGÁLATOK EREDMÉNYEI</w:t>
      </w:r>
    </w:p>
    <w:p w:rsidR="008949F5" w:rsidRDefault="008949F5">
      <w:pPr>
        <w:pStyle w:val="Text1"/>
        <w:ind w:left="0"/>
        <w:rPr>
          <w:i/>
          <w:noProof/>
        </w:rPr>
      </w:pPr>
    </w:p>
    <w:p w:rsidR="008949F5" w:rsidRDefault="004A11FE">
      <w:pPr>
        <w:pStyle w:val="Text1"/>
        <w:ind w:left="0"/>
        <w:rPr>
          <w:noProof/>
          <w:szCs w:val="24"/>
        </w:rPr>
      </w:pPr>
      <w:r>
        <w:rPr>
          <w:noProof/>
        </w:rPr>
        <w:t>Mivel ez a kezdeményezés kiegészíti az új távközlési csomagot, ideértve a digitális egységes piacon a polgárokat és a vállalkozásokat szolgáló internetkapcsolat európai jövőképét</w:t>
      </w:r>
      <w:r>
        <w:rPr>
          <w:noProof/>
        </w:rPr>
        <w:t xml:space="preserve"> meghatározó közleményt és az elektronikus hírközlés szabályozási keretének felülvizsgálatára vonatkozó jogalkotási javaslatot is, erősen támaszkodik az érdekelt felek hozzájárulására és a javaslatokat alátámasztó értékelésben és hatáselemzésben szereplő k</w:t>
      </w:r>
      <w:r>
        <w:rPr>
          <w:noProof/>
        </w:rPr>
        <w:t>iterjedt elemzésre, valamint a közleményhez kapcsolódó szolgálati munkadokumentumokra. A javasolt intézkedés szempontjából legfontosabb kérdéseket az alábbiakban foglaltuk össze. Összességében az elemzés rámutat, hogy a jogalkotási és szabályozási intézked</w:t>
      </w:r>
      <w:r>
        <w:rPr>
          <w:noProof/>
        </w:rPr>
        <w:t>ések ugyan elháríthatnak bizonyos akadályokat, fokozhatják a versenyképesség ösztönzést, a befektetők számára nagyobb fokú kiszámíthatóságot biztosíthatnak és csökkenthetik a hálózatkiépítés költségeit, az állami támogatás fontos szerepet tölt be Európa in</w:t>
      </w:r>
      <w:r>
        <w:rPr>
          <w:noProof/>
        </w:rPr>
        <w:t>ternetkapcsolatra vonatkozó, hosszú távú célkitűzéseinek elérésében.</w:t>
      </w:r>
    </w:p>
    <w:p w:rsidR="008949F5" w:rsidRDefault="004A11FE">
      <w:pPr>
        <w:rPr>
          <w:noProof/>
        </w:rPr>
      </w:pPr>
      <w:r>
        <w:rPr>
          <w:noProof/>
        </w:rPr>
        <w:t>Az elektronikus hírközlés szabályozási keretének felülvizsgálata céljából a Bizottság által tartott nyilvános konzultáció eredményét összefoglaló közelmúltbeli jelentés</w:t>
      </w:r>
      <w:r>
        <w:rPr>
          <w:rStyle w:val="FootnoteReference"/>
          <w:noProof/>
        </w:rPr>
        <w:footnoteReference w:id="9"/>
      </w:r>
      <w:r>
        <w:rPr>
          <w:noProof/>
        </w:rPr>
        <w:t xml:space="preserve"> rámutatott arra, </w:t>
      </w:r>
      <w:r>
        <w:rPr>
          <w:noProof/>
        </w:rPr>
        <w:t>hogy számos állami hatóság és magánszemély válaszadó támogatja a wifi-hálózatok nyilvános helyeken történő kiépítését, miközben megfelelő szabályozási környezetet igényelnek olyan kérdésekben, mint a hozzáférést szolgáltató felelőssége és az elektromágnese</w:t>
      </w:r>
      <w:r>
        <w:rPr>
          <w:noProof/>
        </w:rPr>
        <w:t>s tereknek való kitettség. Az üzemeltetők hangsúlyozták, hogy minden állami támogatásnak technológiai szempontjából semlegesnek kell lennie, miközben kiemelték, hogy a kiépítés a köz- és magánszféra közötti partnerségek különböző formáival is elősegíthető.</w:t>
      </w:r>
      <w:r>
        <w:rPr>
          <w:noProof/>
        </w:rPr>
        <w:t xml:space="preserve"> Ezek a megállapítások összhangban vannak a jelenlegi rendszer utólagos értékelésével, amely értékelés a szabályozási keret felülvizsgálatára vonatkozó javaslat mellékletét képezi.</w:t>
      </w:r>
    </w:p>
    <w:p w:rsidR="008949F5" w:rsidRDefault="004A11FE">
      <w:pPr>
        <w:rPr>
          <w:noProof/>
        </w:rPr>
      </w:pPr>
      <w:r>
        <w:rPr>
          <w:noProof/>
        </w:rPr>
        <w:t>A szabályozási keret felülvizsgálata céljából elvégzett hatáselemzés az érd</w:t>
      </w:r>
      <w:r>
        <w:rPr>
          <w:noProof/>
        </w:rPr>
        <w:t>ekelt felek által kifejezett e megfontolásokra épít és mikrocellák telepítésére vonatkozó rendelkezések bevezetését javasolja. E rendelkezések célja, hogy csökkentse a nagyon sűrű hálózatok kiépítésének költségeit és fejlessze a helyi vezeték nélküli inter</w:t>
      </w:r>
      <w:r>
        <w:rPr>
          <w:noProof/>
        </w:rPr>
        <w:t>net-hozzáférést a mindenütt elérhető internetkapcsolat iránti exponenciális kereslet kielégítése érdekében. A javasolt intézkedés, amely kiegészíti a spektrumgazdálkodás terén a szabályozási keret fejlesztésének előnyben részesített változatát, elő fogja s</w:t>
      </w:r>
      <w:r>
        <w:rPr>
          <w:noProof/>
        </w:rPr>
        <w:t>egíteni az ingyenes helyi vezeték nélküli internet-hozzáférés biztosításának támogatását és ezáltal hozzájárul majd ahhoz, hogy a digitális egységes piacon az internetkapcsolat európai jövőképe valósággá váljon a polgárok és vállalkozások számára.</w:t>
      </w:r>
    </w:p>
    <w:p w:rsidR="008949F5" w:rsidRDefault="004A11FE">
      <w:pPr>
        <w:pStyle w:val="ManualHeading1"/>
        <w:rPr>
          <w:noProof/>
        </w:rPr>
      </w:pPr>
      <w:r>
        <w:rPr>
          <w:noProof/>
        </w:rPr>
        <w:t>4.</w:t>
      </w:r>
      <w:r>
        <w:rPr>
          <w:noProof/>
        </w:rPr>
        <w:tab/>
        <w:t>KÖLTS</w:t>
      </w:r>
      <w:r>
        <w:rPr>
          <w:noProof/>
        </w:rPr>
        <w:t>ÉGVETÉSI VONZATOK</w:t>
      </w:r>
    </w:p>
    <w:p w:rsidR="008949F5" w:rsidRDefault="004A11FE">
      <w:pPr>
        <w:rPr>
          <w:noProof/>
        </w:rPr>
      </w:pPr>
      <w:r>
        <w:rPr>
          <w:noProof/>
        </w:rPr>
        <w:t>Az e javaslat által szükségessé tett előirányzatokat teljes mértékben a 2014–2020 közötti többéves pénzügyi keretből kell finanszírozni. A tervezett összegekből 70 millió EUR-t át kell csoportosítani a CEF távközlési ágazat javára a 2017–</w:t>
      </w:r>
      <w:r>
        <w:rPr>
          <w:noProof/>
        </w:rPr>
        <w:t>2019 közötti időszakra, míg 50 millió EUR-t a CEF-rendelet 5. cikke (1) bekezdésének módosítása révén a távközlési ágazat pénzügyi keretébe kell átvezetni. Következetességi megfontolásokból ezt az emelést a 2015/1017/EU rendeletben</w:t>
      </w:r>
      <w:r>
        <w:rPr>
          <w:rStyle w:val="FootnoteReference"/>
          <w:noProof/>
        </w:rPr>
        <w:footnoteReference w:id="10"/>
      </w:r>
      <w:r>
        <w:rPr>
          <w:noProof/>
        </w:rPr>
        <w:t xml:space="preserve"> meghatározott, az Európ</w:t>
      </w:r>
      <w:r>
        <w:rPr>
          <w:noProof/>
        </w:rPr>
        <w:t>ai Stratégiai Beruházási Alap jogi keretének módosítására vonatkozó javaslatban</w:t>
      </w:r>
      <w:r>
        <w:rPr>
          <w:rStyle w:val="FootnoteReference"/>
          <w:noProof/>
        </w:rPr>
        <w:footnoteReference w:id="11"/>
      </w:r>
      <w:r>
        <w:rPr>
          <w:noProof/>
        </w:rPr>
        <w:t xml:space="preserve"> is tükrözni kell.</w:t>
      </w:r>
    </w:p>
    <w:p w:rsidR="008949F5" w:rsidRDefault="008949F5">
      <w:pPr>
        <w:rPr>
          <w:noProof/>
        </w:rPr>
        <w:sectPr w:rsidR="008949F5" w:rsidSect="004A11FE">
          <w:footerReference w:type="default" r:id="rId16"/>
          <w:footerReference w:type="first" r:id="rId17"/>
          <w:pgSz w:w="11907" w:h="16839"/>
          <w:pgMar w:top="1134" w:right="1417" w:bottom="1134" w:left="1417" w:header="709" w:footer="709" w:gutter="0"/>
          <w:cols w:space="708"/>
          <w:docGrid w:linePitch="360"/>
        </w:sectPr>
      </w:pPr>
    </w:p>
    <w:p w:rsidR="008949F5" w:rsidRDefault="004A11FE" w:rsidP="004A11FE">
      <w:pPr>
        <w:pStyle w:val="Rfrenceinterinstitutionnelle"/>
        <w:rPr>
          <w:noProof/>
        </w:rPr>
      </w:pPr>
      <w:r w:rsidRPr="004A11FE">
        <w:t>2016/0287 (COD)</w:t>
      </w:r>
    </w:p>
    <w:p w:rsidR="008949F5" w:rsidRDefault="004A11FE" w:rsidP="004A11FE">
      <w:pPr>
        <w:pStyle w:val="Statut"/>
        <w:rPr>
          <w:noProof/>
        </w:rPr>
      </w:pPr>
      <w:r w:rsidRPr="004A11FE">
        <w:t>Javaslat</w:t>
      </w:r>
    </w:p>
    <w:p w:rsidR="008949F5" w:rsidRDefault="004A11FE" w:rsidP="004A11FE">
      <w:pPr>
        <w:pStyle w:val="Typedudocument"/>
        <w:rPr>
          <w:noProof/>
        </w:rPr>
      </w:pPr>
      <w:r w:rsidRPr="004A11FE">
        <w:t>AZ EURÓPAI PARLAMENT ÉS A TANÁCS RENDELETE</w:t>
      </w:r>
    </w:p>
    <w:p w:rsidR="008949F5" w:rsidRDefault="004A11FE" w:rsidP="004A11FE">
      <w:pPr>
        <w:pStyle w:val="Titreobjet"/>
        <w:rPr>
          <w:noProof/>
        </w:rPr>
      </w:pPr>
      <w:r w:rsidRPr="004A11FE">
        <w:br/>
        <w:t>az 1316/2013/EU és a 283/2014/EU rendeletnek az internetkapcsolat helyi közösségekben történő előmozdítása tekintetében történő módosításáról</w:t>
      </w:r>
    </w:p>
    <w:p w:rsidR="008949F5" w:rsidRDefault="004A11FE" w:rsidP="004A11FE">
      <w:pPr>
        <w:pStyle w:val="IntrtEEE"/>
        <w:rPr>
          <w:noProof/>
        </w:rPr>
      </w:pPr>
      <w:r w:rsidRPr="004A11FE">
        <w:t>(</w:t>
      </w:r>
      <w:proofErr w:type="spellStart"/>
      <w:r w:rsidRPr="004A11FE">
        <w:t>EGT-vonatkozású</w:t>
      </w:r>
      <w:proofErr w:type="spellEnd"/>
      <w:r w:rsidRPr="004A11FE">
        <w:t xml:space="preserve"> szöveg)</w:t>
      </w:r>
    </w:p>
    <w:p w:rsidR="008949F5" w:rsidRDefault="004A11FE">
      <w:pPr>
        <w:pStyle w:val="Institutionquiagit"/>
        <w:rPr>
          <w:noProof/>
        </w:rPr>
      </w:pPr>
      <w:r>
        <w:rPr>
          <w:noProof/>
        </w:rPr>
        <w:t>AZ EURÓPAI PARLAMENT ÉS AZ EURÓPAI UNIÓ TANÁCSA,</w:t>
      </w:r>
    </w:p>
    <w:p w:rsidR="008949F5" w:rsidRDefault="004A11FE">
      <w:pPr>
        <w:rPr>
          <w:noProof/>
          <w:szCs w:val="24"/>
        </w:rPr>
      </w:pPr>
      <w:r>
        <w:rPr>
          <w:noProof/>
        </w:rPr>
        <w:t xml:space="preserve">tekintettel az Európai Unió működéséről szóló szerződésre és különösen annak 172. cikkére, </w:t>
      </w:r>
    </w:p>
    <w:p w:rsidR="008949F5" w:rsidRDefault="004A11FE">
      <w:pPr>
        <w:rPr>
          <w:noProof/>
          <w:szCs w:val="24"/>
        </w:rPr>
      </w:pPr>
      <w:r>
        <w:rPr>
          <w:noProof/>
        </w:rPr>
        <w:t>tekintettel az Európai Bizottság javaslatára,</w:t>
      </w:r>
    </w:p>
    <w:p w:rsidR="008949F5" w:rsidRDefault="004A11FE">
      <w:pPr>
        <w:rPr>
          <w:noProof/>
          <w:szCs w:val="24"/>
        </w:rPr>
      </w:pPr>
      <w:r>
        <w:rPr>
          <w:noProof/>
        </w:rPr>
        <w:t>a jogalkotási aktus tervezete nemzeti parlamenteknek való megküldését követően,</w:t>
      </w:r>
    </w:p>
    <w:p w:rsidR="008949F5" w:rsidRDefault="004A11FE">
      <w:pPr>
        <w:rPr>
          <w:noProof/>
          <w:szCs w:val="24"/>
        </w:rPr>
      </w:pPr>
      <w:r>
        <w:rPr>
          <w:noProof/>
        </w:rPr>
        <w:t>tekintettel az Európai Gazdasági és Sz</w:t>
      </w:r>
      <w:r>
        <w:rPr>
          <w:noProof/>
        </w:rPr>
        <w:t>ociális Bizottság véleményére</w:t>
      </w:r>
      <w:r>
        <w:rPr>
          <w:rStyle w:val="FootnoteReference"/>
          <w:noProof/>
        </w:rPr>
        <w:footnoteReference w:id="12"/>
      </w:r>
      <w:r>
        <w:rPr>
          <w:noProof/>
        </w:rPr>
        <w:t xml:space="preserve">, </w:t>
      </w:r>
    </w:p>
    <w:p w:rsidR="008949F5" w:rsidRDefault="004A11FE">
      <w:pPr>
        <w:rPr>
          <w:noProof/>
          <w:szCs w:val="24"/>
        </w:rPr>
      </w:pPr>
      <w:r>
        <w:rPr>
          <w:noProof/>
        </w:rPr>
        <w:t>tekintettel a Régiók Bizottságának véleményére</w:t>
      </w:r>
      <w:r>
        <w:rPr>
          <w:rStyle w:val="FootnoteReference"/>
          <w:noProof/>
        </w:rPr>
        <w:footnoteReference w:id="13"/>
      </w:r>
      <w:r>
        <w:rPr>
          <w:noProof/>
        </w:rPr>
        <w:t xml:space="preserve">, </w:t>
      </w:r>
    </w:p>
    <w:p w:rsidR="008949F5" w:rsidRDefault="004A11FE">
      <w:pPr>
        <w:rPr>
          <w:noProof/>
          <w:szCs w:val="24"/>
        </w:rPr>
      </w:pPr>
      <w:r>
        <w:rPr>
          <w:noProof/>
        </w:rPr>
        <w:t>rendes jogalkotási eljárás keretében,</w:t>
      </w:r>
    </w:p>
    <w:p w:rsidR="008949F5" w:rsidRDefault="004A11FE">
      <w:pPr>
        <w:rPr>
          <w:noProof/>
        </w:rPr>
      </w:pPr>
      <w:r>
        <w:rPr>
          <w:noProof/>
        </w:rPr>
        <w:t>mivel:</w:t>
      </w:r>
    </w:p>
    <w:p w:rsidR="008949F5" w:rsidRDefault="004A11FE">
      <w:pPr>
        <w:pStyle w:val="ManualConsidrant"/>
        <w:rPr>
          <w:noProof/>
        </w:rPr>
      </w:pPr>
      <w:r>
        <w:t>(1)</w:t>
      </w:r>
      <w:r>
        <w:tab/>
      </w:r>
      <w:r>
        <w:rPr>
          <w:noProof/>
        </w:rPr>
        <w:t>A digitális egységes piacon a polgárok és a vállalkozások internetes összekapcsoltságának európai jövőképét meghatározó bizo</w:t>
      </w:r>
      <w:r>
        <w:rPr>
          <w:noProof/>
        </w:rPr>
        <w:t>ttsági közlemény</w:t>
      </w:r>
      <w:r>
        <w:rPr>
          <w:rStyle w:val="FootnoteReference"/>
          <w:noProof/>
        </w:rPr>
        <w:footnoteReference w:id="14"/>
      </w:r>
      <w:r>
        <w:rPr>
          <w:noProof/>
        </w:rPr>
        <w:t xml:space="preserve"> az Európai Unióban az összekapcsoltság fokozására alkalmas számos lehetséges intézkedést mutat be. </w:t>
      </w:r>
    </w:p>
    <w:p w:rsidR="008949F5" w:rsidRDefault="004A11FE">
      <w:pPr>
        <w:pStyle w:val="ManualConsidrant"/>
        <w:rPr>
          <w:noProof/>
        </w:rPr>
      </w:pPr>
      <w:r>
        <w:t>(2)</w:t>
      </w:r>
      <w:r>
        <w:tab/>
      </w:r>
      <w:r>
        <w:rPr>
          <w:noProof/>
        </w:rPr>
        <w:t>Az internetes összekapcsoltság európai jövőképét támogató intézkedések között a tervezési eljárások egyszerűsítése és a szabályozási a</w:t>
      </w:r>
      <w:r>
        <w:rPr>
          <w:noProof/>
        </w:rPr>
        <w:t xml:space="preserve">kadályok csökkentése révén támogatja a helyi vezeték nélküli hozzáférési pontok kiépítését. Ezek a hozzáférési pontok, ideértve a más közszolgáltatások nyújtását kiegészítő és a nem kereskedelmi jellegű hozzáférési pontokat is, jelentősen hozzájárulhatnak </w:t>
      </w:r>
      <w:r>
        <w:rPr>
          <w:noProof/>
        </w:rPr>
        <w:t>a jelenlegi vezeték nélküli hírközlési hálózatok fejlesztéséhez és a vezeték nélküli hírközlési hálózatok jövőbeli generációinak kiépítéséhez azáltal, hogy az igények alakulásának megfelelően előmozdítják a lefedettség granularitásának javulását.</w:t>
      </w:r>
    </w:p>
    <w:p w:rsidR="008949F5" w:rsidRDefault="004A11FE">
      <w:pPr>
        <w:pStyle w:val="ManualConsidrant"/>
        <w:rPr>
          <w:noProof/>
        </w:rPr>
      </w:pPr>
      <w:r>
        <w:t>(3)</w:t>
      </w:r>
      <w:r>
        <w:tab/>
      </w:r>
      <w:r>
        <w:rPr>
          <w:noProof/>
        </w:rPr>
        <w:t>A dig</w:t>
      </w:r>
      <w:r>
        <w:rPr>
          <w:noProof/>
        </w:rPr>
        <w:t>itális egységes piacon az internetes összekapcsoltságának európai jövőképét meghatározó közleményt követve, valamint a digitális társadalmi befogadás elősegítése érdekében az Uniónak célzott támogatások útján támogatnia kell az ingyenes helyi vezeték nélkü</w:t>
      </w:r>
      <w:r>
        <w:rPr>
          <w:noProof/>
        </w:rPr>
        <w:t>li internet-hozzáférés nyújtását a helyi közélet központjaiban, ideértve a nyilvánosság számára nyitva álló szabadtéri területeket is. Ez a támogatás az 1316/2013/EU</w:t>
      </w:r>
      <w:r>
        <w:rPr>
          <w:rStyle w:val="FootnoteReference"/>
          <w:noProof/>
        </w:rPr>
        <w:footnoteReference w:id="15"/>
      </w:r>
      <w:r>
        <w:rPr>
          <w:noProof/>
        </w:rPr>
        <w:t xml:space="preserve"> és a 283/2014/EU</w:t>
      </w:r>
      <w:r>
        <w:rPr>
          <w:rStyle w:val="FootnoteReference"/>
          <w:noProof/>
        </w:rPr>
        <w:footnoteReference w:id="16"/>
      </w:r>
      <w:r>
        <w:rPr>
          <w:noProof/>
        </w:rPr>
        <w:t xml:space="preserve"> rendeletben ezidáig nem szerepelt.</w:t>
      </w:r>
    </w:p>
    <w:p w:rsidR="008949F5" w:rsidRDefault="004A11FE">
      <w:pPr>
        <w:pStyle w:val="ManualConsidrant"/>
        <w:rPr>
          <w:noProof/>
        </w:rPr>
      </w:pPr>
      <w:r>
        <w:t>(4)</w:t>
      </w:r>
      <w:r>
        <w:tab/>
      </w:r>
      <w:r>
        <w:rPr>
          <w:noProof/>
        </w:rPr>
        <w:t>Az ilyen típusú támogatás várhat</w:t>
      </w:r>
      <w:r>
        <w:rPr>
          <w:noProof/>
        </w:rPr>
        <w:t>óan arra ösztönzi a közfeladatot ellátó szervezeteket, például a közigazgatási szerveket és a közszolgáltatást nyújtókat, hogy a közfeladatuk ellátását kiegészítő szolgáltatásként ingyenes helyi vezeték nélküli internetkapcsolatot kínáljanak annak érdekébe</w:t>
      </w:r>
      <w:r>
        <w:rPr>
          <w:noProof/>
        </w:rPr>
        <w:t>n, hogy a helyi közösségek a közélet központjaiban megtapasztalhassák a nagyon nagy sebességű széles sáv előnyeit. E szervezetek közé tartoznak a helyi önkormányzatok és más helyi közigazgatási szervek, valamint a könyvtárak és a kórházak.</w:t>
      </w:r>
    </w:p>
    <w:p w:rsidR="008949F5" w:rsidRDefault="004A11FE">
      <w:pPr>
        <w:pStyle w:val="ManualConsidrant"/>
        <w:rPr>
          <w:noProof/>
        </w:rPr>
      </w:pPr>
      <w:r>
        <w:t>(5)</w:t>
      </w:r>
      <w:r>
        <w:tab/>
      </w:r>
      <w:r>
        <w:rPr>
          <w:noProof/>
        </w:rPr>
        <w:t>A helyi veze</w:t>
      </w:r>
      <w:r>
        <w:rPr>
          <w:noProof/>
        </w:rPr>
        <w:t>ték nélküli internetkapcsolat csak akkor minősülhet ingyenesnek, ha azt közvetlen kifizetés vagy más típusú ellentételezés – ideértve különösen a reklámot és a személyes adatok rendelkezésre bocsátását – révén biztosított ellenszolgáltatás nélkül nyújtják.</w:t>
      </w:r>
    </w:p>
    <w:p w:rsidR="008949F5" w:rsidRDefault="004A11FE">
      <w:pPr>
        <w:pStyle w:val="ManualConsidrant"/>
        <w:rPr>
          <w:noProof/>
        </w:rPr>
      </w:pPr>
      <w:r>
        <w:t>(6)</w:t>
      </w:r>
      <w:r>
        <w:tab/>
      </w:r>
      <w:r>
        <w:rPr>
          <w:noProof/>
        </w:rPr>
        <w:t>Tekintettel annak konkrét céljára és a helyi szükségleteket célzó jellegére a beavatkozást az 1316/2013/EU és 283/2014/EU rendelet szerinti, a távközlési szektorban végrehajtott elkülönült közös érdekű projektként kell értelmezni.</w:t>
      </w:r>
    </w:p>
    <w:p w:rsidR="008949F5" w:rsidRDefault="004A11FE">
      <w:pPr>
        <w:pStyle w:val="ManualConsidrant"/>
        <w:rPr>
          <w:noProof/>
        </w:rPr>
      </w:pPr>
      <w:r>
        <w:t>(7)</w:t>
      </w:r>
      <w:r>
        <w:tab/>
      </w:r>
      <w:r>
        <w:rPr>
          <w:noProof/>
        </w:rPr>
        <w:t>A beavatkozás me</w:t>
      </w:r>
      <w:r>
        <w:rPr>
          <w:noProof/>
        </w:rPr>
        <w:t>gfelelő finanszírozása érdekében a CEF-nek a távközlési ágazatban való végrehajtására szánt pénzügyi keretet 50 000 000 EUR összeggel kell megemelni.</w:t>
      </w:r>
    </w:p>
    <w:p w:rsidR="008949F5" w:rsidRDefault="004A11FE">
      <w:pPr>
        <w:pStyle w:val="ManualConsidrant"/>
        <w:rPr>
          <w:noProof/>
        </w:rPr>
      </w:pPr>
      <w:r>
        <w:t>(8)</w:t>
      </w:r>
      <w:r>
        <w:tab/>
      </w:r>
      <w:r>
        <w:rPr>
          <w:noProof/>
        </w:rPr>
        <w:t>Tekintettel a beavatkozás nem kereskedelmi jellegére és az egyedi projektek előreláthatólag kis lépték</w:t>
      </w:r>
      <w:r>
        <w:rPr>
          <w:noProof/>
        </w:rPr>
        <w:t>ére, az adminisztratív terheket minimálisra kell szorítani. Következésképpen a beavatkozást a pénzügyi támogatás legmegfelelőbb formáival kell megvalósítani, nevezetesen a költségvetési rendelet alapján most vagy a jövőben nyújtott vissza nem térítendő tám</w:t>
      </w:r>
      <w:r>
        <w:rPr>
          <w:noProof/>
        </w:rPr>
        <w:t>ogatásokkal. A beavatkozás nem alapozhat pénzügyi eszközök igénybevételére.</w:t>
      </w:r>
    </w:p>
    <w:p w:rsidR="008949F5" w:rsidRDefault="004A11FE">
      <w:pPr>
        <w:pStyle w:val="ManualConsidrant"/>
        <w:rPr>
          <w:noProof/>
        </w:rPr>
      </w:pPr>
      <w:r>
        <w:t>(9)</w:t>
      </w:r>
      <w:r>
        <w:tab/>
      </w:r>
      <w:r>
        <w:rPr>
          <w:noProof/>
        </w:rPr>
        <w:t>Az egyes helyi vezeték nélküli hozzáférési pontok korlátozott hatóköre és az érintett egyedi projektek kisebb értéke miatt az e rendelet alapján pénzügyi támogatásban részesülő</w:t>
      </w:r>
      <w:r>
        <w:rPr>
          <w:noProof/>
        </w:rPr>
        <w:t xml:space="preserve"> hozzáférési pontok várhatóan nem jelentenek versenyt a kereskedelmi ajánlatok számára. Annak érdekében, hogy az ilyen pénzügyi támogatás ne torzítsa indokolatlanul a versenyt, ne szorítsa ki a magánberuházásokat és a magánszereplőket ne tántorítsa el a be</w:t>
      </w:r>
      <w:r>
        <w:rPr>
          <w:noProof/>
        </w:rPr>
        <w:t>ruházástól, a beavatkozásnak olyan projektekre kell korlátozódnia, amelyek nem pusztán megkettőzik az ezen a területen már létező és hasonló jellegű magánszektorbeli és állami ajánlatokat. Ez nem zárja ki a kiépítésekhez e kezdeményezés alapján állami vagy</w:t>
      </w:r>
      <w:r>
        <w:rPr>
          <w:noProof/>
        </w:rPr>
        <w:t xml:space="preserve"> magánforrásokból nyújtott további támogatást.</w:t>
      </w:r>
    </w:p>
    <w:p w:rsidR="008949F5" w:rsidRDefault="004A11FE">
      <w:pPr>
        <w:pStyle w:val="ManualConsidrant"/>
        <w:rPr>
          <w:noProof/>
        </w:rPr>
      </w:pPr>
      <w:r>
        <w:t>(10)</w:t>
      </w:r>
      <w:r>
        <w:tab/>
      </w:r>
      <w:r>
        <w:rPr>
          <w:noProof/>
        </w:rPr>
        <w:t>Annak biztosítása érdekében, hogy a jelen rendelet szerinti internetkapcsolat mielőbb rendelkezésre álljon, a pénzügyi támogatást olyan online eszközök lehető legnagyobb mértékű felhasználásával kell nyúj</w:t>
      </w:r>
      <w:r>
        <w:rPr>
          <w:noProof/>
        </w:rPr>
        <w:t>tani, amelyek lehetővé teszik a kérelmek gyors benyújtását és kezelését, valamint támogatják a kiépített helyi vezeték nélküli hozzáférési pontok megvalósítását, nyomon követését és ellenőrzését.</w:t>
      </w:r>
    </w:p>
    <w:p w:rsidR="008949F5" w:rsidRDefault="004A11FE">
      <w:pPr>
        <w:pStyle w:val="ManualConsidrant"/>
        <w:rPr>
          <w:noProof/>
        </w:rPr>
      </w:pPr>
      <w:r>
        <w:t>(11)</w:t>
      </w:r>
      <w:r>
        <w:tab/>
      </w:r>
      <w:r>
        <w:rPr>
          <w:noProof/>
        </w:rPr>
        <w:t>Tekintettel az Unióban az internetcsatlakozás iránti ig</w:t>
      </w:r>
      <w:r>
        <w:rPr>
          <w:noProof/>
        </w:rPr>
        <w:t>ényekre és az olyan hozzáférési hálózatok előmozdításának sürgősségére, amelyek a nagyon nagy sebességű széles sávú szolgáltatások segítségével szerte az EU-ban magas színvonalú internetes felhasználói élményt képesek biztosítani, a pénzügyi támogatásnak f</w:t>
      </w:r>
      <w:r>
        <w:rPr>
          <w:noProof/>
        </w:rPr>
        <w:t>öldrajzilag kiegyensúlyozottan kell megoszlania.</w:t>
      </w:r>
    </w:p>
    <w:p w:rsidR="008949F5" w:rsidRDefault="004A11FE">
      <w:pPr>
        <w:pStyle w:val="ManualConsidrant"/>
        <w:rPr>
          <w:noProof/>
        </w:rPr>
      </w:pPr>
      <w:r>
        <w:t>(12)</w:t>
      </w:r>
      <w:r>
        <w:tab/>
      </w:r>
      <w:r>
        <w:rPr>
          <w:noProof/>
        </w:rPr>
        <w:t>Az 1316/2013/EU és a 283/2014/EU rendeletet ezért ennek megfelelően módosítani kell,</w:t>
      </w:r>
    </w:p>
    <w:p w:rsidR="008949F5" w:rsidRDefault="004A11FE">
      <w:pPr>
        <w:pStyle w:val="Formuledadoption"/>
        <w:rPr>
          <w:noProof/>
        </w:rPr>
      </w:pPr>
      <w:r>
        <w:rPr>
          <w:noProof/>
        </w:rPr>
        <w:t>ELFOGADTA EZT A RENDELETET:</w:t>
      </w:r>
    </w:p>
    <w:p w:rsidR="008949F5" w:rsidRDefault="004A11FE">
      <w:pPr>
        <w:pStyle w:val="Titrearticle"/>
        <w:rPr>
          <w:noProof/>
        </w:rPr>
      </w:pPr>
      <w:r>
        <w:rPr>
          <w:noProof/>
        </w:rPr>
        <w:t>1. cikk</w:t>
      </w:r>
    </w:p>
    <w:p w:rsidR="008949F5" w:rsidRDefault="004A11FE">
      <w:pPr>
        <w:pStyle w:val="Titrearticle"/>
        <w:rPr>
          <w:b/>
          <w:noProof/>
        </w:rPr>
      </w:pPr>
      <w:r>
        <w:rPr>
          <w:b/>
          <w:i w:val="0"/>
          <w:noProof/>
        </w:rPr>
        <w:t>Az 1316/2013/EU rendelet módosításai</w:t>
      </w:r>
    </w:p>
    <w:p w:rsidR="008949F5" w:rsidRDefault="004A11FE">
      <w:pPr>
        <w:pStyle w:val="Text1"/>
        <w:ind w:left="0"/>
        <w:rPr>
          <w:noProof/>
        </w:rPr>
      </w:pPr>
      <w:r>
        <w:rPr>
          <w:noProof/>
        </w:rPr>
        <w:t>Az 1316/2013/EU rendelet a következőképpen m</w:t>
      </w:r>
      <w:r>
        <w:rPr>
          <w:noProof/>
        </w:rPr>
        <w:t>ódosul:</w:t>
      </w:r>
    </w:p>
    <w:p w:rsidR="008949F5" w:rsidRDefault="004A11FE">
      <w:pPr>
        <w:pStyle w:val="Text1"/>
        <w:ind w:left="0"/>
        <w:rPr>
          <w:noProof/>
        </w:rPr>
      </w:pPr>
      <w:r>
        <w:rPr>
          <w:noProof/>
        </w:rPr>
        <w:t>1. Az 5. cikk (1) bekezdése b) pontjának első albekezdése helyébe a következő szöveg lép:</w:t>
      </w:r>
    </w:p>
    <w:p w:rsidR="008949F5" w:rsidRDefault="004A11FE">
      <w:pPr>
        <w:pStyle w:val="Text1"/>
        <w:ind w:left="360" w:firstLine="360"/>
        <w:rPr>
          <w:noProof/>
        </w:rPr>
      </w:pPr>
      <w:r>
        <w:rPr>
          <w:noProof/>
        </w:rPr>
        <w:t>„b) távközlési ágazat: 1 091 602 000 EUR;”</w:t>
      </w:r>
    </w:p>
    <w:p w:rsidR="008949F5" w:rsidRDefault="004A11FE">
      <w:pPr>
        <w:pStyle w:val="Text1"/>
        <w:ind w:left="0"/>
        <w:rPr>
          <w:noProof/>
        </w:rPr>
      </w:pPr>
      <w:r>
        <w:rPr>
          <w:noProof/>
        </w:rPr>
        <w:t xml:space="preserve">2. A 7. cikk a következőképpen módosul: </w:t>
      </w:r>
    </w:p>
    <w:p w:rsidR="008949F5" w:rsidRDefault="004A11FE">
      <w:pPr>
        <w:pStyle w:val="ManualNumPar3"/>
        <w:ind w:left="1200"/>
        <w:rPr>
          <w:noProof/>
        </w:rPr>
      </w:pPr>
      <w:r>
        <w:rPr>
          <w:noProof/>
        </w:rPr>
        <w:t>a)</w:t>
      </w:r>
      <w:r>
        <w:rPr>
          <w:noProof/>
        </w:rPr>
        <w:tab/>
        <w:t>az (1) bekezdés helyébe a következő szöveg lép:</w:t>
      </w:r>
    </w:p>
    <w:p w:rsidR="008949F5" w:rsidRDefault="004A11FE">
      <w:pPr>
        <w:pStyle w:val="Text1"/>
        <w:spacing w:after="240"/>
        <w:ind w:left="360"/>
        <w:rPr>
          <w:noProof/>
        </w:rPr>
      </w:pPr>
      <w:r>
        <w:rPr>
          <w:noProof/>
        </w:rPr>
        <w:t xml:space="preserve">„(1) Kizárólag az </w:t>
      </w:r>
      <w:r>
        <w:rPr>
          <w:noProof/>
        </w:rPr>
        <w:t>1315/2013/EU rendelet, a 347/2013/EU rendelet és a transzeurópai távközlési infrastruktúra-hálózatokra vonatkozó iránymutatásokról szóló rendelet szerinti közös érdekű projektekhez hozzájáruló intézkedések, valamint a programtámogató tevékenységek jogosult</w:t>
      </w:r>
      <w:r>
        <w:rPr>
          <w:noProof/>
        </w:rPr>
        <w:t>ak különösen vissza nem térítendő támogatás, közbeszerzés és pénzügyi eszköz formájában nyújtott uniós pénzügyi támogatásra.”</w:t>
      </w:r>
    </w:p>
    <w:p w:rsidR="008949F5" w:rsidRDefault="004A11FE">
      <w:pPr>
        <w:pStyle w:val="ManualNumPar3"/>
        <w:ind w:left="1200"/>
        <w:rPr>
          <w:noProof/>
        </w:rPr>
      </w:pPr>
      <w:r>
        <w:rPr>
          <w:noProof/>
        </w:rPr>
        <w:t>b)</w:t>
      </w:r>
      <w:r>
        <w:rPr>
          <w:noProof/>
        </w:rPr>
        <w:tab/>
        <w:t xml:space="preserve">a (4) bekezdés helyébe a következő szöveg lép: </w:t>
      </w:r>
    </w:p>
    <w:p w:rsidR="008949F5" w:rsidRDefault="004A11FE">
      <w:pPr>
        <w:pStyle w:val="Text1"/>
        <w:ind w:left="360"/>
        <w:rPr>
          <w:noProof/>
        </w:rPr>
      </w:pPr>
      <w:r>
        <w:rPr>
          <w:noProof/>
        </w:rPr>
        <w:t xml:space="preserve">„(4) A távközlési ágazatban minden olyan intézkedés, amely a transzeurópai </w:t>
      </w:r>
      <w:r>
        <w:rPr>
          <w:noProof/>
        </w:rPr>
        <w:t>távközlési infrastruktúra-hálózatokra vonatkozó iránymutatásokról szóló rendeletben meghatározott közös érdekű projekteket és programtámogató tevékenységeket valósít meg, és teljesíti az ugyanezen rendelettel összhangban megállapított támogathatósági krité</w:t>
      </w:r>
      <w:r>
        <w:rPr>
          <w:noProof/>
        </w:rPr>
        <w:t>riumokat és/vagy feltételeket, e rendelet alapján uniós pénzügyi támogatásra jogosult a következő esetekben:</w:t>
      </w:r>
    </w:p>
    <w:p w:rsidR="008949F5" w:rsidRDefault="004A11FE">
      <w:pPr>
        <w:pStyle w:val="Text1"/>
        <w:ind w:left="360"/>
        <w:rPr>
          <w:noProof/>
        </w:rPr>
      </w:pPr>
      <w:r>
        <w:rPr>
          <w:noProof/>
        </w:rPr>
        <w:t>a) az általános szolgáltatásokat, az alapszolgáltatási platformokat és a programtámogató tevékenységeket vissza nem térítendő támogatások és/vagy k</w:t>
      </w:r>
      <w:r>
        <w:rPr>
          <w:noProof/>
        </w:rPr>
        <w:t>özbeszerzés révén kell finanszírozni;</w:t>
      </w:r>
    </w:p>
    <w:p w:rsidR="008949F5" w:rsidRDefault="004A11FE">
      <w:pPr>
        <w:pStyle w:val="Text1"/>
        <w:ind w:left="360"/>
        <w:rPr>
          <w:noProof/>
        </w:rPr>
      </w:pPr>
      <w:r>
        <w:rPr>
          <w:noProof/>
        </w:rPr>
        <w:t>b) a széles sávú hálózatokkal kapcsolatos intézkedéseket pénzügyi eszközök révén kell finanszírozni;</w:t>
      </w:r>
    </w:p>
    <w:p w:rsidR="008949F5" w:rsidRDefault="004A11FE">
      <w:pPr>
        <w:pStyle w:val="Text1"/>
        <w:spacing w:after="240"/>
        <w:ind w:left="360"/>
        <w:rPr>
          <w:noProof/>
        </w:rPr>
      </w:pPr>
      <w:r>
        <w:rPr>
          <w:noProof/>
        </w:rPr>
        <w:t>c) a helyi közösségekben ingyenes helyi vezeték nélküli internet-hozzáférés biztosításával kapcsolatos intézkedéseket</w:t>
      </w:r>
      <w:r>
        <w:rPr>
          <w:noProof/>
        </w:rPr>
        <w:t xml:space="preserve"> vissza nem térítendő támogatások vagy a pénzügyi eszközöktől eltérő pénzügyi támogatási formák révén kell finanszírozni.”</w:t>
      </w:r>
    </w:p>
    <w:p w:rsidR="008949F5" w:rsidRDefault="004A11FE">
      <w:pPr>
        <w:pStyle w:val="Text1"/>
        <w:ind w:left="0"/>
        <w:rPr>
          <w:noProof/>
        </w:rPr>
      </w:pPr>
      <w:r>
        <w:rPr>
          <w:noProof/>
        </w:rPr>
        <w:t xml:space="preserve">3. A 9. cikk a következő bekezdéssel egészül ki: </w:t>
      </w:r>
    </w:p>
    <w:p w:rsidR="008949F5" w:rsidRDefault="004A11FE">
      <w:pPr>
        <w:pStyle w:val="Text1"/>
        <w:ind w:left="0"/>
        <w:rPr>
          <w:noProof/>
        </w:rPr>
      </w:pPr>
      <w:r>
        <w:rPr>
          <w:noProof/>
        </w:rPr>
        <w:t xml:space="preserve">„(1a) Amennyiben azt az indokolatlan adminisztratív terhek elkerülése iránti igény </w:t>
      </w:r>
      <w:r>
        <w:rPr>
          <w:noProof/>
        </w:rPr>
        <w:t xml:space="preserve">indokolja, különösen az 1286/2012/EU rendelet 185. cikke értelmében vett kis értékű támogatások esetén a tagállamok hozzájárulásukat adhatják egy bizonyos javaslati kategóriához a 17. cikk szerinti munkaprogramok keretében, az egyes kérelmezők megjelölése </w:t>
      </w:r>
      <w:r>
        <w:rPr>
          <w:noProof/>
        </w:rPr>
        <w:t>nélkül.”</w:t>
      </w:r>
    </w:p>
    <w:p w:rsidR="008949F5" w:rsidRDefault="004A11FE">
      <w:pPr>
        <w:pStyle w:val="Text1"/>
        <w:ind w:left="0"/>
        <w:rPr>
          <w:noProof/>
        </w:rPr>
      </w:pPr>
      <w:r>
        <w:rPr>
          <w:noProof/>
        </w:rPr>
        <w:t xml:space="preserve">4. A 10. cikk (4) bekezdése a következő harmadik albekezdéssel egészül ki: </w:t>
      </w:r>
    </w:p>
    <w:p w:rsidR="008949F5" w:rsidRDefault="004A11FE">
      <w:pPr>
        <w:pStyle w:val="Text1"/>
        <w:ind w:left="0"/>
        <w:rPr>
          <w:noProof/>
        </w:rPr>
      </w:pPr>
      <w:r>
        <w:rPr>
          <w:noProof/>
        </w:rPr>
        <w:t>„A helyi közösségekben ingyenes helyi vezeték nélküli internet-hozzáférés biztosításával kapcsolatos intézkedések uniós pénzügyi támogatásból az elszámolható költségek leg</w:t>
      </w:r>
      <w:r>
        <w:rPr>
          <w:noProof/>
        </w:rPr>
        <w:t>feljebb 100 %-áig finanszírozhatók a társfinanszírozás elvének sérelme nélkül.”</w:t>
      </w:r>
    </w:p>
    <w:p w:rsidR="008949F5" w:rsidRDefault="008949F5">
      <w:pPr>
        <w:pStyle w:val="Text1"/>
        <w:ind w:left="0"/>
        <w:rPr>
          <w:noProof/>
        </w:rPr>
      </w:pPr>
    </w:p>
    <w:p w:rsidR="008949F5" w:rsidRDefault="004A11FE">
      <w:pPr>
        <w:pStyle w:val="Titrearticle"/>
        <w:rPr>
          <w:noProof/>
        </w:rPr>
      </w:pPr>
      <w:r>
        <w:rPr>
          <w:noProof/>
        </w:rPr>
        <w:t>2. cikk</w:t>
      </w:r>
    </w:p>
    <w:p w:rsidR="008949F5" w:rsidRDefault="004A11FE">
      <w:pPr>
        <w:pStyle w:val="Titrearticle"/>
        <w:rPr>
          <w:b/>
          <w:i w:val="0"/>
          <w:noProof/>
        </w:rPr>
      </w:pPr>
      <w:r>
        <w:rPr>
          <w:b/>
          <w:i w:val="0"/>
          <w:noProof/>
        </w:rPr>
        <w:t>A 283/2014/EU rendelet módosításai</w:t>
      </w:r>
    </w:p>
    <w:p w:rsidR="008949F5" w:rsidRDefault="004A11FE">
      <w:pPr>
        <w:pStyle w:val="Text1"/>
        <w:ind w:left="0"/>
        <w:rPr>
          <w:noProof/>
        </w:rPr>
      </w:pPr>
      <w:r>
        <w:rPr>
          <w:noProof/>
        </w:rPr>
        <w:t>A 283/2014/EU rendelet a következőképpen módosul:</w:t>
      </w:r>
    </w:p>
    <w:p w:rsidR="008949F5" w:rsidRDefault="004A11FE">
      <w:pPr>
        <w:pStyle w:val="Text1"/>
        <w:ind w:left="0"/>
        <w:rPr>
          <w:bCs/>
          <w:noProof/>
        </w:rPr>
      </w:pPr>
      <w:r>
        <w:rPr>
          <w:noProof/>
        </w:rPr>
        <w:t>1. A 2. cikk (2) bekezdése a következő h) ponttal egészül ki:</w:t>
      </w:r>
    </w:p>
    <w:p w:rsidR="008949F5" w:rsidRDefault="004A11FE">
      <w:pPr>
        <w:pStyle w:val="Text1"/>
        <w:spacing w:after="240"/>
        <w:ind w:left="0"/>
        <w:rPr>
          <w:bCs/>
          <w:noProof/>
        </w:rPr>
      </w:pPr>
      <w:r>
        <w:rPr>
          <w:noProof/>
        </w:rPr>
        <w:t>„h) »helyi vezeték n</w:t>
      </w:r>
      <w:r>
        <w:rPr>
          <w:noProof/>
        </w:rPr>
        <w:t>élküli hozzáférési pont«: kis hatókörben működő kis méretű, kis teljesítményű berendezés, amely nem kizárólagos alapon olyan rádióspektrumot használ, amelynek rendelkezésre állási feltételei és hatékony felhasználása uniós szinten harmonizáltak, és amely f</w:t>
      </w:r>
      <w:r>
        <w:rPr>
          <w:noProof/>
        </w:rPr>
        <w:t xml:space="preserve">elhasználók számára lehetővé teszi a vezeték nélküli hozzáférést egy elektronikus hírközlő hálózathoz.” </w:t>
      </w:r>
    </w:p>
    <w:p w:rsidR="008949F5" w:rsidRDefault="004A11FE">
      <w:pPr>
        <w:pStyle w:val="Text1"/>
        <w:spacing w:after="240"/>
        <w:ind w:left="0"/>
        <w:rPr>
          <w:bCs/>
          <w:noProof/>
        </w:rPr>
      </w:pPr>
      <w:r>
        <w:rPr>
          <w:noProof/>
        </w:rPr>
        <w:t>2. Az 4. cikk (1) bekezdése a következő c) ponttal egészül ki:</w:t>
      </w:r>
    </w:p>
    <w:p w:rsidR="008949F5" w:rsidRDefault="004A11FE">
      <w:pPr>
        <w:pStyle w:val="Text1"/>
        <w:spacing w:after="240"/>
        <w:ind w:left="0"/>
        <w:rPr>
          <w:bCs/>
          <w:noProof/>
        </w:rPr>
      </w:pPr>
      <w:r>
        <w:rPr>
          <w:noProof/>
        </w:rPr>
        <w:t>„c) a helyi közösségekben támogatják az ingyenes helyi vezeték nélküli kapcsolat biztosí</w:t>
      </w:r>
      <w:r>
        <w:rPr>
          <w:noProof/>
        </w:rPr>
        <w:t>tását.”</w:t>
      </w:r>
    </w:p>
    <w:p w:rsidR="008949F5" w:rsidRDefault="004A11FE">
      <w:pPr>
        <w:pStyle w:val="Text1"/>
        <w:ind w:left="0"/>
        <w:rPr>
          <w:bCs/>
          <w:noProof/>
        </w:rPr>
      </w:pPr>
      <w:r>
        <w:rPr>
          <w:noProof/>
        </w:rPr>
        <w:t xml:space="preserve">3. Az 5. cikk a következőképpen módosul: </w:t>
      </w:r>
    </w:p>
    <w:p w:rsidR="008949F5" w:rsidRDefault="004A11FE">
      <w:pPr>
        <w:pStyle w:val="ManualNumPar1"/>
        <w:ind w:hanging="370"/>
        <w:rPr>
          <w:noProof/>
        </w:rPr>
      </w:pPr>
      <w:r>
        <w:rPr>
          <w:noProof/>
        </w:rPr>
        <w:t>a)</w:t>
      </w:r>
      <w:r>
        <w:rPr>
          <w:noProof/>
        </w:rPr>
        <w:tab/>
        <w:t>a (7) bekezdés helyébe a következő szöveg lép:</w:t>
      </w:r>
    </w:p>
    <w:p w:rsidR="008949F5" w:rsidRDefault="004A11FE">
      <w:pPr>
        <w:spacing w:after="240"/>
        <w:ind w:left="720"/>
        <w:rPr>
          <w:noProof/>
        </w:rPr>
      </w:pPr>
      <w:r>
        <w:rPr>
          <w:noProof/>
        </w:rPr>
        <w:t>„(7) A széles sávú hálózatokra szánt pénzügyi eszközökre a költségvetésből előirányzott teljes összeg nem haladhatja meg a költséghatékony támogatáshoz szükséges minimumösszeget, amelyet az 1316/2013/EU rendelet 14. cikkének (1) bekezdésében említett előze</w:t>
      </w:r>
      <w:r>
        <w:rPr>
          <w:noProof/>
        </w:rPr>
        <w:t xml:space="preserve">tes értékelés alapján kell megállapítani. </w:t>
      </w:r>
    </w:p>
    <w:p w:rsidR="008949F5" w:rsidRDefault="004A11FE">
      <w:pPr>
        <w:spacing w:after="240"/>
        <w:ind w:left="720"/>
        <w:rPr>
          <w:noProof/>
          <w:szCs w:val="24"/>
        </w:rPr>
      </w:pPr>
      <w:r>
        <w:rPr>
          <w:noProof/>
        </w:rPr>
        <w:t>Ez az összeg a távközlési ágazat vonatkozásában az 1316/2013/EU rendelet 5. cikke (1) bekezdésének b) pontjában említett pénzügyi keretösszeg legfeljebb 15 %-a.”</w:t>
      </w:r>
    </w:p>
    <w:p w:rsidR="008949F5" w:rsidRDefault="004A11FE">
      <w:pPr>
        <w:pStyle w:val="ManualNumPar1"/>
        <w:ind w:hanging="370"/>
        <w:rPr>
          <w:noProof/>
        </w:rPr>
      </w:pPr>
      <w:r>
        <w:rPr>
          <w:noProof/>
        </w:rPr>
        <w:t>b)</w:t>
      </w:r>
      <w:r>
        <w:rPr>
          <w:noProof/>
        </w:rPr>
        <w:tab/>
        <w:t>a cikk a következő bekezdéssel egészül ki:</w:t>
      </w:r>
    </w:p>
    <w:p w:rsidR="008949F5" w:rsidRDefault="004A11FE">
      <w:pPr>
        <w:pStyle w:val="Text1"/>
        <w:spacing w:after="240"/>
        <w:ind w:left="720"/>
        <w:rPr>
          <w:bCs/>
          <w:noProof/>
        </w:rPr>
      </w:pPr>
      <w:r>
        <w:rPr>
          <w:noProof/>
        </w:rPr>
        <w:t>„(5a)</w:t>
      </w:r>
      <w:r>
        <w:rPr>
          <w:noProof/>
        </w:rPr>
        <w:t xml:space="preserve"> A helyi közösségekben ingyenes helyi vezeték nélküli internetkapcsolat biztosítása terén a közös érdekű projektekhez hozzájáruló intézkedések finanszírozásának forrásai:</w:t>
      </w:r>
    </w:p>
    <w:p w:rsidR="008949F5" w:rsidRDefault="004A11FE">
      <w:pPr>
        <w:pStyle w:val="Text1"/>
        <w:spacing w:after="240"/>
        <w:ind w:left="720"/>
        <w:rPr>
          <w:bCs/>
          <w:noProof/>
        </w:rPr>
      </w:pPr>
      <w:r>
        <w:rPr>
          <w:noProof/>
        </w:rPr>
        <w:t xml:space="preserve">a) vissza nem térítendő támogatások; és/vagy </w:t>
      </w:r>
    </w:p>
    <w:p w:rsidR="008949F5" w:rsidRDefault="004A11FE">
      <w:pPr>
        <w:pStyle w:val="Text1"/>
        <w:spacing w:after="240"/>
        <w:ind w:left="720"/>
        <w:rPr>
          <w:noProof/>
        </w:rPr>
      </w:pPr>
      <w:r>
        <w:rPr>
          <w:noProof/>
        </w:rPr>
        <w:t>b) pénzügyi eszközöktől eltérő pénzügyi</w:t>
      </w:r>
      <w:r>
        <w:rPr>
          <w:noProof/>
        </w:rPr>
        <w:t xml:space="preserve"> támogatási formák.”</w:t>
      </w:r>
    </w:p>
    <w:p w:rsidR="008949F5" w:rsidRDefault="004A11FE">
      <w:pPr>
        <w:pStyle w:val="Text1"/>
        <w:ind w:left="0"/>
        <w:rPr>
          <w:bCs/>
          <w:noProof/>
        </w:rPr>
      </w:pPr>
      <w:r>
        <w:rPr>
          <w:noProof/>
        </w:rPr>
        <w:t>4. A 6. cikk az alábbi (8a) bekezdéssel egészül ki:</w:t>
      </w:r>
    </w:p>
    <w:p w:rsidR="008949F5" w:rsidRDefault="004A11FE">
      <w:pPr>
        <w:pStyle w:val="Text1"/>
        <w:spacing w:after="240"/>
        <w:ind w:left="0"/>
        <w:rPr>
          <w:bCs/>
          <w:noProof/>
        </w:rPr>
      </w:pPr>
      <w:r>
        <w:rPr>
          <w:noProof/>
        </w:rPr>
        <w:t>„(8a) A helyi közösségekben ingyenes helyi vezeték nélküli internetkapcsolat biztosítása terén a közös érdekű projektekhez hozzájáruló intézkedéseknek teljesíteniük kell a melléklet 4</w:t>
      </w:r>
      <w:r>
        <w:rPr>
          <w:noProof/>
        </w:rPr>
        <w:t>. szakaszában meghatározott feltételeket.”</w:t>
      </w:r>
    </w:p>
    <w:p w:rsidR="008949F5" w:rsidRDefault="004A11FE">
      <w:pPr>
        <w:pStyle w:val="Text1"/>
        <w:ind w:left="0"/>
        <w:rPr>
          <w:bCs/>
          <w:noProof/>
        </w:rPr>
      </w:pPr>
      <w:r>
        <w:rPr>
          <w:noProof/>
        </w:rPr>
        <w:t>5. A 8. cikk (9) bekezdése az alábbi d) ponttal egészül ki:</w:t>
      </w:r>
    </w:p>
    <w:p w:rsidR="008949F5" w:rsidRDefault="004A11FE">
      <w:pPr>
        <w:pStyle w:val="Text1"/>
        <w:spacing w:after="240"/>
        <w:ind w:left="0"/>
        <w:rPr>
          <w:bCs/>
          <w:noProof/>
        </w:rPr>
      </w:pPr>
      <w:r>
        <w:rPr>
          <w:noProof/>
        </w:rPr>
        <w:t>„d) a melléklet 4. szakaszának végrehajtására irányuló intézkedések keretében létesített helyi vezeték nélküli hozzáférési pontokhoz való csatlakozások s</w:t>
      </w:r>
      <w:r>
        <w:rPr>
          <w:noProof/>
        </w:rPr>
        <w:t>záma.”</w:t>
      </w:r>
    </w:p>
    <w:p w:rsidR="008949F5" w:rsidRDefault="004A11FE">
      <w:pPr>
        <w:rPr>
          <w:noProof/>
          <w:szCs w:val="24"/>
        </w:rPr>
      </w:pPr>
      <w:r>
        <w:rPr>
          <w:noProof/>
        </w:rPr>
        <w:t xml:space="preserve">6. A melléklet az alábbi szakasszal egészül ki: </w:t>
      </w:r>
    </w:p>
    <w:p w:rsidR="008949F5" w:rsidRDefault="004A11FE">
      <w:pPr>
        <w:jc w:val="center"/>
        <w:rPr>
          <w:noProof/>
          <w:szCs w:val="24"/>
        </w:rPr>
      </w:pPr>
      <w:r>
        <w:rPr>
          <w:noProof/>
        </w:rPr>
        <w:t>„4. SZAKASZ: VEZETÉK NÉLKÜLI INTERNETKAPCSOLAT A HELYI KÖZÖSSÉGEKBEN</w:t>
      </w:r>
    </w:p>
    <w:p w:rsidR="008949F5" w:rsidRDefault="004A11FE">
      <w:pPr>
        <w:rPr>
          <w:noProof/>
          <w:szCs w:val="24"/>
        </w:rPr>
      </w:pPr>
      <w:r>
        <w:rPr>
          <w:noProof/>
        </w:rPr>
        <w:t>A helyi közélet központjaiban – ezen belül a helyi közösségek közéletében jelentős szerepet játszó, a nyilvánosság számára nyitva á</w:t>
      </w:r>
      <w:r>
        <w:rPr>
          <w:noProof/>
        </w:rPr>
        <w:t xml:space="preserve">lló szabadtéri helyeken – ingyenes helyi vezeték nélküli internetkapcsolat biztosítására irányuló intézkedések pénzügyi támogatásra jogosultak. </w:t>
      </w:r>
    </w:p>
    <w:p w:rsidR="008949F5" w:rsidRDefault="004A11FE">
      <w:pPr>
        <w:rPr>
          <w:noProof/>
          <w:szCs w:val="24"/>
        </w:rPr>
      </w:pPr>
      <w:r>
        <w:rPr>
          <w:noProof/>
        </w:rPr>
        <w:t>A pénzügyi támogatás az olyan közfeladatot ellátó szervezeteknek, például helyi hatóságoknak és közszolgáltatás</w:t>
      </w:r>
      <w:r>
        <w:rPr>
          <w:noProof/>
        </w:rPr>
        <w:t>t nyújtóknak áll rendelkezésre, amelyek helyi vezeték nélküli hozzáférési pontok kiépítésével ingyenes helyi vezeték nélküli kapcsolatot kívánnak biztosítani.</w:t>
      </w:r>
    </w:p>
    <w:p w:rsidR="008949F5" w:rsidRDefault="004A11FE">
      <w:pPr>
        <w:rPr>
          <w:noProof/>
          <w:szCs w:val="24"/>
        </w:rPr>
      </w:pPr>
      <w:r>
        <w:rPr>
          <w:noProof/>
        </w:rPr>
        <w:t>Az ingyenesen elérhető helyi vezeték nélküli hozzáférési pontokon vezeték nélküli internetkapcsol</w:t>
      </w:r>
      <w:r>
        <w:rPr>
          <w:noProof/>
        </w:rPr>
        <w:t>at nyújtására irányuló projekt támogatásban részesülhet, ha</w:t>
      </w:r>
    </w:p>
    <w:p w:rsidR="008949F5" w:rsidRDefault="004A11FE">
      <w:pPr>
        <w:pStyle w:val="ManualNumPar1"/>
        <w:rPr>
          <w:noProof/>
        </w:rPr>
      </w:pPr>
      <w:r>
        <w:rPr>
          <w:noProof/>
        </w:rPr>
        <w:t>1.</w:t>
      </w:r>
      <w:r>
        <w:rPr>
          <w:noProof/>
        </w:rPr>
        <w:tab/>
        <w:t>azt olyan közfeladatot ellátó szerv valósítja meg, amely alkalmas a közösségi terekben a beltéri vagy kültéri helyi vezeték nélküli hozzáférési pontok kiépítésének megtervezésére és felügyeleté</w:t>
      </w:r>
      <w:r>
        <w:rPr>
          <w:noProof/>
        </w:rPr>
        <w:t>re;</w:t>
      </w:r>
    </w:p>
    <w:p w:rsidR="008949F5" w:rsidRDefault="004A11FE">
      <w:pPr>
        <w:pStyle w:val="ManualNumPar1"/>
        <w:rPr>
          <w:noProof/>
          <w:szCs w:val="24"/>
        </w:rPr>
      </w:pPr>
      <w:r>
        <w:rPr>
          <w:noProof/>
        </w:rPr>
        <w:t>2.</w:t>
      </w:r>
      <w:r>
        <w:rPr>
          <w:noProof/>
        </w:rPr>
        <w:tab/>
        <w:t xml:space="preserve">nagyon nagy sebességű, magas színvonalú internetes felhasználói élményt lehetővé tevő széles sávú kapcsolatra épül, amely </w:t>
      </w:r>
    </w:p>
    <w:p w:rsidR="008949F5" w:rsidRDefault="004A11FE">
      <w:pPr>
        <w:pStyle w:val="ManualNumPar4"/>
        <w:ind w:left="1560" w:hanging="720"/>
        <w:rPr>
          <w:noProof/>
        </w:rPr>
      </w:pPr>
      <w:r>
        <w:rPr>
          <w:noProof/>
        </w:rPr>
        <w:t>a)</w:t>
      </w:r>
      <w:r>
        <w:rPr>
          <w:noProof/>
        </w:rPr>
        <w:tab/>
        <w:t xml:space="preserve">ingyenes, könnyen hozzáférhető és a legkorszerűbb berendezéseket alkalmazza, valamint </w:t>
      </w:r>
    </w:p>
    <w:p w:rsidR="008949F5" w:rsidRDefault="004A11FE">
      <w:pPr>
        <w:pStyle w:val="ManualNumPar4"/>
        <w:ind w:left="1560" w:hanging="720"/>
        <w:rPr>
          <w:noProof/>
          <w:szCs w:val="24"/>
        </w:rPr>
      </w:pPr>
      <w:r>
        <w:rPr>
          <w:noProof/>
        </w:rPr>
        <w:t>b)</w:t>
      </w:r>
      <w:r>
        <w:rPr>
          <w:noProof/>
        </w:rPr>
        <w:tab/>
        <w:t>támogatja az olyan innovatív digi</w:t>
      </w:r>
      <w:r>
        <w:rPr>
          <w:noProof/>
        </w:rPr>
        <w:t>tális szolgáltatásokhoz való hozzáférést, mint a digitális szolgáltatási infrastruktúrákon keresztül kínált innovatív digitális szolgáltatások;</w:t>
      </w:r>
    </w:p>
    <w:p w:rsidR="008949F5" w:rsidRDefault="004A11FE">
      <w:pPr>
        <w:pStyle w:val="ManualNumPar1"/>
        <w:rPr>
          <w:noProof/>
        </w:rPr>
      </w:pPr>
      <w:r>
        <w:rPr>
          <w:noProof/>
        </w:rPr>
        <w:t>3.</w:t>
      </w:r>
      <w:r>
        <w:rPr>
          <w:noProof/>
        </w:rPr>
        <w:tab/>
        <w:t>a Bizottság által meghatározandó közös képi azonosítót és a kapcsolódó online eszközökre mutató linket haszná</w:t>
      </w:r>
      <w:r>
        <w:rPr>
          <w:noProof/>
        </w:rPr>
        <w:t>l.</w:t>
      </w:r>
    </w:p>
    <w:p w:rsidR="008949F5" w:rsidRDefault="004A11FE">
      <w:pPr>
        <w:rPr>
          <w:noProof/>
          <w:szCs w:val="24"/>
        </w:rPr>
      </w:pPr>
      <w:r>
        <w:rPr>
          <w:noProof/>
        </w:rPr>
        <w:t>Az ugyanazon a területen a minőséget is beleértve hasonló jellemzőkkel rendelkező, már létező magán- vagy állami ajánlatokat pusztán megkettőző projektek nem részesülhetnek támogatásban.</w:t>
      </w:r>
    </w:p>
    <w:p w:rsidR="008949F5" w:rsidRDefault="004A11FE">
      <w:pPr>
        <w:rPr>
          <w:noProof/>
          <w:szCs w:val="24"/>
        </w:rPr>
      </w:pPr>
      <w:r>
        <w:rPr>
          <w:noProof/>
        </w:rPr>
        <w:t>A rendelkezésre álló költségvetési keretet földrajzilag kiegyensúl</w:t>
      </w:r>
      <w:r>
        <w:rPr>
          <w:noProof/>
        </w:rPr>
        <w:t>yozott módon kell elosztani a beérkezett ajánlatok alapján a fenti feltételeknek megfelelő projektek között, főszabály érkezési sorrendben.”</w:t>
      </w:r>
    </w:p>
    <w:p w:rsidR="008949F5" w:rsidRDefault="004A11FE">
      <w:pPr>
        <w:keepNext/>
        <w:spacing w:before="360"/>
        <w:jc w:val="center"/>
        <w:rPr>
          <w:i/>
          <w:noProof/>
        </w:rPr>
      </w:pPr>
      <w:r>
        <w:rPr>
          <w:i/>
          <w:noProof/>
        </w:rPr>
        <w:t>3. cikk</w:t>
      </w:r>
    </w:p>
    <w:p w:rsidR="008949F5" w:rsidRDefault="004A11FE">
      <w:pPr>
        <w:keepNext/>
        <w:spacing w:before="360"/>
        <w:jc w:val="center"/>
        <w:rPr>
          <w:i/>
          <w:noProof/>
        </w:rPr>
      </w:pPr>
      <w:r>
        <w:rPr>
          <w:b/>
          <w:noProof/>
        </w:rPr>
        <w:t>Hatálybalépés</w:t>
      </w:r>
    </w:p>
    <w:p w:rsidR="008949F5" w:rsidRDefault="004A11FE">
      <w:pPr>
        <w:rPr>
          <w:noProof/>
          <w:szCs w:val="24"/>
        </w:rPr>
      </w:pPr>
      <w:r>
        <w:rPr>
          <w:noProof/>
        </w:rPr>
        <w:t xml:space="preserve">Ez a rendelet az </w:t>
      </w:r>
      <w:r>
        <w:rPr>
          <w:i/>
          <w:noProof/>
        </w:rPr>
        <w:t>Európai Unió Hivatalos Lapjában</w:t>
      </w:r>
      <w:r>
        <w:rPr>
          <w:noProof/>
        </w:rPr>
        <w:t xml:space="preserve"> való kihirdetését követő huszadik napon lép hatályba.</w:t>
      </w:r>
    </w:p>
    <w:p w:rsidR="008949F5" w:rsidRDefault="008949F5">
      <w:pPr>
        <w:rPr>
          <w:noProof/>
          <w:szCs w:val="24"/>
        </w:rPr>
      </w:pPr>
    </w:p>
    <w:p w:rsidR="008949F5" w:rsidRDefault="004A11FE">
      <w:pPr>
        <w:pStyle w:val="Applicationdirecte"/>
        <w:rPr>
          <w:noProof/>
        </w:rPr>
      </w:pPr>
      <w:r>
        <w:rPr>
          <w:noProof/>
        </w:rPr>
        <w:t>Ez a rendelet teljes egészében kötelező és közvetlenül alkalmazandó valamennyi tagállamban.</w:t>
      </w:r>
    </w:p>
    <w:p w:rsidR="008949F5" w:rsidRDefault="004A11FE" w:rsidP="004A11FE">
      <w:pPr>
        <w:pStyle w:val="Fait"/>
        <w:rPr>
          <w:noProof/>
        </w:rPr>
      </w:pPr>
      <w:r w:rsidRPr="004A11FE">
        <w:t xml:space="preserve">Kelt Brüsszelben, </w:t>
      </w:r>
      <w:proofErr w:type="spellStart"/>
      <w:r w:rsidRPr="004A11FE">
        <w:t>-án</w:t>
      </w:r>
      <w:proofErr w:type="spellEnd"/>
      <w:r w:rsidRPr="004A11FE">
        <w:t>/</w:t>
      </w:r>
      <w:proofErr w:type="spellStart"/>
      <w:r w:rsidRPr="004A11FE">
        <w:t>-én</w:t>
      </w:r>
      <w:proofErr w:type="spellEnd"/>
      <w:r w:rsidRPr="004A11FE">
        <w:t>.</w:t>
      </w:r>
    </w:p>
    <w:p w:rsidR="008949F5" w:rsidRDefault="004A11FE">
      <w:pPr>
        <w:pStyle w:val="Institutionquisigne"/>
        <w:rPr>
          <w:noProof/>
        </w:rPr>
      </w:pPr>
      <w:r>
        <w:rPr>
          <w:noProof/>
        </w:rPr>
        <w:t>az Európai Parlament részéről</w:t>
      </w:r>
      <w:r>
        <w:rPr>
          <w:noProof/>
        </w:rPr>
        <w:tab/>
        <w:t>a Tanács részéről</w:t>
      </w:r>
    </w:p>
    <w:p w:rsidR="008949F5" w:rsidRDefault="004A11FE">
      <w:pPr>
        <w:pStyle w:val="Personnequisigne"/>
        <w:rPr>
          <w:noProof/>
        </w:rPr>
      </w:pPr>
      <w:r>
        <w:rPr>
          <w:noProof/>
        </w:rPr>
        <w:t>az elnök</w:t>
      </w:r>
      <w:r>
        <w:rPr>
          <w:noProof/>
        </w:rPr>
        <w:tab/>
        <w:t>az elnök</w:t>
      </w:r>
    </w:p>
    <w:p w:rsidR="008949F5" w:rsidRDefault="008949F5">
      <w:pPr>
        <w:pStyle w:val="Institutionquisigne"/>
        <w:rPr>
          <w:rStyle w:val="CommentReference"/>
          <w:noProof/>
        </w:rPr>
        <w:sectPr w:rsidR="008949F5" w:rsidSect="004A11FE">
          <w:pgSz w:w="11907" w:h="16840" w:code="9"/>
          <w:pgMar w:top="1134" w:right="1418" w:bottom="1134" w:left="1418" w:header="709" w:footer="709" w:gutter="0"/>
          <w:cols w:space="708"/>
          <w:docGrid w:linePitch="360"/>
        </w:sectPr>
      </w:pPr>
    </w:p>
    <w:p w:rsidR="008949F5" w:rsidRDefault="004A11FE">
      <w:pPr>
        <w:pStyle w:val="Fichefinanciretitre"/>
        <w:rPr>
          <w:noProof/>
        </w:rPr>
      </w:pPr>
      <w:r>
        <w:rPr>
          <w:noProof/>
        </w:rPr>
        <w:t>MELLÉKLET</w:t>
      </w:r>
      <w:r>
        <w:rPr>
          <w:noProof/>
        </w:rPr>
        <w:br/>
      </w:r>
      <w:r>
        <w:rPr>
          <w:noProof/>
        </w:rPr>
        <w:br/>
        <w:t>Pénzügyi kimutatás</w:t>
      </w:r>
      <w:r>
        <w:rPr>
          <w:noProof/>
        </w:rPr>
        <w:br/>
      </w:r>
      <w:r>
        <w:rPr>
          <w:noProof/>
        </w:rPr>
        <w:br/>
        <w:t>Javaslat: Rendelet az 1316/2013/EU és a 283/2014/EU rendeletnek az internetkapcsolat helyi közösségekben történő előmozdítása tekintetében történő módosításáról</w:t>
      </w:r>
    </w:p>
    <w:p w:rsidR="008949F5" w:rsidRDefault="004A11FE">
      <w:pPr>
        <w:pStyle w:val="ManualHeading1"/>
        <w:rPr>
          <w:noProof/>
        </w:rPr>
      </w:pPr>
      <w:r>
        <w:rPr>
          <w:noProof/>
        </w:rPr>
        <w:t>1.</w:t>
      </w:r>
      <w:r>
        <w:rPr>
          <w:noProof/>
        </w:rPr>
        <w:tab/>
        <w:t>A JAVASLAT/KEZDEMÉNYEZÉS FŐBB ADATAI</w:t>
      </w:r>
      <w:r>
        <w:rPr>
          <w:noProof/>
        </w:rPr>
        <w:t xml:space="preserve"> </w:t>
      </w:r>
    </w:p>
    <w:p w:rsidR="008949F5" w:rsidRDefault="004A11FE">
      <w:pPr>
        <w:pStyle w:val="ManualHeading2"/>
        <w:rPr>
          <w:b w:val="0"/>
          <w:noProof/>
        </w:rPr>
      </w:pPr>
      <w:r>
        <w:rPr>
          <w:noProof/>
        </w:rPr>
        <w:tab/>
      </w:r>
      <w:r>
        <w:rPr>
          <w:b w:val="0"/>
          <w:noProof/>
        </w:rPr>
        <w:t>1.1.</w:t>
      </w:r>
      <w:r>
        <w:rPr>
          <w:noProof/>
        </w:rPr>
        <w:tab/>
      </w:r>
      <w:r>
        <w:rPr>
          <w:b w:val="0"/>
          <w:noProof/>
        </w:rPr>
        <w:t xml:space="preserve">A javaslat/kezdeményezés címe </w:t>
      </w:r>
    </w:p>
    <w:p w:rsidR="008949F5" w:rsidRDefault="004A11FE">
      <w:pPr>
        <w:pStyle w:val="ManualHeading2"/>
        <w:rPr>
          <w:b w:val="0"/>
          <w:noProof/>
        </w:rPr>
      </w:pPr>
      <w:r>
        <w:rPr>
          <w:noProof/>
        </w:rPr>
        <w:tab/>
      </w:r>
      <w:r>
        <w:rPr>
          <w:b w:val="0"/>
          <w:noProof/>
        </w:rPr>
        <w:t>1.2.</w:t>
      </w:r>
      <w:r>
        <w:rPr>
          <w:noProof/>
        </w:rPr>
        <w:tab/>
      </w:r>
      <w:r>
        <w:rPr>
          <w:b w:val="0"/>
          <w:noProof/>
        </w:rPr>
        <w:t>A tevékenységalapú irányítás / tevékenységalapú költségvetés-tervezés keretébe tartozó érintett szakpolitikai terület(ek)</w:t>
      </w:r>
    </w:p>
    <w:p w:rsidR="008949F5" w:rsidRDefault="004A11FE">
      <w:pPr>
        <w:pStyle w:val="ManualHeading2"/>
        <w:rPr>
          <w:b w:val="0"/>
          <w:noProof/>
        </w:rPr>
      </w:pPr>
      <w:r>
        <w:rPr>
          <w:noProof/>
        </w:rPr>
        <w:tab/>
      </w:r>
      <w:r>
        <w:rPr>
          <w:b w:val="0"/>
          <w:noProof/>
        </w:rPr>
        <w:t>1.3.</w:t>
      </w:r>
      <w:r>
        <w:rPr>
          <w:noProof/>
        </w:rPr>
        <w:tab/>
      </w:r>
      <w:r>
        <w:rPr>
          <w:b w:val="0"/>
          <w:noProof/>
        </w:rPr>
        <w:t xml:space="preserve">A javaslat/kezdeményezés típusa </w:t>
      </w:r>
    </w:p>
    <w:p w:rsidR="008949F5" w:rsidRDefault="004A11FE">
      <w:pPr>
        <w:pStyle w:val="ManualHeading2"/>
        <w:rPr>
          <w:b w:val="0"/>
          <w:noProof/>
        </w:rPr>
      </w:pPr>
      <w:r>
        <w:rPr>
          <w:noProof/>
        </w:rPr>
        <w:tab/>
      </w:r>
      <w:r>
        <w:rPr>
          <w:b w:val="0"/>
          <w:noProof/>
        </w:rPr>
        <w:t>1.4.</w:t>
      </w:r>
      <w:r>
        <w:rPr>
          <w:noProof/>
        </w:rPr>
        <w:tab/>
      </w:r>
      <w:r>
        <w:rPr>
          <w:b w:val="0"/>
          <w:noProof/>
        </w:rPr>
        <w:t xml:space="preserve">Célkitűzés(ek) </w:t>
      </w:r>
    </w:p>
    <w:p w:rsidR="008949F5" w:rsidRDefault="004A11FE">
      <w:pPr>
        <w:pStyle w:val="ManualHeading2"/>
        <w:rPr>
          <w:b w:val="0"/>
          <w:noProof/>
        </w:rPr>
      </w:pPr>
      <w:r>
        <w:rPr>
          <w:noProof/>
        </w:rPr>
        <w:tab/>
      </w:r>
      <w:r>
        <w:rPr>
          <w:b w:val="0"/>
          <w:noProof/>
        </w:rPr>
        <w:t>1.5.</w:t>
      </w:r>
      <w:r>
        <w:rPr>
          <w:noProof/>
        </w:rPr>
        <w:tab/>
      </w:r>
      <w:r>
        <w:rPr>
          <w:b w:val="0"/>
          <w:noProof/>
        </w:rPr>
        <w:t>A javaslat/kezdeményez</w:t>
      </w:r>
      <w:r>
        <w:rPr>
          <w:b w:val="0"/>
          <w:noProof/>
        </w:rPr>
        <w:t xml:space="preserve">és indoklása </w:t>
      </w:r>
    </w:p>
    <w:p w:rsidR="008949F5" w:rsidRDefault="004A11FE">
      <w:pPr>
        <w:pStyle w:val="ManualHeading2"/>
        <w:rPr>
          <w:b w:val="0"/>
          <w:noProof/>
        </w:rPr>
      </w:pPr>
      <w:r>
        <w:rPr>
          <w:noProof/>
        </w:rPr>
        <w:tab/>
      </w:r>
      <w:r>
        <w:rPr>
          <w:b w:val="0"/>
          <w:noProof/>
        </w:rPr>
        <w:t>1.6.</w:t>
      </w:r>
      <w:r>
        <w:rPr>
          <w:noProof/>
        </w:rPr>
        <w:tab/>
      </w:r>
      <w:r>
        <w:rPr>
          <w:b w:val="0"/>
          <w:noProof/>
        </w:rPr>
        <w:t xml:space="preserve">Az intézkedés és a pénzügyi hatás időtartama </w:t>
      </w:r>
    </w:p>
    <w:p w:rsidR="008949F5" w:rsidRDefault="004A11FE">
      <w:pPr>
        <w:pStyle w:val="ManualHeading2"/>
        <w:rPr>
          <w:b w:val="0"/>
          <w:noProof/>
        </w:rPr>
      </w:pPr>
      <w:r>
        <w:rPr>
          <w:noProof/>
        </w:rPr>
        <w:tab/>
      </w:r>
      <w:r>
        <w:rPr>
          <w:b w:val="0"/>
          <w:noProof/>
        </w:rPr>
        <w:t>1.7.</w:t>
      </w:r>
      <w:r>
        <w:rPr>
          <w:noProof/>
        </w:rPr>
        <w:tab/>
      </w:r>
      <w:r>
        <w:rPr>
          <w:b w:val="0"/>
          <w:noProof/>
        </w:rPr>
        <w:t xml:space="preserve">Tervezett irányítási módszer(ek) </w:t>
      </w:r>
    </w:p>
    <w:p w:rsidR="008949F5" w:rsidRDefault="004A11FE">
      <w:pPr>
        <w:pStyle w:val="ManualHeading1"/>
        <w:rPr>
          <w:noProof/>
        </w:rPr>
      </w:pPr>
      <w:r>
        <w:rPr>
          <w:noProof/>
        </w:rPr>
        <w:t>2.</w:t>
      </w:r>
      <w:r>
        <w:rPr>
          <w:noProof/>
        </w:rPr>
        <w:tab/>
        <w:t xml:space="preserve">IRÁNYÍTÁSI INTÉZKEDÉSEK </w:t>
      </w:r>
    </w:p>
    <w:p w:rsidR="008949F5" w:rsidRDefault="004A11FE">
      <w:pPr>
        <w:pStyle w:val="ManualHeading2"/>
        <w:rPr>
          <w:b w:val="0"/>
          <w:noProof/>
        </w:rPr>
      </w:pPr>
      <w:r>
        <w:rPr>
          <w:noProof/>
        </w:rPr>
        <w:tab/>
      </w:r>
      <w:r>
        <w:rPr>
          <w:b w:val="0"/>
          <w:noProof/>
        </w:rPr>
        <w:t>2.1.</w:t>
      </w:r>
      <w:r>
        <w:rPr>
          <w:noProof/>
        </w:rPr>
        <w:tab/>
      </w:r>
      <w:r>
        <w:rPr>
          <w:b w:val="0"/>
          <w:noProof/>
        </w:rPr>
        <w:t xml:space="preserve">A nyomon követésre és a jelentéstételre vonatkozó rendelkezések </w:t>
      </w:r>
    </w:p>
    <w:p w:rsidR="008949F5" w:rsidRDefault="004A11FE">
      <w:pPr>
        <w:pStyle w:val="ManualHeading2"/>
        <w:rPr>
          <w:b w:val="0"/>
          <w:noProof/>
        </w:rPr>
      </w:pPr>
      <w:r>
        <w:rPr>
          <w:noProof/>
        </w:rPr>
        <w:tab/>
      </w:r>
      <w:r>
        <w:rPr>
          <w:b w:val="0"/>
          <w:noProof/>
        </w:rPr>
        <w:t>2.2.</w:t>
      </w:r>
      <w:r>
        <w:rPr>
          <w:noProof/>
        </w:rPr>
        <w:tab/>
      </w:r>
      <w:r>
        <w:rPr>
          <w:b w:val="0"/>
          <w:noProof/>
        </w:rPr>
        <w:t xml:space="preserve">Irányítási és kontrollrendszer </w:t>
      </w:r>
    </w:p>
    <w:p w:rsidR="008949F5" w:rsidRDefault="004A11FE">
      <w:pPr>
        <w:pStyle w:val="ManualHeading2"/>
        <w:rPr>
          <w:b w:val="0"/>
          <w:noProof/>
        </w:rPr>
      </w:pPr>
      <w:r>
        <w:rPr>
          <w:noProof/>
        </w:rPr>
        <w:tab/>
      </w:r>
      <w:r>
        <w:rPr>
          <w:b w:val="0"/>
          <w:noProof/>
        </w:rPr>
        <w:t>2.3.</w:t>
      </w:r>
      <w:r>
        <w:rPr>
          <w:noProof/>
        </w:rPr>
        <w:tab/>
      </w:r>
      <w:r>
        <w:rPr>
          <w:b w:val="0"/>
          <w:noProof/>
        </w:rPr>
        <w:t>A csalá</w:t>
      </w:r>
      <w:r>
        <w:rPr>
          <w:b w:val="0"/>
          <w:noProof/>
        </w:rPr>
        <w:t xml:space="preserve">sok és a szabálytalanságok megelőzésére vonatkozó intézkedések </w:t>
      </w:r>
    </w:p>
    <w:p w:rsidR="008949F5" w:rsidRDefault="004A11FE">
      <w:pPr>
        <w:pStyle w:val="ManualHeading1"/>
        <w:rPr>
          <w:noProof/>
        </w:rPr>
      </w:pPr>
      <w:r>
        <w:rPr>
          <w:noProof/>
        </w:rPr>
        <w:t>3.</w:t>
      </w:r>
      <w:r>
        <w:rPr>
          <w:noProof/>
        </w:rPr>
        <w:tab/>
        <w:t xml:space="preserve">A JAVASLAT/KEZDEMÉNYEZÉS BECSÜLT PÉNZÜGYI HATÁSA </w:t>
      </w:r>
    </w:p>
    <w:p w:rsidR="008949F5" w:rsidRDefault="004A11FE">
      <w:pPr>
        <w:pStyle w:val="ManualHeading2"/>
        <w:rPr>
          <w:b w:val="0"/>
          <w:noProof/>
        </w:rPr>
      </w:pPr>
      <w:r>
        <w:rPr>
          <w:noProof/>
        </w:rPr>
        <w:tab/>
      </w:r>
      <w:r>
        <w:rPr>
          <w:b w:val="0"/>
          <w:noProof/>
        </w:rPr>
        <w:t>3.1.</w:t>
      </w:r>
      <w:r>
        <w:rPr>
          <w:noProof/>
        </w:rPr>
        <w:tab/>
      </w:r>
      <w:r>
        <w:rPr>
          <w:b w:val="0"/>
          <w:noProof/>
        </w:rPr>
        <w:t xml:space="preserve">A többéves pénzügyi keret mely fejezetét/fejezeteit és a költségvetés mely kiadási tételét/tételeit érintik a kiadások? </w:t>
      </w:r>
    </w:p>
    <w:p w:rsidR="008949F5" w:rsidRDefault="004A11FE">
      <w:pPr>
        <w:pStyle w:val="ManualHeading2"/>
        <w:rPr>
          <w:noProof/>
        </w:rPr>
      </w:pPr>
      <w:r>
        <w:rPr>
          <w:noProof/>
        </w:rPr>
        <w:tab/>
      </w:r>
      <w:r>
        <w:rPr>
          <w:b w:val="0"/>
          <w:noProof/>
        </w:rPr>
        <w:t>3.2.</w:t>
      </w:r>
      <w:r>
        <w:rPr>
          <w:noProof/>
        </w:rPr>
        <w:tab/>
      </w:r>
      <w:r>
        <w:rPr>
          <w:b w:val="0"/>
          <w:noProof/>
        </w:rPr>
        <w:t xml:space="preserve">A </w:t>
      </w:r>
      <w:r>
        <w:rPr>
          <w:b w:val="0"/>
          <w:noProof/>
        </w:rPr>
        <w:t>kiadásokra gyakorolt becsült hatás</w:t>
      </w:r>
      <w:r>
        <w:rPr>
          <w:noProof/>
        </w:rPr>
        <w:t xml:space="preserve"> </w:t>
      </w:r>
    </w:p>
    <w:p w:rsidR="008949F5" w:rsidRDefault="004A11FE">
      <w:pPr>
        <w:pStyle w:val="ManualHeading3"/>
        <w:rPr>
          <w:noProof/>
        </w:rPr>
      </w:pPr>
      <w:r>
        <w:rPr>
          <w:noProof/>
        </w:rPr>
        <w:tab/>
        <w:t>3.2.1.</w:t>
      </w:r>
      <w:r>
        <w:rPr>
          <w:noProof/>
        </w:rPr>
        <w:tab/>
        <w:t xml:space="preserve">A kiadásokra gyakorolt becsült hatás összegzése </w:t>
      </w:r>
    </w:p>
    <w:p w:rsidR="008949F5" w:rsidRDefault="004A11FE">
      <w:pPr>
        <w:pStyle w:val="ManualHeading3"/>
        <w:rPr>
          <w:noProof/>
        </w:rPr>
      </w:pPr>
      <w:r>
        <w:rPr>
          <w:noProof/>
        </w:rPr>
        <w:tab/>
        <w:t>3.2.2.</w:t>
      </w:r>
      <w:r>
        <w:rPr>
          <w:noProof/>
        </w:rPr>
        <w:tab/>
        <w:t xml:space="preserve">Az operatív előirányzatokra gyakorolt becsült hatás </w:t>
      </w:r>
    </w:p>
    <w:p w:rsidR="008949F5" w:rsidRDefault="004A11FE">
      <w:pPr>
        <w:pStyle w:val="ManualHeading3"/>
        <w:rPr>
          <w:noProof/>
        </w:rPr>
      </w:pPr>
      <w:r>
        <w:rPr>
          <w:noProof/>
        </w:rPr>
        <w:tab/>
        <w:t>3.2.3.</w:t>
      </w:r>
      <w:r>
        <w:rPr>
          <w:noProof/>
        </w:rPr>
        <w:tab/>
        <w:t>Az igazgatási előirányzatokra gyakorolt becsült hatás</w:t>
      </w:r>
    </w:p>
    <w:p w:rsidR="008949F5" w:rsidRDefault="004A11FE">
      <w:pPr>
        <w:pStyle w:val="ManualHeading3"/>
        <w:rPr>
          <w:noProof/>
        </w:rPr>
      </w:pPr>
      <w:r>
        <w:rPr>
          <w:noProof/>
        </w:rPr>
        <w:tab/>
        <w:t>3.2.4.</w:t>
      </w:r>
      <w:r>
        <w:rPr>
          <w:noProof/>
        </w:rPr>
        <w:tab/>
        <w:t xml:space="preserve">A jelenlegi többéves pénzügyi </w:t>
      </w:r>
      <w:r>
        <w:rPr>
          <w:noProof/>
        </w:rPr>
        <w:t>kerettel való összeegyeztethetőség</w:t>
      </w:r>
    </w:p>
    <w:p w:rsidR="008949F5" w:rsidRDefault="004A11FE">
      <w:pPr>
        <w:pStyle w:val="ManualHeading3"/>
        <w:rPr>
          <w:noProof/>
        </w:rPr>
      </w:pPr>
      <w:r>
        <w:rPr>
          <w:noProof/>
        </w:rPr>
        <w:tab/>
        <w:t>3.2.5.</w:t>
      </w:r>
      <w:r>
        <w:rPr>
          <w:noProof/>
        </w:rPr>
        <w:tab/>
        <w:t xml:space="preserve">Harmadik felek részvétele a finanszírozásban </w:t>
      </w:r>
    </w:p>
    <w:p w:rsidR="008949F5" w:rsidRDefault="004A11FE">
      <w:pPr>
        <w:pStyle w:val="ManualHeading2"/>
        <w:jc w:val="left"/>
        <w:rPr>
          <w:b w:val="0"/>
          <w:noProof/>
        </w:rPr>
        <w:sectPr w:rsidR="008949F5" w:rsidSect="004A11FE">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A bevételre gyakorolt becsült hatás</w:t>
      </w:r>
    </w:p>
    <w:p w:rsidR="008949F5" w:rsidRDefault="004A11FE">
      <w:pPr>
        <w:jc w:val="center"/>
        <w:rPr>
          <w:b/>
          <w:noProof/>
          <w:u w:val="single"/>
        </w:rPr>
      </w:pPr>
      <w:r>
        <w:rPr>
          <w:b/>
          <w:noProof/>
          <w:u w:val="single"/>
        </w:rPr>
        <w:t>PÉNZÜGYI KIMUTATÁS</w:t>
      </w:r>
    </w:p>
    <w:p w:rsidR="008949F5" w:rsidRDefault="004A11FE">
      <w:pPr>
        <w:pStyle w:val="ManualHeading1"/>
        <w:rPr>
          <w:noProof/>
        </w:rPr>
      </w:pPr>
      <w:r>
        <w:t>1.</w:t>
      </w:r>
      <w:r>
        <w:tab/>
      </w:r>
      <w:r>
        <w:rPr>
          <w:noProof/>
        </w:rPr>
        <w:t xml:space="preserve">A JAVASLAT/KEZDEMÉNYEZÉS FŐBB ADATAI </w:t>
      </w:r>
    </w:p>
    <w:p w:rsidR="008949F5" w:rsidRDefault="004A11FE">
      <w:pPr>
        <w:pStyle w:val="ManualHeading2"/>
        <w:rPr>
          <w:noProof/>
        </w:rPr>
      </w:pPr>
      <w:r>
        <w:t>1.1.</w:t>
      </w:r>
      <w:r>
        <w:tab/>
      </w:r>
      <w:r>
        <w:rPr>
          <w:noProof/>
        </w:rPr>
        <w:t xml:space="preserve">A javaslat/kezdeményezés címe </w:t>
      </w:r>
    </w:p>
    <w:p w:rsidR="008949F5" w:rsidRDefault="004A11FE">
      <w:pPr>
        <w:pStyle w:val="Text1"/>
        <w:pBdr>
          <w:top w:val="single" w:sz="4" w:space="1" w:color="auto"/>
          <w:left w:val="single" w:sz="4" w:space="4" w:color="auto"/>
          <w:bottom w:val="single" w:sz="4" w:space="1" w:color="auto"/>
          <w:right w:val="single" w:sz="4" w:space="4" w:color="auto"/>
        </w:pBdr>
        <w:jc w:val="left"/>
        <w:rPr>
          <w:noProof/>
        </w:rPr>
      </w:pPr>
      <w:r>
        <w:rPr>
          <w:noProof/>
        </w:rPr>
        <w:t>Javasl</w:t>
      </w:r>
      <w:r>
        <w:rPr>
          <w:noProof/>
        </w:rPr>
        <w:t>at: Rendelet az 1316/2013/EU és a 283/2014/EU rendeletnek az internetkapcsolat helyi közösségekben történő előmozdítása tekintetében történő módosításáról</w:t>
      </w:r>
    </w:p>
    <w:p w:rsidR="008949F5" w:rsidRDefault="004A11FE">
      <w:pPr>
        <w:pStyle w:val="ManualHeading2"/>
        <w:rPr>
          <w:noProof/>
          <w:szCs w:val="24"/>
        </w:rPr>
      </w:pPr>
      <w:r>
        <w:t>1.2.</w:t>
      </w:r>
      <w:r>
        <w:tab/>
      </w:r>
      <w:r>
        <w:rPr>
          <w:noProof/>
        </w:rPr>
        <w:t xml:space="preserve">A tevékenységalapú irányítás / tevékenységalapú költségvetés-tervezés keretébe tartozó érintett </w:t>
      </w:r>
      <w:r>
        <w:rPr>
          <w:noProof/>
        </w:rPr>
        <w:t>szakpolitikai terület(ek)</w:t>
      </w:r>
      <w:r>
        <w:rPr>
          <w:rStyle w:val="FootnoteReference"/>
          <w:noProof/>
        </w:rPr>
        <w:footnoteReference w:id="17"/>
      </w:r>
      <w:r>
        <w:rPr>
          <w:i/>
          <w:noProof/>
        </w:rPr>
        <w:t xml:space="preserve"> </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09. Hírközlési hálózatok, tartalmak és technológiák</w:t>
      </w:r>
    </w:p>
    <w:p w:rsidR="008949F5" w:rsidRDefault="004A11FE">
      <w:pPr>
        <w:pStyle w:val="ManualHeading2"/>
        <w:rPr>
          <w:bCs/>
          <w:noProof/>
          <w:szCs w:val="24"/>
        </w:rPr>
      </w:pPr>
      <w:r>
        <w:t>1.3.</w:t>
      </w:r>
      <w:r>
        <w:tab/>
      </w:r>
      <w:r>
        <w:rPr>
          <w:noProof/>
        </w:rPr>
        <w:t xml:space="preserve">A javaslat/kezdeményezés típusa </w:t>
      </w:r>
    </w:p>
    <w:p w:rsidR="008949F5" w:rsidRDefault="004A11FE">
      <w:pPr>
        <w:pStyle w:val="Text1"/>
        <w:rPr>
          <w:b/>
          <w:noProof/>
          <w:sz w:val="22"/>
        </w:rPr>
      </w:pPr>
      <w:r>
        <w:rPr>
          <w:noProof/>
        </w:rPr>
        <w:t xml:space="preserve">x A javaslat/kezdeményezés </w:t>
      </w:r>
      <w:r>
        <w:rPr>
          <w:b/>
          <w:noProof/>
        </w:rPr>
        <w:t>új intézkedésre</w:t>
      </w:r>
      <w:r>
        <w:rPr>
          <w:noProof/>
        </w:rPr>
        <w:t xml:space="preserve"> irányul</w:t>
      </w:r>
      <w:r>
        <w:rPr>
          <w:b/>
          <w:noProof/>
          <w:sz w:val="22"/>
        </w:rPr>
        <w:t xml:space="preserve"> </w:t>
      </w:r>
    </w:p>
    <w:p w:rsidR="008949F5" w:rsidRDefault="004A11FE">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 xml:space="preserve">kísérleti projektet / előkészítő intézkedést követő új </w:t>
      </w:r>
      <w:r>
        <w:rPr>
          <w:b/>
          <w:noProof/>
        </w:rPr>
        <w:t>intézkedésre</w:t>
      </w:r>
      <w:r>
        <w:rPr>
          <w:noProof/>
        </w:rPr>
        <w:t xml:space="preserve"> irányul</w:t>
      </w:r>
      <w:r>
        <w:rPr>
          <w:rStyle w:val="FootnoteReference"/>
          <w:noProof/>
        </w:rPr>
        <w:footnoteReference w:id="18"/>
      </w:r>
      <w:r>
        <w:rPr>
          <w:noProof/>
          <w:sz w:val="22"/>
        </w:rPr>
        <w:t xml:space="preserve"> </w:t>
      </w:r>
    </w:p>
    <w:p w:rsidR="008949F5" w:rsidRDefault="004A11FE">
      <w:pPr>
        <w:pStyle w:val="Text1"/>
        <w:rPr>
          <w:noProof/>
          <w:sz w:val="22"/>
        </w:rPr>
      </w:pPr>
      <w:r>
        <w:rPr>
          <w:noProof/>
          <w:sz w:val="22"/>
        </w:rPr>
        <w:sym w:font="Wingdings" w:char="F0A8"/>
      </w:r>
      <w:r>
        <w:rPr>
          <w:i/>
          <w:noProof/>
          <w:sz w:val="22"/>
        </w:rPr>
        <w:t xml:space="preserve"> </w:t>
      </w:r>
      <w:r>
        <w:rPr>
          <w:noProof/>
        </w:rPr>
        <w:t xml:space="preserve">A javaslat/kezdeményezés </w:t>
      </w:r>
      <w:r>
        <w:rPr>
          <w:b/>
          <w:noProof/>
        </w:rPr>
        <w:t>jelenlegi intézkedés meghosszabbítására</w:t>
      </w:r>
      <w:r>
        <w:rPr>
          <w:noProof/>
        </w:rPr>
        <w:t xml:space="preserve"> irányul</w:t>
      </w:r>
      <w:r>
        <w:rPr>
          <w:noProof/>
          <w:sz w:val="22"/>
        </w:rPr>
        <w:t xml:space="preserve"> </w:t>
      </w:r>
    </w:p>
    <w:p w:rsidR="008949F5" w:rsidRDefault="004A11FE">
      <w:pPr>
        <w:pStyle w:val="Text1"/>
        <w:rPr>
          <w:noProof/>
        </w:rPr>
      </w:pPr>
      <w:r>
        <w:rPr>
          <w:noProof/>
          <w:sz w:val="22"/>
        </w:rPr>
        <w:sym w:font="Wingdings" w:char="F0A8"/>
      </w:r>
      <w:r>
        <w:rPr>
          <w:i/>
          <w:noProof/>
          <w:sz w:val="22"/>
        </w:rPr>
        <w:t xml:space="preserve"> </w:t>
      </w:r>
      <w:r>
        <w:rPr>
          <w:noProof/>
        </w:rPr>
        <w:t xml:space="preserve">A javaslat/kezdeményezés </w:t>
      </w:r>
      <w:r>
        <w:rPr>
          <w:b/>
          <w:noProof/>
        </w:rPr>
        <w:t>új intézkedésnek megfelelően módosított intézkedésre</w:t>
      </w:r>
      <w:r>
        <w:rPr>
          <w:noProof/>
        </w:rPr>
        <w:t xml:space="preserve"> irányul </w:t>
      </w:r>
    </w:p>
    <w:p w:rsidR="008949F5" w:rsidRDefault="004A11FE">
      <w:pPr>
        <w:pStyle w:val="ManualHeading2"/>
        <w:rPr>
          <w:bCs/>
          <w:noProof/>
          <w:szCs w:val="24"/>
        </w:rPr>
      </w:pPr>
      <w:r>
        <w:t>1.4.</w:t>
      </w:r>
      <w:r>
        <w:tab/>
      </w:r>
      <w:r>
        <w:rPr>
          <w:noProof/>
        </w:rPr>
        <w:t>Célkitűzés(ek)</w:t>
      </w:r>
    </w:p>
    <w:p w:rsidR="008949F5" w:rsidRDefault="004A11FE">
      <w:pPr>
        <w:pStyle w:val="ManualHeading3"/>
        <w:rPr>
          <w:noProof/>
        </w:rPr>
      </w:pPr>
      <w:r>
        <w:t>1.4.1.</w:t>
      </w:r>
      <w:r>
        <w:tab/>
      </w:r>
      <w:r>
        <w:rPr>
          <w:noProof/>
        </w:rPr>
        <w:t>A javaslat/kezdeményezés által érintett t</w:t>
      </w:r>
      <w:r>
        <w:rPr>
          <w:noProof/>
        </w:rPr>
        <w:t xml:space="preserve">öbbéves bizottsági stratégiai célkitűzés(ek) </w:t>
      </w:r>
    </w:p>
    <w:p w:rsidR="008949F5" w:rsidRDefault="004A11FE">
      <w:pPr>
        <w:rPr>
          <w:noProof/>
          <w:szCs w:val="24"/>
        </w:rPr>
      </w:pPr>
      <w:r>
        <w:rPr>
          <w:noProof/>
        </w:rPr>
        <w:t>A Bizottság által 2016. szeptember 13-án elfogadni tervezett új távközlési csomag tartalmazni fog egy, az európai polgárokat és vállalkozásokat szolgáló internetkapcsolat európai jövőképét meghatározó közleményt, valamint a távközlés szabályozási keretének</w:t>
      </w:r>
      <w:r>
        <w:rPr>
          <w:noProof/>
        </w:rPr>
        <w:t xml:space="preserve"> felülvizsgálatára irányuló jogalkotási javaslatot. A Bizottság javaslatai meghatározzák azokat a reformokat, amelyek a jövőbeli hálózatok kiépítésének további ösztönzéséhez és ahhoz szükségesek, hogy senki és semmilyen térség ne maradjon le. </w:t>
      </w:r>
    </w:p>
    <w:p w:rsidR="008949F5" w:rsidRDefault="004A11FE">
      <w:pPr>
        <w:rPr>
          <w:noProof/>
          <w:szCs w:val="24"/>
        </w:rPr>
      </w:pPr>
      <w:r>
        <w:rPr>
          <w:noProof/>
        </w:rPr>
        <w:t>Ez a javasla</w:t>
      </w:r>
      <w:r>
        <w:rPr>
          <w:noProof/>
        </w:rPr>
        <w:t xml:space="preserve">t </w:t>
      </w:r>
      <w:r>
        <w:rPr>
          <w:b/>
          <w:noProof/>
        </w:rPr>
        <w:t>arra ösztönzi és abban támogatja a közfeladatot ellátó szervezeteket, így a helyi közigazgatási szerveket, hogy a közösségi élet központjaiban</w:t>
      </w:r>
      <w:r>
        <w:rPr>
          <w:noProof/>
        </w:rPr>
        <w:t xml:space="preserve"> (pl. a középületekben és azok környékén, egészségügyi központokban, parkokban vagy városi tereken) </w:t>
      </w:r>
      <w:r>
        <w:rPr>
          <w:b/>
          <w:noProof/>
        </w:rPr>
        <w:t>ingyenes wif</w:t>
      </w:r>
      <w:r>
        <w:rPr>
          <w:b/>
          <w:noProof/>
        </w:rPr>
        <w:t>i-kapcsolatot biztosítsanak</w:t>
      </w:r>
      <w:r>
        <w:rPr>
          <w:noProof/>
        </w:rPr>
        <w:t>.</w:t>
      </w:r>
    </w:p>
    <w:p w:rsidR="008949F5" w:rsidRDefault="004A11FE">
      <w:pPr>
        <w:pStyle w:val="ManualHeading3"/>
        <w:rPr>
          <w:bCs/>
          <w:noProof/>
          <w:szCs w:val="24"/>
        </w:rPr>
      </w:pPr>
      <w:r>
        <w:t>1.4.2.</w:t>
      </w:r>
      <w:r>
        <w:tab/>
      </w:r>
      <w:r>
        <w:rPr>
          <w:noProof/>
        </w:rPr>
        <w:t xml:space="preserve">Konkrét célkitűzés(ek) és a tevékenységalapú irányítás / tevékenységalapú költségvetés-tervezés keretébe tartozó érintett tevékenység(ek) </w:t>
      </w:r>
    </w:p>
    <w:p w:rsidR="008949F5" w:rsidRDefault="004A11FE">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Konkrét célkitűzés </w:t>
      </w:r>
    </w:p>
    <w:p w:rsidR="008949F5" w:rsidRDefault="004A11FE">
      <w:pPr>
        <w:rPr>
          <w:noProof/>
          <w:szCs w:val="24"/>
        </w:rPr>
      </w:pPr>
      <w:r>
        <w:rPr>
          <w:noProof/>
        </w:rPr>
        <w:t>Az új csomag pénzügyi ösztönzőket biztosít a közfeladatot ell</w:t>
      </w:r>
      <w:r>
        <w:rPr>
          <w:noProof/>
        </w:rPr>
        <w:t>átó szervezetek, úgymint közigazgatási szervek és közszolgáltatást nyújtók által javasolt olyan projektekhez, amelyek a közösségi élet területükön található központjaiban vagy a szolgáltatási helyszínükön (pl. közigazgatási szervek, könyvtárak, egészségügy</w:t>
      </w:r>
      <w:r>
        <w:rPr>
          <w:noProof/>
        </w:rPr>
        <w:t xml:space="preserve">i központok és szabadtéri közösségi terek) vezeték nélküli hozzáférési pontok kiépítésére és ingyenes internetkapcsolat nyújtására irányulnak. </w:t>
      </w:r>
    </w:p>
    <w:p w:rsidR="008949F5" w:rsidRDefault="004A11FE">
      <w:pPr>
        <w:spacing w:before="0" w:after="200"/>
        <w:rPr>
          <w:rFonts w:ascii="Calibri" w:hAnsi="Calibri"/>
          <w:noProof/>
          <w:sz w:val="22"/>
        </w:rPr>
      </w:pPr>
      <w:r>
        <w:rPr>
          <w:noProof/>
        </w:rPr>
        <w:t>A nagy sebességű széles sávú internetkapcsolat iránti kereslet ösztönzésén és közösségi szinten a széles körű el</w:t>
      </w:r>
      <w:r>
        <w:rPr>
          <w:noProof/>
        </w:rPr>
        <w:t>terjedés bátorításán felül a kezdeményezés számos pozitív dominóhatást is ki fog váltani, kezdve az innovatív digitális szolgáltatásokhoz való fokozott hozzáféréssel és az Európai Bizottság által elfogadott új stratégiában előirányzott gigabitalapú társada</w:t>
      </w:r>
      <w:r>
        <w:rPr>
          <w:noProof/>
        </w:rPr>
        <w:t>lom kezdeti hasznaival.</w:t>
      </w:r>
    </w:p>
    <w:p w:rsidR="008949F5" w:rsidRDefault="004A11FE">
      <w:pPr>
        <w:pStyle w:val="Text1"/>
        <w:pBdr>
          <w:top w:val="single" w:sz="4" w:space="1" w:color="auto"/>
          <w:left w:val="single" w:sz="4" w:space="4" w:color="auto"/>
          <w:bottom w:val="single" w:sz="4" w:space="1" w:color="auto"/>
          <w:right w:val="single" w:sz="4" w:space="4" w:color="auto"/>
        </w:pBdr>
        <w:rPr>
          <w:noProof/>
          <w:u w:val="single"/>
        </w:rPr>
      </w:pPr>
      <w:r>
        <w:rPr>
          <w:noProof/>
          <w:u w:val="single"/>
        </w:rPr>
        <w:t>A tevékenységalapú irányítás / tevékenységalapú költségvetés-tervezés keretébe tartozó érintett tevékenység(ek)</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Európai Hálózatfinanszírozási Eszköz – Távközlési hálózatok</w:t>
      </w:r>
    </w:p>
    <w:p w:rsidR="008949F5" w:rsidRDefault="004A11FE">
      <w:pPr>
        <w:pStyle w:val="ManualHeading3"/>
        <w:rPr>
          <w:bCs/>
          <w:noProof/>
          <w:szCs w:val="24"/>
        </w:rPr>
      </w:pPr>
      <w:r>
        <w:t>1.4.3.</w:t>
      </w:r>
      <w:r>
        <w:tab/>
      </w:r>
      <w:r>
        <w:rPr>
          <w:noProof/>
        </w:rPr>
        <w:t>Várható eredmény(ek) és hatás(ok)</w:t>
      </w:r>
    </w:p>
    <w:p w:rsidR="008949F5" w:rsidRDefault="004A11FE">
      <w:pPr>
        <w:pStyle w:val="Text1"/>
        <w:rPr>
          <w:i/>
          <w:noProof/>
          <w:sz w:val="20"/>
        </w:rPr>
      </w:pPr>
      <w:r>
        <w:rPr>
          <w:i/>
          <w:noProof/>
          <w:sz w:val="20"/>
        </w:rPr>
        <w:t>Tüntesse fel, milye</w:t>
      </w:r>
      <w:r>
        <w:rPr>
          <w:i/>
          <w:noProof/>
          <w:sz w:val="20"/>
        </w:rPr>
        <w:t>n hatásokat gyakorolhat a javaslat/kezdeményezés a kedvezményezettekre/célcsoportokra.</w:t>
      </w:r>
    </w:p>
    <w:p w:rsidR="008949F5" w:rsidRDefault="004A11FE">
      <w:pPr>
        <w:pStyle w:val="Text1"/>
        <w:pBdr>
          <w:top w:val="single" w:sz="4" w:space="1" w:color="auto"/>
          <w:left w:val="single" w:sz="4" w:space="4" w:color="auto"/>
          <w:bottom w:val="single" w:sz="4" w:space="1" w:color="auto"/>
          <w:right w:val="single" w:sz="4" w:space="4" w:color="auto"/>
        </w:pBdr>
        <w:rPr>
          <w:noProof/>
          <w:szCs w:val="24"/>
        </w:rPr>
      </w:pPr>
      <w:r>
        <w:rPr>
          <w:noProof/>
        </w:rPr>
        <w:t>A kezdeményezés várható hatásai:</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 xml:space="preserve">A program keretében több ezer közterületen létesülhet internetkapcsolat, amely naponta 40–50 millió wifi-csatlakozást eredményezhet. Az </w:t>
      </w:r>
      <w:r>
        <w:rPr>
          <w:noProof/>
        </w:rPr>
        <w:t>ilyen helyi internetkapcsolat támogatni fogja a közigazgatási szerveket és a helyi vállalkozásokat abban, hogy szélesebb körű helyi digitális szolgáltatásokat, alkalmazásokat és termékeket kínálhassanak a területükön élő lakosság és a látogatók részére, ez</w:t>
      </w:r>
      <w:r>
        <w:rPr>
          <w:noProof/>
        </w:rPr>
        <w:t>által jobban beilleszkedjenek a digitális egységes piacon.</w:t>
      </w:r>
    </w:p>
    <w:p w:rsidR="008949F5" w:rsidRDefault="004A11FE">
      <w:pPr>
        <w:pStyle w:val="ManualHeading3"/>
        <w:rPr>
          <w:bCs/>
          <w:noProof/>
          <w:szCs w:val="24"/>
        </w:rPr>
      </w:pPr>
      <w:r>
        <w:t>1.4.4.</w:t>
      </w:r>
      <w:r>
        <w:tab/>
      </w:r>
      <w:r>
        <w:rPr>
          <w:noProof/>
        </w:rPr>
        <w:t xml:space="preserve">Eredmény- és hatásmutatók </w:t>
      </w:r>
    </w:p>
    <w:p w:rsidR="008949F5" w:rsidRDefault="004A11FE">
      <w:pPr>
        <w:pStyle w:val="Text1"/>
        <w:rPr>
          <w:i/>
          <w:noProof/>
          <w:sz w:val="20"/>
        </w:rPr>
      </w:pPr>
      <w:r>
        <w:rPr>
          <w:i/>
          <w:noProof/>
          <w:sz w:val="20"/>
        </w:rPr>
        <w:t>Tüntesse fel a javaslat/kezdeményezés megvalósításának nyomon követését lehetővé tevő mutatókat.</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A nyomonkövetési mutatók közé tartoznak: a) a kiépített hozzáférés</w:t>
      </w:r>
      <w:r>
        <w:rPr>
          <w:noProof/>
        </w:rPr>
        <w:t>i pontok száma; és b) az e pontok által létrehozott kapcsolatok száma.</w:t>
      </w:r>
    </w:p>
    <w:p w:rsidR="008949F5" w:rsidRDefault="004A11FE">
      <w:pPr>
        <w:pStyle w:val="ManualHeading2"/>
        <w:rPr>
          <w:bCs/>
          <w:noProof/>
          <w:szCs w:val="24"/>
        </w:rPr>
      </w:pPr>
      <w:r>
        <w:t>1.5.</w:t>
      </w:r>
      <w:r>
        <w:tab/>
      </w:r>
      <w:r>
        <w:rPr>
          <w:noProof/>
        </w:rPr>
        <w:t xml:space="preserve">A javaslat/kezdeményezés indoklása </w:t>
      </w:r>
    </w:p>
    <w:p w:rsidR="008949F5" w:rsidRDefault="004A11FE">
      <w:pPr>
        <w:pStyle w:val="ManualHeading3"/>
        <w:rPr>
          <w:noProof/>
        </w:rPr>
      </w:pPr>
      <w:r>
        <w:t>1.5.1.</w:t>
      </w:r>
      <w:r>
        <w:tab/>
      </w:r>
      <w:r>
        <w:rPr>
          <w:noProof/>
        </w:rPr>
        <w:t xml:space="preserve">Rövid vagy hosszú távon kielégítendő szükséglet(ek) </w:t>
      </w:r>
    </w:p>
    <w:p w:rsidR="008949F5" w:rsidRDefault="004A11FE">
      <w:pPr>
        <w:autoSpaceDE w:val="0"/>
        <w:autoSpaceDN w:val="0"/>
        <w:adjustRightInd w:val="0"/>
        <w:rPr>
          <w:noProof/>
          <w:szCs w:val="24"/>
        </w:rPr>
      </w:pPr>
      <w:r>
        <w:rPr>
          <w:noProof/>
        </w:rPr>
        <w:t>A kezdeményezés a transzeurópai távközlési hálózatok területén az Európai Unió működ</w:t>
      </w:r>
      <w:r>
        <w:rPr>
          <w:noProof/>
        </w:rPr>
        <w:t>éséről szóló szerződés 170. cikkében meghatározott intézkedési körön belül marad.</w:t>
      </w:r>
    </w:p>
    <w:p w:rsidR="008949F5" w:rsidRDefault="004A11FE">
      <w:pPr>
        <w:autoSpaceDE w:val="0"/>
        <w:autoSpaceDN w:val="0"/>
        <w:adjustRightInd w:val="0"/>
        <w:rPr>
          <w:noProof/>
          <w:szCs w:val="24"/>
        </w:rPr>
      </w:pPr>
      <w:r>
        <w:rPr>
          <w:noProof/>
        </w:rPr>
        <w:t>Ezzel párhuzamosan az elektronikus hírközlési szolgáltatások jelenlegi szabályozási keretének modernizálását célzó, új Elektronikus Hírközlési Kódexre vonatkozó jogalkotási j</w:t>
      </w:r>
      <w:r>
        <w:rPr>
          <w:noProof/>
        </w:rPr>
        <w:t>avaslat elsődlegesen elhárítja a szervezetek elől a wifi-hozzáférés Európán belüli kiépítésével és megosztásával kapcsolatos azon jogi akadályokat, amelyek akkor merülnek fel, amikor az ilyen helyi közösségek vagy magánszervezetek wifi-hozzáférést kívánnak</w:t>
      </w:r>
      <w:r>
        <w:rPr>
          <w:noProof/>
        </w:rPr>
        <w:t xml:space="preserve"> kiépíteni és nyújtani tagjaik részére.</w:t>
      </w:r>
    </w:p>
    <w:p w:rsidR="008949F5" w:rsidRDefault="004A11FE">
      <w:pPr>
        <w:autoSpaceDE w:val="0"/>
        <w:autoSpaceDN w:val="0"/>
        <w:adjustRightInd w:val="0"/>
        <w:rPr>
          <w:noProof/>
          <w:szCs w:val="24"/>
        </w:rPr>
      </w:pPr>
      <w:r>
        <w:rPr>
          <w:noProof/>
        </w:rPr>
        <w:t>Az Unió 2025-re megfogalmazott stratégiai céljai (Összekapcsoltság az európai gigabitalapú társadalom szolgálatában c. közlemény) szerint az összes főbb társadalmi-gazdasági húzóerőt, így az iskolákat, közlekedési cs</w:t>
      </w:r>
      <w:r>
        <w:rPr>
          <w:noProof/>
        </w:rPr>
        <w:t>omópontokat és a fő közszolgáltatást nyújtó szervezeteket</w:t>
      </w:r>
      <w:r>
        <w:rPr>
          <w:rStyle w:val="FootnoteReference"/>
          <w:noProof/>
        </w:rPr>
        <w:footnoteReference w:id="19"/>
      </w:r>
      <w:r>
        <w:rPr>
          <w:noProof/>
        </w:rPr>
        <w:t>, valamint a digitálisan érzékeny vállalkozásokat gigabitalapú csatlakozással kell ellátni. Következésképpen a közélet főbb központjaiban, ideértve a nagyközönség számára nyitva álló szabadtéri hely</w:t>
      </w:r>
      <w:r>
        <w:rPr>
          <w:noProof/>
        </w:rPr>
        <w:t>eket, ingyenes wifi-elérést támogató kezdeményezés konkrét példáját adja a legkorszerűbb digitális infrastruktúrák révén biztosított internetkapcsolatot támogató programoknak.</w:t>
      </w:r>
    </w:p>
    <w:p w:rsidR="008949F5" w:rsidRDefault="004A11FE">
      <w:pPr>
        <w:pStyle w:val="ManualHeading3"/>
        <w:rPr>
          <w:noProof/>
        </w:rPr>
      </w:pPr>
      <w:r>
        <w:t>1.5.2.</w:t>
      </w:r>
      <w:r>
        <w:tab/>
      </w:r>
      <w:r>
        <w:rPr>
          <w:noProof/>
        </w:rPr>
        <w:t>Az uniós részvételből adódó többletérték</w:t>
      </w:r>
    </w:p>
    <w:p w:rsidR="008949F5" w:rsidRDefault="004A11FE">
      <w:pPr>
        <w:rPr>
          <w:bCs/>
          <w:i/>
          <w:noProof/>
          <w:szCs w:val="24"/>
        </w:rPr>
      </w:pPr>
      <w:r>
        <w:rPr>
          <w:noProof/>
        </w:rPr>
        <w:t xml:space="preserve">A kezdeményezés megvalósítására </w:t>
      </w:r>
      <w:r>
        <w:rPr>
          <w:noProof/>
        </w:rPr>
        <w:t>utalványok segítségével nagyon hatékony módon kerül majd sor és az a projektgazdák új kategóriáját – jellemzően helyi hatóságokat – vonzza majd a CEF-be. A helyi hatóságok és más közszolgáltatást nyújtók közötti versengést az új távközlési csomag keretében</w:t>
      </w:r>
      <w:r>
        <w:rPr>
          <w:noProof/>
        </w:rPr>
        <w:t xml:space="preserve"> létrejövő szélessáv-szakértői szolgálatok uniós hálózata mozdítja majd elő. Összességében a kezdeményezés a közigazgatás minden szintjén felgyorsítja a gigabitalapú társadalommal összefüggő új bizottsági prioritások megismerését, valamint biztosítja a mag</w:t>
      </w:r>
      <w:r>
        <w:rPr>
          <w:noProof/>
        </w:rPr>
        <w:t>as szintű márkaelismertséget, láthatóságot és az abba vetett bizalmat, hogy az EU az európai kontinensen mindenütt képes digitális szolgáltatásokat nyújtani a polgárok számára. A hozzáférési pontokat egységesen kell megvalósítani és azok bevált gyakorlatna</w:t>
      </w:r>
      <w:r>
        <w:rPr>
          <w:noProof/>
        </w:rPr>
        <w:t xml:space="preserve">k fognak minősülni a wifi-telepítésben érdekelt szervezetek számára, ezáltal EU-szerte terjesztendő innovatív modellként szolgálnak majd. </w:t>
      </w:r>
    </w:p>
    <w:p w:rsidR="008949F5" w:rsidRDefault="004A11FE">
      <w:pPr>
        <w:pStyle w:val="ManualHeading3"/>
        <w:rPr>
          <w:noProof/>
        </w:rPr>
      </w:pPr>
      <w:r>
        <w:t>1.5.3.</w:t>
      </w:r>
      <w:r>
        <w:tab/>
      </w:r>
      <w:r>
        <w:rPr>
          <w:noProof/>
        </w:rPr>
        <w:t>Hasonló korábbi tapasztalatok tanulsága</w:t>
      </w:r>
    </w:p>
    <w:p w:rsidR="008949F5" w:rsidRDefault="004A11FE">
      <w:pPr>
        <w:rPr>
          <w:noProof/>
        </w:rPr>
      </w:pPr>
      <w:r>
        <w:rPr>
          <w:noProof/>
        </w:rPr>
        <w:t xml:space="preserve">Az elmúlt években számos helyen megjelent Európa-szerte a helyi </w:t>
      </w:r>
      <w:r>
        <w:rPr>
          <w:noProof/>
        </w:rPr>
        <w:t>önkormányzati hatóságok által támogatott ilyen típusú ingyenes wifi-hozzáférési projekt. A program így erre a tapasztalatra épít és az összes EU tagállamra való egyidejű kiterjesztésével fokozza e modell elterjedését.</w:t>
      </w:r>
    </w:p>
    <w:p w:rsidR="008949F5" w:rsidRDefault="004A11FE">
      <w:pPr>
        <w:pStyle w:val="ManualHeading3"/>
        <w:rPr>
          <w:noProof/>
        </w:rPr>
      </w:pPr>
      <w:r>
        <w:t>1.5.4.</w:t>
      </w:r>
      <w:r>
        <w:tab/>
      </w:r>
      <w:r>
        <w:rPr>
          <w:noProof/>
        </w:rPr>
        <w:t>Egyéb releváns eszközökkel való</w:t>
      </w:r>
      <w:r>
        <w:rPr>
          <w:noProof/>
        </w:rPr>
        <w:t xml:space="preserve"> összeegyeztethetőség és lehetséges szinergia</w:t>
      </w:r>
    </w:p>
    <w:p w:rsidR="008949F5" w:rsidRDefault="004A11FE">
      <w:pPr>
        <w:rPr>
          <w:noProof/>
        </w:rPr>
      </w:pPr>
      <w:r>
        <w:rPr>
          <w:noProof/>
        </w:rPr>
        <w:t>A kezdeményezés kiegészíti a digitális hálózatoknak az európai strukturális és beruházási alapokból (főként ERFA és EMVA) támogatott kiépítését, amely a felhordó hálózatokat és a széles sávú hálózatokhoz való h</w:t>
      </w:r>
      <w:r>
        <w:rPr>
          <w:noProof/>
        </w:rPr>
        <w:t>ozzáférést olyan helyeken is megvalósítja, ahol a távközlési vállalkozások kifejezetten nem érdekeltek a beruházásban. Következésképpen tovább ösztönzi a helyi hatóságokat arra, hogy a hozzájuk tartozó teljes területet felszereljék és az ilyen közterületek</w:t>
      </w:r>
      <w:r>
        <w:rPr>
          <w:noProof/>
        </w:rPr>
        <w:t>et nagyon nagy teljesítményű felhordó hálózatokkal kapcsolják össze.</w:t>
      </w:r>
    </w:p>
    <w:p w:rsidR="008949F5" w:rsidRDefault="004A11FE">
      <w:pPr>
        <w:spacing w:after="0"/>
        <w:rPr>
          <w:noProof/>
        </w:rPr>
      </w:pPr>
      <w:r>
        <w:rPr>
          <w:noProof/>
        </w:rPr>
        <w:t>A kezdeményezés ösztönözni fogja a helyben – gyakran a helyi kkv-k által – nyújtott innovatív digitális szolgáltatások és alkalmazások fejlesztését. Például a helyi tartalom és más történ</w:t>
      </w:r>
      <w:r>
        <w:rPr>
          <w:noProof/>
        </w:rPr>
        <w:t>elmi források digitalizálására alapozva egy múzeum vagy szabadtéri örökségi helyszín „kibővített valóság” alkalmazásokat fejleszthet ki, hogy ezáltal gazdagítsa a látogatói élményt. Ugyanez vonatkozik az e-turizmus alkalmazásokra, amelyek a helyi kereskede</w:t>
      </w:r>
      <w:r>
        <w:rPr>
          <w:noProof/>
        </w:rPr>
        <w:t>lem és a helyi önkormányzati tevékenységek javát szolgálják. Következésképpen ez a kezdeményezés támogatni fogja az Európai Bizottság digitális vállalkozásfejlesztési politikáját.</w:t>
      </w:r>
    </w:p>
    <w:p w:rsidR="008949F5" w:rsidRDefault="008949F5">
      <w:pPr>
        <w:spacing w:after="0"/>
        <w:rPr>
          <w:noProof/>
        </w:rPr>
      </w:pPr>
    </w:p>
    <w:p w:rsidR="008949F5" w:rsidRDefault="004A11FE">
      <w:pPr>
        <w:pStyle w:val="ManualHeading2"/>
        <w:rPr>
          <w:bCs/>
          <w:noProof/>
          <w:szCs w:val="24"/>
        </w:rPr>
      </w:pPr>
      <w:r>
        <w:t>1.6.</w:t>
      </w:r>
      <w:r>
        <w:tab/>
      </w:r>
      <w:r>
        <w:rPr>
          <w:noProof/>
        </w:rPr>
        <w:t xml:space="preserve">Az intézkedés és a pénzügyi hatás időtartama </w:t>
      </w:r>
    </w:p>
    <w:p w:rsidR="008949F5" w:rsidRDefault="004A11FE">
      <w:pPr>
        <w:pStyle w:val="Text1"/>
        <w:rPr>
          <w:noProof/>
        </w:rPr>
      </w:pPr>
      <w:r>
        <w:rPr>
          <w:noProof/>
        </w:rPr>
        <w:t>x A javaslat/kezdeményez</w:t>
      </w:r>
      <w:r>
        <w:rPr>
          <w:noProof/>
        </w:rPr>
        <w:t xml:space="preserve">és </w:t>
      </w:r>
      <w:r>
        <w:rPr>
          <w:b/>
          <w:noProof/>
        </w:rPr>
        <w:t>határozott időtartamra</w:t>
      </w:r>
      <w:r>
        <w:rPr>
          <w:noProof/>
        </w:rPr>
        <w:t xml:space="preserve"> vonatkozik</w:t>
      </w:r>
      <w:r>
        <w:rPr>
          <w:b/>
          <w:noProof/>
        </w:rPr>
        <w:t xml:space="preserve"> </w:t>
      </w:r>
    </w:p>
    <w:p w:rsidR="008949F5" w:rsidRDefault="004A11FE">
      <w:pPr>
        <w:pStyle w:val="ListDash2"/>
        <w:rPr>
          <w:noProof/>
        </w:rPr>
      </w:pPr>
      <w:r>
        <w:rPr>
          <w:noProof/>
        </w:rPr>
        <w:t>x</w:t>
      </w:r>
      <w:r>
        <w:rPr>
          <w:noProof/>
        </w:rPr>
        <w:tab/>
        <w:t>A javaslat/kezdeményezés időtartama: 2017-tól 2020-ig</w:t>
      </w:r>
    </w:p>
    <w:p w:rsidR="008949F5" w:rsidRDefault="004A11FE">
      <w:pPr>
        <w:pStyle w:val="ListDash2"/>
        <w:rPr>
          <w:noProof/>
        </w:rPr>
      </w:pPr>
      <w:r>
        <w:rPr>
          <w:noProof/>
        </w:rPr>
        <w:t>x</w:t>
      </w:r>
      <w:r>
        <w:rPr>
          <w:noProof/>
        </w:rPr>
        <w:tab/>
        <w:t xml:space="preserve">Pénzügyi hatás: 2017-től 2020-ig </w:t>
      </w:r>
    </w:p>
    <w:p w:rsidR="008949F5" w:rsidRDefault="004A11FE">
      <w:pPr>
        <w:pStyle w:val="Text1"/>
        <w:rPr>
          <w:noProof/>
        </w:rPr>
      </w:pPr>
      <w:r>
        <w:rPr>
          <w:noProof/>
          <w:szCs w:val="24"/>
        </w:rPr>
        <w:sym w:font="Wingdings" w:char="F0A8"/>
      </w:r>
      <w:r>
        <w:rPr>
          <w:b/>
          <w:i/>
          <w:noProof/>
        </w:rPr>
        <w:t xml:space="preserve"> </w:t>
      </w:r>
      <w:r>
        <w:rPr>
          <w:noProof/>
        </w:rPr>
        <w:t xml:space="preserve">A javaslat/kezdeményezés </w:t>
      </w:r>
      <w:r>
        <w:rPr>
          <w:b/>
          <w:noProof/>
        </w:rPr>
        <w:t>határozatlan időtartamra</w:t>
      </w:r>
      <w:r>
        <w:rPr>
          <w:noProof/>
        </w:rPr>
        <w:t xml:space="preserve"> vonatkozik</w:t>
      </w:r>
    </w:p>
    <w:p w:rsidR="008949F5" w:rsidRDefault="004A11FE">
      <w:pPr>
        <w:pStyle w:val="ListDash1"/>
        <w:rPr>
          <w:noProof/>
        </w:rPr>
      </w:pPr>
      <w:r>
        <w:rPr>
          <w:noProof/>
        </w:rPr>
        <w:t>Beindítási időszak: XXX-tól/-től XXX-ig</w:t>
      </w:r>
    </w:p>
    <w:p w:rsidR="008949F5" w:rsidRDefault="004A11FE">
      <w:pPr>
        <w:pStyle w:val="ListDash1"/>
        <w:rPr>
          <w:noProof/>
        </w:rPr>
      </w:pPr>
      <w:r>
        <w:rPr>
          <w:noProof/>
        </w:rPr>
        <w:t>azt követően: rendes üt</w:t>
      </w:r>
      <w:r>
        <w:rPr>
          <w:noProof/>
        </w:rPr>
        <w:t>em.</w:t>
      </w:r>
    </w:p>
    <w:p w:rsidR="008949F5" w:rsidRDefault="004A11FE">
      <w:pPr>
        <w:pStyle w:val="ManualHeading2"/>
        <w:rPr>
          <w:bCs/>
          <w:noProof/>
          <w:szCs w:val="24"/>
        </w:rPr>
      </w:pPr>
      <w:r>
        <w:t>1.7.</w:t>
      </w:r>
      <w:r>
        <w:tab/>
      </w:r>
      <w:r>
        <w:rPr>
          <w:noProof/>
        </w:rPr>
        <w:t>Tervezett irányítási módszer(ek)</w:t>
      </w:r>
      <w:r>
        <w:rPr>
          <w:rStyle w:val="FootnoteReference"/>
          <w:noProof/>
        </w:rPr>
        <w:footnoteReference w:id="20"/>
      </w:r>
      <w:r>
        <w:rPr>
          <w:rStyle w:val="FootnoteReference"/>
          <w:noProof/>
        </w:rPr>
        <w:t xml:space="preserve"> </w:t>
      </w:r>
    </w:p>
    <w:p w:rsidR="008949F5" w:rsidRDefault="004A11FE">
      <w:pPr>
        <w:pStyle w:val="Text1"/>
        <w:rPr>
          <w:noProof/>
        </w:rPr>
      </w:pPr>
      <w:r>
        <w:rPr>
          <w:noProof/>
          <w:szCs w:val="24"/>
        </w:rPr>
        <w:sym w:font="Wingdings" w:char="F0A8"/>
      </w:r>
      <w:r>
        <w:rPr>
          <w:i/>
          <w:noProof/>
        </w:rPr>
        <w:t xml:space="preserve"> </w:t>
      </w:r>
      <w:r>
        <w:rPr>
          <w:noProof/>
        </w:rPr>
        <w:t xml:space="preserve">Bizottság általi </w:t>
      </w:r>
      <w:r>
        <w:rPr>
          <w:b/>
          <w:noProof/>
        </w:rPr>
        <w:t>közvetlen irányítás</w:t>
      </w:r>
    </w:p>
    <w:p w:rsidR="008949F5" w:rsidRDefault="004A11FE">
      <w:pPr>
        <w:pStyle w:val="ListDash2"/>
        <w:rPr>
          <w:rFonts w:cs="EUAlbertina"/>
          <w:noProof/>
        </w:rPr>
      </w:pPr>
      <w:r>
        <w:rPr>
          <w:noProof/>
          <w:szCs w:val="24"/>
        </w:rPr>
        <w:sym w:font="Wingdings" w:char="F0A8"/>
      </w:r>
      <w:r>
        <w:rPr>
          <w:noProof/>
        </w:rPr>
        <w:t xml:space="preserve"> a Bizottság szervezeti egységein keresztül, ideértve az uniós küldöttségek személyzetét </w:t>
      </w:r>
    </w:p>
    <w:p w:rsidR="008949F5" w:rsidRDefault="004A11FE">
      <w:pPr>
        <w:pStyle w:val="ListDash2"/>
        <w:rPr>
          <w:noProof/>
        </w:rPr>
      </w:pPr>
      <w:r>
        <w:rPr>
          <w:noProof/>
        </w:rPr>
        <w:t>x</w:t>
      </w:r>
      <w:r>
        <w:rPr>
          <w:noProof/>
        </w:rPr>
        <w:tab/>
        <w:t xml:space="preserve">végrehajtó ügynökségen keresztül </w:t>
      </w:r>
    </w:p>
    <w:p w:rsidR="008949F5" w:rsidRDefault="004A11FE">
      <w:pPr>
        <w:pStyle w:val="Text1"/>
        <w:rPr>
          <w:noProof/>
        </w:rPr>
      </w:pPr>
      <w:r>
        <w:rPr>
          <w:noProof/>
          <w:szCs w:val="24"/>
        </w:rPr>
        <w:sym w:font="Wingdings" w:char="F0A8"/>
      </w:r>
      <w:r>
        <w:rPr>
          <w:b/>
          <w:i/>
          <w:noProof/>
        </w:rPr>
        <w:t xml:space="preserve"> </w:t>
      </w:r>
      <w:r>
        <w:rPr>
          <w:b/>
          <w:noProof/>
        </w:rPr>
        <w:t>Megosztott irányítás</w:t>
      </w:r>
      <w:r>
        <w:rPr>
          <w:noProof/>
        </w:rPr>
        <w:t xml:space="preserve"> a tagállamokkal </w:t>
      </w:r>
    </w:p>
    <w:p w:rsidR="008949F5" w:rsidRDefault="004A11FE">
      <w:pPr>
        <w:pStyle w:val="Text1"/>
        <w:rPr>
          <w:noProof/>
        </w:rPr>
      </w:pPr>
      <w:r>
        <w:rPr>
          <w:noProof/>
          <w:szCs w:val="24"/>
        </w:rPr>
        <w:sym w:font="Wingdings" w:char="F0A8"/>
      </w:r>
      <w:r>
        <w:rPr>
          <w:i/>
          <w:noProof/>
        </w:rPr>
        <w:t xml:space="preserve"> </w:t>
      </w:r>
      <w:r>
        <w:rPr>
          <w:b/>
          <w:noProof/>
        </w:rPr>
        <w:t>Közvetett irányítás</w:t>
      </w:r>
      <w:r>
        <w:rPr>
          <w:noProof/>
        </w:rPr>
        <w:t xml:space="preserve"> a költségvetés végrehajtásával kapcsolatos feladatoknak a következőkre történő átruházásával:</w:t>
      </w:r>
    </w:p>
    <w:p w:rsidR="008949F5" w:rsidRDefault="004A11FE">
      <w:pPr>
        <w:pStyle w:val="ListDash2"/>
        <w:rPr>
          <w:noProof/>
        </w:rPr>
      </w:pPr>
      <w:r>
        <w:rPr>
          <w:noProof/>
          <w:szCs w:val="24"/>
        </w:rPr>
        <w:sym w:font="Wingdings" w:char="F0A8"/>
      </w:r>
      <w:r>
        <w:rPr>
          <w:noProof/>
        </w:rPr>
        <w:t xml:space="preserve"> harmadik országok vagy az általuk kijelölt szervek</w:t>
      </w:r>
    </w:p>
    <w:p w:rsidR="008949F5" w:rsidRDefault="004A11FE">
      <w:pPr>
        <w:pStyle w:val="ListDash2"/>
        <w:rPr>
          <w:noProof/>
        </w:rPr>
      </w:pPr>
      <w:r>
        <w:rPr>
          <w:noProof/>
          <w:szCs w:val="24"/>
        </w:rPr>
        <w:sym w:font="Wingdings" w:char="F0A8"/>
      </w:r>
      <w:r>
        <w:rPr>
          <w:noProof/>
        </w:rPr>
        <w:t xml:space="preserve"> nemzetközi szervezetek és ügynökségeik (nevezze meg)</w:t>
      </w:r>
    </w:p>
    <w:p w:rsidR="008949F5" w:rsidRDefault="004A11FE">
      <w:pPr>
        <w:pStyle w:val="ListDash2"/>
        <w:rPr>
          <w:noProof/>
        </w:rPr>
      </w:pPr>
      <w:r>
        <w:rPr>
          <w:noProof/>
          <w:szCs w:val="24"/>
        </w:rPr>
        <w:sym w:font="Wingdings" w:char="F0A8"/>
      </w:r>
      <w:r>
        <w:rPr>
          <w:noProof/>
        </w:rPr>
        <w:t>az EBB és az Európai Beruházási A</w:t>
      </w:r>
      <w:r>
        <w:rPr>
          <w:noProof/>
        </w:rPr>
        <w:t>lap</w:t>
      </w:r>
    </w:p>
    <w:p w:rsidR="008949F5" w:rsidRDefault="004A11FE">
      <w:pPr>
        <w:pStyle w:val="ListDash2"/>
        <w:rPr>
          <w:noProof/>
        </w:rPr>
      </w:pPr>
      <w:r>
        <w:rPr>
          <w:noProof/>
          <w:szCs w:val="24"/>
        </w:rPr>
        <w:sym w:font="Wingdings" w:char="F0A8"/>
      </w:r>
      <w:r>
        <w:rPr>
          <w:noProof/>
        </w:rPr>
        <w:t xml:space="preserve"> a költségvetési rendelet 208. és 209. cikkében említett szervek</w:t>
      </w:r>
    </w:p>
    <w:p w:rsidR="008949F5" w:rsidRDefault="004A11FE">
      <w:pPr>
        <w:pStyle w:val="ListDash2"/>
        <w:rPr>
          <w:noProof/>
        </w:rPr>
      </w:pPr>
      <w:r>
        <w:rPr>
          <w:noProof/>
          <w:szCs w:val="24"/>
        </w:rPr>
        <w:sym w:font="Wingdings" w:char="F0A8"/>
      </w:r>
      <w:r>
        <w:rPr>
          <w:noProof/>
        </w:rPr>
        <w:t xml:space="preserve"> közjogi szervek</w:t>
      </w:r>
    </w:p>
    <w:p w:rsidR="008949F5" w:rsidRDefault="004A11FE">
      <w:pPr>
        <w:pStyle w:val="ListDash2"/>
        <w:rPr>
          <w:noProof/>
        </w:rPr>
      </w:pPr>
      <w:r>
        <w:rPr>
          <w:noProof/>
          <w:szCs w:val="24"/>
        </w:rPr>
        <w:sym w:font="Wingdings" w:char="F0A8"/>
      </w:r>
      <w:r>
        <w:rPr>
          <w:noProof/>
        </w:rPr>
        <w:t xml:space="preserve"> magánjog alapján működő, közfeladatot ellátó szervek, olyan mértékben, amennyiben megfelelő pénzügyi garanciákat nyújtanak</w:t>
      </w:r>
    </w:p>
    <w:p w:rsidR="008949F5" w:rsidRDefault="004A11FE">
      <w:pPr>
        <w:pStyle w:val="ListDash2"/>
        <w:rPr>
          <w:noProof/>
        </w:rPr>
      </w:pPr>
      <w:r>
        <w:rPr>
          <w:noProof/>
          <w:szCs w:val="24"/>
        </w:rPr>
        <w:sym w:font="Wingdings" w:char="F0A8"/>
      </w:r>
      <w:r>
        <w:rPr>
          <w:noProof/>
        </w:rPr>
        <w:t xml:space="preserve"> a valamely tagállam magánjoga alapján műk</w:t>
      </w:r>
      <w:r>
        <w:rPr>
          <w:noProof/>
        </w:rPr>
        <w:t>ödő, köz- és magánszféra közötti partnerség végrehajtásával megbízott és megfelelő pénzügyi garanciákat nyújtó szervek</w:t>
      </w:r>
    </w:p>
    <w:p w:rsidR="008949F5" w:rsidRDefault="004A11FE">
      <w:pPr>
        <w:pStyle w:val="ListDash2"/>
        <w:rPr>
          <w:noProof/>
        </w:rPr>
      </w:pPr>
      <w:r>
        <w:rPr>
          <w:noProof/>
          <w:szCs w:val="24"/>
        </w:rPr>
        <w:sym w:font="Wingdings" w:char="F0A8"/>
      </w:r>
      <w:r>
        <w:rPr>
          <w:noProof/>
        </w:rPr>
        <w:t xml:space="preserve"> az EUSZ V. címének értelmében a KKBP terén konkrét beavatkozások végrehajtásával megbízott és a vonatkozó alap-jogiaktusban meghatározo</w:t>
      </w:r>
      <w:r>
        <w:rPr>
          <w:noProof/>
        </w:rPr>
        <w:t>tt személyek.</w:t>
      </w:r>
    </w:p>
    <w:p w:rsidR="008949F5" w:rsidRDefault="004A11FE">
      <w:pPr>
        <w:pStyle w:val="ListDash2"/>
        <w:rPr>
          <w:i/>
          <w:noProof/>
          <w:sz w:val="18"/>
          <w:u w:val="single"/>
        </w:rPr>
      </w:pPr>
      <w:r>
        <w:rPr>
          <w:i/>
          <w:noProof/>
          <w:sz w:val="18"/>
        </w:rPr>
        <w:t>Egynél több irányítási módszer feltüntetése esetén kérjük, adjon részletes felvilágosítást a „Megjegyzések” rovatban.</w:t>
      </w:r>
    </w:p>
    <w:p w:rsidR="008949F5" w:rsidRDefault="004A11FE">
      <w:pPr>
        <w:rPr>
          <w:noProof/>
        </w:rPr>
      </w:pPr>
      <w:r>
        <w:rPr>
          <w:noProof/>
        </w:rPr>
        <w:t xml:space="preserve">Megjegyzések </w:t>
      </w:r>
    </w:p>
    <w:p w:rsidR="008949F5" w:rsidRDefault="008949F5">
      <w:pPr>
        <w:rPr>
          <w:noProof/>
        </w:rPr>
        <w:sectPr w:rsidR="008949F5" w:rsidSect="004A11FE">
          <w:pgSz w:w="11907" w:h="16840" w:code="9"/>
          <w:pgMar w:top="1134" w:right="1418" w:bottom="1134" w:left="1418" w:header="709" w:footer="709" w:gutter="0"/>
          <w:cols w:space="708"/>
          <w:rtlGutter/>
          <w:docGrid w:linePitch="360"/>
        </w:sectPr>
      </w:pPr>
    </w:p>
    <w:p w:rsidR="008949F5" w:rsidRDefault="004A11FE">
      <w:pPr>
        <w:pStyle w:val="ManualHeading1"/>
        <w:rPr>
          <w:bCs/>
          <w:noProof/>
          <w:szCs w:val="24"/>
        </w:rPr>
      </w:pPr>
      <w:r>
        <w:t>2.</w:t>
      </w:r>
      <w:r>
        <w:tab/>
      </w:r>
      <w:r>
        <w:rPr>
          <w:noProof/>
        </w:rPr>
        <w:t xml:space="preserve">IRÁNYÍTÁSI INTÉZKEDÉSEK </w:t>
      </w:r>
    </w:p>
    <w:p w:rsidR="008949F5" w:rsidRDefault="004A11FE">
      <w:pPr>
        <w:pStyle w:val="ManualHeading2"/>
        <w:rPr>
          <w:noProof/>
        </w:rPr>
      </w:pPr>
      <w:r>
        <w:t>2.1.</w:t>
      </w:r>
      <w:r>
        <w:tab/>
      </w:r>
      <w:r>
        <w:rPr>
          <w:noProof/>
        </w:rPr>
        <w:t xml:space="preserve">A nyomon követésre és a jelentéstételre vonatkozó rendelkezések </w:t>
      </w:r>
    </w:p>
    <w:p w:rsidR="008949F5" w:rsidRDefault="004A11FE">
      <w:pPr>
        <w:pStyle w:val="Text1"/>
        <w:rPr>
          <w:i/>
          <w:noProof/>
          <w:sz w:val="20"/>
        </w:rPr>
      </w:pPr>
      <w:r>
        <w:rPr>
          <w:i/>
          <w:noProof/>
          <w:sz w:val="20"/>
        </w:rPr>
        <w:t>Gyakoriság és feltételek.</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 xml:space="preserve">Nyomonkövetési rendszer kerül kialakításra annak érdekében, hogy ez a kezdeményezés gyorsan megvalósítható legyen és azonnali eredményt hozzon. Elsődlegesen online </w:t>
      </w:r>
      <w:r>
        <w:rPr>
          <w:noProof/>
        </w:rPr>
        <w:t>eszközök használatával és a helyi vezeték nélküli hozzáférési pontok szintjén a berendezések mintavételes ellenőrzésével kerül megvalósításra.</w:t>
      </w:r>
    </w:p>
    <w:p w:rsidR="008949F5" w:rsidRDefault="004A11FE">
      <w:pPr>
        <w:pStyle w:val="ManualHeading2"/>
        <w:rPr>
          <w:bCs/>
          <w:noProof/>
          <w:szCs w:val="24"/>
        </w:rPr>
      </w:pPr>
      <w:r>
        <w:t>2.2.</w:t>
      </w:r>
      <w:r>
        <w:tab/>
      </w:r>
      <w:r>
        <w:rPr>
          <w:noProof/>
        </w:rPr>
        <w:t xml:space="preserve">Irányítási és kontrollrendszer </w:t>
      </w:r>
    </w:p>
    <w:p w:rsidR="008949F5" w:rsidRDefault="004A11FE">
      <w:pPr>
        <w:pStyle w:val="ManualHeading3"/>
        <w:rPr>
          <w:noProof/>
        </w:rPr>
      </w:pPr>
      <w:r>
        <w:t>2.2.1.</w:t>
      </w:r>
      <w:r>
        <w:tab/>
      </w:r>
      <w:r>
        <w:rPr>
          <w:noProof/>
        </w:rPr>
        <w:t xml:space="preserve">Felismert kockázat(ok) </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Végrehajtási kockázat: az utalványrendszer ne</w:t>
      </w:r>
      <w:r>
        <w:rPr>
          <w:noProof/>
        </w:rPr>
        <w:t>m bürokratikus jellege a térségi és tagállami szinteken megvalósított hasonló kezdeményezéseken alapul (pl. IKT innováció a kkv-k szolgálatában, műholdas csatlakozás stb.), az azonban ki fog terjedni az EU teljes területére.</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Indulási kockázat: az „érkezési</w:t>
      </w:r>
      <w:r>
        <w:rPr>
          <w:noProof/>
        </w:rPr>
        <w:t xml:space="preserve"> sorrendben” elv alapulvételével fennáll a különböző területeken egymáshoz viszonyítva egyenetlen kezdés kockázata. A Bizottság ugyanakkor elkötelezett a kiegyensúlyozott földrajzi hatás biztosítása, valamint a kisebb és gazdaságilag elmaradottabb tagállam</w:t>
      </w:r>
      <w:r>
        <w:rPr>
          <w:noProof/>
        </w:rPr>
        <w:t>ok és térségek speciális szükségleteinek figyelembe vétele iránt.</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Biztonsági és adatvédelmi kockázat: a program teljes körűen biztosítja a személyes adatok védelmét és megfelelő szintű felhasználó-azonosítást nyújt annak érdekében, hogy a hozzáférési ponto</w:t>
      </w:r>
      <w:r>
        <w:rPr>
          <w:noProof/>
        </w:rPr>
        <w:t>kon a csatlakozás felhasználóbarát legyen.</w:t>
      </w:r>
    </w:p>
    <w:p w:rsidR="008949F5" w:rsidRDefault="004A11FE">
      <w:pPr>
        <w:pStyle w:val="Text1"/>
        <w:pBdr>
          <w:top w:val="single" w:sz="4" w:space="1" w:color="auto"/>
          <w:left w:val="single" w:sz="4" w:space="4" w:color="auto"/>
          <w:bottom w:val="single" w:sz="4" w:space="1" w:color="auto"/>
          <w:right w:val="single" w:sz="4" w:space="4" w:color="auto"/>
        </w:pBdr>
        <w:rPr>
          <w:noProof/>
          <w:szCs w:val="24"/>
        </w:rPr>
      </w:pPr>
      <w:r>
        <w:rPr>
          <w:noProof/>
        </w:rPr>
        <w:t>Hírnevet fenyegető kockázat: a szolgáltatás minőségét a kezdeményezettek azon kötelezettségvállalása biztosítja, amely szerint magas színvonalú internet felhasználói élmény nyújtását lehetővé tevő, nagyon nagy seb</w:t>
      </w:r>
      <w:r>
        <w:rPr>
          <w:noProof/>
        </w:rPr>
        <w:t>ességű széles sávú kapcsolatot építenek ki és ennek teljesítése folyamatos nyomon követést igényel.</w:t>
      </w:r>
    </w:p>
    <w:p w:rsidR="008949F5" w:rsidRDefault="004A11FE">
      <w:pPr>
        <w:pStyle w:val="ManualHeading3"/>
        <w:rPr>
          <w:bCs/>
          <w:noProof/>
          <w:szCs w:val="24"/>
        </w:rPr>
      </w:pPr>
      <w:r>
        <w:t>2.2.2.</w:t>
      </w:r>
      <w:r>
        <w:tab/>
      </w:r>
      <w:r>
        <w:rPr>
          <w:noProof/>
        </w:rPr>
        <w:t>A működő belső kontrollrendszerrel kapcsolatos információk</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rPr>
        <w:t>A CEF szerinti fellépéseket végrehajtó megállapodások és határozatok az Európai Közösségek</w:t>
      </w:r>
      <w:r>
        <w:rPr>
          <w:noProof/>
        </w:rPr>
        <w:t xml:space="preserve"> pénzügyi érdekeinek csalással és egyéb szabálytalanságokkal szembeni védelmében a Bizottság által végzett helyszíni ellenőrzésekről és vizsgálatokról szóló, 1996. november 11-i 2185/96/Euratom, EK tanácsi rendeletben és az Európai Csalás Elleni Hivatal (O</w:t>
      </w:r>
      <w:r>
        <w:rPr>
          <w:noProof/>
        </w:rPr>
        <w:t xml:space="preserve">LAF) által lefolytatott vizsgálatokról szóló, 1999. május 25-i 1073/1999/EK európai parlamenti és tanácsi rendeletben megállapított eljárásokkal összhangban rendelkeznek a Bizottság vagy a Bizottság meghatalmazottja felügyelettel és pénzügyi ellenőrzéssel </w:t>
      </w:r>
      <w:r>
        <w:rPr>
          <w:noProof/>
        </w:rPr>
        <w:t xml:space="preserve">kapcsolatos jogköréről, a Számvevőszék által végzendő ellenőrzésekről, valamint az Európai Csalás Elleni Hivatal (OLAF) által végzett helyszíni ellenőrzésekről. </w:t>
      </w:r>
    </w:p>
    <w:p w:rsidR="008949F5" w:rsidRDefault="004A11FE">
      <w:pPr>
        <w:pStyle w:val="ManualHeading3"/>
        <w:rPr>
          <w:noProof/>
        </w:rPr>
      </w:pPr>
      <w:r>
        <w:t>2.2.3.</w:t>
      </w:r>
      <w:r>
        <w:tab/>
      </w:r>
      <w:r>
        <w:rPr>
          <w:noProof/>
        </w:rPr>
        <w:t xml:space="preserve">Az ellenőrzések költsége és haszna, a várt hibaarány értékelése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152"/>
        <w:gridCol w:w="2804"/>
        <w:gridCol w:w="1584"/>
        <w:gridCol w:w="1219"/>
      </w:tblGrid>
      <w:tr w:rsidR="008949F5">
        <w:trPr>
          <w:trHeight w:val="680"/>
        </w:trPr>
        <w:tc>
          <w:tcPr>
            <w:tcW w:w="1920" w:type="dxa"/>
          </w:tcPr>
          <w:p w:rsidR="008949F5" w:rsidRDefault="004A11FE">
            <w:pPr>
              <w:spacing w:before="0" w:after="0"/>
              <w:jc w:val="left"/>
              <w:rPr>
                <w:b/>
                <w:noProof/>
                <w:sz w:val="20"/>
                <w:szCs w:val="24"/>
              </w:rPr>
            </w:pPr>
            <w:r>
              <w:rPr>
                <w:b/>
                <w:noProof/>
                <w:sz w:val="20"/>
              </w:rPr>
              <w:t>Az ellenőrzések összef</w:t>
            </w:r>
            <w:r>
              <w:rPr>
                <w:b/>
                <w:noProof/>
                <w:sz w:val="20"/>
              </w:rPr>
              <w:t>oglalása</w:t>
            </w:r>
          </w:p>
        </w:tc>
        <w:tc>
          <w:tcPr>
            <w:tcW w:w="1320" w:type="dxa"/>
          </w:tcPr>
          <w:p w:rsidR="008949F5" w:rsidRDefault="004A11FE">
            <w:pPr>
              <w:spacing w:before="0" w:after="0"/>
              <w:jc w:val="left"/>
              <w:rPr>
                <w:b/>
                <w:noProof/>
                <w:sz w:val="20"/>
                <w:szCs w:val="24"/>
              </w:rPr>
            </w:pPr>
            <w:r>
              <w:rPr>
                <w:b/>
                <w:noProof/>
                <w:sz w:val="20"/>
              </w:rPr>
              <w:t>Összeg millió euróban</w:t>
            </w:r>
          </w:p>
        </w:tc>
        <w:tc>
          <w:tcPr>
            <w:tcW w:w="2040" w:type="dxa"/>
          </w:tcPr>
          <w:p w:rsidR="008949F5" w:rsidRDefault="004A11FE">
            <w:pPr>
              <w:spacing w:before="0" w:after="0"/>
              <w:jc w:val="left"/>
              <w:rPr>
                <w:b/>
                <w:noProof/>
                <w:sz w:val="20"/>
                <w:szCs w:val="24"/>
              </w:rPr>
            </w:pPr>
            <w:r>
              <w:rPr>
                <w:b/>
                <w:noProof/>
                <w:sz w:val="20"/>
              </w:rPr>
              <w:t>A kedvezményezettek/műveletek száma (a teljes %-ában)</w:t>
            </w:r>
          </w:p>
        </w:tc>
        <w:tc>
          <w:tcPr>
            <w:tcW w:w="1942" w:type="dxa"/>
          </w:tcPr>
          <w:p w:rsidR="008949F5" w:rsidRDefault="004A11FE">
            <w:pPr>
              <w:spacing w:before="0" w:after="0"/>
              <w:jc w:val="left"/>
              <w:rPr>
                <w:b/>
                <w:noProof/>
                <w:sz w:val="20"/>
                <w:szCs w:val="24"/>
              </w:rPr>
            </w:pPr>
            <w:r>
              <w:rPr>
                <w:b/>
                <w:noProof/>
                <w:sz w:val="20"/>
              </w:rPr>
              <w:t>Ellenőrzés mélysége * (1–4 közötti pontszám)</w:t>
            </w:r>
          </w:p>
        </w:tc>
        <w:tc>
          <w:tcPr>
            <w:tcW w:w="1237" w:type="dxa"/>
          </w:tcPr>
          <w:p w:rsidR="008949F5" w:rsidRDefault="004A11FE">
            <w:pPr>
              <w:spacing w:before="0" w:after="0"/>
              <w:jc w:val="left"/>
              <w:rPr>
                <w:b/>
                <w:noProof/>
                <w:sz w:val="20"/>
                <w:szCs w:val="24"/>
              </w:rPr>
            </w:pPr>
            <w:r>
              <w:rPr>
                <w:b/>
                <w:noProof/>
                <w:sz w:val="20"/>
              </w:rPr>
              <w:t>Lefedettség (érték %-a)</w:t>
            </w:r>
          </w:p>
        </w:tc>
      </w:tr>
      <w:tr w:rsidR="008949F5">
        <w:trPr>
          <w:trHeight w:val="555"/>
        </w:trPr>
        <w:tc>
          <w:tcPr>
            <w:tcW w:w="1920" w:type="dxa"/>
            <w:vMerge w:val="restart"/>
          </w:tcPr>
          <w:p w:rsidR="008949F5" w:rsidRDefault="004A11FE">
            <w:pPr>
              <w:spacing w:before="0" w:after="0"/>
              <w:jc w:val="center"/>
              <w:rPr>
                <w:noProof/>
                <w:sz w:val="20"/>
                <w:szCs w:val="24"/>
              </w:rPr>
            </w:pPr>
            <w:r>
              <w:rPr>
                <w:noProof/>
                <w:sz w:val="20"/>
              </w:rPr>
              <w:t>Fellépések irányítása az értékeléstől az utólagos ellenőrzésekig</w:t>
            </w:r>
          </w:p>
        </w:tc>
        <w:tc>
          <w:tcPr>
            <w:tcW w:w="1320" w:type="dxa"/>
            <w:vMerge w:val="restart"/>
          </w:tcPr>
          <w:p w:rsidR="008949F5" w:rsidRDefault="008949F5">
            <w:pPr>
              <w:spacing w:before="0" w:after="0"/>
              <w:jc w:val="center"/>
              <w:rPr>
                <w:noProof/>
                <w:sz w:val="20"/>
                <w:szCs w:val="24"/>
              </w:rPr>
            </w:pPr>
          </w:p>
          <w:p w:rsidR="008949F5" w:rsidRDefault="004A11FE">
            <w:pPr>
              <w:spacing w:before="0" w:after="0"/>
              <w:jc w:val="center"/>
              <w:rPr>
                <w:noProof/>
                <w:sz w:val="20"/>
                <w:szCs w:val="24"/>
              </w:rPr>
            </w:pPr>
            <w:r>
              <w:rPr>
                <w:noProof/>
                <w:sz w:val="20"/>
              </w:rPr>
              <w:t>0,060</w:t>
            </w:r>
          </w:p>
        </w:tc>
        <w:tc>
          <w:tcPr>
            <w:tcW w:w="2040" w:type="dxa"/>
          </w:tcPr>
          <w:p w:rsidR="008949F5" w:rsidRDefault="004A11FE">
            <w:pPr>
              <w:spacing w:before="0" w:after="0"/>
              <w:jc w:val="left"/>
              <w:rPr>
                <w:noProof/>
                <w:sz w:val="20"/>
                <w:szCs w:val="24"/>
              </w:rPr>
            </w:pPr>
            <w:r>
              <w:rPr>
                <w:noProof/>
                <w:sz w:val="20"/>
              </w:rPr>
              <w:t xml:space="preserve">1. összes projekt globális </w:t>
            </w:r>
            <w:r>
              <w:rPr>
                <w:noProof/>
                <w:sz w:val="20"/>
              </w:rPr>
              <w:t>nyomon követése: 100%</w:t>
            </w:r>
          </w:p>
        </w:tc>
        <w:tc>
          <w:tcPr>
            <w:tcW w:w="1942" w:type="dxa"/>
          </w:tcPr>
          <w:p w:rsidR="008949F5" w:rsidRDefault="004A11FE">
            <w:pPr>
              <w:spacing w:before="0" w:after="0"/>
              <w:jc w:val="center"/>
              <w:rPr>
                <w:noProof/>
                <w:sz w:val="20"/>
                <w:szCs w:val="24"/>
              </w:rPr>
            </w:pPr>
            <w:r>
              <w:rPr>
                <w:noProof/>
                <w:sz w:val="20"/>
              </w:rPr>
              <w:t>1</w:t>
            </w:r>
          </w:p>
        </w:tc>
        <w:tc>
          <w:tcPr>
            <w:tcW w:w="1237" w:type="dxa"/>
          </w:tcPr>
          <w:p w:rsidR="008949F5" w:rsidRDefault="004A11FE">
            <w:pPr>
              <w:spacing w:before="0" w:after="0"/>
              <w:jc w:val="center"/>
              <w:rPr>
                <w:noProof/>
                <w:sz w:val="20"/>
                <w:szCs w:val="24"/>
              </w:rPr>
            </w:pPr>
            <w:r>
              <w:rPr>
                <w:noProof/>
                <w:sz w:val="20"/>
              </w:rPr>
              <w:t>100%</w:t>
            </w:r>
          </w:p>
        </w:tc>
      </w:tr>
      <w:tr w:rsidR="008949F5">
        <w:trPr>
          <w:trHeight w:val="555"/>
        </w:trPr>
        <w:tc>
          <w:tcPr>
            <w:tcW w:w="1920" w:type="dxa"/>
            <w:vMerge/>
          </w:tcPr>
          <w:p w:rsidR="008949F5" w:rsidRDefault="008949F5">
            <w:pPr>
              <w:spacing w:before="0" w:after="0"/>
              <w:jc w:val="center"/>
              <w:rPr>
                <w:noProof/>
                <w:sz w:val="20"/>
                <w:szCs w:val="24"/>
              </w:rPr>
            </w:pPr>
          </w:p>
        </w:tc>
        <w:tc>
          <w:tcPr>
            <w:tcW w:w="1320" w:type="dxa"/>
            <w:vMerge/>
          </w:tcPr>
          <w:p w:rsidR="008949F5" w:rsidRDefault="008949F5">
            <w:pPr>
              <w:spacing w:before="0" w:after="0"/>
              <w:jc w:val="center"/>
              <w:rPr>
                <w:noProof/>
                <w:sz w:val="20"/>
                <w:szCs w:val="24"/>
              </w:rPr>
            </w:pPr>
          </w:p>
        </w:tc>
        <w:tc>
          <w:tcPr>
            <w:tcW w:w="2040" w:type="dxa"/>
          </w:tcPr>
          <w:p w:rsidR="008949F5" w:rsidRDefault="004A11FE">
            <w:pPr>
              <w:spacing w:before="0" w:after="0"/>
              <w:jc w:val="left"/>
              <w:rPr>
                <w:noProof/>
                <w:sz w:val="20"/>
                <w:szCs w:val="24"/>
              </w:rPr>
            </w:pPr>
            <w:r>
              <w:rPr>
                <w:noProof/>
                <w:sz w:val="20"/>
              </w:rPr>
              <w:t>2. kiválasztott projektek ellenőrzése: 5%</w:t>
            </w:r>
          </w:p>
        </w:tc>
        <w:tc>
          <w:tcPr>
            <w:tcW w:w="1942" w:type="dxa"/>
          </w:tcPr>
          <w:p w:rsidR="008949F5" w:rsidRDefault="004A11FE">
            <w:pPr>
              <w:spacing w:before="0" w:after="0"/>
              <w:jc w:val="center"/>
              <w:rPr>
                <w:noProof/>
                <w:sz w:val="20"/>
                <w:szCs w:val="24"/>
              </w:rPr>
            </w:pPr>
            <w:r>
              <w:rPr>
                <w:noProof/>
                <w:sz w:val="20"/>
              </w:rPr>
              <w:t>4</w:t>
            </w:r>
          </w:p>
        </w:tc>
        <w:tc>
          <w:tcPr>
            <w:tcW w:w="1237" w:type="dxa"/>
          </w:tcPr>
          <w:p w:rsidR="008949F5" w:rsidRDefault="004A11FE">
            <w:pPr>
              <w:spacing w:before="0" w:after="0"/>
              <w:jc w:val="center"/>
              <w:rPr>
                <w:noProof/>
                <w:sz w:val="20"/>
                <w:szCs w:val="24"/>
              </w:rPr>
            </w:pPr>
            <w:r>
              <w:rPr>
                <w:noProof/>
                <w:sz w:val="20"/>
              </w:rPr>
              <w:t>10%</w:t>
            </w:r>
          </w:p>
        </w:tc>
      </w:tr>
    </w:tbl>
    <w:p w:rsidR="008949F5" w:rsidRDefault="004A11FE">
      <w:pPr>
        <w:pStyle w:val="ManualHeading2"/>
        <w:rPr>
          <w:bCs/>
          <w:noProof/>
          <w:szCs w:val="24"/>
        </w:rPr>
      </w:pPr>
      <w:r>
        <w:t>2.3.</w:t>
      </w:r>
      <w:r>
        <w:tab/>
      </w:r>
      <w:r>
        <w:rPr>
          <w:noProof/>
        </w:rPr>
        <w:t xml:space="preserve">A csalások és a szabálytalanságok megelőzésére vonatkozó intézkedések </w:t>
      </w:r>
    </w:p>
    <w:p w:rsidR="008949F5" w:rsidRDefault="004A11FE">
      <w:pPr>
        <w:pStyle w:val="Text1"/>
        <w:rPr>
          <w:i/>
          <w:noProof/>
          <w:sz w:val="20"/>
        </w:rPr>
      </w:pPr>
      <w:r>
        <w:rPr>
          <w:i/>
          <w:noProof/>
          <w:sz w:val="20"/>
        </w:rPr>
        <w:t>Tüntesse fel a meglévő vagy tervezett megelőző és védintézkedéseket.</w:t>
      </w:r>
    </w:p>
    <w:p w:rsidR="008949F5" w:rsidRDefault="004A11FE">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A Bizottság a 2988/95/EK, </w:t>
      </w:r>
      <w:r>
        <w:rPr>
          <w:noProof/>
        </w:rPr>
        <w:t>Euratom tanácsi rendelettel, a 2185/96/Euratom, EK tanácsi rendelettel és az 1073/1999/EK európai parlamenti és tanácsi rendelettel összhangban gondoskodik arról, hogy az e rendelet alapján finanszírozott fellépések végrehajtása során az Unió pénzügyi érde</w:t>
      </w:r>
      <w:r>
        <w:rPr>
          <w:noProof/>
        </w:rPr>
        <w:t>keit a csalással, a korrupcióval és az egyéb jogellenes tevékenységekkel szemben megelőző intézkedések, továbbá hatékony ellenőrzés, a jogosulatlanul kifizetett összegek visszakövetelése, valamint – szabálytalanság észlelése esetén – hatékony, arányos és v</w:t>
      </w:r>
      <w:r>
        <w:rPr>
          <w:noProof/>
        </w:rPr>
        <w:t>isszatartó erejű szankciók védjék.</w:t>
      </w:r>
    </w:p>
    <w:p w:rsidR="008949F5" w:rsidRDefault="004A11FE">
      <w:pPr>
        <w:pBdr>
          <w:top w:val="single" w:sz="4" w:space="1" w:color="auto"/>
          <w:left w:val="single" w:sz="4" w:space="4" w:color="auto"/>
          <w:bottom w:val="single" w:sz="4" w:space="1" w:color="auto"/>
          <w:right w:val="single" w:sz="4" w:space="4" w:color="auto"/>
        </w:pBdr>
        <w:spacing w:before="0" w:after="0"/>
        <w:ind w:left="850"/>
        <w:jc w:val="left"/>
        <w:rPr>
          <w:noProof/>
          <w:szCs w:val="24"/>
        </w:rPr>
      </w:pPr>
      <w:r>
        <w:rPr>
          <w:noProof/>
        </w:rPr>
        <w:t>A szerződések szabvány mintákon alapulnak, amelyek rögzítik az általánosan alkalmazandó csalás elleni intézkedéseket.</w:t>
      </w:r>
    </w:p>
    <w:p w:rsidR="008949F5" w:rsidRDefault="004A11FE">
      <w:pPr>
        <w:pStyle w:val="ManualHeading1"/>
        <w:rPr>
          <w:bCs/>
          <w:noProof/>
          <w:szCs w:val="24"/>
        </w:rPr>
      </w:pPr>
      <w:r>
        <w:t>3.</w:t>
      </w:r>
      <w:r>
        <w:tab/>
      </w:r>
      <w:r>
        <w:rPr>
          <w:noProof/>
        </w:rPr>
        <w:t xml:space="preserve">A JAVASLAT/KEZDEMÉNYEZÉS BECSÜLT PÉNZÜGYI HATÁSA </w:t>
      </w:r>
    </w:p>
    <w:p w:rsidR="008949F5" w:rsidRDefault="004A11FE">
      <w:pPr>
        <w:pStyle w:val="ManualHeading2"/>
        <w:rPr>
          <w:noProof/>
        </w:rPr>
      </w:pPr>
      <w:r>
        <w:t>3.1.</w:t>
      </w:r>
      <w:r>
        <w:tab/>
      </w:r>
      <w:r>
        <w:rPr>
          <w:noProof/>
        </w:rPr>
        <w:t xml:space="preserve">A többéves pénzügyi keret mely fejezetét/fejezeteit és a költségvetés mely kiadási tételét/tételeit érintik a kiadások? </w:t>
      </w:r>
    </w:p>
    <w:p w:rsidR="008949F5" w:rsidRDefault="004A11FE">
      <w:pPr>
        <w:pStyle w:val="ListBullet1"/>
        <w:rPr>
          <w:noProof/>
        </w:rPr>
      </w:pPr>
      <w:r>
        <w:rPr>
          <w:noProof/>
        </w:rPr>
        <w:t xml:space="preserve">Létrehozandó új költségvetési tételek </w:t>
      </w:r>
    </w:p>
    <w:p w:rsidR="008949F5" w:rsidRDefault="004A11FE">
      <w:pPr>
        <w:pStyle w:val="Text1"/>
        <w:rPr>
          <w:i/>
          <w:noProof/>
          <w:sz w:val="20"/>
        </w:rPr>
      </w:pPr>
      <w:r>
        <w:rPr>
          <w:noProof/>
        </w:rPr>
        <w:t xml:space="preserve">A többéves pénzügyi keret fejezetei, azon belül pedig a költségvetési tételek </w:t>
      </w:r>
      <w:r>
        <w:rPr>
          <w:noProof/>
          <w:u w:val="single"/>
        </w:rPr>
        <w:t>sorrendjében</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8949F5">
        <w:tc>
          <w:tcPr>
            <w:tcW w:w="1080" w:type="dxa"/>
            <w:vMerge w:val="restart"/>
            <w:vAlign w:val="center"/>
          </w:tcPr>
          <w:p w:rsidR="008949F5" w:rsidRDefault="004A11FE">
            <w:pPr>
              <w:spacing w:before="60" w:after="60"/>
              <w:jc w:val="center"/>
              <w:rPr>
                <w:noProof/>
                <w:sz w:val="18"/>
                <w:szCs w:val="18"/>
              </w:rPr>
            </w:pPr>
            <w:r>
              <w:rPr>
                <w:noProof/>
                <w:sz w:val="18"/>
              </w:rPr>
              <w:t xml:space="preserve">A </w:t>
            </w:r>
            <w:r>
              <w:rPr>
                <w:noProof/>
                <w:sz w:val="18"/>
              </w:rPr>
              <w:t>többéves pénzügyi keret fejezete</w:t>
            </w:r>
          </w:p>
        </w:tc>
        <w:tc>
          <w:tcPr>
            <w:tcW w:w="3960" w:type="dxa"/>
            <w:vAlign w:val="center"/>
          </w:tcPr>
          <w:p w:rsidR="008949F5" w:rsidRDefault="004A11FE">
            <w:pPr>
              <w:spacing w:before="60" w:after="60"/>
              <w:jc w:val="center"/>
              <w:rPr>
                <w:noProof/>
              </w:rPr>
            </w:pPr>
            <w:r>
              <w:rPr>
                <w:noProof/>
                <w:sz w:val="20"/>
              </w:rPr>
              <w:t>Költségvetési tétel</w:t>
            </w:r>
          </w:p>
        </w:tc>
        <w:tc>
          <w:tcPr>
            <w:tcW w:w="1080" w:type="dxa"/>
            <w:vAlign w:val="center"/>
          </w:tcPr>
          <w:p w:rsidR="008949F5" w:rsidRDefault="004A11FE">
            <w:pPr>
              <w:spacing w:before="60" w:after="60"/>
              <w:jc w:val="center"/>
              <w:rPr>
                <w:noProof/>
              </w:rPr>
            </w:pPr>
            <w:r>
              <w:rPr>
                <w:noProof/>
                <w:sz w:val="18"/>
              </w:rPr>
              <w:t>Kiadás</w:t>
            </w:r>
            <w:r>
              <w:rPr>
                <w:noProof/>
                <w:sz w:val="22"/>
              </w:rPr>
              <w:br/>
            </w:r>
            <w:r>
              <w:rPr>
                <w:noProof/>
                <w:sz w:val="18"/>
              </w:rPr>
              <w:t>típusa</w:t>
            </w:r>
          </w:p>
        </w:tc>
        <w:tc>
          <w:tcPr>
            <w:tcW w:w="4440" w:type="dxa"/>
            <w:gridSpan w:val="4"/>
            <w:vAlign w:val="center"/>
          </w:tcPr>
          <w:p w:rsidR="008949F5" w:rsidRDefault="004A11FE">
            <w:pPr>
              <w:spacing w:before="60" w:after="60"/>
              <w:jc w:val="center"/>
              <w:rPr>
                <w:noProof/>
              </w:rPr>
            </w:pPr>
            <w:r>
              <w:rPr>
                <w:noProof/>
                <w:sz w:val="20"/>
              </w:rPr>
              <w:t xml:space="preserve">Hozzájárulás </w:t>
            </w:r>
          </w:p>
        </w:tc>
      </w:tr>
      <w:tr w:rsidR="008949F5">
        <w:tc>
          <w:tcPr>
            <w:tcW w:w="1080" w:type="dxa"/>
            <w:vMerge/>
            <w:vAlign w:val="center"/>
          </w:tcPr>
          <w:p w:rsidR="008949F5" w:rsidRDefault="008949F5">
            <w:pPr>
              <w:jc w:val="center"/>
              <w:rPr>
                <w:noProof/>
              </w:rPr>
            </w:pPr>
          </w:p>
        </w:tc>
        <w:tc>
          <w:tcPr>
            <w:tcW w:w="3960" w:type="dxa"/>
            <w:vAlign w:val="center"/>
          </w:tcPr>
          <w:p w:rsidR="008949F5" w:rsidRDefault="004A11FE">
            <w:pPr>
              <w:rPr>
                <w:noProof/>
              </w:rPr>
            </w:pPr>
            <w:r>
              <w:rPr>
                <w:noProof/>
                <w:sz w:val="20"/>
              </w:rPr>
              <w:t>1a. Versenyképesség a növekedésért és a foglalkoztatásért</w:t>
            </w:r>
          </w:p>
        </w:tc>
        <w:tc>
          <w:tcPr>
            <w:tcW w:w="1080" w:type="dxa"/>
            <w:vAlign w:val="center"/>
          </w:tcPr>
          <w:p w:rsidR="008949F5" w:rsidRDefault="004A11FE">
            <w:pPr>
              <w:jc w:val="center"/>
              <w:rPr>
                <w:noProof/>
              </w:rPr>
            </w:pPr>
            <w:r>
              <w:rPr>
                <w:noProof/>
                <w:sz w:val="18"/>
              </w:rPr>
              <w:t>diff./nem diff.</w:t>
            </w:r>
          </w:p>
        </w:tc>
        <w:tc>
          <w:tcPr>
            <w:tcW w:w="956" w:type="dxa"/>
            <w:vAlign w:val="center"/>
          </w:tcPr>
          <w:p w:rsidR="008949F5" w:rsidRDefault="004A11FE">
            <w:pPr>
              <w:jc w:val="center"/>
              <w:rPr>
                <w:noProof/>
                <w:sz w:val="18"/>
              </w:rPr>
            </w:pPr>
            <w:r>
              <w:rPr>
                <w:noProof/>
                <w:sz w:val="18"/>
              </w:rPr>
              <w:t>EFTA-országoktól</w:t>
            </w:r>
          </w:p>
        </w:tc>
        <w:tc>
          <w:tcPr>
            <w:tcW w:w="1080" w:type="dxa"/>
            <w:vAlign w:val="center"/>
          </w:tcPr>
          <w:p w:rsidR="008949F5" w:rsidRDefault="004A11FE">
            <w:pPr>
              <w:jc w:val="center"/>
              <w:rPr>
                <w:noProof/>
                <w:sz w:val="18"/>
              </w:rPr>
            </w:pPr>
            <w:r>
              <w:rPr>
                <w:noProof/>
                <w:sz w:val="18"/>
              </w:rPr>
              <w:t>tagjelölt országoktól</w:t>
            </w:r>
          </w:p>
        </w:tc>
        <w:tc>
          <w:tcPr>
            <w:tcW w:w="956" w:type="dxa"/>
            <w:vAlign w:val="center"/>
          </w:tcPr>
          <w:p w:rsidR="008949F5" w:rsidRDefault="004A11FE">
            <w:pPr>
              <w:jc w:val="center"/>
              <w:rPr>
                <w:noProof/>
                <w:sz w:val="18"/>
              </w:rPr>
            </w:pPr>
            <w:r>
              <w:rPr>
                <w:noProof/>
                <w:sz w:val="18"/>
              </w:rPr>
              <w:t>harmadik országoktól</w:t>
            </w:r>
          </w:p>
        </w:tc>
        <w:tc>
          <w:tcPr>
            <w:tcW w:w="1448" w:type="dxa"/>
            <w:vAlign w:val="center"/>
          </w:tcPr>
          <w:p w:rsidR="008949F5" w:rsidRDefault="004A11FE">
            <w:pPr>
              <w:jc w:val="center"/>
              <w:rPr>
                <w:noProof/>
              </w:rPr>
            </w:pPr>
            <w:r>
              <w:rPr>
                <w:noProof/>
                <w:sz w:val="16"/>
              </w:rPr>
              <w:t xml:space="preserve">a költségvetési rendelet 21. cikke (2) </w:t>
            </w:r>
            <w:r>
              <w:rPr>
                <w:noProof/>
                <w:sz w:val="16"/>
              </w:rPr>
              <w:t xml:space="preserve">bekezdésének b) pontja értelmében </w:t>
            </w:r>
          </w:p>
        </w:tc>
      </w:tr>
      <w:tr w:rsidR="008949F5">
        <w:tc>
          <w:tcPr>
            <w:tcW w:w="1080" w:type="dxa"/>
            <w:vAlign w:val="center"/>
          </w:tcPr>
          <w:p w:rsidR="008949F5" w:rsidRDefault="008949F5">
            <w:pPr>
              <w:jc w:val="center"/>
              <w:rPr>
                <w:noProof/>
                <w:color w:val="0000FF"/>
              </w:rPr>
            </w:pPr>
          </w:p>
        </w:tc>
        <w:tc>
          <w:tcPr>
            <w:tcW w:w="3960" w:type="dxa"/>
            <w:vAlign w:val="center"/>
          </w:tcPr>
          <w:p w:rsidR="008949F5" w:rsidRDefault="004A11FE">
            <w:pPr>
              <w:spacing w:after="60"/>
              <w:rPr>
                <w:noProof/>
              </w:rPr>
            </w:pPr>
            <w:r>
              <w:rPr>
                <w:b/>
                <w:noProof/>
                <w:sz w:val="20"/>
              </w:rPr>
              <w:t xml:space="preserve">09 03 04 Vezeték nélküli kapcsolat az EU szolgálatában (W4EU)  </w:t>
            </w:r>
          </w:p>
        </w:tc>
        <w:tc>
          <w:tcPr>
            <w:tcW w:w="1080" w:type="dxa"/>
            <w:vAlign w:val="center"/>
          </w:tcPr>
          <w:p w:rsidR="008949F5" w:rsidRDefault="004A11FE">
            <w:pPr>
              <w:jc w:val="center"/>
              <w:rPr>
                <w:noProof/>
              </w:rPr>
            </w:pPr>
            <w:r>
              <w:rPr>
                <w:noProof/>
              </w:rPr>
              <w:t>diff.</w:t>
            </w:r>
          </w:p>
        </w:tc>
        <w:tc>
          <w:tcPr>
            <w:tcW w:w="956" w:type="dxa"/>
            <w:vAlign w:val="center"/>
          </w:tcPr>
          <w:p w:rsidR="008949F5" w:rsidRDefault="004A11FE">
            <w:pPr>
              <w:jc w:val="center"/>
              <w:rPr>
                <w:noProof/>
              </w:rPr>
            </w:pPr>
            <w:r>
              <w:rPr>
                <w:noProof/>
                <w:sz w:val="22"/>
              </w:rPr>
              <w:t>IGEN</w:t>
            </w:r>
          </w:p>
        </w:tc>
        <w:tc>
          <w:tcPr>
            <w:tcW w:w="1080" w:type="dxa"/>
            <w:vAlign w:val="center"/>
          </w:tcPr>
          <w:p w:rsidR="008949F5" w:rsidRDefault="004A11FE">
            <w:pPr>
              <w:jc w:val="center"/>
              <w:rPr>
                <w:noProof/>
                <w:color w:val="0000FF"/>
                <w:sz w:val="18"/>
              </w:rPr>
            </w:pPr>
            <w:r>
              <w:rPr>
                <w:noProof/>
                <w:sz w:val="22"/>
              </w:rPr>
              <w:t>NEM</w:t>
            </w:r>
          </w:p>
        </w:tc>
        <w:tc>
          <w:tcPr>
            <w:tcW w:w="956" w:type="dxa"/>
            <w:vAlign w:val="center"/>
          </w:tcPr>
          <w:p w:rsidR="008949F5" w:rsidRDefault="004A11FE">
            <w:pPr>
              <w:jc w:val="center"/>
              <w:rPr>
                <w:noProof/>
                <w:color w:val="0000FF"/>
                <w:sz w:val="18"/>
              </w:rPr>
            </w:pPr>
            <w:r>
              <w:rPr>
                <w:noProof/>
                <w:sz w:val="22"/>
              </w:rPr>
              <w:t>NEM</w:t>
            </w:r>
          </w:p>
        </w:tc>
        <w:tc>
          <w:tcPr>
            <w:tcW w:w="1448" w:type="dxa"/>
            <w:vAlign w:val="center"/>
          </w:tcPr>
          <w:p w:rsidR="008949F5" w:rsidRDefault="004A11FE">
            <w:pPr>
              <w:jc w:val="center"/>
              <w:rPr>
                <w:noProof/>
              </w:rPr>
            </w:pPr>
            <w:r>
              <w:rPr>
                <w:noProof/>
                <w:sz w:val="22"/>
              </w:rPr>
              <w:t>NEM</w:t>
            </w:r>
          </w:p>
        </w:tc>
      </w:tr>
    </w:tbl>
    <w:p w:rsidR="008949F5" w:rsidRDefault="008949F5">
      <w:pPr>
        <w:rPr>
          <w:noProof/>
        </w:rPr>
        <w:sectPr w:rsidR="008949F5" w:rsidSect="004A11FE">
          <w:pgSz w:w="11907" w:h="16840" w:code="1"/>
          <w:pgMar w:top="1134" w:right="1418" w:bottom="1134" w:left="1418" w:header="709" w:footer="709" w:gutter="0"/>
          <w:cols w:space="708"/>
          <w:docGrid w:linePitch="360"/>
        </w:sectPr>
      </w:pPr>
    </w:p>
    <w:p w:rsidR="008949F5" w:rsidRDefault="004A11FE">
      <w:pPr>
        <w:pStyle w:val="ManualHeading2"/>
        <w:rPr>
          <w:bCs/>
          <w:noProof/>
          <w:szCs w:val="24"/>
        </w:rPr>
      </w:pPr>
      <w:r>
        <w:t>3.2.</w:t>
      </w:r>
      <w:r>
        <w:tab/>
      </w:r>
      <w:r>
        <w:rPr>
          <w:noProof/>
        </w:rPr>
        <w:t xml:space="preserve">A kiadásokra gyakorolt becsült hatás </w:t>
      </w:r>
    </w:p>
    <w:p w:rsidR="008949F5" w:rsidRDefault="004A11FE">
      <w:pPr>
        <w:pStyle w:val="Text1"/>
        <w:rPr>
          <w:noProof/>
        </w:rPr>
      </w:pPr>
      <w:r>
        <w:rPr>
          <w:noProof/>
          <w:highlight w:val="lightGray"/>
        </w:rPr>
        <w:t xml:space="preserve">[Ezt a részt az </w:t>
      </w:r>
      <w:hyperlink r:id="rId18">
        <w:r>
          <w:rPr>
            <w:rStyle w:val="Hyperlink"/>
            <w:rFonts w:ascii="Times New Roman" w:hAnsi="Times New Roman"/>
            <w:b/>
            <w:noProof/>
            <w:highlight w:val="lightGray"/>
          </w:rPr>
          <w:t>igazgatási jellegű költségvetési adatok táblázatában</w:t>
        </w:r>
      </w:hyperlink>
      <w:r>
        <w:rPr>
          <w:noProof/>
          <w:highlight w:val="lightGray"/>
        </w:rPr>
        <w:t xml:space="preserve"> (a pénzügyi kimutatás mellékletében található második dokumentum) kell kitölteni, és a szolgálatközi konzultációhoz fel kell </w:t>
      </w:r>
      <w:r>
        <w:rPr>
          <w:noProof/>
          <w:highlight w:val="lightGray"/>
        </w:rPr>
        <w:t>tölteni a DECIDE-re.]</w:t>
      </w:r>
    </w:p>
    <w:p w:rsidR="008949F5" w:rsidRDefault="004A11FE">
      <w:pPr>
        <w:pStyle w:val="ManualHeading3"/>
        <w:rPr>
          <w:noProof/>
          <w:u w:val="single"/>
        </w:rPr>
      </w:pPr>
      <w:r>
        <w:t>3.2.1.</w:t>
      </w:r>
      <w:r>
        <w:tab/>
      </w:r>
      <w:r>
        <w:rPr>
          <w:noProof/>
        </w:rPr>
        <w:t xml:space="preserve">A kiadásokra gyakorolt becsült hatás összegzése </w:t>
      </w:r>
    </w:p>
    <w:p w:rsidR="008949F5" w:rsidRDefault="004A11FE">
      <w:pPr>
        <w:jc w:val="right"/>
        <w:rPr>
          <w:noProof/>
          <w:sz w:val="20"/>
        </w:rPr>
      </w:pPr>
      <w:r>
        <w:rPr>
          <w:noProof/>
          <w:sz w:val="20"/>
        </w:rPr>
        <w:t>millió EUR (három tizedesjegyig)</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9"/>
        <w:gridCol w:w="960"/>
        <w:gridCol w:w="7102"/>
      </w:tblGrid>
      <w:tr w:rsidR="008949F5">
        <w:trPr>
          <w:jc w:val="center"/>
        </w:trPr>
        <w:tc>
          <w:tcPr>
            <w:tcW w:w="5579" w:type="dxa"/>
            <w:shd w:val="thinDiagStripe" w:color="C0C0C0" w:fill="auto"/>
            <w:vAlign w:val="center"/>
          </w:tcPr>
          <w:p w:rsidR="008949F5" w:rsidRDefault="004A11FE">
            <w:pPr>
              <w:spacing w:before="60" w:after="60"/>
              <w:jc w:val="center"/>
              <w:rPr>
                <w:b/>
                <w:noProof/>
              </w:rPr>
            </w:pPr>
            <w:r>
              <w:rPr>
                <w:b/>
                <w:noProof/>
              </w:rPr>
              <w:t>A többéves pénzügyi keret fejezete</w:t>
            </w:r>
            <w:r>
              <w:rPr>
                <w:noProof/>
                <w:sz w:val="22"/>
              </w:rPr>
              <w:br/>
            </w:r>
            <w:r>
              <w:rPr>
                <w:b/>
                <w:noProof/>
                <w:sz w:val="22"/>
              </w:rPr>
              <w:t xml:space="preserve"> </w:t>
            </w:r>
          </w:p>
        </w:tc>
        <w:tc>
          <w:tcPr>
            <w:tcW w:w="960" w:type="dxa"/>
            <w:vAlign w:val="center"/>
          </w:tcPr>
          <w:p w:rsidR="008949F5" w:rsidRDefault="004A11FE">
            <w:pPr>
              <w:spacing w:before="60" w:after="60"/>
              <w:jc w:val="center"/>
              <w:rPr>
                <w:b/>
                <w:noProof/>
                <w:sz w:val="22"/>
              </w:rPr>
            </w:pPr>
            <w:r>
              <w:rPr>
                <w:b/>
                <w:noProof/>
                <w:sz w:val="22"/>
              </w:rPr>
              <w:t>1a</w:t>
            </w:r>
          </w:p>
        </w:tc>
        <w:tc>
          <w:tcPr>
            <w:tcW w:w="7102" w:type="dxa"/>
            <w:vAlign w:val="center"/>
          </w:tcPr>
          <w:p w:rsidR="008949F5" w:rsidRDefault="004A11FE">
            <w:pPr>
              <w:spacing w:before="60" w:after="60"/>
              <w:rPr>
                <w:noProof/>
              </w:rPr>
            </w:pPr>
            <w:r>
              <w:rPr>
                <w:noProof/>
              </w:rPr>
              <w:t xml:space="preserve"> </w:t>
            </w:r>
            <w:r>
              <w:rPr>
                <w:noProof/>
                <w:sz w:val="22"/>
              </w:rPr>
              <w:t>Versenyképesség a növekedésért és a foglalkoztatásért</w:t>
            </w:r>
          </w:p>
        </w:tc>
      </w:tr>
    </w:tbl>
    <w:p w:rsidR="008949F5" w:rsidRDefault="008949F5">
      <w:pPr>
        <w:rPr>
          <w:noProof/>
          <w:sz w:val="16"/>
        </w:rPr>
      </w:pPr>
    </w:p>
    <w:p w:rsidR="008949F5" w:rsidRDefault="004A11FE">
      <w:pPr>
        <w:pStyle w:val="Text1"/>
        <w:ind w:right="804"/>
        <w:rPr>
          <w:noProof/>
        </w:rPr>
      </w:pPr>
      <w:r>
        <w:rPr>
          <w:noProof/>
        </w:rPr>
        <w:t>Az e javaslat által szükségessé tett előirányzatokat teljes mértékben a 2014–2020 közötti többéves pénzügyi keretből kell finanszírozni. Az alábbiak szerint a programozott összegeken belül 70 millió EUR-t át kell csoportosítani az Európai Hálózatfinanszíro</w:t>
      </w:r>
      <w:r>
        <w:rPr>
          <w:noProof/>
        </w:rPr>
        <w:t xml:space="preserve">zási Eszköz távközlési területére a 2017–2020-as időszakra, míg 50 millió EUR-t a le nem kötött keret felhasználásával kell finanszírozni. </w:t>
      </w:r>
    </w:p>
    <w:p w:rsidR="008949F5" w:rsidRDefault="008949F5">
      <w:pPr>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60"/>
        <w:gridCol w:w="1680"/>
        <w:gridCol w:w="1560"/>
        <w:gridCol w:w="1680"/>
        <w:gridCol w:w="1560"/>
      </w:tblGrid>
      <w:tr w:rsidR="008949F5">
        <w:trPr>
          <w:trHeight w:val="416"/>
        </w:trPr>
        <w:tc>
          <w:tcPr>
            <w:tcW w:w="5520" w:type="dxa"/>
            <w:shd w:val="clear" w:color="auto" w:fill="auto"/>
          </w:tcPr>
          <w:p w:rsidR="008949F5" w:rsidRDefault="004A11FE">
            <w:pPr>
              <w:pStyle w:val="Text1"/>
              <w:ind w:left="0"/>
              <w:rPr>
                <w:b/>
                <w:noProof/>
                <w:sz w:val="18"/>
                <w:szCs w:val="18"/>
              </w:rPr>
            </w:pPr>
            <w:r>
              <w:rPr>
                <w:b/>
                <w:noProof/>
                <w:sz w:val="22"/>
              </w:rPr>
              <w:t>A kezdeményezés pénzügyi forrásai</w:t>
            </w:r>
          </w:p>
        </w:tc>
        <w:tc>
          <w:tcPr>
            <w:tcW w:w="1560" w:type="dxa"/>
          </w:tcPr>
          <w:p w:rsidR="008949F5" w:rsidRDefault="004A11FE">
            <w:pPr>
              <w:jc w:val="center"/>
              <w:rPr>
                <w:b/>
                <w:noProof/>
                <w:sz w:val="20"/>
              </w:rPr>
            </w:pPr>
            <w:r>
              <w:rPr>
                <w:b/>
                <w:noProof/>
                <w:sz w:val="20"/>
              </w:rPr>
              <w:t>2017</w:t>
            </w:r>
          </w:p>
        </w:tc>
        <w:tc>
          <w:tcPr>
            <w:tcW w:w="1680" w:type="dxa"/>
          </w:tcPr>
          <w:p w:rsidR="008949F5" w:rsidRDefault="004A11FE">
            <w:pPr>
              <w:jc w:val="center"/>
              <w:rPr>
                <w:b/>
                <w:noProof/>
                <w:sz w:val="20"/>
              </w:rPr>
            </w:pPr>
            <w:r>
              <w:rPr>
                <w:b/>
                <w:noProof/>
                <w:sz w:val="20"/>
              </w:rPr>
              <w:t>2018</w:t>
            </w:r>
          </w:p>
        </w:tc>
        <w:tc>
          <w:tcPr>
            <w:tcW w:w="1560" w:type="dxa"/>
            <w:shd w:val="clear" w:color="auto" w:fill="auto"/>
          </w:tcPr>
          <w:p w:rsidR="008949F5" w:rsidRDefault="004A11FE">
            <w:pPr>
              <w:jc w:val="center"/>
              <w:rPr>
                <w:b/>
                <w:noProof/>
                <w:sz w:val="20"/>
              </w:rPr>
            </w:pPr>
            <w:r>
              <w:rPr>
                <w:b/>
                <w:noProof/>
                <w:sz w:val="20"/>
              </w:rPr>
              <w:t>2019</w:t>
            </w:r>
          </w:p>
        </w:tc>
        <w:tc>
          <w:tcPr>
            <w:tcW w:w="1680" w:type="dxa"/>
            <w:shd w:val="clear" w:color="auto" w:fill="auto"/>
          </w:tcPr>
          <w:p w:rsidR="008949F5" w:rsidRDefault="004A11FE">
            <w:pPr>
              <w:jc w:val="center"/>
              <w:rPr>
                <w:b/>
                <w:noProof/>
                <w:sz w:val="20"/>
              </w:rPr>
            </w:pPr>
            <w:r>
              <w:rPr>
                <w:b/>
                <w:noProof/>
                <w:sz w:val="20"/>
              </w:rPr>
              <w:t>2020</w:t>
            </w:r>
          </w:p>
        </w:tc>
        <w:tc>
          <w:tcPr>
            <w:tcW w:w="1560" w:type="dxa"/>
            <w:shd w:val="clear" w:color="auto" w:fill="auto"/>
          </w:tcPr>
          <w:p w:rsidR="008949F5" w:rsidRDefault="004A11FE">
            <w:pPr>
              <w:jc w:val="center"/>
              <w:rPr>
                <w:b/>
                <w:noProof/>
                <w:sz w:val="20"/>
              </w:rPr>
            </w:pPr>
            <w:r>
              <w:rPr>
                <w:b/>
                <w:noProof/>
                <w:sz w:val="20"/>
              </w:rPr>
              <w:t>Összesen</w:t>
            </w:r>
          </w:p>
        </w:tc>
      </w:tr>
      <w:tr w:rsidR="008949F5">
        <w:trPr>
          <w:trHeight w:val="488"/>
        </w:trPr>
        <w:tc>
          <w:tcPr>
            <w:tcW w:w="5520" w:type="dxa"/>
            <w:shd w:val="clear" w:color="auto" w:fill="auto"/>
            <w:vAlign w:val="center"/>
          </w:tcPr>
          <w:p w:rsidR="008949F5" w:rsidRDefault="004A11FE">
            <w:pPr>
              <w:pStyle w:val="Text1"/>
              <w:ind w:left="0"/>
              <w:jc w:val="left"/>
              <w:rPr>
                <w:b/>
                <w:noProof/>
                <w:sz w:val="20"/>
                <w:szCs w:val="18"/>
              </w:rPr>
            </w:pPr>
            <w:r>
              <w:rPr>
                <w:b/>
                <w:noProof/>
                <w:sz w:val="20"/>
              </w:rPr>
              <w:t>09 03 02 A távközlési infrastrukturális projektekre</w:t>
            </w:r>
            <w:r>
              <w:rPr>
                <w:b/>
                <w:noProof/>
                <w:sz w:val="20"/>
              </w:rPr>
              <w:t xml:space="preserve"> irányuló magánberuházások számára kedvezőbb környezet létrehozása – Széles sáv az Európai Hálózatfinanszírozási Eszköz keretében</w:t>
            </w:r>
          </w:p>
        </w:tc>
        <w:tc>
          <w:tcPr>
            <w:tcW w:w="1560" w:type="dxa"/>
            <w:vAlign w:val="center"/>
          </w:tcPr>
          <w:p w:rsidR="008949F5" w:rsidRDefault="004A11FE">
            <w:pPr>
              <w:pStyle w:val="Text1"/>
              <w:ind w:left="0"/>
              <w:jc w:val="left"/>
              <w:rPr>
                <w:noProof/>
                <w:sz w:val="18"/>
                <w:szCs w:val="18"/>
              </w:rPr>
            </w:pPr>
            <w:r>
              <w:rPr>
                <w:noProof/>
                <w:sz w:val="18"/>
              </w:rPr>
              <w:t>19,422</w:t>
            </w:r>
          </w:p>
        </w:tc>
        <w:tc>
          <w:tcPr>
            <w:tcW w:w="1680" w:type="dxa"/>
            <w:vAlign w:val="center"/>
          </w:tcPr>
          <w:p w:rsidR="008949F5" w:rsidRDefault="004A11FE">
            <w:pPr>
              <w:pStyle w:val="Text1"/>
              <w:ind w:left="0"/>
              <w:jc w:val="left"/>
              <w:rPr>
                <w:noProof/>
                <w:sz w:val="18"/>
                <w:szCs w:val="18"/>
              </w:rPr>
            </w:pPr>
            <w:r>
              <w:rPr>
                <w:noProof/>
                <w:sz w:val="18"/>
              </w:rPr>
              <w:t>19,967</w:t>
            </w:r>
          </w:p>
        </w:tc>
        <w:tc>
          <w:tcPr>
            <w:tcW w:w="1560" w:type="dxa"/>
            <w:shd w:val="clear" w:color="auto" w:fill="auto"/>
            <w:vAlign w:val="center"/>
          </w:tcPr>
          <w:p w:rsidR="008949F5" w:rsidRDefault="008949F5">
            <w:pPr>
              <w:pStyle w:val="Text1"/>
              <w:ind w:left="0"/>
              <w:jc w:val="left"/>
              <w:rPr>
                <w:noProof/>
                <w:sz w:val="18"/>
                <w:szCs w:val="18"/>
              </w:rPr>
            </w:pPr>
          </w:p>
        </w:tc>
        <w:tc>
          <w:tcPr>
            <w:tcW w:w="1680" w:type="dxa"/>
            <w:shd w:val="clear" w:color="auto" w:fill="auto"/>
            <w:vAlign w:val="center"/>
          </w:tcPr>
          <w:p w:rsidR="008949F5" w:rsidRDefault="008949F5">
            <w:pPr>
              <w:pStyle w:val="Text1"/>
              <w:ind w:left="0"/>
              <w:jc w:val="left"/>
              <w:rPr>
                <w:noProof/>
                <w:sz w:val="18"/>
                <w:szCs w:val="18"/>
              </w:rPr>
            </w:pPr>
          </w:p>
        </w:tc>
        <w:tc>
          <w:tcPr>
            <w:tcW w:w="1560" w:type="dxa"/>
            <w:shd w:val="clear" w:color="auto" w:fill="auto"/>
            <w:vAlign w:val="center"/>
          </w:tcPr>
          <w:p w:rsidR="008949F5" w:rsidRDefault="004A11FE">
            <w:pPr>
              <w:pStyle w:val="Text1"/>
              <w:ind w:left="0"/>
              <w:jc w:val="left"/>
              <w:rPr>
                <w:noProof/>
                <w:sz w:val="18"/>
                <w:szCs w:val="18"/>
              </w:rPr>
            </w:pPr>
            <w:r>
              <w:rPr>
                <w:noProof/>
                <w:sz w:val="18"/>
              </w:rPr>
              <w:t>39,389</w:t>
            </w:r>
          </w:p>
        </w:tc>
      </w:tr>
      <w:tr w:rsidR="008949F5">
        <w:trPr>
          <w:trHeight w:val="801"/>
        </w:trPr>
        <w:tc>
          <w:tcPr>
            <w:tcW w:w="5520" w:type="dxa"/>
            <w:shd w:val="clear" w:color="auto" w:fill="auto"/>
            <w:vAlign w:val="center"/>
          </w:tcPr>
          <w:p w:rsidR="008949F5" w:rsidRDefault="004A11FE">
            <w:pPr>
              <w:jc w:val="left"/>
              <w:rPr>
                <w:b/>
                <w:noProof/>
                <w:sz w:val="20"/>
                <w:szCs w:val="18"/>
              </w:rPr>
            </w:pPr>
            <w:r>
              <w:rPr>
                <w:b/>
                <w:noProof/>
                <w:sz w:val="20"/>
              </w:rPr>
              <w:t xml:space="preserve">09 03 03 A transzeurópai digitális szolgáltatási infrastruktúrák átjárhatóságának, fenntartható </w:t>
            </w:r>
            <w:r>
              <w:rPr>
                <w:b/>
                <w:noProof/>
                <w:sz w:val="20"/>
              </w:rPr>
              <w:t>telepítésének, működtetésének és fejlesztésének, valamint európai szintű koordinációjának előmozdítása</w:t>
            </w:r>
          </w:p>
        </w:tc>
        <w:tc>
          <w:tcPr>
            <w:tcW w:w="1560" w:type="dxa"/>
            <w:vAlign w:val="center"/>
          </w:tcPr>
          <w:p w:rsidR="008949F5" w:rsidRDefault="004A11FE">
            <w:pPr>
              <w:pStyle w:val="Text1"/>
              <w:ind w:left="0"/>
              <w:jc w:val="left"/>
              <w:rPr>
                <w:noProof/>
                <w:sz w:val="18"/>
                <w:szCs w:val="18"/>
              </w:rPr>
            </w:pPr>
            <w:r>
              <w:rPr>
                <w:noProof/>
                <w:sz w:val="18"/>
              </w:rPr>
              <w:t>0,578</w:t>
            </w:r>
          </w:p>
        </w:tc>
        <w:tc>
          <w:tcPr>
            <w:tcW w:w="1680" w:type="dxa"/>
            <w:vAlign w:val="center"/>
          </w:tcPr>
          <w:p w:rsidR="008949F5" w:rsidRDefault="008949F5">
            <w:pPr>
              <w:pStyle w:val="Text1"/>
              <w:ind w:left="0"/>
              <w:jc w:val="left"/>
              <w:rPr>
                <w:noProof/>
                <w:sz w:val="18"/>
                <w:szCs w:val="18"/>
              </w:rPr>
            </w:pPr>
          </w:p>
        </w:tc>
        <w:tc>
          <w:tcPr>
            <w:tcW w:w="1560" w:type="dxa"/>
            <w:shd w:val="clear" w:color="auto" w:fill="auto"/>
            <w:vAlign w:val="center"/>
          </w:tcPr>
          <w:p w:rsidR="008949F5" w:rsidRDefault="008949F5">
            <w:pPr>
              <w:pStyle w:val="Text1"/>
              <w:ind w:left="0"/>
              <w:jc w:val="left"/>
              <w:rPr>
                <w:noProof/>
                <w:sz w:val="18"/>
                <w:szCs w:val="18"/>
              </w:rPr>
            </w:pPr>
          </w:p>
        </w:tc>
        <w:tc>
          <w:tcPr>
            <w:tcW w:w="1680" w:type="dxa"/>
            <w:shd w:val="clear" w:color="auto" w:fill="auto"/>
            <w:vAlign w:val="center"/>
          </w:tcPr>
          <w:p w:rsidR="008949F5" w:rsidRDefault="004A11FE">
            <w:pPr>
              <w:pStyle w:val="Text1"/>
              <w:ind w:left="0"/>
              <w:jc w:val="left"/>
              <w:rPr>
                <w:noProof/>
                <w:sz w:val="18"/>
                <w:szCs w:val="18"/>
              </w:rPr>
            </w:pPr>
            <w:r>
              <w:rPr>
                <w:noProof/>
                <w:sz w:val="18"/>
              </w:rPr>
              <w:t>0,350</w:t>
            </w:r>
          </w:p>
        </w:tc>
        <w:tc>
          <w:tcPr>
            <w:tcW w:w="1560" w:type="dxa"/>
            <w:shd w:val="clear" w:color="auto" w:fill="auto"/>
            <w:vAlign w:val="center"/>
          </w:tcPr>
          <w:p w:rsidR="008949F5" w:rsidRDefault="004A11FE">
            <w:pPr>
              <w:pStyle w:val="Text1"/>
              <w:ind w:left="0"/>
              <w:jc w:val="left"/>
              <w:rPr>
                <w:noProof/>
                <w:sz w:val="18"/>
                <w:szCs w:val="18"/>
              </w:rPr>
            </w:pPr>
            <w:r>
              <w:rPr>
                <w:noProof/>
                <w:sz w:val="18"/>
              </w:rPr>
              <w:t>0,928</w:t>
            </w:r>
          </w:p>
        </w:tc>
      </w:tr>
      <w:tr w:rsidR="008949F5">
        <w:trPr>
          <w:trHeight w:val="464"/>
        </w:trPr>
        <w:tc>
          <w:tcPr>
            <w:tcW w:w="5520" w:type="dxa"/>
            <w:shd w:val="clear" w:color="auto" w:fill="auto"/>
            <w:vAlign w:val="center"/>
          </w:tcPr>
          <w:p w:rsidR="008949F5" w:rsidRDefault="004A11FE">
            <w:pPr>
              <w:jc w:val="left"/>
              <w:rPr>
                <w:b/>
                <w:noProof/>
                <w:sz w:val="20"/>
                <w:szCs w:val="18"/>
              </w:rPr>
            </w:pPr>
            <w:r>
              <w:rPr>
                <w:b/>
                <w:noProof/>
                <w:sz w:val="20"/>
              </w:rPr>
              <w:t>09 04 02 01 Vezető szerep az információs és kommunikációs technológiák területén (LEIT)</w:t>
            </w:r>
          </w:p>
        </w:tc>
        <w:tc>
          <w:tcPr>
            <w:tcW w:w="1560" w:type="dxa"/>
            <w:vAlign w:val="center"/>
          </w:tcPr>
          <w:p w:rsidR="008949F5" w:rsidRDefault="008949F5">
            <w:pPr>
              <w:pStyle w:val="Text1"/>
              <w:ind w:left="0"/>
              <w:jc w:val="left"/>
              <w:rPr>
                <w:noProof/>
                <w:sz w:val="18"/>
                <w:szCs w:val="18"/>
              </w:rPr>
            </w:pPr>
          </w:p>
        </w:tc>
        <w:tc>
          <w:tcPr>
            <w:tcW w:w="1680" w:type="dxa"/>
            <w:vAlign w:val="center"/>
          </w:tcPr>
          <w:p w:rsidR="008949F5" w:rsidRDefault="004A11FE">
            <w:pPr>
              <w:pStyle w:val="Text1"/>
              <w:ind w:left="0"/>
              <w:jc w:val="left"/>
              <w:rPr>
                <w:noProof/>
                <w:sz w:val="18"/>
                <w:szCs w:val="18"/>
              </w:rPr>
            </w:pPr>
            <w:r>
              <w:rPr>
                <w:noProof/>
                <w:sz w:val="18"/>
              </w:rPr>
              <w:t>30,033</w:t>
            </w:r>
            <w:r>
              <w:rPr>
                <w:rStyle w:val="FootnoteReference"/>
                <w:noProof/>
                <w:sz w:val="18"/>
              </w:rPr>
              <w:footnoteReference w:id="21"/>
            </w:r>
          </w:p>
        </w:tc>
        <w:tc>
          <w:tcPr>
            <w:tcW w:w="1560" w:type="dxa"/>
            <w:shd w:val="clear" w:color="auto" w:fill="auto"/>
            <w:vAlign w:val="center"/>
          </w:tcPr>
          <w:p w:rsidR="008949F5" w:rsidRDefault="008949F5">
            <w:pPr>
              <w:pStyle w:val="Text1"/>
              <w:ind w:left="0"/>
              <w:jc w:val="left"/>
              <w:rPr>
                <w:noProof/>
                <w:sz w:val="18"/>
                <w:szCs w:val="18"/>
              </w:rPr>
            </w:pPr>
          </w:p>
        </w:tc>
        <w:tc>
          <w:tcPr>
            <w:tcW w:w="1680" w:type="dxa"/>
            <w:shd w:val="clear" w:color="auto" w:fill="auto"/>
            <w:vAlign w:val="center"/>
          </w:tcPr>
          <w:p w:rsidR="008949F5" w:rsidRDefault="008949F5">
            <w:pPr>
              <w:pStyle w:val="Text1"/>
              <w:ind w:left="0"/>
              <w:jc w:val="left"/>
              <w:rPr>
                <w:noProof/>
                <w:sz w:val="18"/>
                <w:szCs w:val="18"/>
              </w:rPr>
            </w:pPr>
          </w:p>
        </w:tc>
        <w:tc>
          <w:tcPr>
            <w:tcW w:w="1560" w:type="dxa"/>
            <w:shd w:val="clear" w:color="auto" w:fill="auto"/>
            <w:vAlign w:val="center"/>
          </w:tcPr>
          <w:p w:rsidR="008949F5" w:rsidRDefault="004A11FE">
            <w:pPr>
              <w:pStyle w:val="Text1"/>
              <w:ind w:left="0"/>
              <w:jc w:val="left"/>
              <w:rPr>
                <w:noProof/>
                <w:sz w:val="18"/>
                <w:szCs w:val="18"/>
              </w:rPr>
            </w:pPr>
            <w:r>
              <w:rPr>
                <w:noProof/>
                <w:sz w:val="18"/>
              </w:rPr>
              <w:t>30,033</w:t>
            </w:r>
          </w:p>
        </w:tc>
      </w:tr>
      <w:tr w:rsidR="008949F5">
        <w:trPr>
          <w:trHeight w:val="464"/>
        </w:trPr>
        <w:tc>
          <w:tcPr>
            <w:tcW w:w="5520" w:type="dxa"/>
            <w:shd w:val="clear" w:color="auto" w:fill="auto"/>
            <w:vAlign w:val="center"/>
          </w:tcPr>
          <w:p w:rsidR="008949F5" w:rsidRDefault="004A11FE">
            <w:pPr>
              <w:jc w:val="left"/>
              <w:rPr>
                <w:b/>
                <w:noProof/>
                <w:sz w:val="20"/>
                <w:szCs w:val="18"/>
              </w:rPr>
            </w:pPr>
            <w:r>
              <w:rPr>
                <w:b/>
                <w:noProof/>
                <w:sz w:val="20"/>
              </w:rPr>
              <w:t xml:space="preserve">1a. fejezet, le nem </w:t>
            </w:r>
            <w:r>
              <w:rPr>
                <w:b/>
                <w:noProof/>
                <w:sz w:val="20"/>
              </w:rPr>
              <w:t>kötött keret</w:t>
            </w:r>
          </w:p>
        </w:tc>
        <w:tc>
          <w:tcPr>
            <w:tcW w:w="1560" w:type="dxa"/>
            <w:vAlign w:val="center"/>
          </w:tcPr>
          <w:p w:rsidR="008949F5" w:rsidRDefault="008949F5">
            <w:pPr>
              <w:pStyle w:val="Text1"/>
              <w:ind w:left="0"/>
              <w:jc w:val="left"/>
              <w:rPr>
                <w:noProof/>
                <w:sz w:val="18"/>
                <w:szCs w:val="18"/>
              </w:rPr>
            </w:pPr>
          </w:p>
        </w:tc>
        <w:tc>
          <w:tcPr>
            <w:tcW w:w="1680" w:type="dxa"/>
            <w:vAlign w:val="center"/>
          </w:tcPr>
          <w:p w:rsidR="008949F5" w:rsidRDefault="008949F5">
            <w:pPr>
              <w:pStyle w:val="Text1"/>
              <w:ind w:left="0"/>
              <w:jc w:val="left"/>
              <w:rPr>
                <w:noProof/>
                <w:sz w:val="18"/>
                <w:szCs w:val="18"/>
              </w:rPr>
            </w:pPr>
          </w:p>
        </w:tc>
        <w:tc>
          <w:tcPr>
            <w:tcW w:w="1560" w:type="dxa"/>
            <w:shd w:val="clear" w:color="auto" w:fill="auto"/>
            <w:vAlign w:val="center"/>
          </w:tcPr>
          <w:p w:rsidR="008949F5" w:rsidRDefault="004A11FE">
            <w:pPr>
              <w:pStyle w:val="Text1"/>
              <w:ind w:left="0"/>
              <w:jc w:val="left"/>
              <w:rPr>
                <w:noProof/>
                <w:sz w:val="18"/>
                <w:szCs w:val="18"/>
              </w:rPr>
            </w:pPr>
            <w:r>
              <w:rPr>
                <w:noProof/>
                <w:sz w:val="18"/>
              </w:rPr>
              <w:t>49,650</w:t>
            </w:r>
          </w:p>
        </w:tc>
        <w:tc>
          <w:tcPr>
            <w:tcW w:w="1680" w:type="dxa"/>
            <w:shd w:val="clear" w:color="auto" w:fill="auto"/>
            <w:vAlign w:val="center"/>
          </w:tcPr>
          <w:p w:rsidR="008949F5" w:rsidRDefault="008949F5">
            <w:pPr>
              <w:pStyle w:val="Text1"/>
              <w:ind w:left="0"/>
              <w:jc w:val="left"/>
              <w:rPr>
                <w:noProof/>
                <w:sz w:val="18"/>
                <w:szCs w:val="18"/>
              </w:rPr>
            </w:pPr>
          </w:p>
        </w:tc>
        <w:tc>
          <w:tcPr>
            <w:tcW w:w="1560" w:type="dxa"/>
            <w:shd w:val="clear" w:color="auto" w:fill="auto"/>
            <w:vAlign w:val="center"/>
          </w:tcPr>
          <w:p w:rsidR="008949F5" w:rsidRDefault="004A11FE">
            <w:pPr>
              <w:pStyle w:val="Text1"/>
              <w:ind w:left="0"/>
              <w:jc w:val="left"/>
              <w:rPr>
                <w:noProof/>
                <w:sz w:val="18"/>
                <w:szCs w:val="18"/>
              </w:rPr>
            </w:pPr>
            <w:r>
              <w:rPr>
                <w:noProof/>
                <w:sz w:val="18"/>
              </w:rPr>
              <w:t>49,650</w:t>
            </w:r>
          </w:p>
        </w:tc>
      </w:tr>
      <w:tr w:rsidR="008949F5">
        <w:trPr>
          <w:trHeight w:val="344"/>
        </w:trPr>
        <w:tc>
          <w:tcPr>
            <w:tcW w:w="5520" w:type="dxa"/>
            <w:shd w:val="clear" w:color="auto" w:fill="auto"/>
            <w:vAlign w:val="center"/>
          </w:tcPr>
          <w:p w:rsidR="008949F5" w:rsidRDefault="004A11FE">
            <w:pPr>
              <w:jc w:val="left"/>
              <w:rPr>
                <w:b/>
                <w:noProof/>
                <w:sz w:val="22"/>
                <w:szCs w:val="18"/>
              </w:rPr>
            </w:pPr>
            <w:r>
              <w:rPr>
                <w:b/>
                <w:caps/>
                <w:noProof/>
                <w:sz w:val="22"/>
              </w:rPr>
              <w:t xml:space="preserve">Összesen </w:t>
            </w:r>
          </w:p>
        </w:tc>
        <w:tc>
          <w:tcPr>
            <w:tcW w:w="1560" w:type="dxa"/>
            <w:vAlign w:val="center"/>
          </w:tcPr>
          <w:p w:rsidR="008949F5" w:rsidRDefault="004A11FE">
            <w:pPr>
              <w:pStyle w:val="Text1"/>
              <w:ind w:left="0"/>
              <w:jc w:val="left"/>
              <w:rPr>
                <w:b/>
                <w:noProof/>
                <w:sz w:val="22"/>
                <w:szCs w:val="18"/>
              </w:rPr>
            </w:pPr>
            <w:r>
              <w:rPr>
                <w:b/>
                <w:noProof/>
                <w:sz w:val="22"/>
              </w:rPr>
              <w:t>20,000</w:t>
            </w:r>
          </w:p>
        </w:tc>
        <w:tc>
          <w:tcPr>
            <w:tcW w:w="1680" w:type="dxa"/>
            <w:vAlign w:val="center"/>
          </w:tcPr>
          <w:p w:rsidR="008949F5" w:rsidRDefault="004A11FE">
            <w:pPr>
              <w:pStyle w:val="Text1"/>
              <w:ind w:left="0"/>
              <w:jc w:val="left"/>
              <w:rPr>
                <w:b/>
                <w:noProof/>
                <w:sz w:val="22"/>
                <w:szCs w:val="18"/>
              </w:rPr>
            </w:pPr>
            <w:r>
              <w:rPr>
                <w:b/>
                <w:noProof/>
                <w:sz w:val="22"/>
              </w:rPr>
              <w:t>50,000</w:t>
            </w:r>
          </w:p>
        </w:tc>
        <w:tc>
          <w:tcPr>
            <w:tcW w:w="1560" w:type="dxa"/>
            <w:shd w:val="clear" w:color="auto" w:fill="auto"/>
            <w:vAlign w:val="center"/>
          </w:tcPr>
          <w:p w:rsidR="008949F5" w:rsidRDefault="004A11FE">
            <w:pPr>
              <w:pStyle w:val="Text1"/>
              <w:ind w:left="0"/>
              <w:jc w:val="left"/>
              <w:rPr>
                <w:b/>
                <w:noProof/>
                <w:sz w:val="22"/>
                <w:szCs w:val="18"/>
              </w:rPr>
            </w:pPr>
            <w:r>
              <w:rPr>
                <w:b/>
                <w:noProof/>
                <w:sz w:val="22"/>
              </w:rPr>
              <w:t>49,650</w:t>
            </w:r>
          </w:p>
        </w:tc>
        <w:tc>
          <w:tcPr>
            <w:tcW w:w="1680" w:type="dxa"/>
            <w:shd w:val="clear" w:color="auto" w:fill="auto"/>
            <w:vAlign w:val="center"/>
          </w:tcPr>
          <w:p w:rsidR="008949F5" w:rsidRDefault="004A11FE">
            <w:pPr>
              <w:pStyle w:val="Text1"/>
              <w:ind w:left="0"/>
              <w:jc w:val="left"/>
              <w:rPr>
                <w:b/>
                <w:noProof/>
                <w:sz w:val="22"/>
                <w:szCs w:val="18"/>
              </w:rPr>
            </w:pPr>
            <w:r>
              <w:rPr>
                <w:b/>
                <w:noProof/>
                <w:sz w:val="22"/>
              </w:rPr>
              <w:t>0,350</w:t>
            </w:r>
          </w:p>
        </w:tc>
        <w:tc>
          <w:tcPr>
            <w:tcW w:w="1560" w:type="dxa"/>
            <w:shd w:val="clear" w:color="auto" w:fill="auto"/>
            <w:vAlign w:val="center"/>
          </w:tcPr>
          <w:p w:rsidR="008949F5" w:rsidRDefault="004A11FE">
            <w:pPr>
              <w:pStyle w:val="Text1"/>
              <w:ind w:left="0"/>
              <w:jc w:val="left"/>
              <w:rPr>
                <w:b/>
                <w:noProof/>
                <w:sz w:val="22"/>
                <w:szCs w:val="18"/>
              </w:rPr>
            </w:pPr>
            <w:r>
              <w:rPr>
                <w:b/>
                <w:noProof/>
                <w:sz w:val="22"/>
              </w:rPr>
              <w:t>120,000</w:t>
            </w:r>
          </w:p>
        </w:tc>
      </w:tr>
    </w:tbl>
    <w:p w:rsidR="008949F5" w:rsidRDefault="008949F5">
      <w:pPr>
        <w:rPr>
          <w:noProof/>
          <w:sz w:val="16"/>
        </w:rPr>
      </w:pPr>
    </w:p>
    <w:p w:rsidR="008949F5" w:rsidRDefault="008949F5">
      <w:pPr>
        <w:spacing w:before="0" w:after="0"/>
        <w:jc w:val="left"/>
        <w:rPr>
          <w:noProof/>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1320"/>
        <w:gridCol w:w="840"/>
        <w:gridCol w:w="1555"/>
        <w:gridCol w:w="1621"/>
        <w:gridCol w:w="1621"/>
        <w:gridCol w:w="1621"/>
        <w:gridCol w:w="1622"/>
      </w:tblGrid>
      <w:tr w:rsidR="008949F5">
        <w:tc>
          <w:tcPr>
            <w:tcW w:w="3360" w:type="dxa"/>
            <w:vAlign w:val="center"/>
          </w:tcPr>
          <w:p w:rsidR="008949F5" w:rsidRDefault="004A11FE">
            <w:pPr>
              <w:ind w:left="612" w:hanging="600"/>
              <w:jc w:val="left"/>
              <w:rPr>
                <w:noProof/>
              </w:rPr>
            </w:pPr>
            <w:r>
              <w:rPr>
                <w:noProof/>
                <w:sz w:val="22"/>
              </w:rPr>
              <w:t>FŐIGAZGATÓSÁG:  A Tartalmak, Technológiák és Kommunikációs Hálózatok Főigazgatósága /</w:t>
            </w:r>
            <w:r>
              <w:rPr>
                <w:noProof/>
              </w:rPr>
              <w:t xml:space="preserve"> Mobilitáspolitikai és Közlekedési Főigazgatóság</w:t>
            </w:r>
          </w:p>
        </w:tc>
        <w:tc>
          <w:tcPr>
            <w:tcW w:w="1320" w:type="dxa"/>
          </w:tcPr>
          <w:p w:rsidR="008949F5" w:rsidRDefault="008949F5">
            <w:pPr>
              <w:rPr>
                <w:noProof/>
                <w:sz w:val="20"/>
              </w:rPr>
            </w:pPr>
          </w:p>
        </w:tc>
        <w:tc>
          <w:tcPr>
            <w:tcW w:w="840" w:type="dxa"/>
          </w:tcPr>
          <w:p w:rsidR="008949F5" w:rsidRDefault="008949F5">
            <w:pPr>
              <w:jc w:val="center"/>
              <w:rPr>
                <w:noProof/>
                <w:sz w:val="20"/>
              </w:rPr>
            </w:pPr>
          </w:p>
        </w:tc>
        <w:tc>
          <w:tcPr>
            <w:tcW w:w="1555" w:type="dxa"/>
            <w:vAlign w:val="center"/>
          </w:tcPr>
          <w:p w:rsidR="008949F5" w:rsidRDefault="004A11FE">
            <w:pPr>
              <w:jc w:val="center"/>
              <w:rPr>
                <w:noProof/>
                <w:sz w:val="20"/>
              </w:rPr>
            </w:pPr>
            <w:r>
              <w:rPr>
                <w:b/>
                <w:noProof/>
                <w:sz w:val="20"/>
              </w:rPr>
              <w:t>2017</w:t>
            </w:r>
          </w:p>
        </w:tc>
        <w:tc>
          <w:tcPr>
            <w:tcW w:w="1621" w:type="dxa"/>
            <w:vAlign w:val="center"/>
          </w:tcPr>
          <w:p w:rsidR="008949F5" w:rsidRDefault="004A11FE">
            <w:pPr>
              <w:jc w:val="center"/>
              <w:rPr>
                <w:b/>
                <w:noProof/>
                <w:sz w:val="20"/>
              </w:rPr>
            </w:pPr>
            <w:r>
              <w:rPr>
                <w:b/>
                <w:noProof/>
                <w:sz w:val="20"/>
              </w:rPr>
              <w:t>2018</w:t>
            </w:r>
          </w:p>
        </w:tc>
        <w:tc>
          <w:tcPr>
            <w:tcW w:w="1621" w:type="dxa"/>
            <w:vAlign w:val="center"/>
          </w:tcPr>
          <w:p w:rsidR="008949F5" w:rsidRDefault="004A11FE">
            <w:pPr>
              <w:jc w:val="center"/>
              <w:rPr>
                <w:b/>
                <w:noProof/>
                <w:sz w:val="20"/>
              </w:rPr>
            </w:pPr>
            <w:r>
              <w:rPr>
                <w:b/>
                <w:noProof/>
                <w:sz w:val="20"/>
              </w:rPr>
              <w:t>2019</w:t>
            </w:r>
          </w:p>
        </w:tc>
        <w:tc>
          <w:tcPr>
            <w:tcW w:w="1621" w:type="dxa"/>
            <w:vAlign w:val="center"/>
          </w:tcPr>
          <w:p w:rsidR="008949F5" w:rsidRDefault="004A11FE">
            <w:pPr>
              <w:jc w:val="center"/>
              <w:rPr>
                <w:b/>
                <w:noProof/>
                <w:sz w:val="20"/>
              </w:rPr>
            </w:pPr>
            <w:r>
              <w:rPr>
                <w:b/>
                <w:noProof/>
                <w:sz w:val="20"/>
              </w:rPr>
              <w:t>2020</w:t>
            </w:r>
          </w:p>
        </w:tc>
        <w:tc>
          <w:tcPr>
            <w:tcW w:w="1622" w:type="dxa"/>
            <w:vAlign w:val="center"/>
          </w:tcPr>
          <w:p w:rsidR="008949F5" w:rsidRDefault="004A11FE">
            <w:pPr>
              <w:jc w:val="center"/>
              <w:rPr>
                <w:b/>
                <w:noProof/>
                <w:sz w:val="20"/>
              </w:rPr>
            </w:pPr>
            <w:r>
              <w:rPr>
                <w:b/>
                <w:noProof/>
                <w:sz w:val="20"/>
              </w:rPr>
              <w:t>ÖSSZESEN</w:t>
            </w:r>
          </w:p>
        </w:tc>
      </w:tr>
      <w:tr w:rsidR="008949F5">
        <w:trPr>
          <w:trHeight w:val="213"/>
        </w:trPr>
        <w:tc>
          <w:tcPr>
            <w:tcW w:w="13560" w:type="dxa"/>
            <w:gridSpan w:val="8"/>
            <w:vAlign w:val="center"/>
          </w:tcPr>
          <w:p w:rsidR="008949F5" w:rsidRDefault="004A11FE">
            <w:pPr>
              <w:rPr>
                <w:b/>
                <w:noProof/>
                <w:sz w:val="20"/>
              </w:rPr>
            </w:pPr>
            <w:r>
              <w:rPr>
                <w:noProof/>
                <w:sz w:val="21"/>
              </w:rPr>
              <w:t xml:space="preserve">Operatív </w:t>
            </w:r>
            <w:r>
              <w:rPr>
                <w:noProof/>
                <w:sz w:val="21"/>
              </w:rPr>
              <w:t>előirányzatok millió EUR-ban kifejezve</w:t>
            </w:r>
          </w:p>
        </w:tc>
      </w:tr>
      <w:tr w:rsidR="008949F5">
        <w:trPr>
          <w:trHeight w:val="277"/>
        </w:trPr>
        <w:tc>
          <w:tcPr>
            <w:tcW w:w="3360" w:type="dxa"/>
            <w:vMerge w:val="restart"/>
            <w:vAlign w:val="center"/>
          </w:tcPr>
          <w:p w:rsidR="008949F5" w:rsidRDefault="004A11FE">
            <w:pPr>
              <w:rPr>
                <w:b/>
                <w:noProof/>
              </w:rPr>
            </w:pPr>
            <w:r>
              <w:rPr>
                <w:b/>
                <w:noProof/>
                <w:sz w:val="20"/>
              </w:rPr>
              <w:t xml:space="preserve">09 03 04 Vezeték nélküli kapcsolat az EU szolgálatában (W4EU)  </w:t>
            </w:r>
          </w:p>
        </w:tc>
        <w:tc>
          <w:tcPr>
            <w:tcW w:w="1320" w:type="dxa"/>
            <w:vAlign w:val="center"/>
          </w:tcPr>
          <w:p w:rsidR="008949F5" w:rsidRDefault="004A11FE">
            <w:pPr>
              <w:spacing w:before="20" w:after="20"/>
              <w:rPr>
                <w:noProof/>
                <w:sz w:val="18"/>
              </w:rPr>
            </w:pPr>
            <w:r>
              <w:rPr>
                <w:noProof/>
                <w:sz w:val="18"/>
              </w:rPr>
              <w:t>Kötelezettségvállalási előirányzatok</w:t>
            </w:r>
          </w:p>
        </w:tc>
        <w:tc>
          <w:tcPr>
            <w:tcW w:w="840" w:type="dxa"/>
            <w:vAlign w:val="center"/>
          </w:tcPr>
          <w:p w:rsidR="008949F5" w:rsidRDefault="004A11FE">
            <w:pPr>
              <w:spacing w:before="20" w:after="20"/>
              <w:jc w:val="center"/>
              <w:rPr>
                <w:noProof/>
                <w:sz w:val="14"/>
              </w:rPr>
            </w:pPr>
            <w:r>
              <w:rPr>
                <w:noProof/>
                <w:sz w:val="14"/>
              </w:rPr>
              <w:t>(1)</w:t>
            </w:r>
          </w:p>
        </w:tc>
        <w:tc>
          <w:tcPr>
            <w:tcW w:w="1555" w:type="dxa"/>
            <w:vAlign w:val="bottom"/>
          </w:tcPr>
          <w:p w:rsidR="008949F5" w:rsidRDefault="004A11FE">
            <w:pPr>
              <w:spacing w:before="20" w:after="20"/>
              <w:jc w:val="right"/>
              <w:rPr>
                <w:noProof/>
                <w:sz w:val="20"/>
                <w:szCs w:val="20"/>
              </w:rPr>
            </w:pPr>
            <w:r>
              <w:rPr>
                <w:noProof/>
                <w:color w:val="000000"/>
                <w:sz w:val="20"/>
              </w:rPr>
              <w:t>19,330</w:t>
            </w:r>
          </w:p>
        </w:tc>
        <w:tc>
          <w:tcPr>
            <w:tcW w:w="1621" w:type="dxa"/>
            <w:vAlign w:val="bottom"/>
          </w:tcPr>
          <w:p w:rsidR="008949F5" w:rsidRDefault="004A11FE">
            <w:pPr>
              <w:spacing w:before="20" w:after="20"/>
              <w:jc w:val="right"/>
              <w:rPr>
                <w:noProof/>
                <w:sz w:val="20"/>
                <w:szCs w:val="20"/>
              </w:rPr>
            </w:pPr>
            <w:r>
              <w:rPr>
                <w:noProof/>
                <w:color w:val="000000"/>
                <w:sz w:val="20"/>
              </w:rPr>
              <w:t>49,610</w:t>
            </w:r>
          </w:p>
        </w:tc>
        <w:tc>
          <w:tcPr>
            <w:tcW w:w="1621" w:type="dxa"/>
            <w:vAlign w:val="bottom"/>
          </w:tcPr>
          <w:p w:rsidR="008949F5" w:rsidRDefault="004A11FE">
            <w:pPr>
              <w:spacing w:before="20" w:after="20"/>
              <w:jc w:val="right"/>
              <w:rPr>
                <w:noProof/>
                <w:sz w:val="20"/>
                <w:szCs w:val="20"/>
              </w:rPr>
            </w:pPr>
            <w:r>
              <w:rPr>
                <w:noProof/>
                <w:color w:val="000000"/>
                <w:sz w:val="20"/>
              </w:rPr>
              <w:t>49,260</w:t>
            </w:r>
          </w:p>
        </w:tc>
        <w:tc>
          <w:tcPr>
            <w:tcW w:w="1621" w:type="dxa"/>
            <w:vAlign w:val="center"/>
          </w:tcPr>
          <w:p w:rsidR="008949F5" w:rsidRDefault="008949F5">
            <w:pPr>
              <w:spacing w:before="20" w:after="20"/>
              <w:jc w:val="right"/>
              <w:rPr>
                <w:noProof/>
                <w:sz w:val="20"/>
                <w:szCs w:val="20"/>
              </w:rPr>
            </w:pPr>
          </w:p>
        </w:tc>
        <w:tc>
          <w:tcPr>
            <w:tcW w:w="1622" w:type="dxa"/>
            <w:vAlign w:val="center"/>
          </w:tcPr>
          <w:p w:rsidR="008949F5" w:rsidRDefault="004A11FE">
            <w:pPr>
              <w:spacing w:before="20" w:after="20"/>
              <w:jc w:val="right"/>
              <w:rPr>
                <w:b/>
                <w:noProof/>
                <w:sz w:val="20"/>
                <w:szCs w:val="20"/>
              </w:rPr>
            </w:pPr>
            <w:r>
              <w:rPr>
                <w:b/>
                <w:noProof/>
                <w:sz w:val="20"/>
              </w:rPr>
              <w:t>118,200</w:t>
            </w:r>
          </w:p>
        </w:tc>
      </w:tr>
      <w:tr w:rsidR="008949F5">
        <w:tc>
          <w:tcPr>
            <w:tcW w:w="3360" w:type="dxa"/>
            <w:vMerge/>
          </w:tcPr>
          <w:p w:rsidR="008949F5" w:rsidRDefault="008949F5">
            <w:pPr>
              <w:jc w:val="center"/>
              <w:rPr>
                <w:noProof/>
                <w:sz w:val="20"/>
              </w:rPr>
            </w:pPr>
          </w:p>
        </w:tc>
        <w:tc>
          <w:tcPr>
            <w:tcW w:w="1320" w:type="dxa"/>
            <w:vAlign w:val="center"/>
          </w:tcPr>
          <w:p w:rsidR="008949F5" w:rsidRDefault="004A11FE">
            <w:pPr>
              <w:spacing w:before="20" w:after="20"/>
              <w:rPr>
                <w:noProof/>
                <w:sz w:val="18"/>
              </w:rPr>
            </w:pPr>
            <w:r>
              <w:rPr>
                <w:noProof/>
                <w:sz w:val="18"/>
              </w:rPr>
              <w:t>Kifizetési előirányzatok</w:t>
            </w:r>
          </w:p>
        </w:tc>
        <w:tc>
          <w:tcPr>
            <w:tcW w:w="840" w:type="dxa"/>
            <w:vAlign w:val="center"/>
          </w:tcPr>
          <w:p w:rsidR="008949F5" w:rsidRDefault="004A11FE">
            <w:pPr>
              <w:spacing w:before="20" w:after="20"/>
              <w:jc w:val="center"/>
              <w:rPr>
                <w:noProof/>
                <w:sz w:val="14"/>
              </w:rPr>
            </w:pPr>
            <w:r>
              <w:rPr>
                <w:noProof/>
                <w:sz w:val="14"/>
              </w:rPr>
              <w:t>(2)</w:t>
            </w:r>
          </w:p>
        </w:tc>
        <w:tc>
          <w:tcPr>
            <w:tcW w:w="1555" w:type="dxa"/>
            <w:vAlign w:val="bottom"/>
          </w:tcPr>
          <w:p w:rsidR="008949F5" w:rsidRDefault="004A11FE">
            <w:pPr>
              <w:spacing w:before="20" w:after="20"/>
              <w:jc w:val="right"/>
              <w:rPr>
                <w:noProof/>
                <w:sz w:val="20"/>
                <w:szCs w:val="20"/>
              </w:rPr>
            </w:pPr>
            <w:r>
              <w:rPr>
                <w:noProof/>
                <w:color w:val="000000"/>
                <w:sz w:val="20"/>
              </w:rPr>
              <w:t>0</w:t>
            </w:r>
          </w:p>
        </w:tc>
        <w:tc>
          <w:tcPr>
            <w:tcW w:w="1621" w:type="dxa"/>
            <w:vAlign w:val="bottom"/>
          </w:tcPr>
          <w:p w:rsidR="008949F5" w:rsidRDefault="004A11FE">
            <w:pPr>
              <w:spacing w:before="20" w:after="20"/>
              <w:jc w:val="right"/>
              <w:rPr>
                <w:noProof/>
                <w:sz w:val="20"/>
                <w:szCs w:val="20"/>
              </w:rPr>
            </w:pPr>
            <w:r>
              <w:rPr>
                <w:noProof/>
                <w:color w:val="000000"/>
                <w:sz w:val="20"/>
              </w:rPr>
              <w:t>44,135</w:t>
            </w:r>
          </w:p>
        </w:tc>
        <w:tc>
          <w:tcPr>
            <w:tcW w:w="1621" w:type="dxa"/>
            <w:vAlign w:val="bottom"/>
          </w:tcPr>
          <w:p w:rsidR="008949F5" w:rsidRDefault="004A11FE">
            <w:pPr>
              <w:spacing w:before="20" w:after="20"/>
              <w:jc w:val="right"/>
              <w:rPr>
                <w:noProof/>
                <w:sz w:val="20"/>
                <w:szCs w:val="20"/>
              </w:rPr>
            </w:pPr>
            <w:r>
              <w:rPr>
                <w:noProof/>
                <w:color w:val="000000"/>
                <w:sz w:val="20"/>
              </w:rPr>
              <w:t>49,435</w:t>
            </w:r>
          </w:p>
        </w:tc>
        <w:tc>
          <w:tcPr>
            <w:tcW w:w="1621" w:type="dxa"/>
            <w:vAlign w:val="bottom"/>
          </w:tcPr>
          <w:p w:rsidR="008949F5" w:rsidRDefault="004A11FE">
            <w:pPr>
              <w:spacing w:before="20" w:after="20"/>
              <w:jc w:val="right"/>
              <w:rPr>
                <w:noProof/>
                <w:sz w:val="20"/>
                <w:szCs w:val="20"/>
              </w:rPr>
            </w:pPr>
            <w:r>
              <w:rPr>
                <w:noProof/>
                <w:color w:val="000000"/>
                <w:sz w:val="20"/>
              </w:rPr>
              <w:t>24,630</w:t>
            </w:r>
          </w:p>
        </w:tc>
        <w:tc>
          <w:tcPr>
            <w:tcW w:w="1622" w:type="dxa"/>
            <w:vAlign w:val="center"/>
          </w:tcPr>
          <w:p w:rsidR="008949F5" w:rsidRDefault="004A11FE">
            <w:pPr>
              <w:spacing w:before="20" w:after="20"/>
              <w:jc w:val="right"/>
              <w:rPr>
                <w:b/>
                <w:noProof/>
                <w:sz w:val="20"/>
                <w:szCs w:val="20"/>
              </w:rPr>
            </w:pPr>
            <w:r>
              <w:rPr>
                <w:b/>
                <w:noProof/>
                <w:sz w:val="20"/>
              </w:rPr>
              <w:t>118,200</w:t>
            </w:r>
          </w:p>
        </w:tc>
      </w:tr>
      <w:tr w:rsidR="008949F5">
        <w:trPr>
          <w:trHeight w:val="231"/>
        </w:trPr>
        <w:tc>
          <w:tcPr>
            <w:tcW w:w="13560" w:type="dxa"/>
            <w:gridSpan w:val="8"/>
            <w:vAlign w:val="center"/>
          </w:tcPr>
          <w:p w:rsidR="008949F5" w:rsidRDefault="004A11FE">
            <w:pPr>
              <w:rPr>
                <w:b/>
                <w:noProof/>
                <w:sz w:val="20"/>
                <w:szCs w:val="20"/>
              </w:rPr>
            </w:pPr>
            <w:r>
              <w:rPr>
                <w:noProof/>
                <w:sz w:val="20"/>
              </w:rPr>
              <w:t xml:space="preserve">Bizonyos egyedi </w:t>
            </w:r>
            <w:r>
              <w:rPr>
                <w:noProof/>
                <w:sz w:val="20"/>
              </w:rPr>
              <w:t>programok keretéből finanszírozott igazgatási előirányzatok</w:t>
            </w:r>
            <w:r>
              <w:rPr>
                <w:rStyle w:val="FootnoteReference"/>
                <w:noProof/>
                <w:sz w:val="20"/>
              </w:rPr>
              <w:footnoteReference w:id="22"/>
            </w:r>
            <w:r>
              <w:rPr>
                <w:noProof/>
                <w:sz w:val="20"/>
              </w:rPr>
              <w:t xml:space="preserve"> </w:t>
            </w:r>
          </w:p>
        </w:tc>
      </w:tr>
      <w:tr w:rsidR="008949F5">
        <w:trPr>
          <w:trHeight w:val="488"/>
        </w:trPr>
        <w:tc>
          <w:tcPr>
            <w:tcW w:w="3360" w:type="dxa"/>
            <w:vMerge w:val="restart"/>
            <w:vAlign w:val="center"/>
          </w:tcPr>
          <w:p w:rsidR="008949F5" w:rsidRDefault="004A11FE">
            <w:pPr>
              <w:jc w:val="left"/>
              <w:rPr>
                <w:b/>
                <w:noProof/>
                <w:sz w:val="20"/>
              </w:rPr>
            </w:pPr>
            <w:r>
              <w:rPr>
                <w:b/>
                <w:noProof/>
                <w:sz w:val="20"/>
              </w:rPr>
              <w:t>06 01 06 01 Innovációs és Hálózati Projektek Végrehajtó Ügynökség – hozzájárulás a CEF-ből</w:t>
            </w:r>
          </w:p>
        </w:tc>
        <w:tc>
          <w:tcPr>
            <w:tcW w:w="1320" w:type="dxa"/>
            <w:vAlign w:val="center"/>
          </w:tcPr>
          <w:p w:rsidR="008949F5" w:rsidRDefault="004A11FE">
            <w:pPr>
              <w:spacing w:before="0" w:after="0"/>
              <w:rPr>
                <w:noProof/>
                <w:sz w:val="18"/>
              </w:rPr>
            </w:pPr>
            <w:r>
              <w:rPr>
                <w:noProof/>
                <w:sz w:val="18"/>
              </w:rPr>
              <w:t>Kötelezettségvállalási előirányzatok</w:t>
            </w:r>
          </w:p>
        </w:tc>
        <w:tc>
          <w:tcPr>
            <w:tcW w:w="840" w:type="dxa"/>
            <w:vAlign w:val="center"/>
          </w:tcPr>
          <w:p w:rsidR="008949F5" w:rsidRDefault="008949F5">
            <w:pPr>
              <w:spacing w:before="0" w:after="0"/>
              <w:jc w:val="center"/>
              <w:rPr>
                <w:noProof/>
                <w:sz w:val="14"/>
              </w:rPr>
            </w:pPr>
          </w:p>
        </w:tc>
        <w:tc>
          <w:tcPr>
            <w:tcW w:w="1555" w:type="dxa"/>
            <w:vAlign w:val="bottom"/>
          </w:tcPr>
          <w:p w:rsidR="008949F5" w:rsidRDefault="004A11FE">
            <w:pPr>
              <w:spacing w:before="0" w:after="0"/>
              <w:jc w:val="right"/>
              <w:rPr>
                <w:noProof/>
                <w:sz w:val="20"/>
                <w:szCs w:val="20"/>
              </w:rPr>
            </w:pPr>
            <w:r>
              <w:rPr>
                <w:noProof/>
                <w:color w:val="000000"/>
                <w:sz w:val="20"/>
              </w:rPr>
              <w:t>0,580</w:t>
            </w:r>
          </w:p>
        </w:tc>
        <w:tc>
          <w:tcPr>
            <w:tcW w:w="1621" w:type="dxa"/>
            <w:vAlign w:val="bottom"/>
          </w:tcPr>
          <w:p w:rsidR="008949F5" w:rsidRDefault="004A11FE">
            <w:pPr>
              <w:spacing w:before="0" w:after="0"/>
              <w:jc w:val="right"/>
              <w:rPr>
                <w:noProof/>
                <w:sz w:val="20"/>
                <w:szCs w:val="20"/>
              </w:rPr>
            </w:pPr>
            <w:r>
              <w:rPr>
                <w:noProof/>
                <w:color w:val="000000"/>
                <w:sz w:val="20"/>
              </w:rPr>
              <w:t>0,365</w:t>
            </w:r>
          </w:p>
        </w:tc>
        <w:tc>
          <w:tcPr>
            <w:tcW w:w="1621" w:type="dxa"/>
            <w:vAlign w:val="bottom"/>
          </w:tcPr>
          <w:p w:rsidR="008949F5" w:rsidRDefault="004A11FE">
            <w:pPr>
              <w:spacing w:before="0" w:after="0"/>
              <w:jc w:val="right"/>
              <w:rPr>
                <w:noProof/>
                <w:sz w:val="20"/>
                <w:szCs w:val="20"/>
              </w:rPr>
            </w:pPr>
            <w:r>
              <w:rPr>
                <w:noProof/>
                <w:color w:val="000000"/>
                <w:sz w:val="20"/>
              </w:rPr>
              <w:t>0,365</w:t>
            </w:r>
          </w:p>
        </w:tc>
        <w:tc>
          <w:tcPr>
            <w:tcW w:w="1621" w:type="dxa"/>
            <w:vAlign w:val="bottom"/>
          </w:tcPr>
          <w:p w:rsidR="008949F5" w:rsidRDefault="004A11FE">
            <w:pPr>
              <w:spacing w:before="0" w:after="0"/>
              <w:jc w:val="right"/>
              <w:rPr>
                <w:noProof/>
                <w:sz w:val="20"/>
                <w:szCs w:val="20"/>
              </w:rPr>
            </w:pPr>
            <w:r>
              <w:rPr>
                <w:noProof/>
                <w:color w:val="000000"/>
                <w:sz w:val="20"/>
              </w:rPr>
              <w:t>0,290</w:t>
            </w:r>
          </w:p>
        </w:tc>
        <w:tc>
          <w:tcPr>
            <w:tcW w:w="1622" w:type="dxa"/>
            <w:vAlign w:val="center"/>
          </w:tcPr>
          <w:p w:rsidR="008949F5" w:rsidRDefault="004A11FE">
            <w:pPr>
              <w:spacing w:before="0" w:after="0"/>
              <w:jc w:val="right"/>
              <w:rPr>
                <w:b/>
                <w:noProof/>
                <w:sz w:val="20"/>
                <w:szCs w:val="20"/>
              </w:rPr>
            </w:pPr>
            <w:r>
              <w:rPr>
                <w:b/>
                <w:noProof/>
                <w:sz w:val="20"/>
              </w:rPr>
              <w:t>1,600</w:t>
            </w:r>
          </w:p>
        </w:tc>
      </w:tr>
      <w:tr w:rsidR="008949F5">
        <w:trPr>
          <w:trHeight w:val="344"/>
        </w:trPr>
        <w:tc>
          <w:tcPr>
            <w:tcW w:w="3360" w:type="dxa"/>
            <w:vMerge/>
            <w:vAlign w:val="center"/>
          </w:tcPr>
          <w:p w:rsidR="008949F5" w:rsidRDefault="008949F5">
            <w:pPr>
              <w:jc w:val="left"/>
              <w:rPr>
                <w:b/>
                <w:noProof/>
                <w:sz w:val="20"/>
              </w:rPr>
            </w:pPr>
          </w:p>
        </w:tc>
        <w:tc>
          <w:tcPr>
            <w:tcW w:w="1320" w:type="dxa"/>
            <w:vAlign w:val="center"/>
          </w:tcPr>
          <w:p w:rsidR="008949F5" w:rsidRDefault="004A11FE">
            <w:pPr>
              <w:spacing w:before="0" w:after="0"/>
              <w:rPr>
                <w:noProof/>
                <w:sz w:val="18"/>
              </w:rPr>
            </w:pPr>
            <w:r>
              <w:rPr>
                <w:noProof/>
                <w:sz w:val="18"/>
              </w:rPr>
              <w:t>Kifizetési előirányzatok</w:t>
            </w:r>
          </w:p>
        </w:tc>
        <w:tc>
          <w:tcPr>
            <w:tcW w:w="840" w:type="dxa"/>
            <w:vAlign w:val="center"/>
          </w:tcPr>
          <w:p w:rsidR="008949F5" w:rsidRDefault="008949F5">
            <w:pPr>
              <w:spacing w:before="0" w:after="0"/>
              <w:jc w:val="center"/>
              <w:rPr>
                <w:noProof/>
                <w:sz w:val="14"/>
              </w:rPr>
            </w:pPr>
          </w:p>
        </w:tc>
        <w:tc>
          <w:tcPr>
            <w:tcW w:w="1555" w:type="dxa"/>
            <w:vAlign w:val="bottom"/>
          </w:tcPr>
          <w:p w:rsidR="008949F5" w:rsidRDefault="004A11FE">
            <w:pPr>
              <w:spacing w:before="0" w:after="0"/>
              <w:jc w:val="right"/>
              <w:rPr>
                <w:noProof/>
                <w:sz w:val="20"/>
                <w:szCs w:val="20"/>
              </w:rPr>
            </w:pPr>
            <w:r>
              <w:rPr>
                <w:noProof/>
                <w:color w:val="000000"/>
                <w:sz w:val="20"/>
              </w:rPr>
              <w:t>0,580</w:t>
            </w:r>
          </w:p>
        </w:tc>
        <w:tc>
          <w:tcPr>
            <w:tcW w:w="1621" w:type="dxa"/>
            <w:vAlign w:val="bottom"/>
          </w:tcPr>
          <w:p w:rsidR="008949F5" w:rsidRDefault="004A11FE">
            <w:pPr>
              <w:spacing w:before="0" w:after="0"/>
              <w:jc w:val="right"/>
              <w:rPr>
                <w:noProof/>
                <w:sz w:val="20"/>
                <w:szCs w:val="20"/>
              </w:rPr>
            </w:pPr>
            <w:r>
              <w:rPr>
                <w:noProof/>
                <w:color w:val="000000"/>
                <w:sz w:val="20"/>
              </w:rPr>
              <w:t>0,365</w:t>
            </w:r>
          </w:p>
        </w:tc>
        <w:tc>
          <w:tcPr>
            <w:tcW w:w="1621" w:type="dxa"/>
            <w:vAlign w:val="bottom"/>
          </w:tcPr>
          <w:p w:rsidR="008949F5" w:rsidRDefault="004A11FE">
            <w:pPr>
              <w:spacing w:before="0" w:after="0"/>
              <w:jc w:val="right"/>
              <w:rPr>
                <w:noProof/>
                <w:sz w:val="20"/>
                <w:szCs w:val="20"/>
              </w:rPr>
            </w:pPr>
            <w:r>
              <w:rPr>
                <w:noProof/>
                <w:color w:val="000000"/>
                <w:sz w:val="20"/>
              </w:rPr>
              <w:t>0,365</w:t>
            </w:r>
          </w:p>
        </w:tc>
        <w:tc>
          <w:tcPr>
            <w:tcW w:w="1621" w:type="dxa"/>
            <w:vAlign w:val="bottom"/>
          </w:tcPr>
          <w:p w:rsidR="008949F5" w:rsidRDefault="004A11FE">
            <w:pPr>
              <w:spacing w:before="0" w:after="0"/>
              <w:jc w:val="right"/>
              <w:rPr>
                <w:noProof/>
                <w:sz w:val="20"/>
                <w:szCs w:val="20"/>
              </w:rPr>
            </w:pPr>
            <w:r>
              <w:rPr>
                <w:noProof/>
                <w:color w:val="000000"/>
                <w:sz w:val="20"/>
              </w:rPr>
              <w:t>0,290</w:t>
            </w:r>
          </w:p>
        </w:tc>
        <w:tc>
          <w:tcPr>
            <w:tcW w:w="1622" w:type="dxa"/>
            <w:vAlign w:val="center"/>
          </w:tcPr>
          <w:p w:rsidR="008949F5" w:rsidRDefault="004A11FE">
            <w:pPr>
              <w:spacing w:before="0" w:after="0"/>
              <w:jc w:val="right"/>
              <w:rPr>
                <w:b/>
                <w:noProof/>
                <w:sz w:val="20"/>
                <w:szCs w:val="20"/>
              </w:rPr>
            </w:pPr>
            <w:r>
              <w:rPr>
                <w:b/>
                <w:noProof/>
                <w:sz w:val="20"/>
              </w:rPr>
              <w:t>1,600</w:t>
            </w:r>
          </w:p>
        </w:tc>
      </w:tr>
      <w:tr w:rsidR="008949F5">
        <w:trPr>
          <w:trHeight w:val="512"/>
        </w:trPr>
        <w:tc>
          <w:tcPr>
            <w:tcW w:w="3360" w:type="dxa"/>
            <w:vMerge w:val="restart"/>
            <w:vAlign w:val="center"/>
          </w:tcPr>
          <w:p w:rsidR="008949F5" w:rsidRDefault="004A11FE">
            <w:pPr>
              <w:jc w:val="left"/>
              <w:rPr>
                <w:b/>
                <w:noProof/>
                <w:sz w:val="20"/>
              </w:rPr>
            </w:pPr>
            <w:r>
              <w:rPr>
                <w:b/>
                <w:noProof/>
                <w:sz w:val="20"/>
              </w:rPr>
              <w:t>09 01 04 01</w:t>
            </w:r>
            <w:r>
              <w:rPr>
                <w:noProof/>
              </w:rPr>
              <w:t xml:space="preserve"> </w:t>
            </w:r>
            <w:r>
              <w:rPr>
                <w:b/>
                <w:noProof/>
              </w:rPr>
              <w:t xml:space="preserve">Támogatási kiadások az Európai Hálózatfinanszírozási Eszköz </w:t>
            </w:r>
            <w:r>
              <w:rPr>
                <w:b/>
                <w:noProof/>
                <w:sz w:val="20"/>
              </w:rPr>
              <w:t>(CEF) szolgálatában</w:t>
            </w:r>
          </w:p>
        </w:tc>
        <w:tc>
          <w:tcPr>
            <w:tcW w:w="1320" w:type="dxa"/>
            <w:vAlign w:val="center"/>
          </w:tcPr>
          <w:p w:rsidR="008949F5" w:rsidRDefault="004A11FE">
            <w:pPr>
              <w:spacing w:before="0" w:after="0"/>
              <w:rPr>
                <w:noProof/>
                <w:sz w:val="18"/>
              </w:rPr>
            </w:pPr>
            <w:r>
              <w:rPr>
                <w:noProof/>
                <w:sz w:val="18"/>
              </w:rPr>
              <w:t>Kötelezettségvállalási előirányzatok</w:t>
            </w:r>
          </w:p>
        </w:tc>
        <w:tc>
          <w:tcPr>
            <w:tcW w:w="840" w:type="dxa"/>
            <w:vAlign w:val="center"/>
          </w:tcPr>
          <w:p w:rsidR="008949F5" w:rsidRDefault="008949F5">
            <w:pPr>
              <w:spacing w:before="0" w:after="0"/>
              <w:jc w:val="center"/>
              <w:rPr>
                <w:noProof/>
                <w:sz w:val="14"/>
              </w:rPr>
            </w:pPr>
          </w:p>
        </w:tc>
        <w:tc>
          <w:tcPr>
            <w:tcW w:w="1555" w:type="dxa"/>
            <w:vAlign w:val="bottom"/>
          </w:tcPr>
          <w:p w:rsidR="008949F5" w:rsidRDefault="004A11FE">
            <w:pPr>
              <w:spacing w:before="0" w:after="0"/>
              <w:jc w:val="right"/>
              <w:rPr>
                <w:noProof/>
                <w:sz w:val="20"/>
                <w:szCs w:val="20"/>
              </w:rPr>
            </w:pPr>
            <w:r>
              <w:rPr>
                <w:noProof/>
                <w:color w:val="000000"/>
                <w:sz w:val="20"/>
              </w:rPr>
              <w:t>0,090</w:t>
            </w:r>
          </w:p>
        </w:tc>
        <w:tc>
          <w:tcPr>
            <w:tcW w:w="1621" w:type="dxa"/>
            <w:vAlign w:val="bottom"/>
          </w:tcPr>
          <w:p w:rsidR="008949F5" w:rsidRDefault="004A11FE">
            <w:pPr>
              <w:spacing w:before="0" w:after="0"/>
              <w:jc w:val="right"/>
              <w:rPr>
                <w:noProof/>
                <w:sz w:val="20"/>
                <w:szCs w:val="20"/>
              </w:rPr>
            </w:pPr>
            <w:r>
              <w:rPr>
                <w:noProof/>
                <w:color w:val="000000"/>
                <w:sz w:val="20"/>
              </w:rPr>
              <w:t>0,025</w:t>
            </w:r>
          </w:p>
        </w:tc>
        <w:tc>
          <w:tcPr>
            <w:tcW w:w="1621" w:type="dxa"/>
            <w:vAlign w:val="bottom"/>
          </w:tcPr>
          <w:p w:rsidR="008949F5" w:rsidRDefault="004A11FE">
            <w:pPr>
              <w:spacing w:before="0" w:after="0"/>
              <w:jc w:val="right"/>
              <w:rPr>
                <w:noProof/>
                <w:sz w:val="20"/>
                <w:szCs w:val="20"/>
              </w:rPr>
            </w:pPr>
            <w:r>
              <w:rPr>
                <w:noProof/>
                <w:color w:val="000000"/>
                <w:sz w:val="20"/>
              </w:rPr>
              <w:t>0,025</w:t>
            </w:r>
          </w:p>
        </w:tc>
        <w:tc>
          <w:tcPr>
            <w:tcW w:w="1621" w:type="dxa"/>
            <w:vAlign w:val="bottom"/>
          </w:tcPr>
          <w:p w:rsidR="008949F5" w:rsidRDefault="004A11FE">
            <w:pPr>
              <w:spacing w:before="0" w:after="0"/>
              <w:jc w:val="right"/>
              <w:rPr>
                <w:noProof/>
                <w:sz w:val="20"/>
                <w:szCs w:val="20"/>
              </w:rPr>
            </w:pPr>
            <w:r>
              <w:rPr>
                <w:noProof/>
                <w:color w:val="000000"/>
                <w:sz w:val="20"/>
              </w:rPr>
              <w:t>0,060</w:t>
            </w:r>
          </w:p>
        </w:tc>
        <w:tc>
          <w:tcPr>
            <w:tcW w:w="1622" w:type="dxa"/>
            <w:vAlign w:val="bottom"/>
          </w:tcPr>
          <w:p w:rsidR="008949F5" w:rsidRDefault="004A11FE">
            <w:pPr>
              <w:spacing w:before="0" w:after="0"/>
              <w:jc w:val="right"/>
              <w:rPr>
                <w:b/>
                <w:noProof/>
                <w:sz w:val="20"/>
                <w:szCs w:val="20"/>
              </w:rPr>
            </w:pPr>
            <w:r>
              <w:rPr>
                <w:b/>
                <w:noProof/>
                <w:color w:val="000000"/>
                <w:sz w:val="20"/>
              </w:rPr>
              <w:t>0,200</w:t>
            </w:r>
          </w:p>
        </w:tc>
      </w:tr>
      <w:tr w:rsidR="008949F5">
        <w:tc>
          <w:tcPr>
            <w:tcW w:w="3360" w:type="dxa"/>
            <w:vMerge/>
            <w:vAlign w:val="center"/>
          </w:tcPr>
          <w:p w:rsidR="008949F5" w:rsidRDefault="008949F5">
            <w:pPr>
              <w:jc w:val="left"/>
              <w:rPr>
                <w:b/>
                <w:noProof/>
              </w:rPr>
            </w:pPr>
          </w:p>
        </w:tc>
        <w:tc>
          <w:tcPr>
            <w:tcW w:w="1320" w:type="dxa"/>
            <w:vAlign w:val="center"/>
          </w:tcPr>
          <w:p w:rsidR="008949F5" w:rsidRDefault="004A11FE">
            <w:pPr>
              <w:spacing w:before="0" w:after="0"/>
              <w:rPr>
                <w:noProof/>
                <w:sz w:val="18"/>
              </w:rPr>
            </w:pPr>
            <w:r>
              <w:rPr>
                <w:noProof/>
                <w:sz w:val="18"/>
              </w:rPr>
              <w:t>Kifizetési előirányzatok</w:t>
            </w:r>
          </w:p>
        </w:tc>
        <w:tc>
          <w:tcPr>
            <w:tcW w:w="840" w:type="dxa"/>
            <w:vAlign w:val="center"/>
          </w:tcPr>
          <w:p w:rsidR="008949F5" w:rsidRDefault="008949F5">
            <w:pPr>
              <w:spacing w:before="0" w:after="0"/>
              <w:jc w:val="center"/>
              <w:rPr>
                <w:noProof/>
                <w:sz w:val="14"/>
              </w:rPr>
            </w:pPr>
          </w:p>
        </w:tc>
        <w:tc>
          <w:tcPr>
            <w:tcW w:w="1555" w:type="dxa"/>
            <w:vAlign w:val="bottom"/>
          </w:tcPr>
          <w:p w:rsidR="008949F5" w:rsidRDefault="004A11FE">
            <w:pPr>
              <w:spacing w:before="0" w:after="0"/>
              <w:jc w:val="right"/>
              <w:rPr>
                <w:noProof/>
                <w:sz w:val="20"/>
                <w:szCs w:val="20"/>
              </w:rPr>
            </w:pPr>
            <w:r>
              <w:rPr>
                <w:noProof/>
                <w:color w:val="000000"/>
                <w:sz w:val="20"/>
              </w:rPr>
              <w:t>0,090</w:t>
            </w:r>
          </w:p>
        </w:tc>
        <w:tc>
          <w:tcPr>
            <w:tcW w:w="1621" w:type="dxa"/>
            <w:vAlign w:val="bottom"/>
          </w:tcPr>
          <w:p w:rsidR="008949F5" w:rsidRDefault="004A11FE">
            <w:pPr>
              <w:spacing w:before="0" w:after="0"/>
              <w:jc w:val="right"/>
              <w:rPr>
                <w:noProof/>
                <w:sz w:val="20"/>
                <w:szCs w:val="20"/>
              </w:rPr>
            </w:pPr>
            <w:r>
              <w:rPr>
                <w:noProof/>
                <w:color w:val="000000"/>
                <w:sz w:val="20"/>
              </w:rPr>
              <w:t>0,025</w:t>
            </w:r>
          </w:p>
        </w:tc>
        <w:tc>
          <w:tcPr>
            <w:tcW w:w="1621" w:type="dxa"/>
            <w:vAlign w:val="bottom"/>
          </w:tcPr>
          <w:p w:rsidR="008949F5" w:rsidRDefault="004A11FE">
            <w:pPr>
              <w:spacing w:before="0" w:after="0"/>
              <w:jc w:val="right"/>
              <w:rPr>
                <w:noProof/>
                <w:sz w:val="20"/>
                <w:szCs w:val="20"/>
              </w:rPr>
            </w:pPr>
            <w:r>
              <w:rPr>
                <w:noProof/>
                <w:color w:val="000000"/>
                <w:sz w:val="20"/>
              </w:rPr>
              <w:t>0,025</w:t>
            </w:r>
          </w:p>
        </w:tc>
        <w:tc>
          <w:tcPr>
            <w:tcW w:w="1621" w:type="dxa"/>
            <w:vAlign w:val="bottom"/>
          </w:tcPr>
          <w:p w:rsidR="008949F5" w:rsidRDefault="004A11FE">
            <w:pPr>
              <w:spacing w:before="0" w:after="0"/>
              <w:jc w:val="right"/>
              <w:rPr>
                <w:noProof/>
                <w:sz w:val="20"/>
                <w:szCs w:val="20"/>
              </w:rPr>
            </w:pPr>
            <w:r>
              <w:rPr>
                <w:noProof/>
                <w:color w:val="000000"/>
                <w:sz w:val="20"/>
              </w:rPr>
              <w:t>0,060</w:t>
            </w:r>
          </w:p>
        </w:tc>
        <w:tc>
          <w:tcPr>
            <w:tcW w:w="1622" w:type="dxa"/>
            <w:vAlign w:val="bottom"/>
          </w:tcPr>
          <w:p w:rsidR="008949F5" w:rsidRDefault="004A11FE">
            <w:pPr>
              <w:spacing w:before="0" w:after="0"/>
              <w:jc w:val="right"/>
              <w:rPr>
                <w:b/>
                <w:noProof/>
                <w:sz w:val="20"/>
                <w:szCs w:val="20"/>
              </w:rPr>
            </w:pPr>
            <w:r>
              <w:rPr>
                <w:b/>
                <w:noProof/>
                <w:color w:val="000000"/>
                <w:sz w:val="20"/>
              </w:rPr>
              <w:t>0,200</w:t>
            </w:r>
          </w:p>
        </w:tc>
      </w:tr>
      <w:tr w:rsidR="008949F5">
        <w:trPr>
          <w:trHeight w:val="404"/>
        </w:trPr>
        <w:tc>
          <w:tcPr>
            <w:tcW w:w="3360" w:type="dxa"/>
            <w:vMerge w:val="restart"/>
            <w:vAlign w:val="center"/>
          </w:tcPr>
          <w:p w:rsidR="008949F5" w:rsidRDefault="004A11FE">
            <w:pPr>
              <w:jc w:val="left"/>
              <w:rPr>
                <w:b/>
                <w:noProof/>
              </w:rPr>
            </w:pPr>
            <w:r>
              <w:rPr>
                <w:b/>
                <w:noProof/>
              </w:rPr>
              <w:t>A Tartalmak,</w:t>
            </w:r>
            <w:r>
              <w:rPr>
                <w:b/>
                <w:noProof/>
              </w:rPr>
              <w:t xml:space="preserve"> Technológiák és Kommunikációs Hálózatok Főigazgatóságához és a Mobilitáspolitikai és Közlekedési Főigazgatósághoz tartozó előirányzatok ÖSSZESEN</w:t>
            </w:r>
          </w:p>
        </w:tc>
        <w:tc>
          <w:tcPr>
            <w:tcW w:w="1320" w:type="dxa"/>
            <w:vAlign w:val="center"/>
          </w:tcPr>
          <w:p w:rsidR="008949F5" w:rsidRDefault="004A11FE">
            <w:pPr>
              <w:spacing w:before="0" w:after="0"/>
              <w:rPr>
                <w:noProof/>
                <w:sz w:val="18"/>
              </w:rPr>
            </w:pPr>
            <w:r>
              <w:rPr>
                <w:noProof/>
                <w:sz w:val="18"/>
              </w:rPr>
              <w:t>Kötelezettségvállalási előirányzatok</w:t>
            </w:r>
          </w:p>
        </w:tc>
        <w:tc>
          <w:tcPr>
            <w:tcW w:w="840" w:type="dxa"/>
            <w:vAlign w:val="center"/>
          </w:tcPr>
          <w:p w:rsidR="008949F5" w:rsidRDefault="004A11FE">
            <w:pPr>
              <w:spacing w:before="0" w:after="0"/>
              <w:jc w:val="center"/>
              <w:rPr>
                <w:noProof/>
                <w:sz w:val="14"/>
              </w:rPr>
            </w:pPr>
            <w:r>
              <w:rPr>
                <w:noProof/>
                <w:sz w:val="14"/>
              </w:rPr>
              <w:t>=1+1a +3</w:t>
            </w:r>
          </w:p>
        </w:tc>
        <w:tc>
          <w:tcPr>
            <w:tcW w:w="1555" w:type="dxa"/>
            <w:vAlign w:val="bottom"/>
          </w:tcPr>
          <w:p w:rsidR="008949F5" w:rsidRDefault="004A11FE">
            <w:pPr>
              <w:spacing w:before="0" w:after="0"/>
              <w:jc w:val="right"/>
              <w:rPr>
                <w:b/>
                <w:noProof/>
                <w:sz w:val="20"/>
                <w:szCs w:val="20"/>
              </w:rPr>
            </w:pPr>
            <w:r>
              <w:rPr>
                <w:b/>
                <w:noProof/>
                <w:color w:val="000000"/>
                <w:sz w:val="20"/>
              </w:rPr>
              <w:t>20,000</w:t>
            </w:r>
          </w:p>
        </w:tc>
        <w:tc>
          <w:tcPr>
            <w:tcW w:w="1621" w:type="dxa"/>
            <w:vAlign w:val="bottom"/>
          </w:tcPr>
          <w:p w:rsidR="008949F5" w:rsidRDefault="004A11FE">
            <w:pPr>
              <w:spacing w:before="0" w:after="0"/>
              <w:jc w:val="right"/>
              <w:rPr>
                <w:b/>
                <w:noProof/>
                <w:sz w:val="20"/>
                <w:szCs w:val="20"/>
              </w:rPr>
            </w:pPr>
            <w:r>
              <w:rPr>
                <w:b/>
                <w:noProof/>
                <w:color w:val="000000"/>
                <w:sz w:val="20"/>
              </w:rPr>
              <w:t>50,000</w:t>
            </w:r>
          </w:p>
        </w:tc>
        <w:tc>
          <w:tcPr>
            <w:tcW w:w="1621" w:type="dxa"/>
            <w:vAlign w:val="bottom"/>
          </w:tcPr>
          <w:p w:rsidR="008949F5" w:rsidRDefault="004A11FE">
            <w:pPr>
              <w:spacing w:before="0" w:after="0"/>
              <w:jc w:val="right"/>
              <w:rPr>
                <w:b/>
                <w:noProof/>
                <w:sz w:val="20"/>
                <w:szCs w:val="20"/>
              </w:rPr>
            </w:pPr>
            <w:r>
              <w:rPr>
                <w:b/>
                <w:noProof/>
                <w:color w:val="000000"/>
                <w:sz w:val="20"/>
              </w:rPr>
              <w:t>49,650</w:t>
            </w:r>
          </w:p>
        </w:tc>
        <w:tc>
          <w:tcPr>
            <w:tcW w:w="1621" w:type="dxa"/>
            <w:vAlign w:val="bottom"/>
          </w:tcPr>
          <w:p w:rsidR="008949F5" w:rsidRDefault="004A11FE">
            <w:pPr>
              <w:spacing w:before="0" w:after="0"/>
              <w:jc w:val="right"/>
              <w:rPr>
                <w:b/>
                <w:noProof/>
                <w:sz w:val="20"/>
                <w:szCs w:val="20"/>
              </w:rPr>
            </w:pPr>
            <w:r>
              <w:rPr>
                <w:b/>
                <w:noProof/>
                <w:color w:val="000000"/>
                <w:sz w:val="20"/>
              </w:rPr>
              <w:t>0,350</w:t>
            </w:r>
          </w:p>
        </w:tc>
        <w:tc>
          <w:tcPr>
            <w:tcW w:w="1622" w:type="dxa"/>
            <w:vAlign w:val="center"/>
          </w:tcPr>
          <w:p w:rsidR="008949F5" w:rsidRDefault="004A11FE">
            <w:pPr>
              <w:spacing w:before="0" w:after="0"/>
              <w:jc w:val="right"/>
              <w:rPr>
                <w:b/>
                <w:noProof/>
                <w:sz w:val="20"/>
                <w:szCs w:val="20"/>
              </w:rPr>
            </w:pPr>
            <w:r>
              <w:rPr>
                <w:b/>
                <w:noProof/>
                <w:sz w:val="20"/>
              </w:rPr>
              <w:t>120,000</w:t>
            </w:r>
          </w:p>
        </w:tc>
      </w:tr>
      <w:tr w:rsidR="008949F5">
        <w:trPr>
          <w:trHeight w:val="368"/>
        </w:trPr>
        <w:tc>
          <w:tcPr>
            <w:tcW w:w="3360" w:type="dxa"/>
            <w:vMerge/>
          </w:tcPr>
          <w:p w:rsidR="008949F5" w:rsidRDefault="008949F5">
            <w:pPr>
              <w:rPr>
                <w:noProof/>
                <w:sz w:val="20"/>
              </w:rPr>
            </w:pPr>
          </w:p>
        </w:tc>
        <w:tc>
          <w:tcPr>
            <w:tcW w:w="1320" w:type="dxa"/>
            <w:vAlign w:val="center"/>
          </w:tcPr>
          <w:p w:rsidR="008949F5" w:rsidRDefault="004A11FE">
            <w:pPr>
              <w:spacing w:before="0" w:after="0"/>
              <w:rPr>
                <w:noProof/>
                <w:sz w:val="18"/>
              </w:rPr>
            </w:pPr>
            <w:r>
              <w:rPr>
                <w:noProof/>
                <w:sz w:val="18"/>
              </w:rPr>
              <w:t>Kifizetési előirányzatok</w:t>
            </w:r>
          </w:p>
        </w:tc>
        <w:tc>
          <w:tcPr>
            <w:tcW w:w="840" w:type="dxa"/>
            <w:vAlign w:val="center"/>
          </w:tcPr>
          <w:p w:rsidR="008949F5" w:rsidRDefault="004A11FE">
            <w:pPr>
              <w:spacing w:before="0" w:after="0"/>
              <w:jc w:val="center"/>
              <w:rPr>
                <w:noProof/>
                <w:sz w:val="14"/>
              </w:rPr>
            </w:pPr>
            <w:r>
              <w:rPr>
                <w:noProof/>
                <w:sz w:val="14"/>
              </w:rPr>
              <w:t>=2+2a</w:t>
            </w:r>
          </w:p>
          <w:p w:rsidR="008949F5" w:rsidRDefault="004A11FE">
            <w:pPr>
              <w:spacing w:before="0" w:after="0"/>
              <w:jc w:val="center"/>
              <w:rPr>
                <w:noProof/>
                <w:sz w:val="14"/>
              </w:rPr>
            </w:pPr>
            <w:r>
              <w:rPr>
                <w:noProof/>
                <w:sz w:val="14"/>
              </w:rPr>
              <w:t>+3</w:t>
            </w:r>
          </w:p>
        </w:tc>
        <w:tc>
          <w:tcPr>
            <w:tcW w:w="1555" w:type="dxa"/>
            <w:vAlign w:val="bottom"/>
          </w:tcPr>
          <w:p w:rsidR="008949F5" w:rsidRDefault="004A11FE">
            <w:pPr>
              <w:spacing w:before="0" w:after="0"/>
              <w:jc w:val="right"/>
              <w:rPr>
                <w:b/>
                <w:noProof/>
                <w:sz w:val="20"/>
                <w:szCs w:val="20"/>
              </w:rPr>
            </w:pPr>
            <w:r>
              <w:rPr>
                <w:b/>
                <w:noProof/>
                <w:color w:val="000000"/>
                <w:sz w:val="20"/>
              </w:rPr>
              <w:t>0,670</w:t>
            </w:r>
          </w:p>
        </w:tc>
        <w:tc>
          <w:tcPr>
            <w:tcW w:w="1621" w:type="dxa"/>
            <w:vAlign w:val="bottom"/>
          </w:tcPr>
          <w:p w:rsidR="008949F5" w:rsidRDefault="004A11FE">
            <w:pPr>
              <w:spacing w:before="0" w:after="0"/>
              <w:jc w:val="right"/>
              <w:rPr>
                <w:b/>
                <w:noProof/>
                <w:sz w:val="20"/>
                <w:szCs w:val="20"/>
              </w:rPr>
            </w:pPr>
            <w:r>
              <w:rPr>
                <w:b/>
                <w:noProof/>
                <w:color w:val="000000"/>
                <w:sz w:val="20"/>
              </w:rPr>
              <w:t>44,525</w:t>
            </w:r>
          </w:p>
        </w:tc>
        <w:tc>
          <w:tcPr>
            <w:tcW w:w="1621" w:type="dxa"/>
            <w:vAlign w:val="bottom"/>
          </w:tcPr>
          <w:p w:rsidR="008949F5" w:rsidRDefault="004A11FE">
            <w:pPr>
              <w:spacing w:before="0" w:after="0"/>
              <w:jc w:val="right"/>
              <w:rPr>
                <w:b/>
                <w:noProof/>
                <w:sz w:val="20"/>
                <w:szCs w:val="20"/>
              </w:rPr>
            </w:pPr>
            <w:r>
              <w:rPr>
                <w:b/>
                <w:noProof/>
                <w:color w:val="000000"/>
                <w:sz w:val="20"/>
              </w:rPr>
              <w:t>49,825</w:t>
            </w:r>
          </w:p>
        </w:tc>
        <w:tc>
          <w:tcPr>
            <w:tcW w:w="1621" w:type="dxa"/>
            <w:vAlign w:val="bottom"/>
          </w:tcPr>
          <w:p w:rsidR="008949F5" w:rsidRDefault="004A11FE">
            <w:pPr>
              <w:spacing w:before="0" w:after="0"/>
              <w:jc w:val="right"/>
              <w:rPr>
                <w:b/>
                <w:noProof/>
                <w:sz w:val="20"/>
                <w:szCs w:val="20"/>
              </w:rPr>
            </w:pPr>
            <w:r>
              <w:rPr>
                <w:b/>
                <w:noProof/>
                <w:color w:val="000000"/>
                <w:sz w:val="20"/>
              </w:rPr>
              <w:t>24,980</w:t>
            </w:r>
          </w:p>
        </w:tc>
        <w:tc>
          <w:tcPr>
            <w:tcW w:w="1622" w:type="dxa"/>
            <w:vAlign w:val="center"/>
          </w:tcPr>
          <w:p w:rsidR="008949F5" w:rsidRDefault="004A11FE">
            <w:pPr>
              <w:spacing w:before="0" w:after="0"/>
              <w:jc w:val="right"/>
              <w:rPr>
                <w:b/>
                <w:noProof/>
                <w:sz w:val="20"/>
                <w:szCs w:val="20"/>
              </w:rPr>
            </w:pPr>
            <w:r>
              <w:rPr>
                <w:b/>
                <w:noProof/>
                <w:sz w:val="20"/>
              </w:rPr>
              <w:t>120,000</w:t>
            </w:r>
          </w:p>
        </w:tc>
      </w:tr>
    </w:tbl>
    <w:p w:rsidR="008949F5" w:rsidRDefault="004A11FE">
      <w:pPr>
        <w:rPr>
          <w:noProof/>
        </w:rPr>
      </w:pPr>
      <w:r>
        <w:rPr>
          <w:noProof/>
        </w:rPr>
        <w:br/>
      </w:r>
    </w:p>
    <w:p w:rsidR="008949F5" w:rsidRDefault="008949F5">
      <w:pPr>
        <w:rPr>
          <w:strike/>
          <w:noProof/>
        </w:rPr>
      </w:pPr>
    </w:p>
    <w:p w:rsidR="008949F5" w:rsidRDefault="004A11FE">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8949F5">
        <w:trPr>
          <w:jc w:val="center"/>
        </w:trPr>
        <w:tc>
          <w:tcPr>
            <w:tcW w:w="4744" w:type="dxa"/>
            <w:shd w:val="thinDiagStripe" w:color="C0C0C0" w:fill="auto"/>
            <w:vAlign w:val="center"/>
          </w:tcPr>
          <w:p w:rsidR="008949F5" w:rsidRDefault="004A11FE">
            <w:pPr>
              <w:spacing w:before="60" w:after="60"/>
              <w:jc w:val="center"/>
              <w:rPr>
                <w:b/>
                <w:noProof/>
              </w:rPr>
            </w:pPr>
            <w:r>
              <w:rPr>
                <w:noProof/>
              </w:rPr>
              <w:br w:type="page"/>
            </w:r>
            <w:r>
              <w:rPr>
                <w:b/>
                <w:noProof/>
              </w:rPr>
              <w:t>A többéves pénzügyi keret fejezete</w:t>
            </w:r>
            <w:r>
              <w:rPr>
                <w:noProof/>
                <w:sz w:val="22"/>
              </w:rPr>
              <w:br/>
            </w:r>
            <w:r>
              <w:rPr>
                <w:b/>
                <w:noProof/>
                <w:sz w:val="22"/>
              </w:rPr>
              <w:t xml:space="preserve"> </w:t>
            </w:r>
          </w:p>
        </w:tc>
        <w:tc>
          <w:tcPr>
            <w:tcW w:w="1080" w:type="dxa"/>
            <w:shd w:val="thinDiagStripe" w:color="C0C0C0" w:fill="auto"/>
            <w:vAlign w:val="center"/>
          </w:tcPr>
          <w:p w:rsidR="008949F5" w:rsidRDefault="004A11FE">
            <w:pPr>
              <w:spacing w:before="60" w:after="60"/>
              <w:jc w:val="center"/>
              <w:rPr>
                <w:noProof/>
              </w:rPr>
            </w:pPr>
            <w:r>
              <w:rPr>
                <w:b/>
                <w:noProof/>
                <w:sz w:val="22"/>
              </w:rPr>
              <w:t>5</w:t>
            </w:r>
          </w:p>
        </w:tc>
        <w:tc>
          <w:tcPr>
            <w:tcW w:w="7817" w:type="dxa"/>
            <w:vAlign w:val="center"/>
          </w:tcPr>
          <w:p w:rsidR="008949F5" w:rsidRDefault="004A11FE">
            <w:pPr>
              <w:spacing w:before="60" w:after="60"/>
              <w:rPr>
                <w:noProof/>
              </w:rPr>
            </w:pPr>
            <w:r>
              <w:rPr>
                <w:noProof/>
                <w:sz w:val="22"/>
              </w:rPr>
              <w:t>„Igazgatási kiadások”</w:t>
            </w:r>
          </w:p>
        </w:tc>
      </w:tr>
    </w:tbl>
    <w:p w:rsidR="008949F5" w:rsidRDefault="004A11FE">
      <w:pPr>
        <w:jc w:val="right"/>
        <w:rPr>
          <w:noProof/>
          <w:sz w:val="20"/>
        </w:rPr>
      </w:pPr>
      <w:r>
        <w:rPr>
          <w:noProof/>
          <w:sz w:val="20"/>
        </w:rPr>
        <w:t>millió EUR (három tizedesjegyig)</w:t>
      </w:r>
    </w:p>
    <w:tbl>
      <w:tblPr>
        <w:tblW w:w="14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8"/>
        <w:gridCol w:w="2142"/>
        <w:gridCol w:w="1560"/>
        <w:gridCol w:w="1800"/>
        <w:gridCol w:w="1680"/>
        <w:gridCol w:w="1560"/>
        <w:gridCol w:w="1560"/>
      </w:tblGrid>
      <w:tr w:rsidR="008949F5">
        <w:tc>
          <w:tcPr>
            <w:tcW w:w="6000" w:type="dxa"/>
            <w:gridSpan w:val="2"/>
            <w:tcBorders>
              <w:top w:val="nil"/>
              <w:left w:val="nil"/>
              <w:right w:val="nil"/>
            </w:tcBorders>
            <w:vAlign w:val="center"/>
          </w:tcPr>
          <w:p w:rsidR="008949F5" w:rsidRDefault="008949F5">
            <w:pPr>
              <w:jc w:val="center"/>
              <w:rPr>
                <w:noProof/>
              </w:rPr>
            </w:pPr>
          </w:p>
        </w:tc>
        <w:tc>
          <w:tcPr>
            <w:tcW w:w="1560" w:type="dxa"/>
            <w:vAlign w:val="center"/>
          </w:tcPr>
          <w:p w:rsidR="008949F5" w:rsidRDefault="004A11FE">
            <w:pPr>
              <w:jc w:val="center"/>
              <w:rPr>
                <w:noProof/>
                <w:sz w:val="20"/>
              </w:rPr>
            </w:pPr>
            <w:r>
              <w:rPr>
                <w:b/>
                <w:noProof/>
                <w:sz w:val="20"/>
              </w:rPr>
              <w:t>2017</w:t>
            </w:r>
          </w:p>
        </w:tc>
        <w:tc>
          <w:tcPr>
            <w:tcW w:w="1800" w:type="dxa"/>
            <w:vAlign w:val="center"/>
          </w:tcPr>
          <w:p w:rsidR="008949F5" w:rsidRDefault="004A11FE">
            <w:pPr>
              <w:jc w:val="center"/>
              <w:rPr>
                <w:noProof/>
                <w:sz w:val="20"/>
              </w:rPr>
            </w:pPr>
            <w:r>
              <w:rPr>
                <w:b/>
                <w:noProof/>
                <w:sz w:val="20"/>
              </w:rPr>
              <w:t>2018</w:t>
            </w:r>
          </w:p>
        </w:tc>
        <w:tc>
          <w:tcPr>
            <w:tcW w:w="1680" w:type="dxa"/>
            <w:vAlign w:val="center"/>
          </w:tcPr>
          <w:p w:rsidR="008949F5" w:rsidRDefault="004A11FE">
            <w:pPr>
              <w:jc w:val="center"/>
              <w:rPr>
                <w:noProof/>
                <w:sz w:val="20"/>
              </w:rPr>
            </w:pPr>
            <w:r>
              <w:rPr>
                <w:b/>
                <w:noProof/>
                <w:sz w:val="20"/>
              </w:rPr>
              <w:t>2019</w:t>
            </w:r>
          </w:p>
        </w:tc>
        <w:tc>
          <w:tcPr>
            <w:tcW w:w="1560" w:type="dxa"/>
            <w:vAlign w:val="center"/>
          </w:tcPr>
          <w:p w:rsidR="008949F5" w:rsidRDefault="004A11FE">
            <w:pPr>
              <w:jc w:val="center"/>
              <w:rPr>
                <w:noProof/>
                <w:sz w:val="20"/>
              </w:rPr>
            </w:pPr>
            <w:r>
              <w:rPr>
                <w:b/>
                <w:noProof/>
                <w:sz w:val="20"/>
              </w:rPr>
              <w:t>2020</w:t>
            </w:r>
          </w:p>
        </w:tc>
        <w:tc>
          <w:tcPr>
            <w:tcW w:w="1560" w:type="dxa"/>
            <w:vAlign w:val="center"/>
          </w:tcPr>
          <w:p w:rsidR="008949F5" w:rsidRDefault="004A11FE">
            <w:pPr>
              <w:jc w:val="center"/>
              <w:rPr>
                <w:b/>
                <w:noProof/>
                <w:sz w:val="20"/>
              </w:rPr>
            </w:pPr>
            <w:r>
              <w:rPr>
                <w:b/>
                <w:noProof/>
                <w:sz w:val="20"/>
              </w:rPr>
              <w:t>ÖSSZESEN</w:t>
            </w:r>
          </w:p>
        </w:tc>
      </w:tr>
      <w:tr w:rsidR="008949F5">
        <w:trPr>
          <w:gridAfter w:val="5"/>
          <w:wAfter w:w="8160" w:type="dxa"/>
        </w:trPr>
        <w:tc>
          <w:tcPr>
            <w:tcW w:w="6000" w:type="dxa"/>
            <w:gridSpan w:val="2"/>
            <w:vAlign w:val="center"/>
          </w:tcPr>
          <w:p w:rsidR="008949F5" w:rsidRDefault="004A11FE">
            <w:pPr>
              <w:spacing w:before="60" w:after="60"/>
              <w:jc w:val="center"/>
              <w:rPr>
                <w:noProof/>
              </w:rPr>
            </w:pPr>
            <w:r>
              <w:rPr>
                <w:noProof/>
                <w:sz w:val="22"/>
              </w:rPr>
              <w:t xml:space="preserve">FŐIGAZGATÓSÁG: &lt;A Tartalmak, Technológiák és Kommunikációs Hálózatok </w:t>
            </w:r>
            <w:r>
              <w:rPr>
                <w:noProof/>
                <w:sz w:val="22"/>
              </w:rPr>
              <w:t>Főigazgatósága …….&gt;</w:t>
            </w:r>
          </w:p>
        </w:tc>
      </w:tr>
      <w:tr w:rsidR="008949F5">
        <w:trPr>
          <w:trHeight w:val="313"/>
        </w:trPr>
        <w:tc>
          <w:tcPr>
            <w:tcW w:w="6000" w:type="dxa"/>
            <w:gridSpan w:val="2"/>
            <w:vAlign w:val="center"/>
          </w:tcPr>
          <w:p w:rsidR="008949F5" w:rsidRDefault="004A11FE">
            <w:pPr>
              <w:spacing w:before="20" w:after="20"/>
              <w:rPr>
                <w:noProof/>
              </w:rPr>
            </w:pPr>
            <w:r>
              <w:rPr>
                <w:noProof/>
                <w:sz w:val="22"/>
              </w:rPr>
              <w:sym w:font="Wingdings" w:char="F09F"/>
            </w:r>
            <w:r>
              <w:rPr>
                <w:noProof/>
                <w:sz w:val="22"/>
              </w:rPr>
              <w:t xml:space="preserve"> Humánerőforrás</w:t>
            </w:r>
          </w:p>
        </w:tc>
        <w:tc>
          <w:tcPr>
            <w:tcW w:w="1560" w:type="dxa"/>
            <w:vAlign w:val="center"/>
          </w:tcPr>
          <w:p w:rsidR="008949F5" w:rsidRDefault="004A11FE">
            <w:pPr>
              <w:spacing w:before="20" w:after="20"/>
              <w:jc w:val="right"/>
              <w:rPr>
                <w:noProof/>
                <w:sz w:val="20"/>
              </w:rPr>
            </w:pPr>
            <w:r>
              <w:rPr>
                <w:noProof/>
                <w:sz w:val="20"/>
              </w:rPr>
              <w:t>0,204</w:t>
            </w:r>
          </w:p>
        </w:tc>
        <w:tc>
          <w:tcPr>
            <w:tcW w:w="1800" w:type="dxa"/>
            <w:vAlign w:val="center"/>
          </w:tcPr>
          <w:p w:rsidR="008949F5" w:rsidRDefault="004A11FE">
            <w:pPr>
              <w:spacing w:before="20" w:after="20"/>
              <w:jc w:val="right"/>
              <w:rPr>
                <w:noProof/>
                <w:sz w:val="20"/>
              </w:rPr>
            </w:pPr>
            <w:r>
              <w:rPr>
                <w:noProof/>
                <w:sz w:val="20"/>
              </w:rPr>
              <w:t>0,204</w:t>
            </w:r>
          </w:p>
        </w:tc>
        <w:tc>
          <w:tcPr>
            <w:tcW w:w="1680" w:type="dxa"/>
            <w:vAlign w:val="center"/>
          </w:tcPr>
          <w:p w:rsidR="008949F5" w:rsidRDefault="004A11FE">
            <w:pPr>
              <w:spacing w:before="20" w:after="20"/>
              <w:jc w:val="right"/>
              <w:rPr>
                <w:noProof/>
                <w:sz w:val="20"/>
              </w:rPr>
            </w:pPr>
            <w:r>
              <w:rPr>
                <w:noProof/>
                <w:sz w:val="20"/>
              </w:rPr>
              <w:t>0,204</w:t>
            </w:r>
          </w:p>
        </w:tc>
        <w:tc>
          <w:tcPr>
            <w:tcW w:w="1560" w:type="dxa"/>
            <w:vAlign w:val="center"/>
          </w:tcPr>
          <w:p w:rsidR="008949F5" w:rsidRDefault="004A11FE">
            <w:pPr>
              <w:spacing w:before="20" w:after="20"/>
              <w:jc w:val="right"/>
              <w:rPr>
                <w:noProof/>
                <w:sz w:val="20"/>
              </w:rPr>
            </w:pPr>
            <w:r>
              <w:rPr>
                <w:noProof/>
                <w:sz w:val="20"/>
              </w:rPr>
              <w:t>0,204</w:t>
            </w:r>
          </w:p>
        </w:tc>
        <w:tc>
          <w:tcPr>
            <w:tcW w:w="1560" w:type="dxa"/>
            <w:vAlign w:val="center"/>
          </w:tcPr>
          <w:p w:rsidR="008949F5" w:rsidRDefault="004A11FE">
            <w:pPr>
              <w:spacing w:before="20" w:after="20"/>
              <w:jc w:val="right"/>
              <w:rPr>
                <w:b/>
                <w:noProof/>
                <w:sz w:val="20"/>
              </w:rPr>
            </w:pPr>
            <w:r>
              <w:rPr>
                <w:b/>
                <w:noProof/>
                <w:sz w:val="20"/>
              </w:rPr>
              <w:t>0,816</w:t>
            </w:r>
          </w:p>
        </w:tc>
      </w:tr>
      <w:tr w:rsidR="008949F5">
        <w:trPr>
          <w:trHeight w:val="351"/>
        </w:trPr>
        <w:tc>
          <w:tcPr>
            <w:tcW w:w="6000" w:type="dxa"/>
            <w:gridSpan w:val="2"/>
            <w:vAlign w:val="center"/>
          </w:tcPr>
          <w:p w:rsidR="008949F5" w:rsidRDefault="004A11FE">
            <w:pPr>
              <w:spacing w:before="20" w:after="20"/>
              <w:rPr>
                <w:noProof/>
              </w:rPr>
            </w:pPr>
            <w:r>
              <w:rPr>
                <w:noProof/>
                <w:sz w:val="22"/>
              </w:rPr>
              <w:sym w:font="Wingdings" w:char="F09F"/>
            </w:r>
            <w:r>
              <w:rPr>
                <w:noProof/>
                <w:sz w:val="22"/>
              </w:rPr>
              <w:t xml:space="preserve"> Egyéb igazgatási kiadások</w:t>
            </w:r>
          </w:p>
        </w:tc>
        <w:tc>
          <w:tcPr>
            <w:tcW w:w="1560" w:type="dxa"/>
            <w:vAlign w:val="center"/>
          </w:tcPr>
          <w:p w:rsidR="008949F5" w:rsidRDefault="004A11FE">
            <w:pPr>
              <w:spacing w:before="20" w:after="20"/>
              <w:jc w:val="right"/>
              <w:rPr>
                <w:noProof/>
                <w:sz w:val="20"/>
              </w:rPr>
            </w:pPr>
            <w:r>
              <w:rPr>
                <w:noProof/>
                <w:sz w:val="20"/>
              </w:rPr>
              <w:t>0,020</w:t>
            </w:r>
          </w:p>
        </w:tc>
        <w:tc>
          <w:tcPr>
            <w:tcW w:w="1800" w:type="dxa"/>
            <w:vAlign w:val="center"/>
          </w:tcPr>
          <w:p w:rsidR="008949F5" w:rsidRDefault="004A11FE">
            <w:pPr>
              <w:spacing w:before="20" w:after="20"/>
              <w:jc w:val="right"/>
              <w:rPr>
                <w:noProof/>
                <w:sz w:val="20"/>
              </w:rPr>
            </w:pPr>
            <w:r>
              <w:rPr>
                <w:noProof/>
                <w:sz w:val="20"/>
              </w:rPr>
              <w:t>0,020</w:t>
            </w:r>
          </w:p>
        </w:tc>
        <w:tc>
          <w:tcPr>
            <w:tcW w:w="1680" w:type="dxa"/>
            <w:vAlign w:val="center"/>
          </w:tcPr>
          <w:p w:rsidR="008949F5" w:rsidRDefault="004A11FE">
            <w:pPr>
              <w:spacing w:before="20" w:after="20"/>
              <w:jc w:val="right"/>
              <w:rPr>
                <w:noProof/>
                <w:sz w:val="20"/>
              </w:rPr>
            </w:pPr>
            <w:r>
              <w:rPr>
                <w:noProof/>
                <w:sz w:val="20"/>
              </w:rPr>
              <w:t>0,010</w:t>
            </w:r>
          </w:p>
        </w:tc>
        <w:tc>
          <w:tcPr>
            <w:tcW w:w="1560" w:type="dxa"/>
            <w:vAlign w:val="center"/>
          </w:tcPr>
          <w:p w:rsidR="008949F5" w:rsidRDefault="004A11FE">
            <w:pPr>
              <w:spacing w:before="20" w:after="20"/>
              <w:jc w:val="right"/>
              <w:rPr>
                <w:noProof/>
                <w:sz w:val="20"/>
              </w:rPr>
            </w:pPr>
            <w:r>
              <w:rPr>
                <w:noProof/>
                <w:sz w:val="20"/>
              </w:rPr>
              <w:t>0,010</w:t>
            </w:r>
          </w:p>
        </w:tc>
        <w:tc>
          <w:tcPr>
            <w:tcW w:w="1560" w:type="dxa"/>
            <w:vAlign w:val="center"/>
          </w:tcPr>
          <w:p w:rsidR="008949F5" w:rsidRDefault="004A11FE">
            <w:pPr>
              <w:spacing w:before="20" w:after="20"/>
              <w:jc w:val="right"/>
              <w:rPr>
                <w:b/>
                <w:noProof/>
                <w:sz w:val="20"/>
              </w:rPr>
            </w:pPr>
            <w:r>
              <w:rPr>
                <w:b/>
                <w:noProof/>
                <w:sz w:val="20"/>
              </w:rPr>
              <w:t>0,060</w:t>
            </w:r>
          </w:p>
        </w:tc>
      </w:tr>
      <w:tr w:rsidR="008949F5">
        <w:tc>
          <w:tcPr>
            <w:tcW w:w="3858" w:type="dxa"/>
            <w:vAlign w:val="center"/>
          </w:tcPr>
          <w:p w:rsidR="008949F5" w:rsidRDefault="004A11FE">
            <w:pPr>
              <w:jc w:val="center"/>
              <w:rPr>
                <w:b/>
                <w:noProof/>
              </w:rPr>
            </w:pPr>
            <w:r>
              <w:rPr>
                <w:noProof/>
                <w:sz w:val="22"/>
              </w:rPr>
              <w:t xml:space="preserve">A Tartalmak, Technológiák és Kommunikációs Hálózatok </w:t>
            </w:r>
            <w:r>
              <w:rPr>
                <w:b/>
                <w:noProof/>
              </w:rPr>
              <w:t>Főigazgatósága ÖSSZESEN</w:t>
            </w:r>
          </w:p>
        </w:tc>
        <w:tc>
          <w:tcPr>
            <w:tcW w:w="2142" w:type="dxa"/>
            <w:vAlign w:val="center"/>
          </w:tcPr>
          <w:p w:rsidR="008949F5" w:rsidRDefault="004A11FE">
            <w:pPr>
              <w:rPr>
                <w:noProof/>
                <w:sz w:val="14"/>
              </w:rPr>
            </w:pPr>
            <w:r>
              <w:rPr>
                <w:noProof/>
                <w:sz w:val="18"/>
              </w:rPr>
              <w:t xml:space="preserve">Előirányzatok </w:t>
            </w:r>
          </w:p>
        </w:tc>
        <w:tc>
          <w:tcPr>
            <w:tcW w:w="1560" w:type="dxa"/>
            <w:vAlign w:val="center"/>
          </w:tcPr>
          <w:p w:rsidR="008949F5" w:rsidRDefault="004A11FE">
            <w:pPr>
              <w:spacing w:before="60" w:after="60"/>
              <w:jc w:val="right"/>
              <w:rPr>
                <w:b/>
                <w:noProof/>
                <w:sz w:val="20"/>
              </w:rPr>
            </w:pPr>
            <w:r>
              <w:rPr>
                <w:b/>
                <w:noProof/>
                <w:sz w:val="20"/>
              </w:rPr>
              <w:t>0,224</w:t>
            </w:r>
          </w:p>
        </w:tc>
        <w:tc>
          <w:tcPr>
            <w:tcW w:w="1800" w:type="dxa"/>
            <w:vAlign w:val="center"/>
          </w:tcPr>
          <w:p w:rsidR="008949F5" w:rsidRDefault="004A11FE">
            <w:pPr>
              <w:spacing w:before="20" w:after="20"/>
              <w:jc w:val="right"/>
              <w:rPr>
                <w:b/>
                <w:noProof/>
                <w:sz w:val="20"/>
              </w:rPr>
            </w:pPr>
            <w:r>
              <w:rPr>
                <w:b/>
                <w:noProof/>
                <w:sz w:val="20"/>
              </w:rPr>
              <w:t>0,224</w:t>
            </w:r>
          </w:p>
        </w:tc>
        <w:tc>
          <w:tcPr>
            <w:tcW w:w="1680" w:type="dxa"/>
            <w:vAlign w:val="center"/>
          </w:tcPr>
          <w:p w:rsidR="008949F5" w:rsidRDefault="004A11FE">
            <w:pPr>
              <w:spacing w:before="20" w:after="20"/>
              <w:jc w:val="right"/>
              <w:rPr>
                <w:b/>
                <w:noProof/>
                <w:sz w:val="20"/>
              </w:rPr>
            </w:pPr>
            <w:r>
              <w:rPr>
                <w:b/>
                <w:noProof/>
                <w:sz w:val="20"/>
              </w:rPr>
              <w:t>0,214</w:t>
            </w:r>
          </w:p>
        </w:tc>
        <w:tc>
          <w:tcPr>
            <w:tcW w:w="1560" w:type="dxa"/>
            <w:vAlign w:val="center"/>
          </w:tcPr>
          <w:p w:rsidR="008949F5" w:rsidRDefault="004A11FE">
            <w:pPr>
              <w:spacing w:before="20" w:after="20"/>
              <w:jc w:val="right"/>
              <w:rPr>
                <w:b/>
                <w:noProof/>
                <w:sz w:val="20"/>
              </w:rPr>
            </w:pPr>
            <w:r>
              <w:rPr>
                <w:b/>
                <w:noProof/>
                <w:sz w:val="20"/>
              </w:rPr>
              <w:t>0,214</w:t>
            </w:r>
          </w:p>
        </w:tc>
        <w:tc>
          <w:tcPr>
            <w:tcW w:w="1560" w:type="dxa"/>
            <w:vAlign w:val="center"/>
          </w:tcPr>
          <w:p w:rsidR="008949F5" w:rsidRDefault="004A11FE">
            <w:pPr>
              <w:spacing w:before="20" w:after="20"/>
              <w:jc w:val="right"/>
              <w:rPr>
                <w:b/>
                <w:noProof/>
                <w:sz w:val="20"/>
              </w:rPr>
            </w:pPr>
            <w:r>
              <w:rPr>
                <w:b/>
                <w:noProof/>
                <w:sz w:val="20"/>
              </w:rPr>
              <w:t>0,876</w:t>
            </w:r>
          </w:p>
        </w:tc>
      </w:tr>
    </w:tbl>
    <w:p w:rsidR="008949F5" w:rsidRDefault="004A11FE">
      <w:pPr>
        <w:rPr>
          <w:noProof/>
        </w:rPr>
      </w:pPr>
      <w:r>
        <w:rPr>
          <w:noProof/>
        </w:rPr>
        <w:t>X</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40"/>
        <w:gridCol w:w="1560"/>
        <w:gridCol w:w="1800"/>
        <w:gridCol w:w="1680"/>
        <w:gridCol w:w="1560"/>
        <w:gridCol w:w="1560"/>
      </w:tblGrid>
      <w:tr w:rsidR="008949F5">
        <w:tc>
          <w:tcPr>
            <w:tcW w:w="3960" w:type="dxa"/>
            <w:shd w:val="thinDiagStripe" w:color="C0C0C0" w:fill="auto"/>
            <w:vAlign w:val="center"/>
          </w:tcPr>
          <w:p w:rsidR="008949F5" w:rsidRDefault="004A11FE">
            <w:pPr>
              <w:jc w:val="center"/>
              <w:rPr>
                <w:b/>
                <w:noProof/>
              </w:rPr>
            </w:pPr>
            <w:r>
              <w:rPr>
                <w:noProof/>
              </w:rPr>
              <w:t xml:space="preserve">A többéves pénzügyi keret </w:t>
            </w:r>
            <w:r>
              <w:rPr>
                <w:b/>
                <w:noProof/>
              </w:rPr>
              <w:t>5. FEJEZETÉHEZ tartozó előirányzatok ÖSSZESEN</w:t>
            </w:r>
            <w:r>
              <w:rPr>
                <w:b/>
                <w:noProof/>
                <w:sz w:val="22"/>
              </w:rPr>
              <w:t xml:space="preserve"> </w:t>
            </w:r>
          </w:p>
        </w:tc>
        <w:tc>
          <w:tcPr>
            <w:tcW w:w="2040" w:type="dxa"/>
            <w:vAlign w:val="center"/>
          </w:tcPr>
          <w:p w:rsidR="008949F5" w:rsidRDefault="004A11FE">
            <w:pPr>
              <w:spacing w:before="40" w:after="40"/>
              <w:rPr>
                <w:noProof/>
              </w:rPr>
            </w:pPr>
            <w:r>
              <w:rPr>
                <w:noProof/>
                <w:sz w:val="18"/>
              </w:rPr>
              <w:t>(Összes kötelezettségvállalási előirányzat = Összes kifizetési előirányzat)</w:t>
            </w:r>
          </w:p>
        </w:tc>
        <w:tc>
          <w:tcPr>
            <w:tcW w:w="1560" w:type="dxa"/>
            <w:vAlign w:val="center"/>
          </w:tcPr>
          <w:p w:rsidR="008949F5" w:rsidRDefault="004A11FE">
            <w:pPr>
              <w:spacing w:before="20" w:after="20"/>
              <w:jc w:val="right"/>
              <w:rPr>
                <w:b/>
                <w:noProof/>
                <w:sz w:val="20"/>
              </w:rPr>
            </w:pPr>
            <w:r>
              <w:rPr>
                <w:b/>
                <w:noProof/>
                <w:sz w:val="20"/>
              </w:rPr>
              <w:t>0,224</w:t>
            </w:r>
          </w:p>
        </w:tc>
        <w:tc>
          <w:tcPr>
            <w:tcW w:w="1800" w:type="dxa"/>
            <w:vAlign w:val="center"/>
          </w:tcPr>
          <w:p w:rsidR="008949F5" w:rsidRDefault="004A11FE">
            <w:pPr>
              <w:spacing w:before="20" w:after="20"/>
              <w:jc w:val="right"/>
              <w:rPr>
                <w:b/>
                <w:noProof/>
                <w:sz w:val="20"/>
              </w:rPr>
            </w:pPr>
            <w:r>
              <w:rPr>
                <w:b/>
                <w:noProof/>
                <w:sz w:val="20"/>
              </w:rPr>
              <w:t>0,224</w:t>
            </w:r>
          </w:p>
        </w:tc>
        <w:tc>
          <w:tcPr>
            <w:tcW w:w="1680" w:type="dxa"/>
            <w:vAlign w:val="center"/>
          </w:tcPr>
          <w:p w:rsidR="008949F5" w:rsidRDefault="004A11FE">
            <w:pPr>
              <w:spacing w:before="20" w:after="20"/>
              <w:jc w:val="right"/>
              <w:rPr>
                <w:b/>
                <w:noProof/>
                <w:sz w:val="20"/>
              </w:rPr>
            </w:pPr>
            <w:r>
              <w:rPr>
                <w:b/>
                <w:noProof/>
                <w:sz w:val="20"/>
              </w:rPr>
              <w:t>0,214</w:t>
            </w:r>
          </w:p>
        </w:tc>
        <w:tc>
          <w:tcPr>
            <w:tcW w:w="1560" w:type="dxa"/>
            <w:vAlign w:val="center"/>
          </w:tcPr>
          <w:p w:rsidR="008949F5" w:rsidRDefault="004A11FE">
            <w:pPr>
              <w:spacing w:before="20" w:after="20"/>
              <w:jc w:val="right"/>
              <w:rPr>
                <w:b/>
                <w:noProof/>
                <w:sz w:val="20"/>
              </w:rPr>
            </w:pPr>
            <w:r>
              <w:rPr>
                <w:b/>
                <w:noProof/>
                <w:sz w:val="20"/>
              </w:rPr>
              <w:t>0,214</w:t>
            </w:r>
          </w:p>
        </w:tc>
        <w:tc>
          <w:tcPr>
            <w:tcW w:w="1560" w:type="dxa"/>
            <w:vAlign w:val="center"/>
          </w:tcPr>
          <w:p w:rsidR="008949F5" w:rsidRDefault="004A11FE">
            <w:pPr>
              <w:spacing w:before="20" w:after="20"/>
              <w:jc w:val="right"/>
              <w:rPr>
                <w:b/>
                <w:noProof/>
                <w:sz w:val="20"/>
              </w:rPr>
            </w:pPr>
            <w:r>
              <w:rPr>
                <w:b/>
                <w:noProof/>
                <w:sz w:val="20"/>
              </w:rPr>
              <w:t>0,876</w:t>
            </w:r>
          </w:p>
        </w:tc>
      </w:tr>
    </w:tbl>
    <w:p w:rsidR="008949F5" w:rsidRDefault="004A11FE">
      <w:pPr>
        <w:jc w:val="right"/>
        <w:rPr>
          <w:noProof/>
          <w:sz w:val="20"/>
        </w:rPr>
      </w:pPr>
      <w:r>
        <w:rPr>
          <w:noProof/>
          <w:sz w:val="20"/>
        </w:rPr>
        <w:t>millió EUR (három tizedesjegyig)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480"/>
        <w:gridCol w:w="1560"/>
        <w:gridCol w:w="1800"/>
        <w:gridCol w:w="1680"/>
        <w:gridCol w:w="1560"/>
        <w:gridCol w:w="1560"/>
      </w:tblGrid>
      <w:tr w:rsidR="008949F5">
        <w:tc>
          <w:tcPr>
            <w:tcW w:w="3960" w:type="dxa"/>
            <w:tcBorders>
              <w:top w:val="nil"/>
              <w:left w:val="nil"/>
              <w:right w:val="nil"/>
            </w:tcBorders>
            <w:vAlign w:val="center"/>
          </w:tcPr>
          <w:p w:rsidR="008949F5" w:rsidRDefault="008949F5">
            <w:pPr>
              <w:jc w:val="center"/>
              <w:rPr>
                <w:noProof/>
              </w:rPr>
            </w:pPr>
          </w:p>
        </w:tc>
        <w:tc>
          <w:tcPr>
            <w:tcW w:w="1560" w:type="dxa"/>
            <w:tcBorders>
              <w:top w:val="nil"/>
              <w:left w:val="nil"/>
              <w:right w:val="nil"/>
            </w:tcBorders>
          </w:tcPr>
          <w:p w:rsidR="008949F5" w:rsidRDefault="008949F5">
            <w:pPr>
              <w:rPr>
                <w:noProof/>
                <w:sz w:val="20"/>
              </w:rPr>
            </w:pPr>
          </w:p>
        </w:tc>
        <w:tc>
          <w:tcPr>
            <w:tcW w:w="480" w:type="dxa"/>
            <w:tcBorders>
              <w:top w:val="nil"/>
              <w:left w:val="nil"/>
            </w:tcBorders>
          </w:tcPr>
          <w:p w:rsidR="008949F5" w:rsidRDefault="008949F5">
            <w:pPr>
              <w:jc w:val="center"/>
              <w:rPr>
                <w:noProof/>
                <w:sz w:val="20"/>
              </w:rPr>
            </w:pPr>
          </w:p>
        </w:tc>
        <w:tc>
          <w:tcPr>
            <w:tcW w:w="1560" w:type="dxa"/>
            <w:vAlign w:val="center"/>
          </w:tcPr>
          <w:p w:rsidR="008949F5" w:rsidRDefault="004A11FE">
            <w:pPr>
              <w:jc w:val="center"/>
              <w:rPr>
                <w:noProof/>
                <w:sz w:val="20"/>
              </w:rPr>
            </w:pPr>
            <w:r>
              <w:rPr>
                <w:b/>
                <w:noProof/>
                <w:sz w:val="20"/>
              </w:rPr>
              <w:t>2017</w:t>
            </w:r>
          </w:p>
        </w:tc>
        <w:tc>
          <w:tcPr>
            <w:tcW w:w="1800" w:type="dxa"/>
            <w:vAlign w:val="center"/>
          </w:tcPr>
          <w:p w:rsidR="008949F5" w:rsidRDefault="004A11FE">
            <w:pPr>
              <w:jc w:val="center"/>
              <w:rPr>
                <w:noProof/>
                <w:sz w:val="20"/>
              </w:rPr>
            </w:pPr>
            <w:r>
              <w:rPr>
                <w:b/>
                <w:noProof/>
                <w:sz w:val="20"/>
              </w:rPr>
              <w:t>2018</w:t>
            </w:r>
          </w:p>
        </w:tc>
        <w:tc>
          <w:tcPr>
            <w:tcW w:w="1680" w:type="dxa"/>
            <w:vAlign w:val="center"/>
          </w:tcPr>
          <w:p w:rsidR="008949F5" w:rsidRDefault="004A11FE">
            <w:pPr>
              <w:jc w:val="center"/>
              <w:rPr>
                <w:noProof/>
                <w:sz w:val="20"/>
              </w:rPr>
            </w:pPr>
            <w:r>
              <w:rPr>
                <w:b/>
                <w:noProof/>
                <w:sz w:val="20"/>
              </w:rPr>
              <w:t>2019</w:t>
            </w:r>
          </w:p>
        </w:tc>
        <w:tc>
          <w:tcPr>
            <w:tcW w:w="1560" w:type="dxa"/>
            <w:vAlign w:val="center"/>
          </w:tcPr>
          <w:p w:rsidR="008949F5" w:rsidRDefault="004A11FE">
            <w:pPr>
              <w:jc w:val="center"/>
              <w:rPr>
                <w:noProof/>
                <w:sz w:val="20"/>
              </w:rPr>
            </w:pPr>
            <w:r>
              <w:rPr>
                <w:b/>
                <w:noProof/>
                <w:sz w:val="20"/>
              </w:rPr>
              <w:t>2020</w:t>
            </w:r>
          </w:p>
        </w:tc>
        <w:tc>
          <w:tcPr>
            <w:tcW w:w="1560" w:type="dxa"/>
            <w:vAlign w:val="center"/>
          </w:tcPr>
          <w:p w:rsidR="008949F5" w:rsidRDefault="004A11FE">
            <w:pPr>
              <w:jc w:val="center"/>
              <w:rPr>
                <w:b/>
                <w:noProof/>
                <w:sz w:val="20"/>
              </w:rPr>
            </w:pPr>
            <w:r>
              <w:rPr>
                <w:b/>
                <w:noProof/>
                <w:sz w:val="20"/>
              </w:rPr>
              <w:t>ÖSSZESEN</w:t>
            </w:r>
          </w:p>
        </w:tc>
      </w:tr>
      <w:tr w:rsidR="008949F5">
        <w:tc>
          <w:tcPr>
            <w:tcW w:w="3960" w:type="dxa"/>
            <w:vMerge w:val="restart"/>
            <w:shd w:val="clear" w:color="auto" w:fill="C0C0C0"/>
            <w:vAlign w:val="center"/>
          </w:tcPr>
          <w:p w:rsidR="008949F5" w:rsidRDefault="004A11FE">
            <w:pPr>
              <w:jc w:val="center"/>
              <w:rPr>
                <w:b/>
                <w:noProof/>
              </w:rPr>
            </w:pPr>
            <w:r>
              <w:rPr>
                <w:noProof/>
              </w:rPr>
              <w:t xml:space="preserve">A többéves pénzügyi keret </w:t>
            </w:r>
            <w:r>
              <w:rPr>
                <w:b/>
                <w:noProof/>
              </w:rPr>
              <w:t>1–5. FEJEZETÉHEZ tartozó előirányzatok ÖSSZESEN</w:t>
            </w:r>
            <w:r>
              <w:rPr>
                <w:b/>
                <w:noProof/>
                <w:sz w:val="22"/>
              </w:rPr>
              <w:t xml:space="preserve"> </w:t>
            </w:r>
          </w:p>
        </w:tc>
        <w:tc>
          <w:tcPr>
            <w:tcW w:w="2040" w:type="dxa"/>
            <w:gridSpan w:val="2"/>
            <w:vAlign w:val="center"/>
          </w:tcPr>
          <w:p w:rsidR="008949F5" w:rsidRDefault="004A11FE">
            <w:pPr>
              <w:rPr>
                <w:noProof/>
                <w:sz w:val="14"/>
              </w:rPr>
            </w:pPr>
            <w:r>
              <w:rPr>
                <w:noProof/>
                <w:sz w:val="18"/>
              </w:rPr>
              <w:t>Kötelezettségvállalási előirányzatok</w:t>
            </w:r>
          </w:p>
        </w:tc>
        <w:tc>
          <w:tcPr>
            <w:tcW w:w="1560" w:type="dxa"/>
            <w:vAlign w:val="bottom"/>
          </w:tcPr>
          <w:p w:rsidR="008949F5" w:rsidRDefault="004A11FE">
            <w:pPr>
              <w:spacing w:before="60" w:after="60"/>
              <w:jc w:val="right"/>
              <w:rPr>
                <w:b/>
                <w:noProof/>
                <w:sz w:val="20"/>
              </w:rPr>
            </w:pPr>
            <w:r>
              <w:rPr>
                <w:b/>
                <w:noProof/>
                <w:color w:val="000000"/>
                <w:sz w:val="20"/>
              </w:rPr>
              <w:t>20,224</w:t>
            </w:r>
          </w:p>
        </w:tc>
        <w:tc>
          <w:tcPr>
            <w:tcW w:w="1800" w:type="dxa"/>
            <w:vAlign w:val="bottom"/>
          </w:tcPr>
          <w:p w:rsidR="008949F5" w:rsidRDefault="004A11FE">
            <w:pPr>
              <w:spacing w:before="60" w:after="60"/>
              <w:jc w:val="right"/>
              <w:rPr>
                <w:b/>
                <w:noProof/>
                <w:sz w:val="20"/>
              </w:rPr>
            </w:pPr>
            <w:r>
              <w:rPr>
                <w:b/>
                <w:noProof/>
                <w:color w:val="000000"/>
                <w:sz w:val="20"/>
              </w:rPr>
              <w:t>50,224</w:t>
            </w:r>
          </w:p>
        </w:tc>
        <w:tc>
          <w:tcPr>
            <w:tcW w:w="1680" w:type="dxa"/>
            <w:vAlign w:val="bottom"/>
          </w:tcPr>
          <w:p w:rsidR="008949F5" w:rsidRDefault="004A11FE">
            <w:pPr>
              <w:spacing w:before="60" w:after="60"/>
              <w:jc w:val="right"/>
              <w:rPr>
                <w:b/>
                <w:noProof/>
                <w:sz w:val="20"/>
              </w:rPr>
            </w:pPr>
            <w:r>
              <w:rPr>
                <w:b/>
                <w:noProof/>
                <w:color w:val="000000"/>
                <w:sz w:val="20"/>
              </w:rPr>
              <w:t>49,864</w:t>
            </w:r>
          </w:p>
        </w:tc>
        <w:tc>
          <w:tcPr>
            <w:tcW w:w="1560" w:type="dxa"/>
            <w:vAlign w:val="bottom"/>
          </w:tcPr>
          <w:p w:rsidR="008949F5" w:rsidRDefault="004A11FE">
            <w:pPr>
              <w:spacing w:before="60" w:after="60"/>
              <w:jc w:val="right"/>
              <w:rPr>
                <w:b/>
                <w:noProof/>
                <w:sz w:val="20"/>
              </w:rPr>
            </w:pPr>
            <w:r>
              <w:rPr>
                <w:b/>
                <w:noProof/>
                <w:color w:val="000000"/>
                <w:sz w:val="20"/>
              </w:rPr>
              <w:t>0,564</w:t>
            </w:r>
          </w:p>
        </w:tc>
        <w:tc>
          <w:tcPr>
            <w:tcW w:w="1560" w:type="dxa"/>
            <w:vAlign w:val="bottom"/>
          </w:tcPr>
          <w:p w:rsidR="008949F5" w:rsidRDefault="004A11FE">
            <w:pPr>
              <w:spacing w:before="60" w:after="60"/>
              <w:jc w:val="right"/>
              <w:rPr>
                <w:b/>
                <w:noProof/>
                <w:sz w:val="20"/>
              </w:rPr>
            </w:pPr>
            <w:r>
              <w:rPr>
                <w:b/>
                <w:noProof/>
                <w:color w:val="000000"/>
                <w:sz w:val="20"/>
              </w:rPr>
              <w:t>120,876</w:t>
            </w:r>
          </w:p>
        </w:tc>
      </w:tr>
      <w:tr w:rsidR="008949F5">
        <w:tc>
          <w:tcPr>
            <w:tcW w:w="3960" w:type="dxa"/>
            <w:vMerge/>
            <w:shd w:val="clear" w:color="auto" w:fill="C0C0C0"/>
          </w:tcPr>
          <w:p w:rsidR="008949F5" w:rsidRDefault="008949F5">
            <w:pPr>
              <w:rPr>
                <w:noProof/>
                <w:sz w:val="20"/>
              </w:rPr>
            </w:pPr>
          </w:p>
        </w:tc>
        <w:tc>
          <w:tcPr>
            <w:tcW w:w="2040" w:type="dxa"/>
            <w:gridSpan w:val="2"/>
            <w:vAlign w:val="center"/>
          </w:tcPr>
          <w:p w:rsidR="008949F5" w:rsidRDefault="004A11FE">
            <w:pPr>
              <w:rPr>
                <w:noProof/>
                <w:sz w:val="14"/>
              </w:rPr>
            </w:pPr>
            <w:r>
              <w:rPr>
                <w:noProof/>
                <w:sz w:val="18"/>
              </w:rPr>
              <w:t>Kifizetési előirányzatok</w:t>
            </w:r>
          </w:p>
        </w:tc>
        <w:tc>
          <w:tcPr>
            <w:tcW w:w="1560" w:type="dxa"/>
            <w:vAlign w:val="bottom"/>
          </w:tcPr>
          <w:p w:rsidR="008949F5" w:rsidRDefault="004A11FE">
            <w:pPr>
              <w:spacing w:before="60" w:after="60"/>
              <w:jc w:val="right"/>
              <w:rPr>
                <w:b/>
                <w:noProof/>
                <w:sz w:val="20"/>
              </w:rPr>
            </w:pPr>
            <w:r>
              <w:rPr>
                <w:b/>
                <w:noProof/>
                <w:color w:val="000000"/>
                <w:sz w:val="20"/>
              </w:rPr>
              <w:t>0,894</w:t>
            </w:r>
          </w:p>
        </w:tc>
        <w:tc>
          <w:tcPr>
            <w:tcW w:w="1800" w:type="dxa"/>
            <w:vAlign w:val="bottom"/>
          </w:tcPr>
          <w:p w:rsidR="008949F5" w:rsidRDefault="004A11FE">
            <w:pPr>
              <w:spacing w:before="60" w:after="60"/>
              <w:jc w:val="right"/>
              <w:rPr>
                <w:b/>
                <w:noProof/>
                <w:sz w:val="20"/>
              </w:rPr>
            </w:pPr>
            <w:r>
              <w:rPr>
                <w:b/>
                <w:noProof/>
                <w:color w:val="000000"/>
                <w:sz w:val="20"/>
              </w:rPr>
              <w:t>44,749</w:t>
            </w:r>
          </w:p>
        </w:tc>
        <w:tc>
          <w:tcPr>
            <w:tcW w:w="1680" w:type="dxa"/>
            <w:vAlign w:val="bottom"/>
          </w:tcPr>
          <w:p w:rsidR="008949F5" w:rsidRDefault="004A11FE">
            <w:pPr>
              <w:spacing w:before="60" w:after="60"/>
              <w:jc w:val="right"/>
              <w:rPr>
                <w:b/>
                <w:noProof/>
                <w:sz w:val="20"/>
              </w:rPr>
            </w:pPr>
            <w:r>
              <w:rPr>
                <w:b/>
                <w:noProof/>
                <w:color w:val="000000"/>
                <w:sz w:val="20"/>
              </w:rPr>
              <w:t>50,039</w:t>
            </w:r>
          </w:p>
        </w:tc>
        <w:tc>
          <w:tcPr>
            <w:tcW w:w="1560" w:type="dxa"/>
            <w:vAlign w:val="bottom"/>
          </w:tcPr>
          <w:p w:rsidR="008949F5" w:rsidRDefault="004A11FE">
            <w:pPr>
              <w:spacing w:before="60" w:after="60"/>
              <w:jc w:val="right"/>
              <w:rPr>
                <w:b/>
                <w:noProof/>
                <w:sz w:val="20"/>
              </w:rPr>
            </w:pPr>
            <w:r>
              <w:rPr>
                <w:b/>
                <w:noProof/>
                <w:color w:val="000000"/>
                <w:sz w:val="20"/>
              </w:rPr>
              <w:t>25,194</w:t>
            </w:r>
          </w:p>
        </w:tc>
        <w:tc>
          <w:tcPr>
            <w:tcW w:w="1560" w:type="dxa"/>
            <w:vAlign w:val="bottom"/>
          </w:tcPr>
          <w:p w:rsidR="008949F5" w:rsidRDefault="004A11FE">
            <w:pPr>
              <w:spacing w:before="60" w:after="60"/>
              <w:jc w:val="right"/>
              <w:rPr>
                <w:b/>
                <w:noProof/>
                <w:sz w:val="20"/>
              </w:rPr>
            </w:pPr>
            <w:r>
              <w:rPr>
                <w:b/>
                <w:noProof/>
                <w:color w:val="000000"/>
                <w:sz w:val="20"/>
              </w:rPr>
              <w:t>120,876</w:t>
            </w:r>
          </w:p>
        </w:tc>
      </w:tr>
    </w:tbl>
    <w:p w:rsidR="008949F5" w:rsidRDefault="008949F5">
      <w:pPr>
        <w:rPr>
          <w:noProof/>
        </w:rPr>
        <w:sectPr w:rsidR="008949F5" w:rsidSect="004A11FE">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rsidR="008949F5" w:rsidRDefault="004A11FE">
      <w:pPr>
        <w:pStyle w:val="ManualHeading3"/>
        <w:rPr>
          <w:bCs/>
          <w:noProof/>
          <w:szCs w:val="24"/>
        </w:rPr>
      </w:pPr>
      <w:r>
        <w:t>3.2.2.</w:t>
      </w:r>
      <w:r>
        <w:tab/>
      </w:r>
      <w:r>
        <w:rPr>
          <w:noProof/>
        </w:rPr>
        <w:t xml:space="preserve">Az operatív előirányzatokra gyakorolt becsült hatás </w:t>
      </w:r>
    </w:p>
    <w:p w:rsidR="008949F5" w:rsidRDefault="004A11FE">
      <w:pPr>
        <w:pStyle w:val="ListDash1"/>
        <w:rPr>
          <w:noProof/>
        </w:rPr>
      </w:pPr>
      <w:r>
        <w:rPr>
          <w:noProof/>
          <w:szCs w:val="24"/>
        </w:rPr>
        <w:sym w:font="Wingdings" w:char="F0A8"/>
      </w:r>
      <w:r>
        <w:rPr>
          <w:noProof/>
        </w:rPr>
        <w:tab/>
      </w:r>
      <w:r>
        <w:rPr>
          <w:noProof/>
          <w:szCs w:val="24"/>
        </w:rPr>
        <w:sym w:font="Wingdings" w:char="F0A8"/>
      </w:r>
      <w:r>
        <w:rPr>
          <w:noProof/>
        </w:rPr>
        <w:t xml:space="preserve">A javaslat/kezdeményezés nem vonja maga után operatív előirányzatok felhasználását </w:t>
      </w:r>
    </w:p>
    <w:p w:rsidR="008949F5" w:rsidRDefault="004A11FE">
      <w:pPr>
        <w:pStyle w:val="ListDash1"/>
        <w:rPr>
          <w:noProof/>
        </w:rPr>
      </w:pPr>
      <w:r>
        <w:rPr>
          <w:noProof/>
        </w:rPr>
        <w:t>x</w:t>
      </w:r>
      <w:r>
        <w:rPr>
          <w:noProof/>
        </w:rPr>
        <w:tab/>
        <w:t>A javaslat/kezdeményezés az</w:t>
      </w:r>
      <w:r>
        <w:rPr>
          <w:noProof/>
        </w:rPr>
        <w:t xml:space="preserve"> alábbi operatív előirányzatok felhasználását vonja maga után:</w:t>
      </w:r>
    </w:p>
    <w:p w:rsidR="008949F5" w:rsidRDefault="004A11FE">
      <w:pPr>
        <w:jc w:val="right"/>
        <w:rPr>
          <w:noProof/>
          <w:sz w:val="20"/>
        </w:rPr>
      </w:pPr>
      <w:r>
        <w:rPr>
          <w:noProof/>
          <w:sz w:val="20"/>
        </w:rPr>
        <w:t>Kötelezettségvállalási előirányzatok, millió EUR (három tizedesjegyig)</w:t>
      </w:r>
    </w:p>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1325"/>
        <w:gridCol w:w="960"/>
        <w:gridCol w:w="1080"/>
        <w:gridCol w:w="960"/>
        <w:gridCol w:w="1200"/>
        <w:gridCol w:w="1080"/>
        <w:gridCol w:w="1080"/>
        <w:gridCol w:w="840"/>
        <w:gridCol w:w="960"/>
        <w:gridCol w:w="1080"/>
        <w:gridCol w:w="1200"/>
      </w:tblGrid>
      <w:tr w:rsidR="008949F5">
        <w:tc>
          <w:tcPr>
            <w:tcW w:w="1423" w:type="dxa"/>
            <w:vMerge w:val="restart"/>
            <w:vAlign w:val="center"/>
          </w:tcPr>
          <w:p w:rsidR="008949F5" w:rsidRDefault="004A11FE">
            <w:pPr>
              <w:ind w:right="-29"/>
              <w:jc w:val="center"/>
              <w:rPr>
                <w:b/>
                <w:noProof/>
                <w:sz w:val="18"/>
                <w:szCs w:val="18"/>
              </w:rPr>
            </w:pPr>
            <w:r>
              <w:rPr>
                <w:b/>
                <w:noProof/>
                <w:sz w:val="18"/>
              </w:rPr>
              <w:t xml:space="preserve">Tüntesse fel a célkitűzéseket és a teljesítéseket </w:t>
            </w:r>
          </w:p>
          <w:p w:rsidR="008949F5" w:rsidRDefault="008949F5">
            <w:pPr>
              <w:ind w:right="-29"/>
              <w:jc w:val="center"/>
              <w:rPr>
                <w:b/>
                <w:noProof/>
                <w:sz w:val="18"/>
                <w:szCs w:val="18"/>
              </w:rPr>
            </w:pPr>
          </w:p>
          <w:p w:rsidR="008949F5" w:rsidRDefault="004A11FE">
            <w:pPr>
              <w:ind w:right="-29"/>
              <w:jc w:val="center"/>
              <w:rPr>
                <w:noProof/>
                <w:sz w:val="18"/>
                <w:szCs w:val="18"/>
              </w:rPr>
            </w:pPr>
            <w:r>
              <w:rPr>
                <w:noProof/>
                <w:sz w:val="18"/>
                <w:szCs w:val="18"/>
              </w:rPr>
              <w:sym w:font="Wingdings" w:char="F0F2"/>
            </w:r>
          </w:p>
        </w:tc>
        <w:tc>
          <w:tcPr>
            <w:tcW w:w="720" w:type="dxa"/>
            <w:vAlign w:val="center"/>
          </w:tcPr>
          <w:p w:rsidR="008949F5" w:rsidRDefault="008949F5">
            <w:pPr>
              <w:ind w:right="-29"/>
              <w:jc w:val="center"/>
              <w:rPr>
                <w:noProof/>
                <w:sz w:val="18"/>
                <w:szCs w:val="18"/>
              </w:rPr>
            </w:pPr>
          </w:p>
        </w:tc>
        <w:tc>
          <w:tcPr>
            <w:tcW w:w="1325" w:type="dxa"/>
            <w:vAlign w:val="center"/>
          </w:tcPr>
          <w:p w:rsidR="008949F5" w:rsidRDefault="008949F5">
            <w:pPr>
              <w:ind w:right="-29"/>
              <w:jc w:val="center"/>
              <w:rPr>
                <w:noProof/>
                <w:sz w:val="18"/>
                <w:szCs w:val="18"/>
              </w:rPr>
            </w:pPr>
          </w:p>
        </w:tc>
        <w:tc>
          <w:tcPr>
            <w:tcW w:w="2040" w:type="dxa"/>
            <w:gridSpan w:val="2"/>
            <w:vAlign w:val="center"/>
          </w:tcPr>
          <w:p w:rsidR="008949F5" w:rsidRDefault="004A11FE">
            <w:pPr>
              <w:ind w:right="-29"/>
              <w:jc w:val="center"/>
              <w:rPr>
                <w:noProof/>
                <w:sz w:val="18"/>
                <w:szCs w:val="18"/>
              </w:rPr>
            </w:pPr>
            <w:r>
              <w:rPr>
                <w:b/>
                <w:noProof/>
                <w:sz w:val="20"/>
              </w:rPr>
              <w:t>2017</w:t>
            </w:r>
          </w:p>
        </w:tc>
        <w:tc>
          <w:tcPr>
            <w:tcW w:w="2160" w:type="dxa"/>
            <w:gridSpan w:val="2"/>
            <w:vAlign w:val="center"/>
          </w:tcPr>
          <w:p w:rsidR="008949F5" w:rsidRDefault="004A11FE">
            <w:pPr>
              <w:ind w:right="-29"/>
              <w:jc w:val="center"/>
              <w:rPr>
                <w:noProof/>
                <w:sz w:val="18"/>
                <w:szCs w:val="18"/>
              </w:rPr>
            </w:pPr>
            <w:r>
              <w:rPr>
                <w:b/>
                <w:noProof/>
                <w:sz w:val="20"/>
              </w:rPr>
              <w:t>2018</w:t>
            </w:r>
          </w:p>
        </w:tc>
        <w:tc>
          <w:tcPr>
            <w:tcW w:w="2160" w:type="dxa"/>
            <w:gridSpan w:val="2"/>
            <w:vAlign w:val="center"/>
          </w:tcPr>
          <w:p w:rsidR="008949F5" w:rsidRDefault="004A11FE">
            <w:pPr>
              <w:ind w:right="-29"/>
              <w:jc w:val="center"/>
              <w:rPr>
                <w:noProof/>
                <w:sz w:val="18"/>
                <w:szCs w:val="18"/>
              </w:rPr>
            </w:pPr>
            <w:r>
              <w:rPr>
                <w:b/>
                <w:noProof/>
                <w:sz w:val="20"/>
              </w:rPr>
              <w:t>2019</w:t>
            </w:r>
          </w:p>
        </w:tc>
        <w:tc>
          <w:tcPr>
            <w:tcW w:w="1800" w:type="dxa"/>
            <w:gridSpan w:val="2"/>
            <w:vAlign w:val="center"/>
          </w:tcPr>
          <w:p w:rsidR="008949F5" w:rsidRDefault="004A11FE">
            <w:pPr>
              <w:ind w:right="-29"/>
              <w:jc w:val="center"/>
              <w:rPr>
                <w:noProof/>
                <w:sz w:val="18"/>
                <w:szCs w:val="18"/>
              </w:rPr>
            </w:pPr>
            <w:r>
              <w:rPr>
                <w:b/>
                <w:noProof/>
                <w:sz w:val="20"/>
              </w:rPr>
              <w:t>2020</w:t>
            </w:r>
          </w:p>
        </w:tc>
        <w:tc>
          <w:tcPr>
            <w:tcW w:w="2280" w:type="dxa"/>
            <w:gridSpan w:val="2"/>
            <w:vAlign w:val="center"/>
          </w:tcPr>
          <w:p w:rsidR="008949F5" w:rsidRDefault="004A11FE">
            <w:pPr>
              <w:ind w:right="-29"/>
              <w:jc w:val="center"/>
              <w:rPr>
                <w:noProof/>
                <w:sz w:val="18"/>
                <w:szCs w:val="18"/>
              </w:rPr>
            </w:pPr>
            <w:r>
              <w:rPr>
                <w:b/>
                <w:noProof/>
                <w:sz w:val="18"/>
              </w:rPr>
              <w:t>ÖSSZESEN</w:t>
            </w:r>
          </w:p>
        </w:tc>
      </w:tr>
      <w:tr w:rsidR="008949F5">
        <w:tc>
          <w:tcPr>
            <w:tcW w:w="1423" w:type="dxa"/>
            <w:vMerge/>
            <w:vAlign w:val="center"/>
          </w:tcPr>
          <w:p w:rsidR="008949F5" w:rsidRDefault="008949F5">
            <w:pPr>
              <w:ind w:right="-29"/>
              <w:jc w:val="center"/>
              <w:rPr>
                <w:noProof/>
                <w:sz w:val="18"/>
                <w:szCs w:val="18"/>
              </w:rPr>
            </w:pPr>
          </w:p>
        </w:tc>
        <w:tc>
          <w:tcPr>
            <w:tcW w:w="12485" w:type="dxa"/>
            <w:gridSpan w:val="12"/>
            <w:vAlign w:val="center"/>
          </w:tcPr>
          <w:p w:rsidR="008949F5" w:rsidRDefault="004A11FE">
            <w:pPr>
              <w:spacing w:before="60" w:after="60"/>
              <w:ind w:right="-29"/>
              <w:jc w:val="center"/>
              <w:rPr>
                <w:noProof/>
                <w:sz w:val="18"/>
                <w:szCs w:val="18"/>
              </w:rPr>
            </w:pPr>
            <w:r>
              <w:rPr>
                <w:b/>
                <w:noProof/>
                <w:sz w:val="18"/>
              </w:rPr>
              <w:t>TELJESÍTÉSEK</w:t>
            </w:r>
          </w:p>
        </w:tc>
      </w:tr>
      <w:tr w:rsidR="008949F5">
        <w:trPr>
          <w:trHeight w:val="1134"/>
        </w:trPr>
        <w:tc>
          <w:tcPr>
            <w:tcW w:w="1423" w:type="dxa"/>
            <w:vMerge/>
          </w:tcPr>
          <w:p w:rsidR="008949F5" w:rsidRDefault="008949F5">
            <w:pPr>
              <w:rPr>
                <w:noProof/>
                <w:sz w:val="18"/>
                <w:szCs w:val="18"/>
              </w:rPr>
            </w:pPr>
          </w:p>
        </w:tc>
        <w:tc>
          <w:tcPr>
            <w:tcW w:w="720" w:type="dxa"/>
          </w:tcPr>
          <w:p w:rsidR="008949F5" w:rsidRDefault="004A11FE">
            <w:pPr>
              <w:jc w:val="center"/>
              <w:rPr>
                <w:noProof/>
                <w:sz w:val="18"/>
                <w:szCs w:val="18"/>
              </w:rPr>
            </w:pPr>
            <w:r>
              <w:rPr>
                <w:noProof/>
                <w:sz w:val="18"/>
              </w:rPr>
              <w:t>Típus</w:t>
            </w:r>
            <w:r>
              <w:rPr>
                <w:rStyle w:val="FootnoteReference"/>
                <w:noProof/>
                <w:sz w:val="18"/>
              </w:rPr>
              <w:footnoteReference w:id="23"/>
            </w:r>
          </w:p>
          <w:p w:rsidR="008949F5" w:rsidRDefault="008949F5">
            <w:pPr>
              <w:spacing w:before="0" w:after="0"/>
              <w:jc w:val="center"/>
              <w:rPr>
                <w:noProof/>
                <w:sz w:val="18"/>
                <w:szCs w:val="18"/>
              </w:rPr>
            </w:pPr>
          </w:p>
        </w:tc>
        <w:tc>
          <w:tcPr>
            <w:tcW w:w="1325" w:type="dxa"/>
          </w:tcPr>
          <w:p w:rsidR="008949F5" w:rsidRDefault="004A11FE">
            <w:pPr>
              <w:jc w:val="center"/>
              <w:rPr>
                <w:noProof/>
                <w:sz w:val="18"/>
                <w:szCs w:val="18"/>
              </w:rPr>
            </w:pPr>
            <w:r>
              <w:rPr>
                <w:noProof/>
                <w:sz w:val="18"/>
              </w:rPr>
              <w:t xml:space="preserve">Átlagos </w:t>
            </w:r>
            <w:r>
              <w:rPr>
                <w:noProof/>
                <w:sz w:val="18"/>
              </w:rPr>
              <w:t>költség</w:t>
            </w:r>
          </w:p>
        </w:tc>
        <w:tc>
          <w:tcPr>
            <w:tcW w:w="960" w:type="dxa"/>
            <w:textDirection w:val="btLr"/>
          </w:tcPr>
          <w:p w:rsidR="008949F5" w:rsidRDefault="004A11FE">
            <w:pPr>
              <w:ind w:left="113" w:right="113"/>
              <w:jc w:val="center"/>
              <w:rPr>
                <w:noProof/>
                <w:sz w:val="18"/>
                <w:szCs w:val="18"/>
              </w:rPr>
            </w:pPr>
            <w:r>
              <w:rPr>
                <w:noProof/>
                <w:sz w:val="18"/>
              </w:rPr>
              <w:t>Szám</w:t>
            </w:r>
          </w:p>
        </w:tc>
        <w:tc>
          <w:tcPr>
            <w:tcW w:w="1080" w:type="dxa"/>
          </w:tcPr>
          <w:p w:rsidR="008949F5" w:rsidRDefault="004A11FE">
            <w:pPr>
              <w:jc w:val="center"/>
              <w:rPr>
                <w:noProof/>
                <w:sz w:val="18"/>
                <w:szCs w:val="18"/>
              </w:rPr>
            </w:pPr>
            <w:r>
              <w:rPr>
                <w:noProof/>
                <w:sz w:val="18"/>
              </w:rPr>
              <w:t>Költség</w:t>
            </w:r>
          </w:p>
        </w:tc>
        <w:tc>
          <w:tcPr>
            <w:tcW w:w="960" w:type="dxa"/>
            <w:textDirection w:val="btLr"/>
          </w:tcPr>
          <w:p w:rsidR="008949F5" w:rsidRDefault="004A11FE">
            <w:pPr>
              <w:ind w:left="113" w:right="113"/>
              <w:jc w:val="center"/>
              <w:rPr>
                <w:noProof/>
                <w:sz w:val="18"/>
                <w:szCs w:val="18"/>
              </w:rPr>
            </w:pPr>
            <w:r>
              <w:rPr>
                <w:noProof/>
                <w:sz w:val="18"/>
              </w:rPr>
              <w:t>Szám</w:t>
            </w:r>
          </w:p>
        </w:tc>
        <w:tc>
          <w:tcPr>
            <w:tcW w:w="1200" w:type="dxa"/>
          </w:tcPr>
          <w:p w:rsidR="008949F5" w:rsidRDefault="004A11FE">
            <w:pPr>
              <w:jc w:val="center"/>
              <w:rPr>
                <w:noProof/>
                <w:sz w:val="18"/>
                <w:szCs w:val="18"/>
              </w:rPr>
            </w:pPr>
            <w:r>
              <w:rPr>
                <w:noProof/>
                <w:sz w:val="18"/>
              </w:rPr>
              <w:t>Költség</w:t>
            </w:r>
          </w:p>
        </w:tc>
        <w:tc>
          <w:tcPr>
            <w:tcW w:w="1080" w:type="dxa"/>
            <w:textDirection w:val="btLr"/>
          </w:tcPr>
          <w:p w:rsidR="008949F5" w:rsidRDefault="004A11FE">
            <w:pPr>
              <w:ind w:left="113" w:right="113"/>
              <w:jc w:val="center"/>
              <w:rPr>
                <w:noProof/>
                <w:sz w:val="18"/>
                <w:szCs w:val="18"/>
              </w:rPr>
            </w:pPr>
            <w:r>
              <w:rPr>
                <w:noProof/>
                <w:sz w:val="18"/>
              </w:rPr>
              <w:t>Szám</w:t>
            </w:r>
          </w:p>
        </w:tc>
        <w:tc>
          <w:tcPr>
            <w:tcW w:w="1080" w:type="dxa"/>
          </w:tcPr>
          <w:p w:rsidR="008949F5" w:rsidRDefault="004A11FE">
            <w:pPr>
              <w:jc w:val="center"/>
              <w:rPr>
                <w:noProof/>
                <w:sz w:val="18"/>
                <w:szCs w:val="18"/>
              </w:rPr>
            </w:pPr>
            <w:r>
              <w:rPr>
                <w:noProof/>
                <w:sz w:val="18"/>
              </w:rPr>
              <w:t>Költség</w:t>
            </w:r>
          </w:p>
        </w:tc>
        <w:tc>
          <w:tcPr>
            <w:tcW w:w="840" w:type="dxa"/>
            <w:textDirection w:val="btLr"/>
          </w:tcPr>
          <w:p w:rsidR="008949F5" w:rsidRDefault="004A11FE">
            <w:pPr>
              <w:ind w:left="113" w:right="113"/>
              <w:jc w:val="center"/>
              <w:rPr>
                <w:noProof/>
                <w:sz w:val="18"/>
                <w:szCs w:val="18"/>
              </w:rPr>
            </w:pPr>
            <w:r>
              <w:rPr>
                <w:noProof/>
                <w:sz w:val="18"/>
              </w:rPr>
              <w:t>Szám</w:t>
            </w:r>
          </w:p>
        </w:tc>
        <w:tc>
          <w:tcPr>
            <w:tcW w:w="960" w:type="dxa"/>
          </w:tcPr>
          <w:p w:rsidR="008949F5" w:rsidRDefault="004A11FE">
            <w:pPr>
              <w:jc w:val="center"/>
              <w:rPr>
                <w:noProof/>
                <w:sz w:val="18"/>
                <w:szCs w:val="18"/>
              </w:rPr>
            </w:pPr>
            <w:r>
              <w:rPr>
                <w:noProof/>
                <w:sz w:val="18"/>
              </w:rPr>
              <w:t>Költség</w:t>
            </w:r>
          </w:p>
        </w:tc>
        <w:tc>
          <w:tcPr>
            <w:tcW w:w="1080" w:type="dxa"/>
          </w:tcPr>
          <w:p w:rsidR="008949F5" w:rsidRDefault="004A11FE">
            <w:pPr>
              <w:jc w:val="center"/>
              <w:rPr>
                <w:noProof/>
                <w:sz w:val="18"/>
                <w:szCs w:val="18"/>
              </w:rPr>
            </w:pPr>
            <w:r>
              <w:rPr>
                <w:noProof/>
                <w:sz w:val="18"/>
              </w:rPr>
              <w:t>Összesített szám</w:t>
            </w:r>
          </w:p>
        </w:tc>
        <w:tc>
          <w:tcPr>
            <w:tcW w:w="1200" w:type="dxa"/>
          </w:tcPr>
          <w:p w:rsidR="008949F5" w:rsidRDefault="004A11FE">
            <w:pPr>
              <w:jc w:val="center"/>
              <w:rPr>
                <w:noProof/>
                <w:sz w:val="18"/>
                <w:szCs w:val="18"/>
              </w:rPr>
            </w:pPr>
            <w:r>
              <w:rPr>
                <w:noProof/>
                <w:sz w:val="18"/>
              </w:rPr>
              <w:t>Összköltség</w:t>
            </w:r>
          </w:p>
        </w:tc>
      </w:tr>
      <w:tr w:rsidR="008949F5">
        <w:tc>
          <w:tcPr>
            <w:tcW w:w="3468" w:type="dxa"/>
            <w:gridSpan w:val="3"/>
          </w:tcPr>
          <w:p w:rsidR="008949F5" w:rsidRDefault="004A11FE">
            <w:pPr>
              <w:spacing w:before="60" w:after="60"/>
              <w:ind w:right="-29"/>
              <w:jc w:val="center"/>
              <w:rPr>
                <w:noProof/>
                <w:sz w:val="18"/>
                <w:szCs w:val="18"/>
              </w:rPr>
            </w:pPr>
            <w:r>
              <w:rPr>
                <w:noProof/>
                <w:sz w:val="18"/>
              </w:rPr>
              <w:t xml:space="preserve">KONKRÉT CÉLKITŰZÉS </w:t>
            </w:r>
          </w:p>
        </w:tc>
        <w:tc>
          <w:tcPr>
            <w:tcW w:w="960" w:type="dxa"/>
          </w:tcPr>
          <w:p w:rsidR="008949F5" w:rsidRDefault="008949F5">
            <w:pPr>
              <w:spacing w:before="60" w:after="60"/>
              <w:ind w:right="-29"/>
              <w:jc w:val="center"/>
              <w:rPr>
                <w:noProof/>
                <w:sz w:val="18"/>
                <w:szCs w:val="18"/>
              </w:rPr>
            </w:pPr>
          </w:p>
        </w:tc>
        <w:tc>
          <w:tcPr>
            <w:tcW w:w="1080" w:type="dxa"/>
          </w:tcPr>
          <w:p w:rsidR="008949F5" w:rsidRDefault="008949F5">
            <w:pPr>
              <w:spacing w:before="60" w:after="60"/>
              <w:ind w:right="-29"/>
              <w:jc w:val="center"/>
              <w:rPr>
                <w:noProof/>
                <w:sz w:val="18"/>
                <w:szCs w:val="18"/>
              </w:rPr>
            </w:pPr>
          </w:p>
        </w:tc>
        <w:tc>
          <w:tcPr>
            <w:tcW w:w="960" w:type="dxa"/>
          </w:tcPr>
          <w:p w:rsidR="008949F5" w:rsidRDefault="008949F5">
            <w:pPr>
              <w:spacing w:before="60" w:after="60"/>
              <w:ind w:right="-29"/>
              <w:jc w:val="center"/>
              <w:rPr>
                <w:noProof/>
                <w:sz w:val="18"/>
                <w:szCs w:val="18"/>
              </w:rPr>
            </w:pPr>
          </w:p>
        </w:tc>
        <w:tc>
          <w:tcPr>
            <w:tcW w:w="1200" w:type="dxa"/>
          </w:tcPr>
          <w:p w:rsidR="008949F5" w:rsidRDefault="008949F5">
            <w:pPr>
              <w:spacing w:before="60" w:after="60"/>
              <w:ind w:right="-29"/>
              <w:jc w:val="center"/>
              <w:rPr>
                <w:noProof/>
                <w:sz w:val="18"/>
                <w:szCs w:val="18"/>
              </w:rPr>
            </w:pPr>
          </w:p>
        </w:tc>
        <w:tc>
          <w:tcPr>
            <w:tcW w:w="1080" w:type="dxa"/>
          </w:tcPr>
          <w:p w:rsidR="008949F5" w:rsidRDefault="008949F5">
            <w:pPr>
              <w:spacing w:before="60" w:after="60"/>
              <w:ind w:right="-29"/>
              <w:jc w:val="center"/>
              <w:rPr>
                <w:noProof/>
                <w:sz w:val="18"/>
                <w:szCs w:val="18"/>
              </w:rPr>
            </w:pPr>
          </w:p>
        </w:tc>
        <w:tc>
          <w:tcPr>
            <w:tcW w:w="1080" w:type="dxa"/>
          </w:tcPr>
          <w:p w:rsidR="008949F5" w:rsidRDefault="008949F5">
            <w:pPr>
              <w:spacing w:before="60" w:after="60"/>
              <w:ind w:right="-29"/>
              <w:jc w:val="center"/>
              <w:rPr>
                <w:noProof/>
                <w:sz w:val="18"/>
                <w:szCs w:val="18"/>
              </w:rPr>
            </w:pPr>
          </w:p>
        </w:tc>
        <w:tc>
          <w:tcPr>
            <w:tcW w:w="840" w:type="dxa"/>
          </w:tcPr>
          <w:p w:rsidR="008949F5" w:rsidRDefault="008949F5">
            <w:pPr>
              <w:spacing w:before="60" w:after="60"/>
              <w:ind w:right="-29"/>
              <w:jc w:val="center"/>
              <w:rPr>
                <w:noProof/>
                <w:sz w:val="18"/>
                <w:szCs w:val="18"/>
              </w:rPr>
            </w:pPr>
          </w:p>
        </w:tc>
        <w:tc>
          <w:tcPr>
            <w:tcW w:w="960" w:type="dxa"/>
          </w:tcPr>
          <w:p w:rsidR="008949F5" w:rsidRDefault="008949F5">
            <w:pPr>
              <w:spacing w:before="60" w:after="60"/>
              <w:ind w:right="-29"/>
              <w:jc w:val="center"/>
              <w:rPr>
                <w:noProof/>
                <w:sz w:val="18"/>
                <w:szCs w:val="18"/>
              </w:rPr>
            </w:pPr>
          </w:p>
        </w:tc>
        <w:tc>
          <w:tcPr>
            <w:tcW w:w="1080" w:type="dxa"/>
          </w:tcPr>
          <w:p w:rsidR="008949F5" w:rsidRDefault="008949F5">
            <w:pPr>
              <w:spacing w:before="60" w:after="60"/>
              <w:ind w:right="-29"/>
              <w:jc w:val="center"/>
              <w:rPr>
                <w:noProof/>
                <w:sz w:val="18"/>
                <w:szCs w:val="18"/>
              </w:rPr>
            </w:pPr>
          </w:p>
        </w:tc>
        <w:tc>
          <w:tcPr>
            <w:tcW w:w="1200" w:type="dxa"/>
          </w:tcPr>
          <w:p w:rsidR="008949F5" w:rsidRDefault="008949F5">
            <w:pPr>
              <w:spacing w:before="60" w:after="60"/>
              <w:ind w:right="-29"/>
              <w:jc w:val="center"/>
              <w:rPr>
                <w:noProof/>
                <w:sz w:val="18"/>
                <w:szCs w:val="18"/>
              </w:rPr>
            </w:pPr>
          </w:p>
        </w:tc>
      </w:tr>
      <w:tr w:rsidR="008949F5">
        <w:trPr>
          <w:trHeight w:hRule="exact" w:val="369"/>
        </w:trPr>
        <w:tc>
          <w:tcPr>
            <w:tcW w:w="3468" w:type="dxa"/>
            <w:gridSpan w:val="3"/>
          </w:tcPr>
          <w:p w:rsidR="008949F5" w:rsidRDefault="004A11FE">
            <w:pPr>
              <w:spacing w:before="0" w:after="0"/>
              <w:ind w:right="-29"/>
              <w:jc w:val="center"/>
              <w:rPr>
                <w:noProof/>
                <w:sz w:val="18"/>
                <w:szCs w:val="18"/>
              </w:rPr>
            </w:pPr>
            <w:r>
              <w:rPr>
                <w:noProof/>
                <w:sz w:val="18"/>
              </w:rPr>
              <w:t>Hozzáférések</w:t>
            </w:r>
          </w:p>
        </w:tc>
        <w:tc>
          <w:tcPr>
            <w:tcW w:w="960" w:type="dxa"/>
          </w:tcPr>
          <w:p w:rsidR="008949F5" w:rsidRDefault="004A11FE">
            <w:pPr>
              <w:spacing w:before="0" w:after="0"/>
              <w:ind w:right="-29"/>
              <w:jc w:val="center"/>
              <w:rPr>
                <w:noProof/>
                <w:sz w:val="18"/>
                <w:szCs w:val="18"/>
              </w:rPr>
            </w:pPr>
            <w:r>
              <w:rPr>
                <w:noProof/>
                <w:sz w:val="18"/>
              </w:rPr>
              <w:t>967</w:t>
            </w:r>
          </w:p>
        </w:tc>
        <w:tc>
          <w:tcPr>
            <w:tcW w:w="1080" w:type="dxa"/>
          </w:tcPr>
          <w:p w:rsidR="008949F5" w:rsidRDefault="004A11FE">
            <w:pPr>
              <w:spacing w:before="0" w:after="0"/>
              <w:ind w:right="-29"/>
              <w:jc w:val="center"/>
              <w:rPr>
                <w:noProof/>
                <w:sz w:val="18"/>
                <w:szCs w:val="18"/>
              </w:rPr>
            </w:pPr>
            <w:r>
              <w:rPr>
                <w:noProof/>
                <w:sz w:val="18"/>
              </w:rPr>
              <w:t>0,02</w:t>
            </w:r>
          </w:p>
        </w:tc>
        <w:tc>
          <w:tcPr>
            <w:tcW w:w="960" w:type="dxa"/>
          </w:tcPr>
          <w:p w:rsidR="008949F5" w:rsidRDefault="004A11FE">
            <w:pPr>
              <w:spacing w:before="0" w:after="0"/>
              <w:ind w:right="-29"/>
              <w:jc w:val="center"/>
              <w:rPr>
                <w:noProof/>
                <w:sz w:val="18"/>
                <w:szCs w:val="18"/>
              </w:rPr>
            </w:pPr>
            <w:r>
              <w:rPr>
                <w:noProof/>
                <w:sz w:val="18"/>
              </w:rPr>
              <w:t>2480</w:t>
            </w:r>
          </w:p>
        </w:tc>
        <w:tc>
          <w:tcPr>
            <w:tcW w:w="1200" w:type="dxa"/>
          </w:tcPr>
          <w:p w:rsidR="008949F5" w:rsidRDefault="004A11FE">
            <w:pPr>
              <w:spacing w:before="0" w:after="0"/>
              <w:ind w:right="-29"/>
              <w:jc w:val="center"/>
              <w:rPr>
                <w:noProof/>
                <w:sz w:val="18"/>
                <w:szCs w:val="18"/>
              </w:rPr>
            </w:pPr>
            <w:r>
              <w:rPr>
                <w:noProof/>
                <w:sz w:val="18"/>
              </w:rPr>
              <w:t>0,02</w:t>
            </w:r>
          </w:p>
        </w:tc>
        <w:tc>
          <w:tcPr>
            <w:tcW w:w="1080" w:type="dxa"/>
          </w:tcPr>
          <w:p w:rsidR="008949F5" w:rsidRDefault="004A11FE">
            <w:pPr>
              <w:spacing w:before="0" w:after="0"/>
              <w:ind w:right="-29"/>
              <w:jc w:val="center"/>
              <w:rPr>
                <w:noProof/>
                <w:sz w:val="18"/>
                <w:szCs w:val="18"/>
              </w:rPr>
            </w:pPr>
            <w:r>
              <w:rPr>
                <w:noProof/>
                <w:sz w:val="18"/>
              </w:rPr>
              <w:t>2463</w:t>
            </w:r>
          </w:p>
        </w:tc>
        <w:tc>
          <w:tcPr>
            <w:tcW w:w="1080" w:type="dxa"/>
          </w:tcPr>
          <w:p w:rsidR="008949F5" w:rsidRDefault="004A11FE">
            <w:pPr>
              <w:spacing w:before="0" w:after="0"/>
              <w:ind w:right="-29"/>
              <w:jc w:val="center"/>
              <w:rPr>
                <w:noProof/>
                <w:sz w:val="18"/>
                <w:szCs w:val="18"/>
              </w:rPr>
            </w:pPr>
            <w:r>
              <w:rPr>
                <w:noProof/>
                <w:sz w:val="18"/>
              </w:rPr>
              <w:t>0,02</w:t>
            </w:r>
          </w:p>
        </w:tc>
        <w:tc>
          <w:tcPr>
            <w:tcW w:w="840" w:type="dxa"/>
          </w:tcPr>
          <w:p w:rsidR="008949F5" w:rsidRDefault="008949F5">
            <w:pPr>
              <w:spacing w:before="0" w:after="0"/>
              <w:ind w:right="-29"/>
              <w:jc w:val="center"/>
              <w:rPr>
                <w:noProof/>
                <w:sz w:val="18"/>
                <w:szCs w:val="18"/>
              </w:rPr>
            </w:pPr>
          </w:p>
        </w:tc>
        <w:tc>
          <w:tcPr>
            <w:tcW w:w="960" w:type="dxa"/>
          </w:tcPr>
          <w:p w:rsidR="008949F5" w:rsidRDefault="008949F5">
            <w:pPr>
              <w:spacing w:before="0" w:after="0"/>
              <w:ind w:right="-29"/>
              <w:jc w:val="center"/>
              <w:rPr>
                <w:noProof/>
                <w:sz w:val="18"/>
                <w:szCs w:val="18"/>
              </w:rPr>
            </w:pPr>
          </w:p>
        </w:tc>
        <w:tc>
          <w:tcPr>
            <w:tcW w:w="1080" w:type="dxa"/>
          </w:tcPr>
          <w:p w:rsidR="008949F5" w:rsidRDefault="004A11FE">
            <w:pPr>
              <w:spacing w:before="0" w:after="0"/>
              <w:ind w:right="-29"/>
              <w:jc w:val="center"/>
              <w:rPr>
                <w:noProof/>
                <w:sz w:val="18"/>
                <w:szCs w:val="18"/>
              </w:rPr>
            </w:pPr>
            <w:r>
              <w:rPr>
                <w:noProof/>
                <w:sz w:val="18"/>
              </w:rPr>
              <w:t>5910</w:t>
            </w:r>
          </w:p>
        </w:tc>
        <w:tc>
          <w:tcPr>
            <w:tcW w:w="1200" w:type="dxa"/>
          </w:tcPr>
          <w:p w:rsidR="008949F5" w:rsidRDefault="004A11FE">
            <w:pPr>
              <w:spacing w:before="0" w:after="0"/>
              <w:ind w:right="-29"/>
              <w:jc w:val="center"/>
              <w:rPr>
                <w:noProof/>
                <w:sz w:val="18"/>
                <w:szCs w:val="18"/>
              </w:rPr>
            </w:pPr>
            <w:r>
              <w:rPr>
                <w:noProof/>
                <w:sz w:val="18"/>
              </w:rPr>
              <w:t>118,200</w:t>
            </w:r>
          </w:p>
        </w:tc>
      </w:tr>
      <w:tr w:rsidR="008949F5">
        <w:tc>
          <w:tcPr>
            <w:tcW w:w="3468" w:type="dxa"/>
            <w:gridSpan w:val="3"/>
          </w:tcPr>
          <w:p w:rsidR="008949F5" w:rsidRDefault="004A11FE">
            <w:pPr>
              <w:spacing w:before="0" w:after="0"/>
              <w:ind w:right="-29"/>
              <w:jc w:val="center"/>
              <w:rPr>
                <w:noProof/>
                <w:sz w:val="18"/>
                <w:szCs w:val="18"/>
              </w:rPr>
            </w:pPr>
            <w:r>
              <w:rPr>
                <w:b/>
                <w:noProof/>
                <w:sz w:val="18"/>
              </w:rPr>
              <w:t>ÖSSZKÖLTSÉG</w:t>
            </w:r>
          </w:p>
        </w:tc>
        <w:tc>
          <w:tcPr>
            <w:tcW w:w="960" w:type="dxa"/>
          </w:tcPr>
          <w:p w:rsidR="008949F5" w:rsidRDefault="004A11FE">
            <w:pPr>
              <w:spacing w:before="0" w:after="0"/>
              <w:ind w:right="-29"/>
              <w:jc w:val="center"/>
              <w:rPr>
                <w:noProof/>
                <w:sz w:val="18"/>
                <w:szCs w:val="18"/>
              </w:rPr>
            </w:pPr>
            <w:r>
              <w:rPr>
                <w:noProof/>
                <w:sz w:val="18"/>
              </w:rPr>
              <w:t>967</w:t>
            </w:r>
          </w:p>
        </w:tc>
        <w:tc>
          <w:tcPr>
            <w:tcW w:w="1080" w:type="dxa"/>
          </w:tcPr>
          <w:p w:rsidR="008949F5" w:rsidRDefault="004A11FE">
            <w:pPr>
              <w:spacing w:before="0" w:after="0"/>
              <w:ind w:right="-29"/>
              <w:jc w:val="center"/>
              <w:rPr>
                <w:noProof/>
                <w:sz w:val="18"/>
                <w:szCs w:val="18"/>
              </w:rPr>
            </w:pPr>
            <w:r>
              <w:rPr>
                <w:noProof/>
                <w:sz w:val="18"/>
              </w:rPr>
              <w:t>19,330</w:t>
            </w:r>
          </w:p>
        </w:tc>
        <w:tc>
          <w:tcPr>
            <w:tcW w:w="960" w:type="dxa"/>
          </w:tcPr>
          <w:p w:rsidR="008949F5" w:rsidRDefault="004A11FE">
            <w:pPr>
              <w:spacing w:before="0" w:after="0"/>
              <w:ind w:right="-29"/>
              <w:jc w:val="center"/>
              <w:rPr>
                <w:noProof/>
                <w:sz w:val="18"/>
                <w:szCs w:val="18"/>
              </w:rPr>
            </w:pPr>
            <w:r>
              <w:rPr>
                <w:noProof/>
                <w:sz w:val="18"/>
              </w:rPr>
              <w:t>2480</w:t>
            </w:r>
          </w:p>
        </w:tc>
        <w:tc>
          <w:tcPr>
            <w:tcW w:w="1200" w:type="dxa"/>
          </w:tcPr>
          <w:p w:rsidR="008949F5" w:rsidRDefault="004A11FE">
            <w:pPr>
              <w:spacing w:before="0" w:after="0"/>
              <w:ind w:right="-29"/>
              <w:jc w:val="center"/>
              <w:rPr>
                <w:noProof/>
                <w:sz w:val="18"/>
                <w:szCs w:val="18"/>
              </w:rPr>
            </w:pPr>
            <w:r>
              <w:rPr>
                <w:noProof/>
                <w:sz w:val="18"/>
              </w:rPr>
              <w:t>49,610</w:t>
            </w:r>
          </w:p>
        </w:tc>
        <w:tc>
          <w:tcPr>
            <w:tcW w:w="1080" w:type="dxa"/>
          </w:tcPr>
          <w:p w:rsidR="008949F5" w:rsidRDefault="004A11FE">
            <w:pPr>
              <w:spacing w:before="0" w:after="0"/>
              <w:ind w:right="-29"/>
              <w:jc w:val="center"/>
              <w:rPr>
                <w:noProof/>
                <w:sz w:val="18"/>
                <w:szCs w:val="18"/>
              </w:rPr>
            </w:pPr>
            <w:r>
              <w:rPr>
                <w:noProof/>
                <w:sz w:val="18"/>
              </w:rPr>
              <w:t>2463</w:t>
            </w:r>
          </w:p>
        </w:tc>
        <w:tc>
          <w:tcPr>
            <w:tcW w:w="1080" w:type="dxa"/>
          </w:tcPr>
          <w:p w:rsidR="008949F5" w:rsidRDefault="004A11FE">
            <w:pPr>
              <w:spacing w:before="0" w:after="0"/>
              <w:ind w:right="-29"/>
              <w:jc w:val="center"/>
              <w:rPr>
                <w:noProof/>
                <w:sz w:val="18"/>
                <w:szCs w:val="18"/>
              </w:rPr>
            </w:pPr>
            <w:r>
              <w:rPr>
                <w:noProof/>
                <w:sz w:val="18"/>
              </w:rPr>
              <w:t>49,260</w:t>
            </w:r>
          </w:p>
        </w:tc>
        <w:tc>
          <w:tcPr>
            <w:tcW w:w="840" w:type="dxa"/>
          </w:tcPr>
          <w:p w:rsidR="008949F5" w:rsidRDefault="008949F5">
            <w:pPr>
              <w:spacing w:before="0" w:after="0"/>
              <w:ind w:right="-29"/>
              <w:jc w:val="center"/>
              <w:rPr>
                <w:noProof/>
                <w:sz w:val="18"/>
                <w:szCs w:val="18"/>
              </w:rPr>
            </w:pPr>
          </w:p>
        </w:tc>
        <w:tc>
          <w:tcPr>
            <w:tcW w:w="960" w:type="dxa"/>
          </w:tcPr>
          <w:p w:rsidR="008949F5" w:rsidRDefault="008949F5">
            <w:pPr>
              <w:spacing w:before="0" w:after="0"/>
              <w:ind w:right="-29"/>
              <w:jc w:val="center"/>
              <w:rPr>
                <w:noProof/>
                <w:sz w:val="18"/>
                <w:szCs w:val="18"/>
              </w:rPr>
            </w:pPr>
          </w:p>
        </w:tc>
        <w:tc>
          <w:tcPr>
            <w:tcW w:w="1080" w:type="dxa"/>
          </w:tcPr>
          <w:p w:rsidR="008949F5" w:rsidRDefault="004A11FE">
            <w:pPr>
              <w:spacing w:before="0" w:after="0"/>
              <w:ind w:right="-29"/>
              <w:jc w:val="center"/>
              <w:rPr>
                <w:noProof/>
                <w:sz w:val="18"/>
                <w:szCs w:val="18"/>
              </w:rPr>
            </w:pPr>
            <w:r>
              <w:rPr>
                <w:noProof/>
                <w:sz w:val="18"/>
              </w:rPr>
              <w:t>5910</w:t>
            </w:r>
          </w:p>
        </w:tc>
        <w:tc>
          <w:tcPr>
            <w:tcW w:w="1200" w:type="dxa"/>
          </w:tcPr>
          <w:p w:rsidR="008949F5" w:rsidRDefault="004A11FE">
            <w:pPr>
              <w:spacing w:before="0" w:after="0"/>
              <w:ind w:right="-29"/>
              <w:jc w:val="center"/>
              <w:rPr>
                <w:noProof/>
                <w:sz w:val="18"/>
                <w:szCs w:val="18"/>
              </w:rPr>
            </w:pPr>
            <w:r>
              <w:rPr>
                <w:noProof/>
                <w:sz w:val="18"/>
              </w:rPr>
              <w:t>118,200</w:t>
            </w:r>
          </w:p>
        </w:tc>
      </w:tr>
    </w:tbl>
    <w:p w:rsidR="008949F5" w:rsidRDefault="008949F5">
      <w:pPr>
        <w:rPr>
          <w:noProof/>
        </w:rPr>
        <w:sectPr w:rsidR="008949F5" w:rsidSect="004A11FE">
          <w:pgSz w:w="16840" w:h="11907" w:orient="landscape" w:code="9"/>
          <w:pgMar w:top="1134" w:right="1418" w:bottom="567" w:left="1418" w:header="709" w:footer="709" w:gutter="0"/>
          <w:cols w:space="708"/>
          <w:docGrid w:linePitch="360"/>
        </w:sectPr>
      </w:pPr>
    </w:p>
    <w:p w:rsidR="008949F5" w:rsidRDefault="004A11FE">
      <w:pPr>
        <w:pStyle w:val="ManualHeading3"/>
        <w:rPr>
          <w:bCs/>
          <w:noProof/>
          <w:szCs w:val="24"/>
        </w:rPr>
      </w:pPr>
      <w:r>
        <w:t>3.2.3.</w:t>
      </w:r>
      <w:r>
        <w:tab/>
      </w:r>
      <w:r>
        <w:rPr>
          <w:noProof/>
        </w:rPr>
        <w:t>Az igazgatási előirányzatokra gyakorolt becsült hatás</w:t>
      </w:r>
    </w:p>
    <w:p w:rsidR="008949F5" w:rsidRDefault="004A11FE">
      <w:pPr>
        <w:pStyle w:val="ManualHeading4"/>
        <w:rPr>
          <w:noProof/>
        </w:rPr>
      </w:pPr>
      <w:r>
        <w:t>3.2.3.1.</w:t>
      </w:r>
      <w:r>
        <w:tab/>
      </w:r>
      <w:r>
        <w:rPr>
          <w:noProof/>
        </w:rPr>
        <w:t xml:space="preserve">Összegzés </w:t>
      </w:r>
    </w:p>
    <w:p w:rsidR="008949F5" w:rsidRDefault="004A11FE">
      <w:pPr>
        <w:pStyle w:val="ListDash1"/>
        <w:rPr>
          <w:noProof/>
        </w:rPr>
      </w:pPr>
      <w:r>
        <w:rPr>
          <w:noProof/>
          <w:szCs w:val="24"/>
        </w:rPr>
        <w:sym w:font="Wingdings" w:char="F0A8"/>
      </w:r>
      <w:r>
        <w:rPr>
          <w:noProof/>
        </w:rPr>
        <w:tab/>
      </w:r>
      <w:r>
        <w:rPr>
          <w:noProof/>
          <w:szCs w:val="24"/>
        </w:rPr>
        <w:sym w:font="Wingdings" w:char="F0A8"/>
      </w:r>
      <w:r>
        <w:rPr>
          <w:noProof/>
        </w:rPr>
        <w:t xml:space="preserve">A javaslat/kezdeményezés nem vonja maga után igazgatási előirányzatok felhasználását. </w:t>
      </w:r>
    </w:p>
    <w:p w:rsidR="008949F5" w:rsidRDefault="004A11FE">
      <w:pPr>
        <w:pStyle w:val="ListDash1"/>
        <w:rPr>
          <w:noProof/>
        </w:rPr>
      </w:pPr>
      <w:r>
        <w:rPr>
          <w:noProof/>
        </w:rPr>
        <w:t>x</w:t>
      </w:r>
      <w:r>
        <w:rPr>
          <w:noProof/>
        </w:rPr>
        <w:tab/>
        <w:t xml:space="preserve">A javaslat/kezdeményezés az alábbi igazgatási </w:t>
      </w:r>
      <w:r>
        <w:rPr>
          <w:noProof/>
        </w:rPr>
        <w:t>előirányzatok felhasználását vonja maga után:</w:t>
      </w:r>
    </w:p>
    <w:p w:rsidR="008949F5" w:rsidRDefault="004A11FE">
      <w:pPr>
        <w:rPr>
          <w:noProof/>
          <w:sz w:val="20"/>
        </w:rPr>
      </w:pPr>
      <w:r>
        <w:rPr>
          <w:noProof/>
          <w:sz w:val="20"/>
        </w:rPr>
        <w:t>millió EUR (három tizedesjegyig)</w:t>
      </w: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8949F5">
        <w:trPr>
          <w:trHeight w:val="585"/>
        </w:trPr>
        <w:tc>
          <w:tcPr>
            <w:tcW w:w="2400" w:type="dxa"/>
          </w:tcPr>
          <w:p w:rsidR="008949F5" w:rsidRDefault="008949F5">
            <w:pPr>
              <w:spacing w:before="60" w:after="60" w:line="200" w:lineRule="exact"/>
              <w:rPr>
                <w:noProof/>
                <w:sz w:val="16"/>
                <w:szCs w:val="16"/>
              </w:rPr>
            </w:pPr>
          </w:p>
        </w:tc>
        <w:tc>
          <w:tcPr>
            <w:tcW w:w="1416" w:type="dxa"/>
            <w:vAlign w:val="center"/>
          </w:tcPr>
          <w:p w:rsidR="008949F5" w:rsidRDefault="004A11FE">
            <w:pPr>
              <w:spacing w:before="60" w:after="60" w:line="200" w:lineRule="exact"/>
              <w:jc w:val="center"/>
              <w:rPr>
                <w:noProof/>
                <w:sz w:val="16"/>
                <w:szCs w:val="16"/>
              </w:rPr>
            </w:pPr>
            <w:r>
              <w:rPr>
                <w:b/>
                <w:noProof/>
                <w:sz w:val="20"/>
              </w:rPr>
              <w:t>2017</w:t>
            </w:r>
          </w:p>
        </w:tc>
        <w:tc>
          <w:tcPr>
            <w:tcW w:w="1416" w:type="dxa"/>
            <w:vAlign w:val="center"/>
          </w:tcPr>
          <w:p w:rsidR="008949F5" w:rsidRDefault="004A11FE">
            <w:pPr>
              <w:spacing w:before="60" w:after="60" w:line="200" w:lineRule="exact"/>
              <w:jc w:val="center"/>
              <w:rPr>
                <w:noProof/>
                <w:sz w:val="16"/>
                <w:szCs w:val="16"/>
              </w:rPr>
            </w:pPr>
            <w:r>
              <w:rPr>
                <w:b/>
                <w:noProof/>
                <w:sz w:val="20"/>
              </w:rPr>
              <w:t>2018</w:t>
            </w:r>
          </w:p>
        </w:tc>
        <w:tc>
          <w:tcPr>
            <w:tcW w:w="1416" w:type="dxa"/>
            <w:vAlign w:val="center"/>
          </w:tcPr>
          <w:p w:rsidR="008949F5" w:rsidRDefault="004A11FE">
            <w:pPr>
              <w:spacing w:before="60" w:after="60" w:line="200" w:lineRule="exact"/>
              <w:jc w:val="center"/>
              <w:rPr>
                <w:noProof/>
                <w:sz w:val="16"/>
                <w:szCs w:val="16"/>
              </w:rPr>
            </w:pPr>
            <w:r>
              <w:rPr>
                <w:b/>
                <w:noProof/>
                <w:sz w:val="20"/>
              </w:rPr>
              <w:t>2019</w:t>
            </w:r>
          </w:p>
        </w:tc>
        <w:tc>
          <w:tcPr>
            <w:tcW w:w="1416" w:type="dxa"/>
            <w:vAlign w:val="center"/>
          </w:tcPr>
          <w:p w:rsidR="008949F5" w:rsidRDefault="004A11FE">
            <w:pPr>
              <w:spacing w:before="60" w:after="60" w:line="200" w:lineRule="exact"/>
              <w:jc w:val="center"/>
              <w:rPr>
                <w:noProof/>
                <w:sz w:val="16"/>
                <w:szCs w:val="16"/>
              </w:rPr>
            </w:pPr>
            <w:r>
              <w:rPr>
                <w:b/>
                <w:noProof/>
                <w:sz w:val="20"/>
              </w:rPr>
              <w:t>2020</w:t>
            </w:r>
          </w:p>
        </w:tc>
        <w:tc>
          <w:tcPr>
            <w:tcW w:w="1416" w:type="dxa"/>
            <w:vAlign w:val="center"/>
          </w:tcPr>
          <w:p w:rsidR="008949F5" w:rsidRDefault="004A11FE">
            <w:pPr>
              <w:spacing w:before="60" w:after="60" w:line="200" w:lineRule="exact"/>
              <w:jc w:val="center"/>
              <w:rPr>
                <w:b/>
                <w:noProof/>
                <w:sz w:val="16"/>
                <w:szCs w:val="16"/>
              </w:rPr>
            </w:pPr>
            <w:r>
              <w:rPr>
                <w:b/>
                <w:noProof/>
                <w:sz w:val="16"/>
              </w:rPr>
              <w:t>ÖSSZESEN</w:t>
            </w:r>
          </w:p>
        </w:tc>
      </w:tr>
    </w:tbl>
    <w:p w:rsidR="008949F5" w:rsidRDefault="008949F5">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8949F5">
        <w:trPr>
          <w:trHeight w:val="585"/>
        </w:trPr>
        <w:tc>
          <w:tcPr>
            <w:tcW w:w="2400" w:type="dxa"/>
            <w:shd w:val="clear" w:color="auto" w:fill="CCCCCC"/>
            <w:vAlign w:val="center"/>
          </w:tcPr>
          <w:p w:rsidR="008949F5" w:rsidRDefault="004A11FE">
            <w:pPr>
              <w:spacing w:before="60" w:after="60" w:line="200" w:lineRule="exact"/>
              <w:jc w:val="left"/>
              <w:rPr>
                <w:b/>
                <w:noProof/>
                <w:sz w:val="16"/>
                <w:szCs w:val="16"/>
              </w:rPr>
            </w:pPr>
            <w:r>
              <w:rPr>
                <w:b/>
                <w:noProof/>
                <w:sz w:val="16"/>
              </w:rPr>
              <w:t>A többéves pénzügyi keret 5. FEJEZETE</w:t>
            </w: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b/>
                <w:noProof/>
                <w:sz w:val="16"/>
                <w:szCs w:val="16"/>
              </w:rPr>
            </w:pPr>
          </w:p>
        </w:tc>
      </w:tr>
      <w:tr w:rsidR="008949F5">
        <w:trPr>
          <w:trHeight w:val="585"/>
        </w:trPr>
        <w:tc>
          <w:tcPr>
            <w:tcW w:w="2400" w:type="dxa"/>
            <w:vAlign w:val="center"/>
          </w:tcPr>
          <w:p w:rsidR="008949F5" w:rsidRDefault="004A11FE">
            <w:pPr>
              <w:spacing w:before="60" w:after="60" w:line="200" w:lineRule="exact"/>
              <w:ind w:left="72"/>
              <w:jc w:val="left"/>
              <w:rPr>
                <w:noProof/>
                <w:sz w:val="16"/>
                <w:szCs w:val="16"/>
              </w:rPr>
            </w:pPr>
            <w:r>
              <w:rPr>
                <w:noProof/>
                <w:sz w:val="16"/>
              </w:rPr>
              <w:t xml:space="preserve">Humánerőforrás </w:t>
            </w:r>
          </w:p>
        </w:tc>
        <w:tc>
          <w:tcPr>
            <w:tcW w:w="1416" w:type="dxa"/>
            <w:vAlign w:val="center"/>
          </w:tcPr>
          <w:p w:rsidR="008949F5" w:rsidRDefault="004A11FE">
            <w:pPr>
              <w:spacing w:before="60" w:after="60" w:line="200" w:lineRule="exact"/>
              <w:jc w:val="right"/>
              <w:rPr>
                <w:noProof/>
                <w:sz w:val="16"/>
                <w:szCs w:val="16"/>
              </w:rPr>
            </w:pPr>
            <w:r>
              <w:rPr>
                <w:noProof/>
                <w:sz w:val="20"/>
              </w:rPr>
              <w:t>0,204</w:t>
            </w:r>
          </w:p>
        </w:tc>
        <w:tc>
          <w:tcPr>
            <w:tcW w:w="1416" w:type="dxa"/>
            <w:vAlign w:val="center"/>
          </w:tcPr>
          <w:p w:rsidR="008949F5" w:rsidRDefault="004A11FE">
            <w:pPr>
              <w:spacing w:before="60" w:after="60" w:line="200" w:lineRule="exact"/>
              <w:jc w:val="right"/>
              <w:rPr>
                <w:noProof/>
                <w:sz w:val="16"/>
                <w:szCs w:val="16"/>
              </w:rPr>
            </w:pPr>
            <w:r>
              <w:rPr>
                <w:noProof/>
                <w:sz w:val="20"/>
              </w:rPr>
              <w:t>0,204</w:t>
            </w:r>
          </w:p>
        </w:tc>
        <w:tc>
          <w:tcPr>
            <w:tcW w:w="1416" w:type="dxa"/>
            <w:vAlign w:val="center"/>
          </w:tcPr>
          <w:p w:rsidR="008949F5" w:rsidRDefault="004A11FE">
            <w:pPr>
              <w:spacing w:before="60" w:after="60" w:line="200" w:lineRule="exact"/>
              <w:jc w:val="right"/>
              <w:rPr>
                <w:noProof/>
                <w:sz w:val="16"/>
                <w:szCs w:val="16"/>
              </w:rPr>
            </w:pPr>
            <w:r>
              <w:rPr>
                <w:noProof/>
                <w:sz w:val="20"/>
              </w:rPr>
              <w:t>0,204</w:t>
            </w:r>
          </w:p>
        </w:tc>
        <w:tc>
          <w:tcPr>
            <w:tcW w:w="1416" w:type="dxa"/>
            <w:vAlign w:val="center"/>
          </w:tcPr>
          <w:p w:rsidR="008949F5" w:rsidRDefault="004A11FE">
            <w:pPr>
              <w:spacing w:before="60" w:after="60" w:line="200" w:lineRule="exact"/>
              <w:jc w:val="right"/>
              <w:rPr>
                <w:noProof/>
                <w:sz w:val="16"/>
                <w:szCs w:val="16"/>
              </w:rPr>
            </w:pPr>
            <w:r>
              <w:rPr>
                <w:noProof/>
                <w:sz w:val="20"/>
              </w:rPr>
              <w:t>0,204</w:t>
            </w:r>
          </w:p>
        </w:tc>
        <w:tc>
          <w:tcPr>
            <w:tcW w:w="1416" w:type="dxa"/>
            <w:vAlign w:val="center"/>
          </w:tcPr>
          <w:p w:rsidR="008949F5" w:rsidRDefault="004A11FE">
            <w:pPr>
              <w:spacing w:before="60" w:after="60" w:line="200" w:lineRule="exact"/>
              <w:jc w:val="right"/>
              <w:rPr>
                <w:b/>
                <w:noProof/>
                <w:sz w:val="20"/>
                <w:szCs w:val="20"/>
              </w:rPr>
            </w:pPr>
            <w:r>
              <w:rPr>
                <w:b/>
                <w:noProof/>
                <w:sz w:val="20"/>
              </w:rPr>
              <w:t>0,816</w:t>
            </w:r>
          </w:p>
        </w:tc>
      </w:tr>
      <w:tr w:rsidR="008949F5">
        <w:trPr>
          <w:trHeight w:val="585"/>
        </w:trPr>
        <w:tc>
          <w:tcPr>
            <w:tcW w:w="2400" w:type="dxa"/>
            <w:vAlign w:val="center"/>
          </w:tcPr>
          <w:p w:rsidR="008949F5" w:rsidRDefault="004A11FE">
            <w:pPr>
              <w:spacing w:before="60" w:after="60" w:line="200" w:lineRule="exact"/>
              <w:ind w:left="72"/>
              <w:jc w:val="left"/>
              <w:rPr>
                <w:noProof/>
                <w:sz w:val="16"/>
                <w:szCs w:val="16"/>
              </w:rPr>
            </w:pPr>
            <w:r>
              <w:rPr>
                <w:noProof/>
                <w:sz w:val="16"/>
              </w:rPr>
              <w:t xml:space="preserve">Egyéb igazgatási kiadások </w:t>
            </w:r>
          </w:p>
        </w:tc>
        <w:tc>
          <w:tcPr>
            <w:tcW w:w="1416" w:type="dxa"/>
            <w:vAlign w:val="center"/>
          </w:tcPr>
          <w:p w:rsidR="008949F5" w:rsidRDefault="004A11FE">
            <w:pPr>
              <w:spacing w:before="60" w:after="60" w:line="200" w:lineRule="exact"/>
              <w:jc w:val="right"/>
              <w:rPr>
                <w:noProof/>
                <w:sz w:val="16"/>
                <w:szCs w:val="16"/>
              </w:rPr>
            </w:pPr>
            <w:r>
              <w:rPr>
                <w:noProof/>
                <w:sz w:val="20"/>
              </w:rPr>
              <w:t>0,020</w:t>
            </w:r>
          </w:p>
        </w:tc>
        <w:tc>
          <w:tcPr>
            <w:tcW w:w="1416" w:type="dxa"/>
            <w:vAlign w:val="center"/>
          </w:tcPr>
          <w:p w:rsidR="008949F5" w:rsidRDefault="004A11FE">
            <w:pPr>
              <w:spacing w:before="60" w:after="60" w:line="200" w:lineRule="exact"/>
              <w:jc w:val="right"/>
              <w:rPr>
                <w:noProof/>
                <w:sz w:val="16"/>
                <w:szCs w:val="16"/>
              </w:rPr>
            </w:pPr>
            <w:r>
              <w:rPr>
                <w:noProof/>
                <w:sz w:val="20"/>
              </w:rPr>
              <w:t>0,020</w:t>
            </w:r>
          </w:p>
        </w:tc>
        <w:tc>
          <w:tcPr>
            <w:tcW w:w="1416" w:type="dxa"/>
            <w:vAlign w:val="center"/>
          </w:tcPr>
          <w:p w:rsidR="008949F5" w:rsidRDefault="004A11FE">
            <w:pPr>
              <w:spacing w:before="60" w:after="60" w:line="200" w:lineRule="exact"/>
              <w:jc w:val="right"/>
              <w:rPr>
                <w:noProof/>
                <w:sz w:val="16"/>
                <w:szCs w:val="16"/>
              </w:rPr>
            </w:pPr>
            <w:r>
              <w:rPr>
                <w:noProof/>
                <w:sz w:val="20"/>
              </w:rPr>
              <w:t>0,010</w:t>
            </w:r>
          </w:p>
        </w:tc>
        <w:tc>
          <w:tcPr>
            <w:tcW w:w="1416" w:type="dxa"/>
            <w:vAlign w:val="center"/>
          </w:tcPr>
          <w:p w:rsidR="008949F5" w:rsidRDefault="004A11FE">
            <w:pPr>
              <w:spacing w:before="60" w:after="60" w:line="200" w:lineRule="exact"/>
              <w:jc w:val="right"/>
              <w:rPr>
                <w:noProof/>
                <w:sz w:val="16"/>
                <w:szCs w:val="16"/>
              </w:rPr>
            </w:pPr>
            <w:r>
              <w:rPr>
                <w:noProof/>
                <w:sz w:val="20"/>
              </w:rPr>
              <w:t>0,010</w:t>
            </w:r>
          </w:p>
        </w:tc>
        <w:tc>
          <w:tcPr>
            <w:tcW w:w="1416" w:type="dxa"/>
            <w:vAlign w:val="center"/>
          </w:tcPr>
          <w:p w:rsidR="008949F5" w:rsidRDefault="004A11FE">
            <w:pPr>
              <w:spacing w:before="60" w:after="60" w:line="200" w:lineRule="exact"/>
              <w:jc w:val="right"/>
              <w:rPr>
                <w:b/>
                <w:noProof/>
                <w:sz w:val="20"/>
                <w:szCs w:val="20"/>
              </w:rPr>
            </w:pPr>
            <w:r>
              <w:rPr>
                <w:b/>
                <w:noProof/>
                <w:sz w:val="20"/>
              </w:rPr>
              <w:t>0,060</w:t>
            </w:r>
          </w:p>
        </w:tc>
      </w:tr>
      <w:tr w:rsidR="008949F5">
        <w:trPr>
          <w:trHeight w:val="585"/>
        </w:trPr>
        <w:tc>
          <w:tcPr>
            <w:tcW w:w="2400" w:type="dxa"/>
            <w:shd w:val="clear" w:color="auto" w:fill="CCCCCC"/>
            <w:vAlign w:val="center"/>
          </w:tcPr>
          <w:p w:rsidR="008949F5" w:rsidRDefault="004A11FE">
            <w:pPr>
              <w:spacing w:before="60" w:after="60" w:line="200" w:lineRule="exact"/>
              <w:jc w:val="left"/>
              <w:rPr>
                <w:b/>
                <w:noProof/>
                <w:sz w:val="16"/>
                <w:szCs w:val="16"/>
              </w:rPr>
            </w:pPr>
            <w:r>
              <w:rPr>
                <w:b/>
                <w:noProof/>
                <w:sz w:val="16"/>
              </w:rPr>
              <w:t xml:space="preserve">A többéves pénzügyi keret 5. FEJEZETÉNEK részösszege </w:t>
            </w:r>
          </w:p>
        </w:tc>
        <w:tc>
          <w:tcPr>
            <w:tcW w:w="1416" w:type="dxa"/>
            <w:vAlign w:val="bottom"/>
          </w:tcPr>
          <w:p w:rsidR="008949F5" w:rsidRDefault="004A11FE">
            <w:pPr>
              <w:spacing w:before="60" w:after="60" w:line="200" w:lineRule="exact"/>
              <w:jc w:val="right"/>
              <w:rPr>
                <w:b/>
                <w:noProof/>
                <w:sz w:val="16"/>
                <w:szCs w:val="16"/>
              </w:rPr>
            </w:pPr>
            <w:r>
              <w:rPr>
                <w:b/>
                <w:noProof/>
                <w:color w:val="000000"/>
                <w:sz w:val="20"/>
              </w:rPr>
              <w:t>0,224</w:t>
            </w:r>
          </w:p>
        </w:tc>
        <w:tc>
          <w:tcPr>
            <w:tcW w:w="1416" w:type="dxa"/>
            <w:vAlign w:val="bottom"/>
          </w:tcPr>
          <w:p w:rsidR="008949F5" w:rsidRDefault="004A11FE">
            <w:pPr>
              <w:spacing w:before="60" w:after="60" w:line="200" w:lineRule="exact"/>
              <w:jc w:val="right"/>
              <w:rPr>
                <w:b/>
                <w:noProof/>
                <w:sz w:val="16"/>
                <w:szCs w:val="16"/>
              </w:rPr>
            </w:pPr>
            <w:r>
              <w:rPr>
                <w:b/>
                <w:noProof/>
                <w:color w:val="000000"/>
                <w:sz w:val="20"/>
              </w:rPr>
              <w:t>0,224</w:t>
            </w:r>
          </w:p>
        </w:tc>
        <w:tc>
          <w:tcPr>
            <w:tcW w:w="1416" w:type="dxa"/>
            <w:vAlign w:val="bottom"/>
          </w:tcPr>
          <w:p w:rsidR="008949F5" w:rsidRDefault="004A11FE">
            <w:pPr>
              <w:spacing w:before="60" w:after="60" w:line="200" w:lineRule="exact"/>
              <w:jc w:val="right"/>
              <w:rPr>
                <w:b/>
                <w:noProof/>
                <w:sz w:val="16"/>
                <w:szCs w:val="16"/>
              </w:rPr>
            </w:pPr>
            <w:r>
              <w:rPr>
                <w:b/>
                <w:noProof/>
                <w:color w:val="000000"/>
                <w:sz w:val="20"/>
              </w:rPr>
              <w:t>0,214</w:t>
            </w:r>
          </w:p>
        </w:tc>
        <w:tc>
          <w:tcPr>
            <w:tcW w:w="1416" w:type="dxa"/>
            <w:vAlign w:val="bottom"/>
          </w:tcPr>
          <w:p w:rsidR="008949F5" w:rsidRDefault="004A11FE">
            <w:pPr>
              <w:spacing w:before="60" w:after="60" w:line="200" w:lineRule="exact"/>
              <w:jc w:val="right"/>
              <w:rPr>
                <w:b/>
                <w:noProof/>
                <w:sz w:val="16"/>
                <w:szCs w:val="16"/>
              </w:rPr>
            </w:pPr>
            <w:r>
              <w:rPr>
                <w:b/>
                <w:noProof/>
                <w:color w:val="000000"/>
                <w:sz w:val="20"/>
              </w:rPr>
              <w:t>0,214</w:t>
            </w:r>
          </w:p>
        </w:tc>
        <w:tc>
          <w:tcPr>
            <w:tcW w:w="1416" w:type="dxa"/>
            <w:vAlign w:val="bottom"/>
          </w:tcPr>
          <w:p w:rsidR="008949F5" w:rsidRDefault="004A11FE">
            <w:pPr>
              <w:spacing w:before="60" w:after="60" w:line="200" w:lineRule="exact"/>
              <w:jc w:val="right"/>
              <w:rPr>
                <w:b/>
                <w:noProof/>
                <w:sz w:val="20"/>
                <w:szCs w:val="20"/>
              </w:rPr>
            </w:pPr>
            <w:r>
              <w:rPr>
                <w:b/>
                <w:noProof/>
                <w:color w:val="000000"/>
                <w:sz w:val="20"/>
              </w:rPr>
              <w:t>0,876</w:t>
            </w:r>
          </w:p>
        </w:tc>
      </w:tr>
    </w:tbl>
    <w:p w:rsidR="008949F5" w:rsidRDefault="008949F5">
      <w:pPr>
        <w:spacing w:line="200" w:lineRule="exact"/>
        <w:rPr>
          <w:noProof/>
          <w:sz w:val="16"/>
          <w:szCs w:val="16"/>
        </w:rPr>
      </w:pPr>
    </w:p>
    <w:tbl>
      <w:tblPr>
        <w:tblW w:w="948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00"/>
        <w:gridCol w:w="1416"/>
        <w:gridCol w:w="1416"/>
        <w:gridCol w:w="1416"/>
        <w:gridCol w:w="1416"/>
        <w:gridCol w:w="1416"/>
      </w:tblGrid>
      <w:tr w:rsidR="008949F5">
        <w:trPr>
          <w:trHeight w:val="585"/>
        </w:trPr>
        <w:tc>
          <w:tcPr>
            <w:tcW w:w="2400" w:type="dxa"/>
            <w:shd w:val="clear" w:color="auto" w:fill="CCCCCC"/>
            <w:vAlign w:val="center"/>
          </w:tcPr>
          <w:p w:rsidR="008949F5" w:rsidRDefault="004A11FE">
            <w:pPr>
              <w:spacing w:before="60" w:after="60" w:line="200" w:lineRule="exact"/>
              <w:jc w:val="left"/>
              <w:rPr>
                <w:b/>
                <w:noProof/>
                <w:sz w:val="16"/>
                <w:szCs w:val="16"/>
              </w:rPr>
            </w:pPr>
            <w:r>
              <w:rPr>
                <w:b/>
                <w:noProof/>
                <w:sz w:val="16"/>
              </w:rPr>
              <w:t>A többéves pénzügyi keret</w:t>
            </w:r>
            <w:r>
              <w:rPr>
                <w:noProof/>
                <w:sz w:val="22"/>
              </w:rPr>
              <w:br/>
            </w:r>
            <w:r>
              <w:rPr>
                <w:b/>
                <w:noProof/>
                <w:sz w:val="16"/>
              </w:rPr>
              <w:t>5. FEJEZETÉBE</w:t>
            </w:r>
            <w:r>
              <w:rPr>
                <w:rStyle w:val="FootnoteReference"/>
                <w:b/>
                <w:noProof/>
                <w:sz w:val="16"/>
              </w:rPr>
              <w:footnoteReference w:id="24"/>
            </w:r>
            <w:r>
              <w:rPr>
                <w:b/>
                <w:noProof/>
                <w:sz w:val="16"/>
              </w:rPr>
              <w:t xml:space="preserve"> bele nem tartozó előirányzatok </w:t>
            </w: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b/>
                <w:noProof/>
                <w:sz w:val="16"/>
                <w:szCs w:val="16"/>
              </w:rPr>
            </w:pPr>
          </w:p>
        </w:tc>
      </w:tr>
      <w:tr w:rsidR="008949F5">
        <w:trPr>
          <w:trHeight w:val="585"/>
        </w:trPr>
        <w:tc>
          <w:tcPr>
            <w:tcW w:w="2400" w:type="dxa"/>
            <w:vAlign w:val="center"/>
          </w:tcPr>
          <w:p w:rsidR="008949F5" w:rsidRDefault="004A11FE">
            <w:pPr>
              <w:spacing w:before="60" w:after="60" w:line="200" w:lineRule="exact"/>
              <w:ind w:left="72"/>
              <w:jc w:val="left"/>
              <w:rPr>
                <w:noProof/>
                <w:sz w:val="16"/>
                <w:szCs w:val="16"/>
              </w:rPr>
            </w:pPr>
            <w:r>
              <w:rPr>
                <w:noProof/>
                <w:sz w:val="16"/>
              </w:rPr>
              <w:t xml:space="preserve">Humánerőforrás </w:t>
            </w: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noProof/>
                <w:sz w:val="16"/>
                <w:szCs w:val="16"/>
              </w:rPr>
            </w:pPr>
          </w:p>
        </w:tc>
        <w:tc>
          <w:tcPr>
            <w:tcW w:w="1416" w:type="dxa"/>
            <w:vAlign w:val="center"/>
          </w:tcPr>
          <w:p w:rsidR="008949F5" w:rsidRDefault="008949F5">
            <w:pPr>
              <w:spacing w:before="60" w:after="60" w:line="200" w:lineRule="exact"/>
              <w:jc w:val="right"/>
              <w:rPr>
                <w:b/>
                <w:noProof/>
                <w:sz w:val="16"/>
                <w:szCs w:val="16"/>
              </w:rPr>
            </w:pPr>
          </w:p>
        </w:tc>
      </w:tr>
      <w:tr w:rsidR="008949F5">
        <w:trPr>
          <w:trHeight w:val="585"/>
        </w:trPr>
        <w:tc>
          <w:tcPr>
            <w:tcW w:w="2400" w:type="dxa"/>
            <w:vAlign w:val="center"/>
          </w:tcPr>
          <w:p w:rsidR="008949F5" w:rsidRDefault="004A11FE">
            <w:pPr>
              <w:spacing w:before="60" w:after="60" w:line="200" w:lineRule="exact"/>
              <w:ind w:left="72"/>
              <w:jc w:val="left"/>
              <w:rPr>
                <w:noProof/>
                <w:sz w:val="16"/>
                <w:szCs w:val="16"/>
              </w:rPr>
            </w:pPr>
            <w:r>
              <w:rPr>
                <w:noProof/>
                <w:sz w:val="16"/>
              </w:rPr>
              <w:t>Egyéb</w:t>
            </w:r>
            <w:r>
              <w:rPr>
                <w:noProof/>
                <w:sz w:val="22"/>
              </w:rPr>
              <w:br/>
            </w:r>
            <w:r>
              <w:rPr>
                <w:noProof/>
                <w:sz w:val="16"/>
              </w:rPr>
              <w:t>igazgatási kiadások</w:t>
            </w:r>
          </w:p>
        </w:tc>
        <w:tc>
          <w:tcPr>
            <w:tcW w:w="1416" w:type="dxa"/>
            <w:vAlign w:val="bottom"/>
          </w:tcPr>
          <w:p w:rsidR="008949F5" w:rsidRDefault="004A11FE">
            <w:pPr>
              <w:spacing w:before="60" w:after="60" w:line="200" w:lineRule="exact"/>
              <w:jc w:val="right"/>
              <w:rPr>
                <w:noProof/>
                <w:sz w:val="20"/>
                <w:szCs w:val="20"/>
              </w:rPr>
            </w:pPr>
            <w:r>
              <w:rPr>
                <w:noProof/>
                <w:color w:val="000000"/>
                <w:sz w:val="20"/>
              </w:rPr>
              <w:t>0,090</w:t>
            </w:r>
          </w:p>
        </w:tc>
        <w:tc>
          <w:tcPr>
            <w:tcW w:w="1416" w:type="dxa"/>
            <w:vAlign w:val="bottom"/>
          </w:tcPr>
          <w:p w:rsidR="008949F5" w:rsidRDefault="004A11FE">
            <w:pPr>
              <w:spacing w:before="60" w:after="60" w:line="200" w:lineRule="exact"/>
              <w:jc w:val="right"/>
              <w:rPr>
                <w:noProof/>
                <w:sz w:val="20"/>
                <w:szCs w:val="20"/>
              </w:rPr>
            </w:pPr>
            <w:r>
              <w:rPr>
                <w:noProof/>
                <w:color w:val="000000"/>
                <w:sz w:val="20"/>
              </w:rPr>
              <w:t>0,025</w:t>
            </w:r>
          </w:p>
        </w:tc>
        <w:tc>
          <w:tcPr>
            <w:tcW w:w="1416" w:type="dxa"/>
            <w:vAlign w:val="bottom"/>
          </w:tcPr>
          <w:p w:rsidR="008949F5" w:rsidRDefault="004A11FE">
            <w:pPr>
              <w:spacing w:before="60" w:after="60" w:line="200" w:lineRule="exact"/>
              <w:jc w:val="right"/>
              <w:rPr>
                <w:noProof/>
                <w:sz w:val="20"/>
                <w:szCs w:val="20"/>
              </w:rPr>
            </w:pPr>
            <w:r>
              <w:rPr>
                <w:noProof/>
                <w:color w:val="000000"/>
                <w:sz w:val="20"/>
              </w:rPr>
              <w:t>0,025</w:t>
            </w:r>
          </w:p>
        </w:tc>
        <w:tc>
          <w:tcPr>
            <w:tcW w:w="1416" w:type="dxa"/>
            <w:vAlign w:val="bottom"/>
          </w:tcPr>
          <w:p w:rsidR="008949F5" w:rsidRDefault="004A11FE">
            <w:pPr>
              <w:spacing w:before="60" w:after="60" w:line="200" w:lineRule="exact"/>
              <w:jc w:val="right"/>
              <w:rPr>
                <w:noProof/>
                <w:sz w:val="20"/>
                <w:szCs w:val="20"/>
              </w:rPr>
            </w:pPr>
            <w:r>
              <w:rPr>
                <w:noProof/>
                <w:color w:val="000000"/>
                <w:sz w:val="20"/>
              </w:rPr>
              <w:t>0,060</w:t>
            </w:r>
          </w:p>
        </w:tc>
        <w:tc>
          <w:tcPr>
            <w:tcW w:w="1416" w:type="dxa"/>
            <w:vAlign w:val="bottom"/>
          </w:tcPr>
          <w:p w:rsidR="008949F5" w:rsidRDefault="004A11FE">
            <w:pPr>
              <w:spacing w:before="60" w:after="60" w:line="200" w:lineRule="exact"/>
              <w:jc w:val="right"/>
              <w:rPr>
                <w:b/>
                <w:noProof/>
                <w:sz w:val="20"/>
                <w:szCs w:val="20"/>
              </w:rPr>
            </w:pPr>
            <w:r>
              <w:rPr>
                <w:noProof/>
                <w:color w:val="000000"/>
                <w:sz w:val="20"/>
              </w:rPr>
              <w:t>0,200</w:t>
            </w:r>
          </w:p>
        </w:tc>
      </w:tr>
      <w:tr w:rsidR="008949F5">
        <w:trPr>
          <w:trHeight w:val="585"/>
        </w:trPr>
        <w:tc>
          <w:tcPr>
            <w:tcW w:w="2400" w:type="dxa"/>
            <w:shd w:val="clear" w:color="auto" w:fill="CCCCCC"/>
            <w:vAlign w:val="center"/>
          </w:tcPr>
          <w:p w:rsidR="008949F5" w:rsidRDefault="004A11FE">
            <w:pPr>
              <w:spacing w:before="60" w:after="60" w:line="200" w:lineRule="exact"/>
              <w:jc w:val="left"/>
              <w:rPr>
                <w:b/>
                <w:noProof/>
                <w:sz w:val="16"/>
                <w:szCs w:val="16"/>
              </w:rPr>
            </w:pPr>
            <w:r>
              <w:rPr>
                <w:b/>
                <w:noProof/>
                <w:sz w:val="16"/>
              </w:rPr>
              <w:t xml:space="preserve">A többéves pénzügyi keret </w:t>
            </w:r>
            <w:r>
              <w:rPr>
                <w:noProof/>
                <w:sz w:val="22"/>
              </w:rPr>
              <w:br/>
            </w:r>
            <w:r>
              <w:rPr>
                <w:b/>
                <w:noProof/>
                <w:sz w:val="16"/>
              </w:rPr>
              <w:t>5. FEJEZETÉBE bele nem tartozó</w:t>
            </w:r>
            <w:r>
              <w:rPr>
                <w:noProof/>
                <w:sz w:val="22"/>
              </w:rPr>
              <w:br/>
            </w:r>
            <w:r>
              <w:rPr>
                <w:b/>
                <w:noProof/>
                <w:sz w:val="16"/>
              </w:rPr>
              <w:t xml:space="preserve">előirányzatok részösszege </w:t>
            </w:r>
          </w:p>
        </w:tc>
        <w:tc>
          <w:tcPr>
            <w:tcW w:w="1416" w:type="dxa"/>
            <w:vAlign w:val="bottom"/>
          </w:tcPr>
          <w:p w:rsidR="008949F5" w:rsidRDefault="004A11FE">
            <w:pPr>
              <w:spacing w:before="60" w:after="60" w:line="200" w:lineRule="exact"/>
              <w:jc w:val="right"/>
              <w:rPr>
                <w:b/>
                <w:noProof/>
                <w:sz w:val="20"/>
                <w:szCs w:val="20"/>
              </w:rPr>
            </w:pPr>
            <w:r>
              <w:rPr>
                <w:noProof/>
                <w:color w:val="000000"/>
                <w:sz w:val="20"/>
              </w:rPr>
              <w:t>0,090</w:t>
            </w:r>
          </w:p>
        </w:tc>
        <w:tc>
          <w:tcPr>
            <w:tcW w:w="1416" w:type="dxa"/>
            <w:vAlign w:val="bottom"/>
          </w:tcPr>
          <w:p w:rsidR="008949F5" w:rsidRDefault="004A11FE">
            <w:pPr>
              <w:spacing w:before="60" w:after="60" w:line="200" w:lineRule="exact"/>
              <w:jc w:val="right"/>
              <w:rPr>
                <w:b/>
                <w:noProof/>
                <w:sz w:val="20"/>
                <w:szCs w:val="20"/>
              </w:rPr>
            </w:pPr>
            <w:r>
              <w:rPr>
                <w:noProof/>
                <w:color w:val="000000"/>
                <w:sz w:val="20"/>
              </w:rPr>
              <w:t>0,025</w:t>
            </w:r>
          </w:p>
        </w:tc>
        <w:tc>
          <w:tcPr>
            <w:tcW w:w="1416" w:type="dxa"/>
            <w:vAlign w:val="bottom"/>
          </w:tcPr>
          <w:p w:rsidR="008949F5" w:rsidRDefault="004A11FE">
            <w:pPr>
              <w:spacing w:before="60" w:after="60" w:line="200" w:lineRule="exact"/>
              <w:jc w:val="right"/>
              <w:rPr>
                <w:b/>
                <w:noProof/>
                <w:sz w:val="20"/>
                <w:szCs w:val="20"/>
              </w:rPr>
            </w:pPr>
            <w:r>
              <w:rPr>
                <w:noProof/>
                <w:color w:val="000000"/>
                <w:sz w:val="20"/>
              </w:rPr>
              <w:t>0,025</w:t>
            </w:r>
          </w:p>
        </w:tc>
        <w:tc>
          <w:tcPr>
            <w:tcW w:w="1416" w:type="dxa"/>
            <w:vAlign w:val="bottom"/>
          </w:tcPr>
          <w:p w:rsidR="008949F5" w:rsidRDefault="004A11FE">
            <w:pPr>
              <w:spacing w:before="60" w:after="60" w:line="200" w:lineRule="exact"/>
              <w:jc w:val="right"/>
              <w:rPr>
                <w:b/>
                <w:noProof/>
                <w:sz w:val="20"/>
                <w:szCs w:val="20"/>
              </w:rPr>
            </w:pPr>
            <w:r>
              <w:rPr>
                <w:noProof/>
                <w:color w:val="000000"/>
                <w:sz w:val="20"/>
              </w:rPr>
              <w:t>0,060</w:t>
            </w:r>
          </w:p>
        </w:tc>
        <w:tc>
          <w:tcPr>
            <w:tcW w:w="1416" w:type="dxa"/>
            <w:vAlign w:val="bottom"/>
          </w:tcPr>
          <w:p w:rsidR="008949F5" w:rsidRDefault="004A11FE">
            <w:pPr>
              <w:spacing w:before="60" w:after="60" w:line="200" w:lineRule="exact"/>
              <w:jc w:val="right"/>
              <w:rPr>
                <w:b/>
                <w:noProof/>
                <w:sz w:val="20"/>
                <w:szCs w:val="20"/>
              </w:rPr>
            </w:pPr>
            <w:r>
              <w:rPr>
                <w:noProof/>
                <w:color w:val="000000"/>
                <w:sz w:val="20"/>
              </w:rPr>
              <w:t>0,200</w:t>
            </w:r>
          </w:p>
        </w:tc>
      </w:tr>
    </w:tbl>
    <w:p w:rsidR="008949F5" w:rsidRDefault="008949F5">
      <w:pPr>
        <w:spacing w:line="200" w:lineRule="exact"/>
        <w:rPr>
          <w:noProof/>
          <w:sz w:val="16"/>
          <w:szCs w:val="16"/>
        </w:rPr>
      </w:pPr>
    </w:p>
    <w:tbl>
      <w:tblPr>
        <w:tblW w:w="9480" w:type="dxa"/>
        <w:tblInd w:w="-252" w:type="dxa"/>
        <w:tblLayout w:type="fixed"/>
        <w:tblLook w:val="01E0" w:firstRow="1" w:lastRow="1" w:firstColumn="1" w:lastColumn="1" w:noHBand="0" w:noVBand="0"/>
      </w:tblPr>
      <w:tblGrid>
        <w:gridCol w:w="2400"/>
        <w:gridCol w:w="1416"/>
        <w:gridCol w:w="1416"/>
        <w:gridCol w:w="1416"/>
        <w:gridCol w:w="1416"/>
        <w:gridCol w:w="1416"/>
      </w:tblGrid>
      <w:tr w:rsidR="008949F5">
        <w:trPr>
          <w:trHeight w:val="585"/>
        </w:trPr>
        <w:tc>
          <w:tcPr>
            <w:tcW w:w="2400" w:type="dxa"/>
            <w:tcBorders>
              <w:top w:val="single" w:sz="12" w:space="0" w:color="auto"/>
              <w:left w:val="single" w:sz="12" w:space="0" w:color="auto"/>
              <w:bottom w:val="single" w:sz="12" w:space="0" w:color="auto"/>
              <w:right w:val="single" w:sz="2" w:space="0" w:color="auto"/>
            </w:tcBorders>
            <w:vAlign w:val="center"/>
          </w:tcPr>
          <w:p w:rsidR="008949F5" w:rsidRDefault="004A11FE">
            <w:pPr>
              <w:spacing w:before="60" w:after="60" w:line="200" w:lineRule="exact"/>
              <w:jc w:val="center"/>
              <w:rPr>
                <w:noProof/>
                <w:sz w:val="16"/>
                <w:szCs w:val="16"/>
              </w:rPr>
            </w:pPr>
            <w:r>
              <w:rPr>
                <w:b/>
                <w:noProof/>
                <w:sz w:val="16"/>
              </w:rPr>
              <w:t>ÖSSZESEN</w:t>
            </w:r>
          </w:p>
        </w:tc>
        <w:tc>
          <w:tcPr>
            <w:tcW w:w="1416" w:type="dxa"/>
            <w:tcBorders>
              <w:top w:val="single" w:sz="12" w:space="0" w:color="auto"/>
              <w:left w:val="single" w:sz="2" w:space="0" w:color="auto"/>
              <w:bottom w:val="single" w:sz="12" w:space="0" w:color="auto"/>
              <w:right w:val="single" w:sz="2" w:space="0" w:color="auto"/>
            </w:tcBorders>
            <w:vAlign w:val="bottom"/>
          </w:tcPr>
          <w:p w:rsidR="008949F5" w:rsidRDefault="004A11FE">
            <w:pPr>
              <w:spacing w:before="60" w:after="60" w:line="200" w:lineRule="exact"/>
              <w:jc w:val="right"/>
              <w:rPr>
                <w:b/>
                <w:noProof/>
                <w:sz w:val="20"/>
                <w:szCs w:val="20"/>
              </w:rPr>
            </w:pPr>
            <w:r>
              <w:rPr>
                <w:b/>
                <w:noProof/>
                <w:color w:val="000000"/>
                <w:sz w:val="20"/>
              </w:rPr>
              <w:t>0,314</w:t>
            </w:r>
          </w:p>
        </w:tc>
        <w:tc>
          <w:tcPr>
            <w:tcW w:w="1416" w:type="dxa"/>
            <w:tcBorders>
              <w:top w:val="single" w:sz="12" w:space="0" w:color="auto"/>
              <w:left w:val="single" w:sz="2" w:space="0" w:color="auto"/>
              <w:bottom w:val="single" w:sz="12" w:space="0" w:color="auto"/>
              <w:right w:val="single" w:sz="2" w:space="0" w:color="auto"/>
            </w:tcBorders>
            <w:vAlign w:val="bottom"/>
          </w:tcPr>
          <w:p w:rsidR="008949F5" w:rsidRDefault="004A11FE">
            <w:pPr>
              <w:spacing w:before="60" w:after="60" w:line="200" w:lineRule="exact"/>
              <w:jc w:val="right"/>
              <w:rPr>
                <w:b/>
                <w:noProof/>
                <w:sz w:val="20"/>
                <w:szCs w:val="20"/>
              </w:rPr>
            </w:pPr>
            <w:r>
              <w:rPr>
                <w:b/>
                <w:noProof/>
                <w:color w:val="000000"/>
                <w:sz w:val="20"/>
              </w:rPr>
              <w:t>0,249</w:t>
            </w:r>
          </w:p>
        </w:tc>
        <w:tc>
          <w:tcPr>
            <w:tcW w:w="1416" w:type="dxa"/>
            <w:tcBorders>
              <w:top w:val="single" w:sz="12" w:space="0" w:color="auto"/>
              <w:left w:val="single" w:sz="2" w:space="0" w:color="auto"/>
              <w:bottom w:val="single" w:sz="12" w:space="0" w:color="auto"/>
              <w:right w:val="single" w:sz="2" w:space="0" w:color="auto"/>
            </w:tcBorders>
            <w:vAlign w:val="bottom"/>
          </w:tcPr>
          <w:p w:rsidR="008949F5" w:rsidRDefault="004A11FE">
            <w:pPr>
              <w:spacing w:before="60" w:after="60" w:line="200" w:lineRule="exact"/>
              <w:jc w:val="right"/>
              <w:rPr>
                <w:b/>
                <w:noProof/>
                <w:sz w:val="20"/>
                <w:szCs w:val="20"/>
              </w:rPr>
            </w:pPr>
            <w:r>
              <w:rPr>
                <w:b/>
                <w:noProof/>
                <w:color w:val="000000"/>
                <w:sz w:val="20"/>
              </w:rPr>
              <w:t>0,239</w:t>
            </w:r>
          </w:p>
        </w:tc>
        <w:tc>
          <w:tcPr>
            <w:tcW w:w="1416" w:type="dxa"/>
            <w:tcBorders>
              <w:top w:val="single" w:sz="12" w:space="0" w:color="auto"/>
              <w:left w:val="single" w:sz="2" w:space="0" w:color="auto"/>
              <w:bottom w:val="single" w:sz="12" w:space="0" w:color="auto"/>
              <w:right w:val="single" w:sz="2" w:space="0" w:color="auto"/>
            </w:tcBorders>
            <w:vAlign w:val="bottom"/>
          </w:tcPr>
          <w:p w:rsidR="008949F5" w:rsidRDefault="004A11FE">
            <w:pPr>
              <w:spacing w:before="60" w:after="60" w:line="200" w:lineRule="exact"/>
              <w:jc w:val="right"/>
              <w:rPr>
                <w:b/>
                <w:noProof/>
                <w:sz w:val="20"/>
                <w:szCs w:val="20"/>
              </w:rPr>
            </w:pPr>
            <w:r>
              <w:rPr>
                <w:b/>
                <w:noProof/>
                <w:color w:val="000000"/>
                <w:sz w:val="20"/>
              </w:rPr>
              <w:t>0,274</w:t>
            </w:r>
          </w:p>
        </w:tc>
        <w:tc>
          <w:tcPr>
            <w:tcW w:w="1416" w:type="dxa"/>
            <w:tcBorders>
              <w:top w:val="single" w:sz="12" w:space="0" w:color="auto"/>
              <w:left w:val="single" w:sz="2" w:space="0" w:color="auto"/>
              <w:bottom w:val="single" w:sz="12" w:space="0" w:color="auto"/>
              <w:right w:val="single" w:sz="12" w:space="0" w:color="auto"/>
            </w:tcBorders>
            <w:vAlign w:val="bottom"/>
          </w:tcPr>
          <w:p w:rsidR="008949F5" w:rsidRDefault="004A11FE">
            <w:pPr>
              <w:spacing w:before="60" w:after="60" w:line="200" w:lineRule="exact"/>
              <w:jc w:val="right"/>
              <w:rPr>
                <w:b/>
                <w:noProof/>
                <w:sz w:val="20"/>
                <w:szCs w:val="20"/>
              </w:rPr>
            </w:pPr>
            <w:r>
              <w:rPr>
                <w:b/>
                <w:noProof/>
                <w:color w:val="000000"/>
                <w:sz w:val="20"/>
              </w:rPr>
              <w:t>1,076</w:t>
            </w:r>
          </w:p>
        </w:tc>
      </w:tr>
    </w:tbl>
    <w:p w:rsidR="008949F5" w:rsidRDefault="004A11FE">
      <w:pPr>
        <w:jc w:val="left"/>
        <w:rPr>
          <w:noProof/>
          <w:sz w:val="18"/>
        </w:rPr>
        <w:sectPr w:rsidR="008949F5" w:rsidSect="004A11FE">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A humánerőforrással és más igazgatási kiadásokkal kapcsolatos előirányzat-igényeket az adott főigazgatóság rendelkezésére álló, az intézkedés irányításához rendelt előirányzatokkal és/vagy az adott főigazgatóságon belüli átcsoportosít</w:t>
      </w:r>
      <w:r>
        <w:rPr>
          <w:noProof/>
          <w:sz w:val="18"/>
        </w:rPr>
        <w:t>ással kell teljesíteni. A források adott esetben a költségvetési korlátok betartása mellett kiegészíthetők az éves elosztási eljárás keretében az irányító főigazgatósághoz rendelt további juttatásokkal.</w:t>
      </w:r>
    </w:p>
    <w:p w:rsidR="008949F5" w:rsidRDefault="004A11FE">
      <w:pPr>
        <w:pStyle w:val="ManualHeading4"/>
        <w:rPr>
          <w:bCs/>
          <w:noProof/>
          <w:szCs w:val="24"/>
        </w:rPr>
      </w:pPr>
      <w:r>
        <w:t>3.2.3.2.</w:t>
      </w:r>
      <w:r>
        <w:tab/>
      </w:r>
      <w:r>
        <w:rPr>
          <w:noProof/>
        </w:rPr>
        <w:t>Becsült humánerőforrás-szükségletek</w:t>
      </w:r>
    </w:p>
    <w:p w:rsidR="008949F5" w:rsidRDefault="004A11FE">
      <w:pPr>
        <w:pStyle w:val="ListDash1"/>
        <w:rPr>
          <w:noProof/>
        </w:rPr>
      </w:pPr>
      <w:r>
        <w:rPr>
          <w:noProof/>
          <w:szCs w:val="24"/>
        </w:rPr>
        <w:sym w:font="Wingdings" w:char="F0A8"/>
      </w:r>
      <w:r>
        <w:rPr>
          <w:noProof/>
        </w:rPr>
        <w:tab/>
      </w:r>
      <w:r>
        <w:rPr>
          <w:noProof/>
          <w:szCs w:val="24"/>
        </w:rPr>
        <w:sym w:font="Wingdings" w:char="F0A8"/>
      </w:r>
      <w:r>
        <w:rPr>
          <w:noProof/>
        </w:rPr>
        <w:t>A jav</w:t>
      </w:r>
      <w:r>
        <w:rPr>
          <w:noProof/>
        </w:rPr>
        <w:t xml:space="preserve">aslat/kezdeményezés nem igényel humánerőforrást. </w:t>
      </w:r>
    </w:p>
    <w:p w:rsidR="008949F5" w:rsidRDefault="004A11FE">
      <w:pPr>
        <w:pStyle w:val="ListDash1"/>
        <w:rPr>
          <w:noProof/>
        </w:rPr>
      </w:pPr>
      <w:r>
        <w:rPr>
          <w:noProof/>
        </w:rPr>
        <w:t>X A javaslat/kezdeményezés az alábbi humánerőforrás-igénnyel jár:</w:t>
      </w:r>
    </w:p>
    <w:p w:rsidR="008949F5" w:rsidRDefault="004A11FE">
      <w:pPr>
        <w:spacing w:after="60"/>
        <w:jc w:val="right"/>
        <w:rPr>
          <w:i/>
          <w:noProof/>
          <w:sz w:val="20"/>
        </w:rPr>
      </w:pPr>
      <w:r>
        <w:rPr>
          <w:i/>
          <w:noProof/>
          <w:sz w:val="20"/>
        </w:rPr>
        <w:t>A becsléseket teljes munkaidős egyenértékben kell kifejezni</w:t>
      </w:r>
    </w:p>
    <w:tbl>
      <w:tblPr>
        <w:tblW w:w="5241"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4"/>
        <w:gridCol w:w="1957"/>
        <w:gridCol w:w="1464"/>
        <w:gridCol w:w="1320"/>
        <w:gridCol w:w="1320"/>
        <w:gridCol w:w="1722"/>
      </w:tblGrid>
      <w:tr w:rsidR="008949F5">
        <w:trPr>
          <w:trHeight w:val="289"/>
          <w:jc w:val="center"/>
        </w:trPr>
        <w:tc>
          <w:tcPr>
            <w:tcW w:w="2008" w:type="pct"/>
            <w:gridSpan w:val="2"/>
          </w:tcPr>
          <w:p w:rsidR="008949F5" w:rsidRDefault="008949F5">
            <w:pPr>
              <w:pStyle w:val="Text1"/>
              <w:spacing w:before="40" w:after="40"/>
              <w:ind w:left="0"/>
              <w:jc w:val="center"/>
              <w:rPr>
                <w:i/>
                <w:noProof/>
                <w:sz w:val="16"/>
                <w:szCs w:val="16"/>
              </w:rPr>
            </w:pPr>
          </w:p>
        </w:tc>
        <w:tc>
          <w:tcPr>
            <w:tcW w:w="752" w:type="pct"/>
            <w:vAlign w:val="center"/>
          </w:tcPr>
          <w:p w:rsidR="008949F5" w:rsidRDefault="004A11FE">
            <w:pPr>
              <w:spacing w:before="20" w:after="20"/>
              <w:jc w:val="center"/>
              <w:rPr>
                <w:noProof/>
                <w:sz w:val="16"/>
                <w:szCs w:val="16"/>
              </w:rPr>
            </w:pPr>
            <w:r>
              <w:rPr>
                <w:b/>
                <w:noProof/>
                <w:sz w:val="20"/>
              </w:rPr>
              <w:t>2017</w:t>
            </w:r>
          </w:p>
        </w:tc>
        <w:tc>
          <w:tcPr>
            <w:tcW w:w="678" w:type="pct"/>
            <w:vAlign w:val="center"/>
          </w:tcPr>
          <w:p w:rsidR="008949F5" w:rsidRDefault="004A11FE">
            <w:pPr>
              <w:spacing w:before="20" w:after="20"/>
              <w:jc w:val="center"/>
              <w:rPr>
                <w:noProof/>
                <w:sz w:val="16"/>
                <w:szCs w:val="16"/>
              </w:rPr>
            </w:pPr>
            <w:r>
              <w:rPr>
                <w:b/>
                <w:noProof/>
                <w:sz w:val="20"/>
              </w:rPr>
              <w:t>2018</w:t>
            </w:r>
          </w:p>
        </w:tc>
        <w:tc>
          <w:tcPr>
            <w:tcW w:w="678" w:type="pct"/>
            <w:vAlign w:val="center"/>
          </w:tcPr>
          <w:p w:rsidR="008949F5" w:rsidRDefault="004A11FE">
            <w:pPr>
              <w:spacing w:before="20" w:after="20"/>
              <w:jc w:val="center"/>
              <w:rPr>
                <w:noProof/>
                <w:sz w:val="16"/>
                <w:szCs w:val="16"/>
              </w:rPr>
            </w:pPr>
            <w:r>
              <w:rPr>
                <w:b/>
                <w:noProof/>
                <w:sz w:val="20"/>
              </w:rPr>
              <w:t>2019</w:t>
            </w:r>
          </w:p>
        </w:tc>
        <w:tc>
          <w:tcPr>
            <w:tcW w:w="884" w:type="pct"/>
            <w:vAlign w:val="center"/>
          </w:tcPr>
          <w:p w:rsidR="008949F5" w:rsidRDefault="004A11FE">
            <w:pPr>
              <w:spacing w:before="20" w:after="20"/>
              <w:jc w:val="center"/>
              <w:rPr>
                <w:noProof/>
                <w:sz w:val="16"/>
                <w:szCs w:val="16"/>
              </w:rPr>
            </w:pPr>
            <w:r>
              <w:rPr>
                <w:b/>
                <w:noProof/>
                <w:sz w:val="20"/>
              </w:rPr>
              <w:t>2020</w:t>
            </w:r>
          </w:p>
        </w:tc>
      </w:tr>
      <w:tr w:rsidR="008949F5">
        <w:trPr>
          <w:trHeight w:val="289"/>
          <w:jc w:val="center"/>
        </w:trPr>
        <w:tc>
          <w:tcPr>
            <w:tcW w:w="5000" w:type="pct"/>
            <w:gridSpan w:val="6"/>
          </w:tcPr>
          <w:p w:rsidR="008949F5" w:rsidRDefault="004A11FE">
            <w:pPr>
              <w:spacing w:before="20" w:after="20"/>
              <w:jc w:val="left"/>
              <w:rPr>
                <w:noProof/>
                <w:sz w:val="16"/>
                <w:szCs w:val="16"/>
              </w:rPr>
            </w:pPr>
            <w:r>
              <w:rPr>
                <w:b/>
                <w:noProof/>
                <w:sz w:val="16"/>
                <w:szCs w:val="16"/>
              </w:rPr>
              <w:sym w:font="Wingdings" w:char="F09F"/>
            </w:r>
            <w:r>
              <w:rPr>
                <w:b/>
                <w:noProof/>
                <w:sz w:val="16"/>
              </w:rPr>
              <w:t xml:space="preserve"> A létszámtervben szereplő álláshelyek (tisztviselők és ideiglenes alkalmazottak)</w:t>
            </w: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4"/>
              <w:jc w:val="left"/>
              <w:rPr>
                <w:b/>
                <w:noProof/>
                <w:sz w:val="16"/>
                <w:szCs w:val="16"/>
              </w:rPr>
            </w:pPr>
            <w:r>
              <w:rPr>
                <w:noProof/>
                <w:sz w:val="16"/>
              </w:rPr>
              <w:t>09 01 01 01 (a központban és a bizottsági képviseleteken)</w:t>
            </w:r>
          </w:p>
        </w:tc>
        <w:tc>
          <w:tcPr>
            <w:tcW w:w="752" w:type="pct"/>
            <w:vAlign w:val="center"/>
          </w:tcPr>
          <w:p w:rsidR="008949F5" w:rsidRDefault="004A11FE">
            <w:pPr>
              <w:spacing w:beforeLines="20" w:before="48" w:afterLines="20" w:after="48"/>
              <w:jc w:val="center"/>
              <w:rPr>
                <w:noProof/>
                <w:sz w:val="16"/>
                <w:szCs w:val="16"/>
              </w:rPr>
            </w:pPr>
            <w:r>
              <w:rPr>
                <w:noProof/>
                <w:sz w:val="16"/>
              </w:rPr>
              <w:t xml:space="preserve">1,0 </w:t>
            </w:r>
          </w:p>
        </w:tc>
        <w:tc>
          <w:tcPr>
            <w:tcW w:w="678" w:type="pct"/>
            <w:vAlign w:val="center"/>
          </w:tcPr>
          <w:p w:rsidR="008949F5" w:rsidRDefault="004A11FE">
            <w:pPr>
              <w:spacing w:beforeLines="20" w:before="48" w:afterLines="20" w:after="48"/>
              <w:jc w:val="center"/>
              <w:rPr>
                <w:noProof/>
                <w:sz w:val="16"/>
                <w:szCs w:val="16"/>
              </w:rPr>
            </w:pPr>
            <w:r>
              <w:rPr>
                <w:noProof/>
                <w:sz w:val="16"/>
              </w:rPr>
              <w:t xml:space="preserve">1,0 </w:t>
            </w:r>
          </w:p>
        </w:tc>
        <w:tc>
          <w:tcPr>
            <w:tcW w:w="678" w:type="pct"/>
            <w:vAlign w:val="center"/>
          </w:tcPr>
          <w:p w:rsidR="008949F5" w:rsidRDefault="004A11FE">
            <w:pPr>
              <w:spacing w:beforeLines="20" w:before="48" w:afterLines="20" w:after="48"/>
              <w:jc w:val="center"/>
              <w:rPr>
                <w:noProof/>
                <w:sz w:val="16"/>
                <w:szCs w:val="16"/>
              </w:rPr>
            </w:pPr>
            <w:r>
              <w:rPr>
                <w:noProof/>
                <w:sz w:val="16"/>
              </w:rPr>
              <w:t xml:space="preserve">1,0 </w:t>
            </w:r>
          </w:p>
        </w:tc>
        <w:tc>
          <w:tcPr>
            <w:tcW w:w="884" w:type="pct"/>
            <w:vAlign w:val="center"/>
          </w:tcPr>
          <w:p w:rsidR="008949F5" w:rsidRDefault="004A11FE">
            <w:pPr>
              <w:spacing w:beforeLines="20" w:before="48" w:afterLines="20" w:after="48"/>
              <w:jc w:val="center"/>
              <w:rPr>
                <w:noProof/>
                <w:sz w:val="16"/>
                <w:szCs w:val="16"/>
              </w:rPr>
            </w:pPr>
            <w:r>
              <w:rPr>
                <w:noProof/>
                <w:sz w:val="16"/>
              </w:rPr>
              <w:t xml:space="preserve">1,0 </w:t>
            </w: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4"/>
              <w:jc w:val="left"/>
              <w:rPr>
                <w:noProof/>
                <w:sz w:val="16"/>
                <w:szCs w:val="16"/>
              </w:rPr>
            </w:pPr>
            <w:r>
              <w:rPr>
                <w:noProof/>
                <w:sz w:val="16"/>
              </w:rPr>
              <w:t>XX 01 01 02 (a küldöttségeknél)</w:t>
            </w:r>
          </w:p>
        </w:tc>
        <w:tc>
          <w:tcPr>
            <w:tcW w:w="752"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4"/>
              <w:jc w:val="left"/>
              <w:rPr>
                <w:noProof/>
                <w:sz w:val="16"/>
                <w:szCs w:val="16"/>
              </w:rPr>
            </w:pPr>
            <w:r>
              <w:rPr>
                <w:noProof/>
                <w:sz w:val="16"/>
              </w:rPr>
              <w:t>XX 01 05 01 (közvetett kutatás)</w:t>
            </w:r>
          </w:p>
        </w:tc>
        <w:tc>
          <w:tcPr>
            <w:tcW w:w="752"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4"/>
              <w:jc w:val="left"/>
              <w:rPr>
                <w:noProof/>
                <w:sz w:val="16"/>
                <w:szCs w:val="16"/>
              </w:rPr>
            </w:pPr>
            <w:r>
              <w:rPr>
                <w:noProof/>
                <w:sz w:val="16"/>
              </w:rPr>
              <w:t xml:space="preserve">10 01 05 01 </w:t>
            </w:r>
            <w:r>
              <w:rPr>
                <w:noProof/>
                <w:sz w:val="16"/>
              </w:rPr>
              <w:t>(közvetlen kutatás)</w:t>
            </w:r>
          </w:p>
        </w:tc>
        <w:tc>
          <w:tcPr>
            <w:tcW w:w="752"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48"/>
          <w:jc w:val="center"/>
        </w:trPr>
        <w:tc>
          <w:tcPr>
            <w:tcW w:w="5000" w:type="pct"/>
            <w:gridSpan w:val="6"/>
            <w:vAlign w:val="center"/>
          </w:tcPr>
          <w:p w:rsidR="008949F5" w:rsidRDefault="004A11FE">
            <w:pPr>
              <w:pStyle w:val="Text1"/>
              <w:spacing w:before="60" w:after="60"/>
              <w:ind w:left="0"/>
              <w:jc w:val="left"/>
              <w:rPr>
                <w:noProof/>
                <w:sz w:val="16"/>
                <w:szCs w:val="16"/>
              </w:rPr>
            </w:pPr>
            <w:r>
              <w:rPr>
                <w:b/>
                <w:noProof/>
                <w:sz w:val="16"/>
                <w:szCs w:val="16"/>
              </w:rPr>
              <w:sym w:font="Wingdings" w:char="F09F"/>
            </w:r>
            <w:r>
              <w:rPr>
                <w:b/>
                <w:noProof/>
                <w:sz w:val="16"/>
              </w:rPr>
              <w:t xml:space="preserve"> Külső munkatársak teljes munkaidős egyenértékben (FTE) kifejezve</w:t>
            </w:r>
            <w:r>
              <w:rPr>
                <w:rStyle w:val="FootnoteReference"/>
                <w:b/>
                <w:noProof/>
                <w:sz w:val="16"/>
              </w:rPr>
              <w:footnoteReference w:id="25"/>
            </w: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6"/>
              <w:jc w:val="left"/>
              <w:rPr>
                <w:b/>
                <w:noProof/>
                <w:sz w:val="16"/>
                <w:szCs w:val="16"/>
              </w:rPr>
            </w:pPr>
            <w:r>
              <w:rPr>
                <w:noProof/>
                <w:sz w:val="16"/>
              </w:rPr>
              <w:t>09 01 02 01 (AC, END, INT a teljes keretből)</w:t>
            </w:r>
          </w:p>
        </w:tc>
        <w:tc>
          <w:tcPr>
            <w:tcW w:w="752" w:type="pct"/>
            <w:vAlign w:val="center"/>
          </w:tcPr>
          <w:p w:rsidR="008949F5" w:rsidRDefault="004A11FE">
            <w:pPr>
              <w:spacing w:beforeLines="20" w:before="48" w:afterLines="20" w:after="48"/>
              <w:jc w:val="center"/>
              <w:rPr>
                <w:noProof/>
                <w:sz w:val="16"/>
                <w:szCs w:val="16"/>
              </w:rPr>
            </w:pPr>
            <w:r>
              <w:rPr>
                <w:noProof/>
                <w:sz w:val="16"/>
              </w:rPr>
              <w:t>1,0</w:t>
            </w:r>
          </w:p>
        </w:tc>
        <w:tc>
          <w:tcPr>
            <w:tcW w:w="678" w:type="pct"/>
            <w:vAlign w:val="center"/>
          </w:tcPr>
          <w:p w:rsidR="008949F5" w:rsidRDefault="004A11FE">
            <w:pPr>
              <w:spacing w:beforeLines="20" w:before="48" w:afterLines="20" w:after="48"/>
              <w:jc w:val="center"/>
              <w:rPr>
                <w:noProof/>
                <w:sz w:val="16"/>
                <w:szCs w:val="16"/>
              </w:rPr>
            </w:pPr>
            <w:r>
              <w:rPr>
                <w:noProof/>
                <w:sz w:val="16"/>
              </w:rPr>
              <w:t>1,0</w:t>
            </w:r>
          </w:p>
        </w:tc>
        <w:tc>
          <w:tcPr>
            <w:tcW w:w="678" w:type="pct"/>
            <w:vAlign w:val="center"/>
          </w:tcPr>
          <w:p w:rsidR="008949F5" w:rsidRDefault="004A11FE">
            <w:pPr>
              <w:spacing w:beforeLines="20" w:before="48" w:afterLines="20" w:after="48"/>
              <w:jc w:val="center"/>
              <w:rPr>
                <w:noProof/>
                <w:sz w:val="16"/>
                <w:szCs w:val="16"/>
              </w:rPr>
            </w:pPr>
            <w:r>
              <w:rPr>
                <w:noProof/>
                <w:sz w:val="16"/>
              </w:rPr>
              <w:t>1,0</w:t>
            </w:r>
          </w:p>
        </w:tc>
        <w:tc>
          <w:tcPr>
            <w:tcW w:w="884" w:type="pct"/>
            <w:vAlign w:val="center"/>
          </w:tcPr>
          <w:p w:rsidR="008949F5" w:rsidRDefault="004A11FE">
            <w:pPr>
              <w:spacing w:beforeLines="20" w:before="48" w:afterLines="20" w:after="48"/>
              <w:jc w:val="center"/>
              <w:rPr>
                <w:noProof/>
                <w:sz w:val="16"/>
                <w:szCs w:val="16"/>
              </w:rPr>
            </w:pPr>
            <w:r>
              <w:rPr>
                <w:noProof/>
                <w:sz w:val="16"/>
              </w:rPr>
              <w:t>1,0</w:t>
            </w: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6"/>
              <w:jc w:val="left"/>
              <w:rPr>
                <w:noProof/>
                <w:sz w:val="16"/>
                <w:szCs w:val="16"/>
              </w:rPr>
            </w:pPr>
            <w:r>
              <w:rPr>
                <w:noProof/>
                <w:sz w:val="16"/>
              </w:rPr>
              <w:t>XX 01 02 02 (AC, AL, END, INT és JED a küldöttségeknél)</w:t>
            </w:r>
          </w:p>
        </w:tc>
        <w:tc>
          <w:tcPr>
            <w:tcW w:w="752"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1003" w:type="pct"/>
            <w:vMerge w:val="restart"/>
            <w:vAlign w:val="center"/>
          </w:tcPr>
          <w:p w:rsidR="008949F5" w:rsidRDefault="004A11FE">
            <w:pPr>
              <w:pStyle w:val="Text1"/>
              <w:spacing w:beforeLines="20" w:before="48" w:afterLines="20" w:after="48"/>
              <w:ind w:left="136"/>
              <w:jc w:val="left"/>
              <w:rPr>
                <w:b/>
                <w:noProof/>
                <w:sz w:val="16"/>
                <w:szCs w:val="16"/>
              </w:rPr>
            </w:pPr>
            <w:r>
              <w:rPr>
                <w:b/>
                <w:noProof/>
              </w:rPr>
              <w:t>XX</w:t>
            </w:r>
            <w:r>
              <w:rPr>
                <w:noProof/>
                <w:sz w:val="16"/>
              </w:rPr>
              <w:t xml:space="preserve"> 01 04 </w:t>
            </w:r>
            <w:r>
              <w:rPr>
                <w:b/>
                <w:noProof/>
                <w:sz w:val="16"/>
              </w:rPr>
              <w:t>éé</w:t>
            </w:r>
            <w:r>
              <w:rPr>
                <w:b/>
                <w:i/>
                <w:noProof/>
                <w:sz w:val="16"/>
              </w:rPr>
              <w:t xml:space="preserve"> </w:t>
            </w:r>
            <w:r>
              <w:rPr>
                <w:rStyle w:val="FootnoteReference"/>
                <w:b/>
                <w:i/>
                <w:noProof/>
                <w:sz w:val="16"/>
              </w:rPr>
              <w:footnoteReference w:id="26"/>
            </w:r>
          </w:p>
          <w:p w:rsidR="008949F5" w:rsidRDefault="008949F5">
            <w:pPr>
              <w:pStyle w:val="Text1"/>
              <w:spacing w:beforeLines="20" w:before="48" w:afterLines="20" w:after="48"/>
              <w:ind w:left="136"/>
              <w:jc w:val="left"/>
              <w:rPr>
                <w:b/>
                <w:noProof/>
                <w:sz w:val="16"/>
                <w:szCs w:val="16"/>
              </w:rPr>
            </w:pPr>
          </w:p>
        </w:tc>
        <w:tc>
          <w:tcPr>
            <w:tcW w:w="1005" w:type="pct"/>
            <w:vAlign w:val="center"/>
          </w:tcPr>
          <w:p w:rsidR="008949F5" w:rsidRDefault="004A11FE">
            <w:pPr>
              <w:pStyle w:val="Text1"/>
              <w:spacing w:beforeLines="20" w:before="48" w:afterLines="20" w:after="48"/>
              <w:ind w:left="136"/>
              <w:jc w:val="left"/>
              <w:rPr>
                <w:b/>
                <w:noProof/>
                <w:sz w:val="16"/>
                <w:szCs w:val="16"/>
              </w:rPr>
            </w:pPr>
            <w:r>
              <w:rPr>
                <w:noProof/>
                <w:sz w:val="16"/>
              </w:rPr>
              <w:t>– a központban</w:t>
            </w:r>
          </w:p>
          <w:p w:rsidR="008949F5" w:rsidRDefault="008949F5">
            <w:pPr>
              <w:pStyle w:val="Text1"/>
              <w:spacing w:beforeLines="20" w:before="48" w:afterLines="20" w:after="48"/>
              <w:ind w:left="136"/>
              <w:jc w:val="left"/>
              <w:rPr>
                <w:b/>
                <w:noProof/>
                <w:sz w:val="16"/>
                <w:szCs w:val="16"/>
              </w:rPr>
            </w:pPr>
          </w:p>
        </w:tc>
        <w:tc>
          <w:tcPr>
            <w:tcW w:w="752" w:type="pct"/>
            <w:vAlign w:val="center"/>
          </w:tcPr>
          <w:p w:rsidR="008949F5" w:rsidRDefault="008949F5">
            <w:pPr>
              <w:pStyle w:val="Text1"/>
              <w:spacing w:beforeLines="20" w:before="48" w:afterLines="20" w:after="48"/>
              <w:ind w:left="0"/>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1003" w:type="pct"/>
            <w:vMerge/>
            <w:vAlign w:val="center"/>
          </w:tcPr>
          <w:p w:rsidR="008949F5" w:rsidRDefault="008949F5">
            <w:pPr>
              <w:pStyle w:val="Text1"/>
              <w:spacing w:beforeLines="20" w:before="48" w:afterLines="20" w:after="48"/>
              <w:ind w:left="136"/>
              <w:jc w:val="left"/>
              <w:rPr>
                <w:b/>
                <w:noProof/>
                <w:sz w:val="16"/>
                <w:szCs w:val="16"/>
              </w:rPr>
            </w:pPr>
          </w:p>
        </w:tc>
        <w:tc>
          <w:tcPr>
            <w:tcW w:w="1005" w:type="pct"/>
            <w:vAlign w:val="center"/>
          </w:tcPr>
          <w:p w:rsidR="008949F5" w:rsidRDefault="004A11FE">
            <w:pPr>
              <w:pStyle w:val="Text1"/>
              <w:spacing w:beforeLines="20" w:before="48" w:afterLines="20" w:after="48"/>
              <w:ind w:left="136"/>
              <w:jc w:val="left"/>
              <w:rPr>
                <w:b/>
                <w:noProof/>
                <w:sz w:val="16"/>
                <w:szCs w:val="16"/>
              </w:rPr>
            </w:pPr>
            <w:r>
              <w:rPr>
                <w:noProof/>
                <w:sz w:val="16"/>
              </w:rPr>
              <w:t xml:space="preserve">– küldöttségeknél </w:t>
            </w:r>
          </w:p>
        </w:tc>
        <w:tc>
          <w:tcPr>
            <w:tcW w:w="752" w:type="pct"/>
            <w:vAlign w:val="center"/>
          </w:tcPr>
          <w:p w:rsidR="008949F5" w:rsidRDefault="008949F5">
            <w:pPr>
              <w:pStyle w:val="Text1"/>
              <w:spacing w:beforeLines="20" w:before="48" w:afterLines="20" w:after="48"/>
              <w:ind w:left="0"/>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6"/>
              <w:jc w:val="left"/>
              <w:rPr>
                <w:noProof/>
                <w:sz w:val="16"/>
                <w:szCs w:val="16"/>
              </w:rPr>
            </w:pPr>
            <w:r>
              <w:rPr>
                <w:b/>
                <w:noProof/>
              </w:rPr>
              <w:t>XX</w:t>
            </w:r>
            <w:r>
              <w:rPr>
                <w:noProof/>
              </w:rPr>
              <w:t xml:space="preserve"> 01 05 02 (AC, END, INT közvetett kutatásban)</w:t>
            </w:r>
          </w:p>
        </w:tc>
        <w:tc>
          <w:tcPr>
            <w:tcW w:w="752"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2008" w:type="pct"/>
            <w:gridSpan w:val="2"/>
            <w:vAlign w:val="center"/>
          </w:tcPr>
          <w:p w:rsidR="008949F5" w:rsidRDefault="004A11FE">
            <w:pPr>
              <w:pStyle w:val="Text1"/>
              <w:spacing w:beforeLines="20" w:before="48" w:afterLines="20" w:after="48"/>
              <w:ind w:left="136"/>
              <w:jc w:val="left"/>
              <w:rPr>
                <w:noProof/>
                <w:sz w:val="16"/>
                <w:szCs w:val="16"/>
              </w:rPr>
            </w:pPr>
            <w:r>
              <w:rPr>
                <w:noProof/>
                <w:sz w:val="16"/>
              </w:rPr>
              <w:t>10 01 05 02 (AC, END, INT közvetlen kutatásban)</w:t>
            </w:r>
          </w:p>
        </w:tc>
        <w:tc>
          <w:tcPr>
            <w:tcW w:w="752"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678" w:type="pct"/>
            <w:vAlign w:val="center"/>
          </w:tcPr>
          <w:p w:rsidR="008949F5" w:rsidRDefault="008949F5">
            <w:pPr>
              <w:spacing w:beforeLines="20" w:before="48" w:afterLines="20" w:after="48"/>
              <w:jc w:val="center"/>
              <w:rPr>
                <w:noProof/>
                <w:sz w:val="16"/>
                <w:szCs w:val="16"/>
              </w:rPr>
            </w:pPr>
          </w:p>
        </w:tc>
        <w:tc>
          <w:tcPr>
            <w:tcW w:w="884" w:type="pct"/>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2008" w:type="pct"/>
            <w:gridSpan w:val="2"/>
            <w:tcBorders>
              <w:bottom w:val="double" w:sz="4" w:space="0" w:color="auto"/>
            </w:tcBorders>
            <w:vAlign w:val="center"/>
          </w:tcPr>
          <w:p w:rsidR="008949F5" w:rsidRDefault="004A11FE">
            <w:pPr>
              <w:pStyle w:val="Text1"/>
              <w:spacing w:beforeLines="20" w:before="48" w:afterLines="20" w:after="48"/>
              <w:ind w:left="134"/>
              <w:jc w:val="left"/>
              <w:rPr>
                <w:noProof/>
                <w:sz w:val="16"/>
                <w:szCs w:val="16"/>
              </w:rPr>
            </w:pPr>
            <w:r>
              <w:rPr>
                <w:noProof/>
                <w:sz w:val="16"/>
              </w:rPr>
              <w:t>Egyéb költségvetési tétel (kérjük megnevezni)</w:t>
            </w:r>
          </w:p>
        </w:tc>
        <w:tc>
          <w:tcPr>
            <w:tcW w:w="752" w:type="pct"/>
            <w:tcBorders>
              <w:bottom w:val="double" w:sz="4" w:space="0" w:color="auto"/>
            </w:tcBorders>
            <w:vAlign w:val="center"/>
          </w:tcPr>
          <w:p w:rsidR="008949F5" w:rsidRDefault="008949F5">
            <w:pPr>
              <w:spacing w:beforeLines="20" w:before="48" w:afterLines="20" w:after="48"/>
              <w:jc w:val="center"/>
              <w:rPr>
                <w:noProof/>
                <w:sz w:val="16"/>
                <w:szCs w:val="16"/>
              </w:rPr>
            </w:pPr>
          </w:p>
        </w:tc>
        <w:tc>
          <w:tcPr>
            <w:tcW w:w="678" w:type="pct"/>
            <w:tcBorders>
              <w:bottom w:val="double" w:sz="4" w:space="0" w:color="auto"/>
            </w:tcBorders>
            <w:vAlign w:val="center"/>
          </w:tcPr>
          <w:p w:rsidR="008949F5" w:rsidRDefault="008949F5">
            <w:pPr>
              <w:spacing w:beforeLines="20" w:before="48" w:afterLines="20" w:after="48"/>
              <w:jc w:val="center"/>
              <w:rPr>
                <w:noProof/>
                <w:sz w:val="16"/>
                <w:szCs w:val="16"/>
              </w:rPr>
            </w:pPr>
          </w:p>
        </w:tc>
        <w:tc>
          <w:tcPr>
            <w:tcW w:w="678" w:type="pct"/>
            <w:tcBorders>
              <w:bottom w:val="double" w:sz="4" w:space="0" w:color="auto"/>
            </w:tcBorders>
            <w:vAlign w:val="center"/>
          </w:tcPr>
          <w:p w:rsidR="008949F5" w:rsidRDefault="008949F5">
            <w:pPr>
              <w:spacing w:beforeLines="20" w:before="48" w:afterLines="20" w:after="48"/>
              <w:jc w:val="center"/>
              <w:rPr>
                <w:noProof/>
                <w:sz w:val="16"/>
                <w:szCs w:val="16"/>
              </w:rPr>
            </w:pPr>
          </w:p>
        </w:tc>
        <w:tc>
          <w:tcPr>
            <w:tcW w:w="884" w:type="pct"/>
            <w:tcBorders>
              <w:bottom w:val="double" w:sz="4" w:space="0" w:color="auto"/>
            </w:tcBorders>
            <w:vAlign w:val="center"/>
          </w:tcPr>
          <w:p w:rsidR="008949F5" w:rsidRDefault="008949F5">
            <w:pPr>
              <w:spacing w:beforeLines="20" w:before="48" w:afterLines="20" w:after="48"/>
              <w:jc w:val="center"/>
              <w:rPr>
                <w:noProof/>
                <w:sz w:val="16"/>
                <w:szCs w:val="16"/>
              </w:rPr>
            </w:pPr>
          </w:p>
        </w:tc>
      </w:tr>
      <w:tr w:rsidR="008949F5">
        <w:trPr>
          <w:trHeight w:val="289"/>
          <w:jc w:val="center"/>
        </w:trPr>
        <w:tc>
          <w:tcPr>
            <w:tcW w:w="2008" w:type="pct"/>
            <w:gridSpan w:val="2"/>
            <w:tcBorders>
              <w:top w:val="double" w:sz="4" w:space="0" w:color="auto"/>
            </w:tcBorders>
            <w:vAlign w:val="center"/>
          </w:tcPr>
          <w:p w:rsidR="008949F5" w:rsidRDefault="004A11FE">
            <w:pPr>
              <w:pStyle w:val="Text1"/>
              <w:spacing w:beforeLines="20" w:before="48" w:afterLines="20" w:after="48"/>
              <w:ind w:left="136"/>
              <w:jc w:val="left"/>
              <w:rPr>
                <w:noProof/>
                <w:sz w:val="16"/>
                <w:szCs w:val="16"/>
              </w:rPr>
            </w:pPr>
            <w:r>
              <w:rPr>
                <w:b/>
                <w:noProof/>
                <w:sz w:val="16"/>
              </w:rPr>
              <w:t>ÖSSZESEN</w:t>
            </w:r>
          </w:p>
        </w:tc>
        <w:tc>
          <w:tcPr>
            <w:tcW w:w="752" w:type="pct"/>
            <w:tcBorders>
              <w:top w:val="double" w:sz="4" w:space="0" w:color="auto"/>
            </w:tcBorders>
            <w:vAlign w:val="center"/>
          </w:tcPr>
          <w:p w:rsidR="008949F5" w:rsidRDefault="004A11FE">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8949F5" w:rsidRDefault="004A11FE">
            <w:pPr>
              <w:spacing w:beforeLines="20" w:before="48" w:afterLines="20" w:after="48"/>
              <w:jc w:val="center"/>
              <w:rPr>
                <w:b/>
                <w:noProof/>
                <w:sz w:val="16"/>
                <w:szCs w:val="16"/>
              </w:rPr>
            </w:pPr>
            <w:r>
              <w:rPr>
                <w:b/>
                <w:noProof/>
                <w:sz w:val="16"/>
              </w:rPr>
              <w:t>2,0</w:t>
            </w:r>
          </w:p>
        </w:tc>
        <w:tc>
          <w:tcPr>
            <w:tcW w:w="678" w:type="pct"/>
            <w:tcBorders>
              <w:top w:val="double" w:sz="4" w:space="0" w:color="auto"/>
            </w:tcBorders>
            <w:vAlign w:val="center"/>
          </w:tcPr>
          <w:p w:rsidR="008949F5" w:rsidRDefault="004A11FE">
            <w:pPr>
              <w:spacing w:beforeLines="20" w:before="48" w:afterLines="20" w:after="48"/>
              <w:jc w:val="center"/>
              <w:rPr>
                <w:b/>
                <w:noProof/>
                <w:sz w:val="16"/>
                <w:szCs w:val="16"/>
              </w:rPr>
            </w:pPr>
            <w:r>
              <w:rPr>
                <w:b/>
                <w:noProof/>
                <w:sz w:val="16"/>
              </w:rPr>
              <w:t>2,0</w:t>
            </w:r>
          </w:p>
        </w:tc>
        <w:tc>
          <w:tcPr>
            <w:tcW w:w="884" w:type="pct"/>
            <w:tcBorders>
              <w:top w:val="double" w:sz="4" w:space="0" w:color="auto"/>
            </w:tcBorders>
            <w:vAlign w:val="center"/>
          </w:tcPr>
          <w:p w:rsidR="008949F5" w:rsidRDefault="004A11FE">
            <w:pPr>
              <w:spacing w:beforeLines="20" w:before="48" w:afterLines="20" w:after="48"/>
              <w:jc w:val="center"/>
              <w:rPr>
                <w:b/>
                <w:noProof/>
                <w:sz w:val="16"/>
                <w:szCs w:val="16"/>
              </w:rPr>
            </w:pPr>
            <w:r>
              <w:rPr>
                <w:b/>
                <w:noProof/>
                <w:sz w:val="16"/>
              </w:rPr>
              <w:t>2,0</w:t>
            </w:r>
          </w:p>
        </w:tc>
      </w:tr>
    </w:tbl>
    <w:p w:rsidR="008949F5" w:rsidRDefault="004A11FE">
      <w:pPr>
        <w:pStyle w:val="Text1"/>
        <w:spacing w:before="60" w:after="60"/>
        <w:ind w:left="851"/>
        <w:rPr>
          <w:noProof/>
          <w:sz w:val="18"/>
          <w:szCs w:val="18"/>
        </w:rPr>
      </w:pPr>
      <w:r>
        <w:rPr>
          <w:b/>
          <w:noProof/>
        </w:rPr>
        <w:t>09</w:t>
      </w:r>
      <w:r>
        <w:rPr>
          <w:noProof/>
        </w:rPr>
        <w:t xml:space="preserve"> az érintett szakpolitikai terület vagy költségvetési cím.</w:t>
      </w:r>
    </w:p>
    <w:p w:rsidR="008949F5" w:rsidRDefault="004A11FE">
      <w:pPr>
        <w:pStyle w:val="Text1"/>
        <w:rPr>
          <w:noProof/>
          <w:sz w:val="18"/>
          <w:szCs w:val="18"/>
        </w:rPr>
      </w:pPr>
      <w:r>
        <w:rPr>
          <w:noProof/>
          <w:sz w:val="18"/>
        </w:rPr>
        <w:t xml:space="preserve">A humánerőforrás-igényeknek az adott főigazgatóság rendelkezésére álló, az intézkedés irányításához rendelt és/vagy az adott főigazgatóságon belül átcsoportosított személyzettel kell eleget tenni. </w:t>
      </w:r>
      <w:r>
        <w:rPr>
          <w:noProof/>
          <w:sz w:val="18"/>
        </w:rPr>
        <w:t>A források adott esetben a meglévő költségvetési korlátok betartása mellett kiegészíthetők az éves elosztási eljárás keretében az irányító főigazgatósághoz rendelt további juttatásokkal.</w:t>
      </w:r>
    </w:p>
    <w:p w:rsidR="008949F5" w:rsidRDefault="004A11FE">
      <w:pPr>
        <w:rPr>
          <w:noProof/>
          <w:sz w:val="20"/>
        </w:rPr>
      </w:pPr>
      <w:r>
        <w:rPr>
          <w:noProof/>
          <w:sz w:val="20"/>
        </w:rPr>
        <w:t>Az elvégzendő feladatok leírása:</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8949F5">
        <w:tc>
          <w:tcPr>
            <w:tcW w:w="3240" w:type="dxa"/>
          </w:tcPr>
          <w:p w:rsidR="008949F5" w:rsidRDefault="004A11FE">
            <w:pPr>
              <w:rPr>
                <w:noProof/>
                <w:sz w:val="20"/>
              </w:rPr>
            </w:pPr>
            <w:r>
              <w:rPr>
                <w:noProof/>
                <w:sz w:val="20"/>
              </w:rPr>
              <w:t>Tisztviselők és ideiglenes alkalmazo</w:t>
            </w:r>
            <w:r>
              <w:rPr>
                <w:noProof/>
                <w:sz w:val="20"/>
              </w:rPr>
              <w:t>ttak</w:t>
            </w:r>
          </w:p>
        </w:tc>
        <w:tc>
          <w:tcPr>
            <w:tcW w:w="7200" w:type="dxa"/>
          </w:tcPr>
          <w:p w:rsidR="008949F5" w:rsidRDefault="004A11FE">
            <w:pPr>
              <w:rPr>
                <w:noProof/>
                <w:sz w:val="20"/>
                <w:highlight w:val="yellow"/>
              </w:rPr>
            </w:pPr>
            <w:r>
              <w:rPr>
                <w:noProof/>
                <w:sz w:val="20"/>
                <w:highlight w:val="yellow"/>
              </w:rPr>
              <w:t xml:space="preserve"> </w:t>
            </w:r>
          </w:p>
        </w:tc>
      </w:tr>
      <w:tr w:rsidR="008949F5">
        <w:tc>
          <w:tcPr>
            <w:tcW w:w="3240" w:type="dxa"/>
          </w:tcPr>
          <w:p w:rsidR="008949F5" w:rsidRDefault="004A11FE">
            <w:pPr>
              <w:spacing w:before="60" w:after="60"/>
              <w:rPr>
                <w:noProof/>
                <w:sz w:val="20"/>
              </w:rPr>
            </w:pPr>
            <w:r>
              <w:rPr>
                <w:noProof/>
                <w:sz w:val="20"/>
              </w:rPr>
              <w:t>Külső munkatársak</w:t>
            </w:r>
          </w:p>
        </w:tc>
        <w:tc>
          <w:tcPr>
            <w:tcW w:w="7200" w:type="dxa"/>
          </w:tcPr>
          <w:p w:rsidR="008949F5" w:rsidRDefault="008949F5">
            <w:pPr>
              <w:rPr>
                <w:noProof/>
                <w:sz w:val="20"/>
                <w:highlight w:val="yellow"/>
              </w:rPr>
            </w:pPr>
          </w:p>
        </w:tc>
      </w:tr>
    </w:tbl>
    <w:p w:rsidR="008949F5" w:rsidRDefault="004A11FE">
      <w:pPr>
        <w:pStyle w:val="ManualHeading3"/>
        <w:rPr>
          <w:bCs/>
          <w:noProof/>
          <w:szCs w:val="24"/>
        </w:rPr>
      </w:pPr>
      <w:r>
        <w:t>3.2.4.</w:t>
      </w:r>
      <w:r>
        <w:tab/>
      </w:r>
      <w:r>
        <w:rPr>
          <w:noProof/>
        </w:rPr>
        <w:t xml:space="preserve">A jelenlegi többéves pénzügyi kerettel való összeegyeztethetőség </w:t>
      </w:r>
    </w:p>
    <w:p w:rsidR="008949F5" w:rsidRDefault="004A11FE">
      <w:pPr>
        <w:pStyle w:val="ListDash1"/>
        <w:rPr>
          <w:noProof/>
        </w:rPr>
      </w:pPr>
      <w:r>
        <w:rPr>
          <w:noProof/>
        </w:rPr>
        <w:t>X</w:t>
      </w:r>
      <w:r>
        <w:rPr>
          <w:noProof/>
        </w:rPr>
        <w:tab/>
        <w:t>A javaslat/kezdeményezés összeegyeztethető a jelenlegi többéves pénzügyi kerettel.</w:t>
      </w:r>
    </w:p>
    <w:p w:rsidR="008949F5" w:rsidRDefault="004A11FE">
      <w:pPr>
        <w:pStyle w:val="ListDash1"/>
        <w:rPr>
          <w:noProof/>
        </w:rPr>
      </w:pPr>
      <w:r>
        <w:rPr>
          <w:noProof/>
          <w:szCs w:val="24"/>
        </w:rPr>
        <w:sym w:font="Wingdings" w:char="F0A8"/>
      </w:r>
      <w:r>
        <w:rPr>
          <w:noProof/>
        </w:rPr>
        <w:tab/>
      </w:r>
      <w:r>
        <w:rPr>
          <w:noProof/>
          <w:szCs w:val="24"/>
        </w:rPr>
        <w:sym w:font="Wingdings" w:char="F0A8"/>
      </w:r>
      <w:r>
        <w:rPr>
          <w:noProof/>
        </w:rPr>
        <w:t xml:space="preserve">A javaslat/kezdeményezés miatt szükséges a többéves pénzügyi keret </w:t>
      </w:r>
      <w:r>
        <w:rPr>
          <w:noProof/>
        </w:rPr>
        <w:t>vonatkozó fejezetének átprogramozása.</w:t>
      </w:r>
    </w:p>
    <w:p w:rsidR="008949F5" w:rsidRDefault="004A11FE">
      <w:pPr>
        <w:pStyle w:val="Text1"/>
        <w:pBdr>
          <w:top w:val="single" w:sz="4" w:space="1" w:color="auto"/>
          <w:left w:val="single" w:sz="4" w:space="4" w:color="auto"/>
          <w:bottom w:val="single" w:sz="4" w:space="1" w:color="auto"/>
          <w:right w:val="single" w:sz="4" w:space="4" w:color="auto"/>
        </w:pBdr>
        <w:rPr>
          <w:noProof/>
          <w:sz w:val="20"/>
        </w:rPr>
      </w:pPr>
      <w:r>
        <w:rPr>
          <w:noProof/>
          <w:sz w:val="20"/>
        </w:rPr>
        <w:t>Fejtse ki, miként kell átprogramozni a pénzügyi keretet: tüntesse fel az érintett költségvetési tételeket és a megfelelő összegeket.</w:t>
      </w:r>
    </w:p>
    <w:p w:rsidR="008949F5" w:rsidRDefault="004A11FE">
      <w:pPr>
        <w:pStyle w:val="ListDash1"/>
        <w:rPr>
          <w:noProof/>
        </w:rPr>
      </w:pPr>
      <w:r>
        <w:rPr>
          <w:noProof/>
          <w:szCs w:val="24"/>
        </w:rPr>
        <w:sym w:font="Wingdings" w:char="F0A8"/>
      </w:r>
      <w:r>
        <w:rPr>
          <w:noProof/>
        </w:rPr>
        <w:tab/>
      </w:r>
      <w:r>
        <w:rPr>
          <w:noProof/>
          <w:szCs w:val="24"/>
        </w:rPr>
        <w:sym w:font="Wingdings" w:char="F0A8"/>
      </w:r>
      <w:r>
        <w:rPr>
          <w:noProof/>
        </w:rPr>
        <w:t>A javaslat/kezdeményezés miatt szükség van a rugalmassági eszköz alkalmazására vag</w:t>
      </w:r>
      <w:r>
        <w:rPr>
          <w:noProof/>
        </w:rPr>
        <w:t>y a többéves pénzügyi keret felülvizsgálatára.</w:t>
      </w:r>
    </w:p>
    <w:p w:rsidR="008949F5" w:rsidRDefault="004A11FE">
      <w:pPr>
        <w:pStyle w:val="Text1"/>
        <w:pBdr>
          <w:top w:val="single" w:sz="4" w:space="1" w:color="auto"/>
          <w:left w:val="single" w:sz="4" w:space="4" w:color="auto"/>
          <w:bottom w:val="single" w:sz="4" w:space="1" w:color="auto"/>
          <w:right w:val="single" w:sz="4" w:space="4" w:color="auto"/>
        </w:pBdr>
        <w:rPr>
          <w:noProof/>
        </w:rPr>
      </w:pPr>
      <w:r>
        <w:rPr>
          <w:noProof/>
          <w:sz w:val="20"/>
        </w:rPr>
        <w:t>Fejtse ki a szükségleteket: tüntesse fel az érintett fejezeteket és költségvetési tételeket és a megfelelő összegeket.</w:t>
      </w:r>
    </w:p>
    <w:p w:rsidR="008949F5" w:rsidRDefault="004A11FE">
      <w:pPr>
        <w:pStyle w:val="ManualHeading3"/>
        <w:rPr>
          <w:bCs/>
          <w:noProof/>
          <w:szCs w:val="24"/>
        </w:rPr>
      </w:pPr>
      <w:r>
        <w:t>3.2.5.</w:t>
      </w:r>
      <w:r>
        <w:tab/>
      </w:r>
      <w:r>
        <w:rPr>
          <w:noProof/>
        </w:rPr>
        <w:t xml:space="preserve">Harmadik felek részvétele a finanszírozásban </w:t>
      </w:r>
    </w:p>
    <w:p w:rsidR="008949F5" w:rsidRDefault="004A11FE">
      <w:pPr>
        <w:pStyle w:val="ListDash1"/>
        <w:rPr>
          <w:noProof/>
        </w:rPr>
      </w:pPr>
      <w:r>
        <w:rPr>
          <w:noProof/>
        </w:rPr>
        <w:t xml:space="preserve">A javaslat/kezdeményezés nem irányoz </w:t>
      </w:r>
      <w:r>
        <w:rPr>
          <w:noProof/>
        </w:rPr>
        <w:t xml:space="preserve">elő harmadik felek általi társfinanszírozást. </w:t>
      </w:r>
    </w:p>
    <w:p w:rsidR="008949F5" w:rsidRDefault="004A11FE">
      <w:pPr>
        <w:pStyle w:val="ManualHeading2"/>
        <w:rPr>
          <w:noProof/>
        </w:rPr>
      </w:pPr>
      <w:r>
        <w:t>3.3.</w:t>
      </w:r>
      <w:r>
        <w:tab/>
      </w:r>
      <w:r>
        <w:rPr>
          <w:noProof/>
        </w:rPr>
        <w:t xml:space="preserve">A bevételre gyakorolt becsült pénzügyi  hatás </w:t>
      </w:r>
    </w:p>
    <w:p w:rsidR="008949F5" w:rsidRDefault="004A11FE">
      <w:pPr>
        <w:pStyle w:val="ListDash1"/>
        <w:rPr>
          <w:strike/>
          <w:noProof/>
        </w:rPr>
      </w:pPr>
      <w:r>
        <w:rPr>
          <w:noProof/>
        </w:rPr>
        <w:t>X</w:t>
      </w:r>
      <w:r>
        <w:rPr>
          <w:noProof/>
        </w:rPr>
        <w:tab/>
        <w:t>A javaslatnak/kezdeményezésnek nincs pénzügyi hatása a bevételre.</w:t>
      </w:r>
    </w:p>
    <w:p w:rsidR="008949F5" w:rsidRDefault="008949F5">
      <w:pPr>
        <w:spacing w:before="0" w:after="200" w:line="276" w:lineRule="auto"/>
        <w:jc w:val="left"/>
        <w:rPr>
          <w:i/>
          <w:noProof/>
        </w:rPr>
        <w:sectPr w:rsidR="008949F5" w:rsidSect="004A11FE">
          <w:pgSz w:w="11907" w:h="16839"/>
          <w:pgMar w:top="1134" w:right="1417" w:bottom="1134" w:left="1417" w:header="709" w:footer="709" w:gutter="0"/>
          <w:cols w:space="708"/>
          <w:docGrid w:linePitch="360"/>
        </w:sectPr>
      </w:pPr>
    </w:p>
    <w:p w:rsidR="008949F5" w:rsidRDefault="008949F5">
      <w:pPr>
        <w:jc w:val="center"/>
        <w:rPr>
          <w:b/>
          <w:bCs/>
          <w:noProof/>
          <w:sz w:val="28"/>
          <w:szCs w:val="28"/>
          <w:u w:val="single"/>
        </w:rPr>
      </w:pPr>
    </w:p>
    <w:p w:rsidR="008949F5" w:rsidRDefault="008949F5">
      <w:pPr>
        <w:jc w:val="center"/>
        <w:rPr>
          <w:b/>
          <w:bCs/>
          <w:noProof/>
          <w:sz w:val="28"/>
          <w:szCs w:val="28"/>
          <w:u w:val="single"/>
        </w:rPr>
      </w:pPr>
    </w:p>
    <w:p w:rsidR="008949F5" w:rsidRDefault="004A11FE">
      <w:pPr>
        <w:jc w:val="center"/>
        <w:rPr>
          <w:b/>
          <w:bCs/>
          <w:noProof/>
          <w:sz w:val="36"/>
          <w:szCs w:val="36"/>
          <w:u w:val="single"/>
        </w:rPr>
      </w:pPr>
      <w:r>
        <w:rPr>
          <w:b/>
          <w:noProof/>
          <w:sz w:val="36"/>
          <w:u w:val="single"/>
        </w:rPr>
        <w:t>MELLÉKLET</w:t>
      </w:r>
      <w:r>
        <w:rPr>
          <w:noProof/>
        </w:rPr>
        <w:br/>
      </w:r>
      <w:r>
        <w:rPr>
          <w:b/>
          <w:noProof/>
          <w:sz w:val="36"/>
          <w:u w:val="single"/>
        </w:rPr>
        <w:t>a PÉNZÜGYI KIMUTATÁSHOZ</w:t>
      </w:r>
    </w:p>
    <w:p w:rsidR="008949F5" w:rsidRDefault="008949F5">
      <w:pPr>
        <w:jc w:val="center"/>
        <w:rPr>
          <w:noProof/>
        </w:rPr>
      </w:pPr>
    </w:p>
    <w:p w:rsidR="008949F5" w:rsidRDefault="008949F5">
      <w:pPr>
        <w:outlineLvl w:val="0"/>
        <w:rPr>
          <w:b/>
          <w:bCs/>
          <w:noProof/>
        </w:rPr>
      </w:pPr>
    </w:p>
    <w:p w:rsidR="008949F5" w:rsidRDefault="008949F5">
      <w:pPr>
        <w:outlineLvl w:val="0"/>
        <w:rPr>
          <w:b/>
          <w:bCs/>
          <w:noProof/>
        </w:rPr>
      </w:pPr>
    </w:p>
    <w:p w:rsidR="008949F5" w:rsidRDefault="008949F5">
      <w:pPr>
        <w:outlineLvl w:val="0"/>
        <w:rPr>
          <w:b/>
          <w:bCs/>
          <w:noProof/>
        </w:rPr>
      </w:pPr>
    </w:p>
    <w:p w:rsidR="008949F5" w:rsidRDefault="004A11FE">
      <w:pPr>
        <w:spacing w:before="240"/>
        <w:ind w:left="360"/>
        <w:jc w:val="center"/>
        <w:rPr>
          <w:noProof/>
        </w:rPr>
      </w:pPr>
      <w:r>
        <w:rPr>
          <w:noProof/>
        </w:rPr>
        <w:t>A javaslat/kezdeményezés címe</w:t>
      </w:r>
    </w:p>
    <w:p w:rsidR="008949F5" w:rsidRDefault="004A11FE">
      <w:pPr>
        <w:pBdr>
          <w:top w:val="dotted" w:sz="4" w:space="1" w:color="auto"/>
          <w:left w:val="dotted" w:sz="4" w:space="4" w:color="auto"/>
          <w:bottom w:val="dotted" w:sz="4" w:space="1" w:color="auto"/>
          <w:right w:val="dotted" w:sz="4" w:space="4" w:color="auto"/>
        </w:pBdr>
        <w:shd w:val="clear" w:color="auto" w:fill="FFFF99"/>
        <w:spacing w:after="60"/>
        <w:rPr>
          <w:noProof/>
          <w:color w:val="808080"/>
        </w:rPr>
      </w:pPr>
      <w:r>
        <w:rPr>
          <w:noProof/>
          <w:color w:val="808080"/>
        </w:rPr>
        <w:t>Javaslat: Rendelet az 1316/2013/EU és a 283/2014/EU rendeletnek az internetkapcsolat helyi közösségekben történő előmozdítása tekintetében történő módosításáról</w:t>
      </w:r>
    </w:p>
    <w:p w:rsidR="008949F5" w:rsidRDefault="008949F5">
      <w:pPr>
        <w:outlineLvl w:val="0"/>
        <w:rPr>
          <w:b/>
          <w:bCs/>
          <w:noProof/>
        </w:rPr>
      </w:pPr>
    </w:p>
    <w:p w:rsidR="008949F5" w:rsidRDefault="004A11FE">
      <w:pPr>
        <w:pStyle w:val="ManualHeading1"/>
        <w:rPr>
          <w:noProof/>
          <w:szCs w:val="32"/>
        </w:rPr>
      </w:pPr>
      <w:r>
        <w:t>1.</w:t>
      </w:r>
      <w:r>
        <w:tab/>
      </w:r>
      <w:r>
        <w:rPr>
          <w:noProof/>
        </w:rPr>
        <w:t>A HUMÁNERŐFORRÁS-SZÜKSÉGLETEK SZÁMA ÉS KÖLTSÉGE</w:t>
      </w:r>
    </w:p>
    <w:p w:rsidR="008949F5" w:rsidRDefault="004A11FE">
      <w:pPr>
        <w:pStyle w:val="ManualHeading1"/>
        <w:rPr>
          <w:noProof/>
          <w:szCs w:val="32"/>
        </w:rPr>
      </w:pPr>
      <w:r>
        <w:t>2.</w:t>
      </w:r>
      <w:r>
        <w:tab/>
      </w:r>
      <w:r>
        <w:rPr>
          <w:noProof/>
        </w:rPr>
        <w:t>AZ EGYÉB IGAZGATÁSI KIADÁSOK KÖLTSÉGE</w:t>
      </w:r>
    </w:p>
    <w:p w:rsidR="008949F5" w:rsidRDefault="004A11FE">
      <w:pPr>
        <w:pStyle w:val="ManualHeading1"/>
        <w:rPr>
          <w:noProof/>
          <w:szCs w:val="32"/>
        </w:rPr>
      </w:pPr>
      <w:r>
        <w:t>3.</w:t>
      </w:r>
      <w:r>
        <w:tab/>
      </w:r>
      <w:r>
        <w:rPr>
          <w:noProof/>
        </w:rPr>
        <w:t>A KÖLTSÉGEK KISZÁMÍTÁSÁRA HASZNÁLT MÓDSZEREK</w:t>
      </w:r>
    </w:p>
    <w:p w:rsidR="008949F5" w:rsidRDefault="004A11FE">
      <w:pPr>
        <w:pStyle w:val="ManualHeading2"/>
        <w:rPr>
          <w:noProof/>
          <w:szCs w:val="32"/>
        </w:rPr>
      </w:pPr>
      <w:r>
        <w:t>3.1.</w:t>
      </w:r>
      <w:r>
        <w:tab/>
      </w:r>
      <w:r>
        <w:rPr>
          <w:noProof/>
        </w:rPr>
        <w:t>Humánerőforrás</w:t>
      </w:r>
    </w:p>
    <w:p w:rsidR="008949F5" w:rsidRDefault="004A11FE">
      <w:pPr>
        <w:pStyle w:val="ManualHeading2"/>
        <w:rPr>
          <w:noProof/>
          <w:szCs w:val="32"/>
        </w:rPr>
      </w:pPr>
      <w:r>
        <w:t>3.2.</w:t>
      </w:r>
      <w:r>
        <w:tab/>
      </w:r>
      <w:r>
        <w:rPr>
          <w:noProof/>
        </w:rPr>
        <w:t>Egyéb igazgatási kiadások</w:t>
      </w:r>
    </w:p>
    <w:p w:rsidR="008949F5" w:rsidRDefault="008949F5">
      <w:pPr>
        <w:spacing w:before="240" w:after="240"/>
        <w:rPr>
          <w:rFonts w:ascii="Times New Roman Bold" w:hAnsi="Times New Roman Bold"/>
          <w:bCs/>
          <w:noProof/>
          <w:sz w:val="32"/>
          <w:szCs w:val="32"/>
        </w:rPr>
      </w:pPr>
    </w:p>
    <w:p w:rsidR="008949F5" w:rsidRDefault="008949F5">
      <w:pPr>
        <w:spacing w:before="240" w:after="240"/>
        <w:rPr>
          <w:rFonts w:ascii="Times New Roman Bold" w:hAnsi="Times New Roman Bold"/>
          <w:bCs/>
          <w:noProof/>
          <w:sz w:val="32"/>
          <w:szCs w:val="32"/>
        </w:rPr>
      </w:pPr>
    </w:p>
    <w:p w:rsidR="008949F5" w:rsidRDefault="008949F5">
      <w:pPr>
        <w:pBdr>
          <w:top w:val="single" w:sz="4" w:space="0" w:color="auto"/>
          <w:left w:val="single" w:sz="4" w:space="4" w:color="auto"/>
          <w:bottom w:val="single" w:sz="4" w:space="1" w:color="auto"/>
          <w:right w:val="single" w:sz="4" w:space="4" w:color="auto"/>
        </w:pBdr>
        <w:shd w:val="pct30" w:color="CCFFFF" w:fill="auto"/>
        <w:rPr>
          <w:noProof/>
          <w:sz w:val="16"/>
          <w:szCs w:val="16"/>
        </w:rPr>
      </w:pPr>
    </w:p>
    <w:p w:rsidR="008949F5" w:rsidRDefault="004A11FE">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Ezt a mellékletet csatolni kell a pénzügyi kimutatáshoz a szolgálatközi konzultáció megindításakor.</w:t>
      </w:r>
    </w:p>
    <w:p w:rsidR="008949F5" w:rsidRDefault="004A11FE">
      <w:pPr>
        <w:pBdr>
          <w:top w:val="single" w:sz="4" w:space="0" w:color="auto"/>
          <w:left w:val="single" w:sz="4" w:space="4" w:color="auto"/>
          <w:bottom w:val="single" w:sz="4" w:space="1" w:color="auto"/>
          <w:right w:val="single" w:sz="4" w:space="4" w:color="auto"/>
        </w:pBdr>
        <w:shd w:val="pct30" w:color="CCFFFF" w:fill="auto"/>
        <w:rPr>
          <w:i/>
          <w:noProof/>
          <w:sz w:val="22"/>
        </w:rPr>
      </w:pPr>
      <w:r>
        <w:rPr>
          <w:i/>
          <w:noProof/>
          <w:sz w:val="22"/>
        </w:rPr>
        <w:t xml:space="preserve">Az adattáblázatokat használták forrásként a pénzügyi </w:t>
      </w:r>
      <w:r>
        <w:rPr>
          <w:i/>
          <w:noProof/>
          <w:sz w:val="22"/>
        </w:rPr>
        <w:t>kimutatásba foglalt táblázatokhoz. A táblázatok kizárólag a Bizottságon belüli belső használatra készültek.</w:t>
      </w:r>
    </w:p>
    <w:p w:rsidR="008949F5" w:rsidRDefault="008949F5">
      <w:pPr>
        <w:pBdr>
          <w:top w:val="single" w:sz="4" w:space="0" w:color="auto"/>
          <w:left w:val="single" w:sz="4" w:space="4" w:color="auto"/>
          <w:bottom w:val="single" w:sz="4" w:space="1" w:color="auto"/>
          <w:right w:val="single" w:sz="4" w:space="4" w:color="auto"/>
        </w:pBdr>
        <w:shd w:val="pct30" w:color="CCFFFF" w:fill="auto"/>
        <w:rPr>
          <w:bCs/>
          <w:noProof/>
          <w:sz w:val="16"/>
          <w:szCs w:val="16"/>
        </w:rPr>
      </w:pPr>
    </w:p>
    <w:p w:rsidR="008949F5" w:rsidRDefault="008949F5">
      <w:pPr>
        <w:spacing w:after="80"/>
        <w:rPr>
          <w:b/>
          <w:bCs/>
          <w:noProof/>
        </w:rPr>
      </w:pPr>
    </w:p>
    <w:p w:rsidR="008949F5" w:rsidRDefault="008949F5">
      <w:pPr>
        <w:rPr>
          <w:noProof/>
        </w:rPr>
        <w:sectPr w:rsidR="008949F5" w:rsidSect="004A11FE">
          <w:pgSz w:w="12240" w:h="15840" w:code="1"/>
          <w:pgMar w:top="902" w:right="1134" w:bottom="1247" w:left="902" w:header="709" w:footer="709" w:gutter="0"/>
          <w:cols w:space="708"/>
          <w:docGrid w:linePitch="360"/>
        </w:sectPr>
      </w:pPr>
    </w:p>
    <w:p w:rsidR="008949F5" w:rsidRDefault="004A11FE">
      <w:pPr>
        <w:pStyle w:val="ManualHeading1"/>
        <w:rPr>
          <w:noProof/>
        </w:rPr>
      </w:pPr>
      <w:r>
        <w:t>1.</w:t>
      </w:r>
      <w:r>
        <w:tab/>
      </w:r>
      <w:r>
        <w:rPr>
          <w:noProof/>
        </w:rPr>
        <w:t>A szükségesnek tekintett humánerőforrások költségei</w:t>
      </w:r>
      <w:r>
        <w:rPr>
          <w:noProof/>
        </w:rPr>
        <w:tab/>
      </w:r>
    </w:p>
    <w:p w:rsidR="008949F5" w:rsidRDefault="004A11FE">
      <w:pPr>
        <w:pStyle w:val="Point1"/>
        <w:spacing w:after="0"/>
        <w:ind w:left="2263" w:hanging="284"/>
        <w:rPr>
          <w:noProof/>
        </w:rPr>
      </w:pPr>
      <w:r>
        <w:rPr>
          <w:noProof/>
        </w:rPr>
        <w:sym w:font="Wingdings" w:char="F0A8"/>
      </w:r>
      <w:r>
        <w:rPr>
          <w:noProof/>
        </w:rPr>
        <w:tab/>
      </w:r>
      <w:r>
        <w:rPr>
          <w:noProof/>
          <w:sz w:val="22"/>
        </w:rPr>
        <w:t>A javaslat/kezdeményezés nem igényel humánerőforrást</w:t>
      </w:r>
    </w:p>
    <w:p w:rsidR="008949F5" w:rsidRDefault="004A11FE">
      <w:pPr>
        <w:pStyle w:val="Text1"/>
        <w:spacing w:before="60" w:after="0"/>
        <w:ind w:left="2263" w:hanging="284"/>
        <w:rPr>
          <w:noProof/>
        </w:rPr>
      </w:pPr>
      <w:r>
        <w:rPr>
          <w:noProof/>
        </w:rPr>
        <w:t>X</w:t>
      </w:r>
      <w:r>
        <w:rPr>
          <w:noProof/>
          <w:sz w:val="22"/>
        </w:rPr>
        <w:t>A javaslat/kez</w:t>
      </w:r>
      <w:r>
        <w:rPr>
          <w:noProof/>
          <w:sz w:val="22"/>
        </w:rPr>
        <w:t>deményezés az alábbi humánerőforrás-igénnyel jár:</w:t>
      </w:r>
    </w:p>
    <w:p w:rsidR="008949F5" w:rsidRDefault="008949F5">
      <w:pPr>
        <w:jc w:val="right"/>
        <w:rPr>
          <w:rFonts w:ascii="Arial Narrow" w:hAnsi="Arial Narrow"/>
          <w:iCs/>
          <w:noProof/>
          <w:sz w:val="20"/>
          <w:szCs w:val="20"/>
        </w:rPr>
      </w:pPr>
    </w:p>
    <w:p w:rsidR="008949F5" w:rsidRDefault="004A11FE">
      <w:pPr>
        <w:jc w:val="right"/>
        <w:rPr>
          <w:iCs/>
          <w:noProof/>
          <w:sz w:val="20"/>
          <w:szCs w:val="20"/>
        </w:rPr>
      </w:pPr>
      <w:r>
        <w:rPr>
          <w:noProof/>
          <w:sz w:val="20"/>
        </w:rPr>
        <w:t>millió EUR (három tizedesjegyig)</w:t>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42"/>
        <w:gridCol w:w="618"/>
        <w:gridCol w:w="666"/>
        <w:gridCol w:w="1077"/>
        <w:gridCol w:w="667"/>
        <w:gridCol w:w="1077"/>
        <w:gridCol w:w="667"/>
        <w:gridCol w:w="1077"/>
        <w:gridCol w:w="667"/>
        <w:gridCol w:w="1077"/>
        <w:gridCol w:w="667"/>
        <w:gridCol w:w="1077"/>
        <w:gridCol w:w="667"/>
        <w:gridCol w:w="1077"/>
      </w:tblGrid>
      <w:tr w:rsidR="008949F5">
        <w:trPr>
          <w:trHeight w:val="289"/>
        </w:trPr>
        <w:tc>
          <w:tcPr>
            <w:tcW w:w="3960" w:type="dxa"/>
            <w:gridSpan w:val="2"/>
            <w:vMerge w:val="restart"/>
            <w:shd w:val="pct50" w:color="C0C0C0" w:fill="auto"/>
            <w:vAlign w:val="center"/>
          </w:tcPr>
          <w:p w:rsidR="008949F5" w:rsidRDefault="004A11FE">
            <w:pPr>
              <w:jc w:val="center"/>
              <w:rPr>
                <w:rFonts w:ascii="Arial Narrow" w:hAnsi="Arial Narrow"/>
                <w:noProof/>
                <w:sz w:val="16"/>
                <w:szCs w:val="16"/>
              </w:rPr>
            </w:pPr>
            <w:r>
              <w:rPr>
                <w:rFonts w:ascii="Arial Narrow" w:hAnsi="Arial Narrow"/>
                <w:noProof/>
                <w:sz w:val="22"/>
              </w:rPr>
              <w:t xml:space="preserve">A többéves pénzügyi keret </w:t>
            </w:r>
            <w:r>
              <w:rPr>
                <w:rFonts w:ascii="Arial Narrow" w:hAnsi="Arial Narrow"/>
                <w:b/>
                <w:noProof/>
                <w:sz w:val="22"/>
              </w:rPr>
              <w:t>5. FEJEZETE</w:t>
            </w:r>
          </w:p>
        </w:tc>
        <w:tc>
          <w:tcPr>
            <w:tcW w:w="1743" w:type="dxa"/>
            <w:gridSpan w:val="2"/>
            <w:shd w:val="pct10" w:color="CCFFFF" w:fill="auto"/>
            <w:vAlign w:val="center"/>
          </w:tcPr>
          <w:p w:rsidR="008949F5" w:rsidRDefault="004A11FE">
            <w:pPr>
              <w:jc w:val="center"/>
              <w:rPr>
                <w:noProof/>
                <w:sz w:val="20"/>
                <w:szCs w:val="20"/>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8949F5" w:rsidRDefault="004A11FE">
            <w:pPr>
              <w:jc w:val="center"/>
              <w:rPr>
                <w:noProof/>
                <w:sz w:val="20"/>
                <w:szCs w:val="20"/>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8949F5" w:rsidRDefault="004A11FE">
            <w:pPr>
              <w:jc w:val="center"/>
              <w:rPr>
                <w:noProof/>
                <w:sz w:val="20"/>
                <w:szCs w:val="20"/>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8949F5" w:rsidRDefault="004A11FE">
            <w:pPr>
              <w:jc w:val="center"/>
              <w:rPr>
                <w:noProof/>
                <w:sz w:val="20"/>
                <w:szCs w:val="20"/>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color w:val="0000FF"/>
                <w:sz w:val="16"/>
              </w:rPr>
              <w:t>...a táblázat a hatás időtartamának megfelelően (vö. 1.6. pont) további évekkel bővíthető</w:t>
            </w:r>
          </w:p>
        </w:tc>
        <w:tc>
          <w:tcPr>
            <w:tcW w:w="1744" w:type="dxa"/>
            <w:gridSpan w:val="2"/>
            <w:tcBorders>
              <w:right w:val="single" w:sz="6" w:space="0" w:color="auto"/>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20"/>
              </w:rPr>
              <w:t>ÖSSZESEN</w:t>
            </w:r>
          </w:p>
        </w:tc>
      </w:tr>
      <w:tr w:rsidR="008949F5">
        <w:trPr>
          <w:trHeight w:val="289"/>
        </w:trPr>
        <w:tc>
          <w:tcPr>
            <w:tcW w:w="3960" w:type="dxa"/>
            <w:gridSpan w:val="2"/>
            <w:vMerge/>
            <w:shd w:val="pct50" w:color="C0C0C0" w:fill="auto"/>
            <w:vAlign w:val="center"/>
          </w:tcPr>
          <w:p w:rsidR="008949F5" w:rsidRDefault="008949F5">
            <w:pPr>
              <w:jc w:val="center"/>
              <w:rPr>
                <w:rFonts w:ascii="Arial Narrow" w:hAnsi="Arial Narrow"/>
                <w:noProof/>
                <w:sz w:val="16"/>
                <w:szCs w:val="16"/>
              </w:rPr>
            </w:pPr>
          </w:p>
        </w:tc>
        <w:tc>
          <w:tcPr>
            <w:tcW w:w="666" w:type="dxa"/>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single" w:sz="6" w:space="0" w:color="auto"/>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r>
      <w:tr w:rsidR="008949F5">
        <w:trPr>
          <w:trHeight w:val="289"/>
        </w:trPr>
        <w:tc>
          <w:tcPr>
            <w:tcW w:w="14423" w:type="dxa"/>
            <w:gridSpan w:val="14"/>
            <w:shd w:val="pct10" w:color="CCFFFF" w:fill="CCFFCC"/>
            <w:vAlign w:val="center"/>
          </w:tcPr>
          <w:p w:rsidR="008949F5" w:rsidRDefault="004A11FE">
            <w:pPr>
              <w:spacing w:before="60" w:after="6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A létszámtervben szereplő álláshelyek (tisztviselők és ideiglenes alkalmazottak)</w:t>
            </w:r>
          </w:p>
        </w:tc>
      </w:tr>
      <w:tr w:rsidR="008949F5">
        <w:trPr>
          <w:trHeight w:val="289"/>
        </w:trPr>
        <w:tc>
          <w:tcPr>
            <w:tcW w:w="3342" w:type="dxa"/>
            <w:vMerge w:val="restart"/>
            <w:shd w:val="pct10" w:color="CCFFFF" w:fill="auto"/>
            <w:vAlign w:val="center"/>
          </w:tcPr>
          <w:p w:rsidR="008949F5" w:rsidRDefault="004A11FE">
            <w:pPr>
              <w:pStyle w:val="Text1"/>
              <w:spacing w:before="40" w:after="40"/>
              <w:ind w:left="0"/>
              <w:rPr>
                <w:rFonts w:ascii="Arial Narrow" w:hAnsi="Arial Narrow"/>
                <w:i/>
                <w:noProof/>
                <w:sz w:val="20"/>
                <w:szCs w:val="20"/>
              </w:rPr>
            </w:pPr>
            <w:r>
              <w:rPr>
                <w:rFonts w:ascii="Arial Narrow" w:hAnsi="Arial Narrow"/>
                <w:noProof/>
                <w:sz w:val="20"/>
              </w:rPr>
              <w:t>09 01 01 01 (a központban és a bizottsági képviseleteken)</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0,134</w:t>
            </w: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0,536</w:t>
            </w:r>
          </w:p>
        </w:tc>
      </w:tr>
      <w:tr w:rsidR="008949F5">
        <w:trPr>
          <w:trHeight w:val="289"/>
        </w:trPr>
        <w:tc>
          <w:tcPr>
            <w:tcW w:w="3342" w:type="dxa"/>
            <w:vMerge/>
            <w:tcBorders>
              <w:bottom w:val="single" w:sz="6" w:space="0" w:color="auto"/>
            </w:tcBorders>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val="restart"/>
            <w:shd w:val="pct10" w:color="CCFFFF" w:fill="auto"/>
            <w:vAlign w:val="center"/>
          </w:tcPr>
          <w:p w:rsidR="008949F5" w:rsidRDefault="004A11FE">
            <w:pPr>
              <w:pStyle w:val="Text1"/>
              <w:spacing w:before="40" w:after="40"/>
              <w:ind w:left="0"/>
              <w:rPr>
                <w:rFonts w:ascii="Arial Narrow" w:hAnsi="Arial Narrow"/>
                <w:i/>
                <w:noProof/>
                <w:sz w:val="20"/>
                <w:szCs w:val="20"/>
              </w:rPr>
            </w:pPr>
            <w:r>
              <w:rPr>
                <w:rFonts w:ascii="Arial Narrow" w:hAnsi="Arial Narrow"/>
                <w:noProof/>
                <w:sz w:val="20"/>
              </w:rPr>
              <w:t>XX</w:t>
            </w:r>
            <w:r>
              <w:rPr>
                <w:rFonts w:ascii="Arial Narrow" w:hAnsi="Arial Narrow"/>
                <w:noProof/>
                <w:sz w:val="20"/>
              </w:rPr>
              <w:t xml:space="preserve"> 01 01 02 (uniós küldöttségeknél)</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tcBorders>
              <w:bottom w:val="single" w:sz="6" w:space="0" w:color="auto"/>
            </w:tcBorders>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4423" w:type="dxa"/>
            <w:gridSpan w:val="14"/>
            <w:shd w:val="pct10" w:color="CCFFFF" w:fill="FFFF99"/>
            <w:vAlign w:val="center"/>
          </w:tcPr>
          <w:p w:rsidR="008949F5" w:rsidRDefault="004A11FE">
            <w:pPr>
              <w:spacing w:before="60" w:after="6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Külső munkatársak</w:t>
            </w:r>
            <w:r>
              <w:rPr>
                <w:rStyle w:val="FootnoteReference"/>
              </w:rPr>
              <w:footnoteReference w:id="27"/>
            </w:r>
          </w:p>
        </w:tc>
      </w:tr>
      <w:tr w:rsidR="008949F5">
        <w:trPr>
          <w:trHeight w:val="289"/>
        </w:trPr>
        <w:tc>
          <w:tcPr>
            <w:tcW w:w="3342" w:type="dxa"/>
            <w:vMerge w:val="restart"/>
            <w:shd w:val="pct10" w:color="CCFFFF" w:fill="auto"/>
            <w:vAlign w:val="center"/>
          </w:tcPr>
          <w:p w:rsidR="008949F5" w:rsidRDefault="004A11FE">
            <w:pPr>
              <w:pStyle w:val="Text1"/>
              <w:spacing w:before="60" w:after="60"/>
              <w:ind w:left="0"/>
              <w:jc w:val="left"/>
              <w:rPr>
                <w:rFonts w:ascii="Arial Narrow" w:hAnsi="Arial Narrow"/>
                <w:noProof/>
                <w:sz w:val="20"/>
                <w:szCs w:val="20"/>
              </w:rPr>
            </w:pPr>
            <w:r>
              <w:rPr>
                <w:rFonts w:ascii="Arial Narrow" w:hAnsi="Arial Narrow"/>
                <w:b/>
                <w:noProof/>
                <w:color w:val="0000FF"/>
                <w:sz w:val="20"/>
              </w:rPr>
              <w:t>09</w:t>
            </w:r>
            <w:r>
              <w:rPr>
                <w:noProof/>
              </w:rPr>
              <w:t xml:space="preserve"> 01 02 01 (a teljes keretből)</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8949F5" w:rsidRDefault="004A11FE">
            <w:pP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0,070</w:t>
            </w: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4A11FE">
            <w:pPr>
              <w:jc w:val="center"/>
              <w:rPr>
                <w:rFonts w:ascii="Arial Narrow" w:hAnsi="Arial Narrow"/>
                <w:noProof/>
                <w:sz w:val="20"/>
                <w:szCs w:val="20"/>
              </w:rPr>
            </w:pPr>
            <w:r>
              <w:rPr>
                <w:rFonts w:ascii="Arial Narrow" w:hAnsi="Arial Narrow"/>
                <w:noProof/>
                <w:sz w:val="20"/>
              </w:rPr>
              <w:t>1</w:t>
            </w:r>
          </w:p>
        </w:tc>
        <w:tc>
          <w:tcPr>
            <w:tcW w:w="1077" w:type="dxa"/>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0,280</w:t>
            </w:r>
          </w:p>
        </w:tc>
      </w:tr>
      <w:tr w:rsidR="008949F5">
        <w:trPr>
          <w:trHeight w:val="289"/>
        </w:trPr>
        <w:tc>
          <w:tcPr>
            <w:tcW w:w="334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val="restart"/>
            <w:shd w:val="pct10" w:color="CCFFFF" w:fill="auto"/>
            <w:vAlign w:val="center"/>
          </w:tcPr>
          <w:p w:rsidR="008949F5" w:rsidRDefault="004A11FE">
            <w:pPr>
              <w:pStyle w:val="Text1"/>
              <w:spacing w:before="60" w:after="60"/>
              <w:ind w:left="0"/>
              <w:jc w:val="left"/>
              <w:rPr>
                <w:rFonts w:ascii="Arial Narrow" w:hAnsi="Arial Narrow"/>
                <w:noProof/>
                <w:sz w:val="20"/>
                <w:szCs w:val="20"/>
              </w:rPr>
            </w:pPr>
            <w:r>
              <w:rPr>
                <w:rFonts w:ascii="Arial Narrow" w:hAnsi="Arial Narrow"/>
                <w:noProof/>
                <w:sz w:val="20"/>
              </w:rPr>
              <w:t xml:space="preserve">XX 01 02 </w:t>
            </w:r>
            <w:r>
              <w:rPr>
                <w:rFonts w:ascii="Arial Narrow" w:hAnsi="Arial Narrow"/>
                <w:noProof/>
                <w:sz w:val="20"/>
              </w:rPr>
              <w:t>02 (uniós küldöttségeknél)</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21"/>
        </w:trPr>
        <w:tc>
          <w:tcPr>
            <w:tcW w:w="3342" w:type="dxa"/>
            <w:tcBorders>
              <w:bottom w:val="single" w:sz="12" w:space="0" w:color="auto"/>
            </w:tcBorders>
            <w:shd w:val="pct10" w:color="CCFFFF" w:fill="auto"/>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Egyéb köl</w:t>
            </w:r>
            <w:r>
              <w:rPr>
                <w:rFonts w:ascii="Arial Narrow" w:hAnsi="Arial Narrow"/>
                <w:noProof/>
                <w:sz w:val="20"/>
              </w:rPr>
              <w:t>tségvetési tétel (</w:t>
            </w:r>
            <w:r>
              <w:rPr>
                <w:rFonts w:ascii="Arial Narrow" w:hAnsi="Arial Narrow"/>
                <w:i/>
                <w:noProof/>
                <w:sz w:val="20"/>
              </w:rPr>
              <w:t>kérjük megnevezni</w:t>
            </w:r>
            <w:r>
              <w:rPr>
                <w:rFonts w:ascii="Arial Narrow" w:hAnsi="Arial Narrow"/>
                <w:noProof/>
                <w:sz w:val="20"/>
              </w:rPr>
              <w:t>)</w:t>
            </w:r>
          </w:p>
        </w:tc>
        <w:tc>
          <w:tcPr>
            <w:tcW w:w="618" w:type="dxa"/>
            <w:tcBorders>
              <w:bottom w:val="single" w:sz="12" w:space="0" w:color="auto"/>
            </w:tcBorders>
            <w:shd w:val="pct10" w:color="CCFFFF" w:fill="auto"/>
            <w:vAlign w:val="center"/>
          </w:tcPr>
          <w:p w:rsidR="008949F5" w:rsidRDefault="008949F5">
            <w:pPr>
              <w:jc w:val="center"/>
              <w:rPr>
                <w:rFonts w:ascii="Arial Narrow" w:hAnsi="Arial Narrow"/>
                <w:noProof/>
                <w:sz w:val="18"/>
                <w:szCs w:val="18"/>
              </w:rPr>
            </w:pPr>
          </w:p>
        </w:tc>
        <w:tc>
          <w:tcPr>
            <w:tcW w:w="666"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tcBorders>
              <w:top w:val="single" w:sz="12" w:space="0" w:color="auto"/>
              <w:left w:val="single" w:sz="12" w:space="0" w:color="auto"/>
              <w:bottom w:val="single" w:sz="12" w:space="0" w:color="auto"/>
            </w:tcBorders>
            <w:shd w:val="pct10" w:color="CCFFFF" w:fill="auto"/>
            <w:vAlign w:val="center"/>
          </w:tcPr>
          <w:p w:rsidR="008949F5" w:rsidRDefault="004A11FE">
            <w:pPr>
              <w:pStyle w:val="Text1"/>
              <w:spacing w:before="60" w:after="60"/>
              <w:ind w:left="0"/>
              <w:jc w:val="center"/>
              <w:rPr>
                <w:rFonts w:ascii="Arial Narrow" w:hAnsi="Arial Narrow"/>
                <w:b/>
                <w:noProof/>
              </w:rPr>
            </w:pPr>
            <w:r>
              <w:rPr>
                <w:rFonts w:ascii="Arial Narrow" w:hAnsi="Arial Narrow"/>
                <w:noProof/>
                <w:sz w:val="22"/>
              </w:rPr>
              <w:t>A több</w:t>
            </w:r>
            <w:r>
              <w:rPr>
                <w:rFonts w:ascii="Arial Narrow" w:hAnsi="Arial Narrow"/>
                <w:noProof/>
                <w:sz w:val="22"/>
              </w:rPr>
              <w:t>éves pénzügyi keret</w:t>
            </w:r>
            <w:r>
              <w:rPr>
                <w:rFonts w:ascii="Arial Narrow" w:hAnsi="Arial Narrow"/>
                <w:b/>
                <w:noProof/>
                <w:sz w:val="22"/>
              </w:rPr>
              <w:t xml:space="preserve"> 5. FEJEZETÉNEK részösszege</w:t>
            </w:r>
          </w:p>
        </w:tc>
        <w:tc>
          <w:tcPr>
            <w:tcW w:w="618"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p w:rsidR="008949F5" w:rsidRDefault="004A11FE">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p w:rsidR="008949F5" w:rsidRDefault="004A11FE">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p w:rsidR="008949F5" w:rsidRDefault="004A11FE">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p w:rsidR="008949F5" w:rsidRDefault="004A11FE">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0.204</w:t>
            </w: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p w:rsidR="008949F5" w:rsidRDefault="004A11FE">
            <w:pPr>
              <w:jc w:val="center"/>
              <w:rPr>
                <w:rFonts w:ascii="Arial Narrow" w:hAnsi="Arial Narrow"/>
                <w:noProof/>
                <w:sz w:val="20"/>
                <w:szCs w:val="20"/>
              </w:rPr>
            </w:pPr>
            <w:r>
              <w:rPr>
                <w:rFonts w:ascii="Arial Narrow" w:hAnsi="Arial Narrow"/>
                <w:noProof/>
                <w:sz w:val="20"/>
              </w:rPr>
              <w:t>2</w:t>
            </w:r>
          </w:p>
        </w:tc>
        <w:tc>
          <w:tcPr>
            <w:tcW w:w="1077" w:type="dxa"/>
            <w:tcBorders>
              <w:top w:val="single" w:sz="12" w:space="0" w:color="auto"/>
              <w:bottom w:val="single" w:sz="12" w:space="0" w:color="auto"/>
            </w:tcBorders>
            <w:shd w:val="pct10" w:color="CCFFFF" w:fill="auto"/>
            <w:vAlign w:val="center"/>
          </w:tcPr>
          <w:p w:rsidR="008949F5" w:rsidRDefault="004A11FE">
            <w:pPr>
              <w:jc w:val="center"/>
              <w:rPr>
                <w:rFonts w:ascii="Arial Narrow" w:hAnsi="Arial Narrow"/>
                <w:noProof/>
                <w:sz w:val="20"/>
                <w:szCs w:val="20"/>
              </w:rPr>
            </w:pPr>
            <w:r>
              <w:rPr>
                <w:rFonts w:ascii="Arial Narrow" w:hAnsi="Arial Narrow"/>
                <w:noProof/>
                <w:sz w:val="20"/>
              </w:rPr>
              <w:t>0.816</w:t>
            </w:r>
          </w:p>
        </w:tc>
      </w:tr>
    </w:tbl>
    <w:p w:rsidR="008949F5" w:rsidRDefault="004A11FE">
      <w:pPr>
        <w:rPr>
          <w:noProof/>
          <w:sz w:val="20"/>
          <w:szCs w:val="20"/>
        </w:rPr>
      </w:pPr>
      <w:r>
        <w:rPr>
          <w:b/>
          <w:noProof/>
          <w:color w:val="0000FF"/>
          <w:sz w:val="20"/>
        </w:rPr>
        <w:t>XX</w:t>
      </w:r>
      <w:r>
        <w:rPr>
          <w:noProof/>
        </w:rPr>
        <w:t xml:space="preserve"> az érintett szakpolitikai terület vagy költségvetési cím.</w:t>
      </w:r>
    </w:p>
    <w:p w:rsidR="008949F5" w:rsidRDefault="008949F5">
      <w:pPr>
        <w:rPr>
          <w:iCs/>
          <w:noProof/>
          <w:sz w:val="20"/>
          <w:szCs w:val="20"/>
        </w:rPr>
      </w:pPr>
    </w:p>
    <w:p w:rsidR="008949F5" w:rsidRDefault="004A11FE">
      <w:pPr>
        <w:pStyle w:val="Text1"/>
        <w:spacing w:before="0" w:after="0"/>
        <w:ind w:left="-540" w:right="-694"/>
        <w:rPr>
          <w:rFonts w:ascii="Arial Narrow" w:hAnsi="Arial Narrow"/>
          <w:iCs/>
          <w:noProof/>
          <w:sz w:val="6"/>
          <w:szCs w:val="6"/>
        </w:rPr>
      </w:pPr>
      <w:r>
        <w:rPr>
          <w:noProof/>
          <w:sz w:val="18"/>
        </w:rPr>
        <w:t xml:space="preserve">A humánerőforrás-igényeknek az adott főigazgatóság rendelkezésére álló, az intézkedés </w:t>
      </w:r>
      <w:r>
        <w:rPr>
          <w:noProof/>
          <w:sz w:val="18"/>
        </w:rPr>
        <w:t>irányításához rendelt és/vagy az adott főigazgatóságon belül átcsoportosított személyzettel kell eleget tenni. A források adott esetben a meglévő költségvetési korlátok betartása mellett kiegészíthetők az éves elosztási eljárás keretében az irányító főigaz</w:t>
      </w:r>
      <w:r>
        <w:rPr>
          <w:noProof/>
          <w:sz w:val="18"/>
        </w:rPr>
        <w:t>gatósághoz rendelt további juttatásokkal.</w:t>
      </w:r>
      <w:r>
        <w:rPr>
          <w:noProof/>
        </w:rPr>
        <w:tab/>
      </w:r>
      <w:r>
        <w:rPr>
          <w:noProof/>
        </w:rPr>
        <w:br w:type="page"/>
      </w:r>
    </w:p>
    <w:tbl>
      <w:tblPr>
        <w:tblW w:w="14423"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0"/>
        <w:gridCol w:w="1362"/>
        <w:gridCol w:w="618"/>
        <w:gridCol w:w="666"/>
        <w:gridCol w:w="1077"/>
        <w:gridCol w:w="667"/>
        <w:gridCol w:w="1077"/>
        <w:gridCol w:w="667"/>
        <w:gridCol w:w="1077"/>
        <w:gridCol w:w="667"/>
        <w:gridCol w:w="1077"/>
        <w:gridCol w:w="667"/>
        <w:gridCol w:w="1077"/>
        <w:gridCol w:w="667"/>
        <w:gridCol w:w="1077"/>
      </w:tblGrid>
      <w:tr w:rsidR="008949F5">
        <w:trPr>
          <w:trHeight w:val="289"/>
        </w:trPr>
        <w:tc>
          <w:tcPr>
            <w:tcW w:w="3960" w:type="dxa"/>
            <w:gridSpan w:val="3"/>
            <w:vMerge w:val="restart"/>
            <w:shd w:val="pct50" w:color="C0C0C0" w:fill="auto"/>
            <w:vAlign w:val="center"/>
          </w:tcPr>
          <w:p w:rsidR="008949F5" w:rsidRDefault="004A11FE">
            <w:pPr>
              <w:jc w:val="center"/>
              <w:rPr>
                <w:rFonts w:ascii="Arial Narrow" w:hAnsi="Arial Narrow"/>
                <w:noProof/>
                <w:sz w:val="16"/>
                <w:szCs w:val="16"/>
              </w:rPr>
            </w:pPr>
            <w:r>
              <w:rPr>
                <w:rFonts w:ascii="Arial Narrow" w:hAnsi="Arial Narrow"/>
                <w:noProof/>
                <w:sz w:val="22"/>
              </w:rPr>
              <w:t xml:space="preserve">A többéves pénzügyi keret </w:t>
            </w:r>
            <w:r>
              <w:rPr>
                <w:rFonts w:ascii="Arial Narrow" w:hAnsi="Arial Narrow"/>
                <w:b/>
                <w:noProof/>
                <w:sz w:val="22"/>
              </w:rPr>
              <w:t>5. FEJEZETÉBE bele nem tartozó előirányzatok</w:t>
            </w:r>
          </w:p>
        </w:tc>
        <w:tc>
          <w:tcPr>
            <w:tcW w:w="1743" w:type="dxa"/>
            <w:gridSpan w:val="2"/>
            <w:shd w:val="pct10" w:color="CCFFFF" w:fill="auto"/>
            <w:vAlign w:val="center"/>
          </w:tcPr>
          <w:p w:rsidR="008949F5" w:rsidRDefault="004A11FE">
            <w:pPr>
              <w:jc w:val="center"/>
              <w:rPr>
                <w:rFonts w:ascii="Arial Narrow" w:hAnsi="Arial Narrow"/>
                <w:noProof/>
                <w:sz w:val="16"/>
                <w:szCs w:val="16"/>
              </w:rPr>
            </w:pPr>
            <w:r>
              <w:rPr>
                <w:rFonts w:ascii="Arial Narrow" w:hAnsi="Arial Narrow"/>
                <w:b/>
                <w:noProof/>
                <w:color w:val="0000FF"/>
                <w:sz w:val="20"/>
              </w:rPr>
              <w:t>2017</w:t>
            </w:r>
          </w:p>
        </w:tc>
        <w:tc>
          <w:tcPr>
            <w:tcW w:w="1744" w:type="dxa"/>
            <w:gridSpan w:val="2"/>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b/>
                <w:noProof/>
                <w:color w:val="0000FF"/>
                <w:sz w:val="20"/>
              </w:rPr>
              <w:t>2018</w:t>
            </w:r>
          </w:p>
        </w:tc>
        <w:tc>
          <w:tcPr>
            <w:tcW w:w="1744" w:type="dxa"/>
            <w:gridSpan w:val="2"/>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b/>
                <w:noProof/>
                <w:color w:val="0000FF"/>
                <w:sz w:val="20"/>
              </w:rPr>
              <w:t>2019</w:t>
            </w:r>
          </w:p>
        </w:tc>
        <w:tc>
          <w:tcPr>
            <w:tcW w:w="1744" w:type="dxa"/>
            <w:gridSpan w:val="2"/>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b/>
                <w:noProof/>
                <w:color w:val="0000FF"/>
                <w:sz w:val="20"/>
              </w:rPr>
              <w:t>2020</w:t>
            </w:r>
          </w:p>
        </w:tc>
        <w:tc>
          <w:tcPr>
            <w:tcW w:w="1744" w:type="dxa"/>
            <w:gridSpan w:val="2"/>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color w:val="0000FF"/>
                <w:sz w:val="16"/>
              </w:rPr>
              <w:t>...a táblázat a hatás időtartamának megfelelően (vö. 1.6. pont) további évekkel bővíthető</w:t>
            </w:r>
          </w:p>
        </w:tc>
        <w:tc>
          <w:tcPr>
            <w:tcW w:w="1744" w:type="dxa"/>
            <w:gridSpan w:val="2"/>
            <w:tcBorders>
              <w:right w:val="single" w:sz="6" w:space="0" w:color="auto"/>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20"/>
              </w:rPr>
              <w:t>ÖSSZESEN</w:t>
            </w:r>
          </w:p>
        </w:tc>
      </w:tr>
      <w:tr w:rsidR="008949F5">
        <w:trPr>
          <w:trHeight w:val="289"/>
        </w:trPr>
        <w:tc>
          <w:tcPr>
            <w:tcW w:w="3960" w:type="dxa"/>
            <w:gridSpan w:val="3"/>
            <w:vMerge/>
            <w:shd w:val="pct50" w:color="C0C0C0" w:fill="auto"/>
            <w:vAlign w:val="center"/>
          </w:tcPr>
          <w:p w:rsidR="008949F5" w:rsidRDefault="008949F5">
            <w:pPr>
              <w:jc w:val="center"/>
              <w:rPr>
                <w:rFonts w:ascii="Arial Narrow" w:hAnsi="Arial Narrow"/>
                <w:noProof/>
                <w:sz w:val="16"/>
                <w:szCs w:val="16"/>
              </w:rPr>
            </w:pPr>
          </w:p>
        </w:tc>
        <w:tc>
          <w:tcPr>
            <w:tcW w:w="666" w:type="dxa"/>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c>
          <w:tcPr>
            <w:tcW w:w="667" w:type="dxa"/>
            <w:tcBorders>
              <w:right w:val="nil"/>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FTE</w:t>
            </w:r>
          </w:p>
        </w:tc>
        <w:tc>
          <w:tcPr>
            <w:tcW w:w="1077" w:type="dxa"/>
            <w:tcBorders>
              <w:right w:val="single" w:sz="6" w:space="0" w:color="auto"/>
            </w:tcBorders>
            <w:shd w:val="pct10" w:color="CCFFFF" w:fill="auto"/>
            <w:vAlign w:val="center"/>
          </w:tcPr>
          <w:p w:rsidR="008949F5" w:rsidRDefault="004A11FE">
            <w:pPr>
              <w:jc w:val="center"/>
              <w:rPr>
                <w:rFonts w:ascii="Arial Narrow" w:hAnsi="Arial Narrow"/>
                <w:noProof/>
                <w:sz w:val="16"/>
                <w:szCs w:val="16"/>
              </w:rPr>
            </w:pPr>
            <w:r>
              <w:rPr>
                <w:rFonts w:ascii="Arial Narrow" w:hAnsi="Arial Narrow"/>
                <w:noProof/>
                <w:sz w:val="16"/>
              </w:rPr>
              <w:t>Előirányzatok</w:t>
            </w:r>
          </w:p>
        </w:tc>
      </w:tr>
      <w:tr w:rsidR="008949F5">
        <w:trPr>
          <w:trHeight w:val="289"/>
        </w:trPr>
        <w:tc>
          <w:tcPr>
            <w:tcW w:w="14423" w:type="dxa"/>
            <w:gridSpan w:val="15"/>
            <w:shd w:val="pct10" w:color="CCFFFF" w:fill="CCFFCC"/>
            <w:vAlign w:val="center"/>
          </w:tcPr>
          <w:p w:rsidR="008949F5" w:rsidRDefault="004A11FE">
            <w:pPr>
              <w:spacing w:before="20" w:after="20"/>
              <w:rPr>
                <w:rFonts w:ascii="Arial Narrow" w:hAnsi="Arial Narrow"/>
                <w:noProof/>
                <w:sz w:val="20"/>
                <w:szCs w:val="20"/>
              </w:rPr>
            </w:pPr>
            <w:r>
              <w:rPr>
                <w:rFonts w:ascii="Arial Narrow" w:hAnsi="Arial Narrow"/>
                <w:b/>
                <w:noProof/>
                <w:color w:val="008000"/>
                <w:sz w:val="20"/>
              </w:rPr>
              <w:sym w:font="Wingdings" w:char="F09F"/>
            </w:r>
            <w:r>
              <w:rPr>
                <w:rFonts w:ascii="Arial Narrow" w:hAnsi="Arial Narrow"/>
                <w:b/>
                <w:noProof/>
                <w:color w:val="008000"/>
                <w:sz w:val="20"/>
              </w:rPr>
              <w:t xml:space="preserve"> </w:t>
            </w:r>
            <w:r>
              <w:rPr>
                <w:rFonts w:ascii="Arial Narrow" w:hAnsi="Arial Narrow"/>
                <w:b/>
                <w:noProof/>
                <w:color w:val="008000"/>
                <w:sz w:val="22"/>
              </w:rPr>
              <w:t>A létszámtervben szereplő álláshelyek (tisztviselők és ideiglenes alkalmazottak)</w:t>
            </w:r>
          </w:p>
        </w:tc>
      </w:tr>
      <w:tr w:rsidR="008949F5">
        <w:trPr>
          <w:trHeight w:val="289"/>
        </w:trPr>
        <w:tc>
          <w:tcPr>
            <w:tcW w:w="3342" w:type="dxa"/>
            <w:gridSpan w:val="2"/>
            <w:vMerge w:val="restart"/>
            <w:shd w:val="pct10" w:color="CCFFFF" w:fill="auto"/>
            <w:vAlign w:val="center"/>
          </w:tcPr>
          <w:p w:rsidR="008949F5" w:rsidRDefault="004A11FE">
            <w:pPr>
              <w:pStyle w:val="Text1"/>
              <w:spacing w:before="60" w:after="60"/>
              <w:ind w:left="252"/>
              <w:jc w:val="left"/>
              <w:rPr>
                <w:rFonts w:ascii="Arial Narrow" w:hAnsi="Arial Narrow"/>
                <w:noProof/>
                <w:sz w:val="20"/>
                <w:szCs w:val="20"/>
              </w:rPr>
            </w:pPr>
            <w:r>
              <w:rPr>
                <w:rFonts w:ascii="Arial Narrow" w:hAnsi="Arial Narrow"/>
                <w:noProof/>
                <w:sz w:val="20"/>
              </w:rPr>
              <w:t>10 01 05 02 (közvetlen kutatás)</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tcBorders>
              <w:bottom w:val="single" w:sz="6" w:space="0" w:color="auto"/>
            </w:tcBorders>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val="restart"/>
            <w:shd w:val="pct10" w:color="CCFFFF" w:fill="auto"/>
            <w:vAlign w:val="center"/>
          </w:tcPr>
          <w:p w:rsidR="008949F5" w:rsidRDefault="004A11FE">
            <w:pPr>
              <w:pStyle w:val="Text1"/>
              <w:spacing w:before="60" w:after="60"/>
              <w:ind w:left="252"/>
              <w:jc w:val="left"/>
              <w:rPr>
                <w:rFonts w:ascii="Arial Narrow" w:hAnsi="Arial Narrow"/>
                <w:noProof/>
                <w:sz w:val="20"/>
                <w:szCs w:val="20"/>
              </w:rPr>
            </w:pPr>
            <w:r>
              <w:rPr>
                <w:rFonts w:ascii="Arial Narrow" w:hAnsi="Arial Narrow"/>
                <w:b/>
                <w:noProof/>
                <w:color w:val="0000FF"/>
                <w:sz w:val="20"/>
              </w:rPr>
              <w:t>XX</w:t>
            </w:r>
            <w:r>
              <w:rPr>
                <w:noProof/>
              </w:rPr>
              <w:t xml:space="preserve"> 01 05 01 (közvetett kutatás)</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tcBorders>
              <w:bottom w:val="single" w:sz="6" w:space="0" w:color="auto"/>
            </w:tcBorders>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tcBorders>
              <w:bottom w:val="single" w:sz="6" w:space="0" w:color="auto"/>
            </w:tcBorders>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AST</w:t>
            </w:r>
          </w:p>
        </w:tc>
        <w:tc>
          <w:tcPr>
            <w:tcW w:w="666"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6"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6"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4423" w:type="dxa"/>
            <w:gridSpan w:val="15"/>
            <w:shd w:val="pct10" w:color="CCFFFF" w:fill="FFFF99"/>
            <w:vAlign w:val="center"/>
          </w:tcPr>
          <w:p w:rsidR="008949F5" w:rsidRDefault="004A11FE">
            <w:pPr>
              <w:spacing w:before="20" w:after="20"/>
              <w:rPr>
                <w:rFonts w:ascii="Arial Narrow" w:hAnsi="Arial Narrow"/>
                <w:noProof/>
                <w:sz w:val="20"/>
                <w:szCs w:val="20"/>
              </w:rPr>
            </w:pPr>
            <w:r>
              <w:rPr>
                <w:rFonts w:ascii="Arial Narrow" w:hAnsi="Arial Narrow"/>
                <w:b/>
                <w:noProof/>
                <w:color w:val="FF6600"/>
                <w:sz w:val="20"/>
              </w:rPr>
              <w:sym w:font="Wingdings" w:char="F09F"/>
            </w:r>
            <w:r>
              <w:rPr>
                <w:rFonts w:ascii="Arial Narrow" w:hAnsi="Arial Narrow"/>
                <w:b/>
                <w:noProof/>
                <w:color w:val="FF6600"/>
                <w:sz w:val="20"/>
              </w:rPr>
              <w:t xml:space="preserve"> </w:t>
            </w:r>
            <w:r>
              <w:rPr>
                <w:rFonts w:ascii="Arial Narrow" w:hAnsi="Arial Narrow"/>
                <w:b/>
                <w:noProof/>
                <w:color w:val="FF6600"/>
                <w:sz w:val="22"/>
              </w:rPr>
              <w:t>Külső munkatársak</w:t>
            </w:r>
            <w:r>
              <w:rPr>
                <w:rStyle w:val="FootnoteReference"/>
              </w:rPr>
              <w:footnoteReference w:id="28"/>
            </w:r>
            <w:r>
              <w:rPr>
                <w:rFonts w:ascii="Arial Narrow" w:hAnsi="Arial Narrow"/>
                <w:b/>
                <w:noProof/>
                <w:color w:val="FF6600"/>
                <w:sz w:val="22"/>
              </w:rPr>
              <w:t xml:space="preserve"> </w:t>
            </w:r>
          </w:p>
        </w:tc>
      </w:tr>
      <w:tr w:rsidR="008949F5">
        <w:trPr>
          <w:trHeight w:val="289"/>
        </w:trPr>
        <w:tc>
          <w:tcPr>
            <w:tcW w:w="1980" w:type="dxa"/>
            <w:vMerge w:val="restart"/>
            <w:shd w:val="pct10" w:color="CCFFFF" w:fill="auto"/>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rFonts w:ascii="Arial Narrow" w:hAnsi="Arial Narrow"/>
                <w:noProof/>
                <w:sz w:val="20"/>
              </w:rPr>
              <w:t xml:space="preserve"> 01 04 </w:t>
            </w:r>
            <w:r>
              <w:rPr>
                <w:rFonts w:ascii="Arial Narrow" w:hAnsi="Arial Narrow"/>
                <w:b/>
                <w:i/>
                <w:noProof/>
                <w:color w:val="0000FF"/>
                <w:sz w:val="20"/>
              </w:rPr>
              <w:t>01</w:t>
            </w:r>
            <w:r>
              <w:rPr>
                <w:rFonts w:ascii="Arial Narrow" w:hAnsi="Arial Narrow"/>
                <w:noProof/>
                <w:sz w:val="20"/>
              </w:rPr>
              <w:t xml:space="preserve"> </w:t>
            </w:r>
            <w:r>
              <w:rPr>
                <w:noProof/>
              </w:rPr>
              <w:br/>
            </w:r>
            <w:r>
              <w:rPr>
                <w:rFonts w:ascii="Arial Narrow" w:hAnsi="Arial Narrow"/>
                <w:noProof/>
                <w:sz w:val="20"/>
              </w:rPr>
              <w:t>Az operatív előirányzatokból finanszírozott külső munkatársakra vonatkozó részleges felső határérték (korábban: BA-tételek).</w:t>
            </w:r>
          </w:p>
        </w:tc>
        <w:tc>
          <w:tcPr>
            <w:tcW w:w="1362" w:type="dxa"/>
            <w:vMerge w:val="restart"/>
            <w:shd w:val="pct10" w:color="CCFFFF" w:fill="auto"/>
            <w:vAlign w:val="center"/>
          </w:tcPr>
          <w:p w:rsidR="008949F5" w:rsidRDefault="004A11FE">
            <w:pPr>
              <w:pStyle w:val="Text1"/>
              <w:spacing w:before="60" w:after="60"/>
              <w:ind w:left="72"/>
              <w:jc w:val="left"/>
              <w:rPr>
                <w:rFonts w:ascii="Arial Narrow" w:hAnsi="Arial Narrow"/>
                <w:noProof/>
                <w:sz w:val="20"/>
                <w:szCs w:val="20"/>
              </w:rPr>
            </w:pPr>
            <w:r>
              <w:rPr>
                <w:rFonts w:ascii="Arial Narrow" w:hAnsi="Arial Narrow"/>
                <w:noProof/>
                <w:sz w:val="20"/>
              </w:rPr>
              <w:t>– a központban</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val="restart"/>
            <w:shd w:val="pct10" w:color="CCFFFF" w:fill="auto"/>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 uniós küldöttségeknél</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AL</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1980"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1362" w:type="dxa"/>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JED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val="restart"/>
            <w:shd w:val="pct10" w:color="CCFFFF" w:fill="auto"/>
            <w:vAlign w:val="center"/>
          </w:tcPr>
          <w:p w:rsidR="008949F5" w:rsidRDefault="004A11FE">
            <w:pPr>
              <w:pStyle w:val="Text1"/>
              <w:spacing w:before="60" w:after="60"/>
              <w:ind w:left="0"/>
              <w:jc w:val="left"/>
              <w:rPr>
                <w:rFonts w:ascii="Arial Narrow" w:hAnsi="Arial Narrow"/>
                <w:noProof/>
                <w:sz w:val="20"/>
                <w:szCs w:val="20"/>
              </w:rPr>
            </w:pPr>
            <w:r>
              <w:rPr>
                <w:rFonts w:ascii="Arial Narrow" w:hAnsi="Arial Narrow"/>
                <w:b/>
                <w:noProof/>
                <w:color w:val="0000FF"/>
                <w:sz w:val="20"/>
              </w:rPr>
              <w:t>XX</w:t>
            </w:r>
            <w:r>
              <w:rPr>
                <w:rFonts w:ascii="Arial Narrow" w:hAnsi="Arial Narrow"/>
                <w:i/>
                <w:noProof/>
                <w:sz w:val="20"/>
              </w:rPr>
              <w:t xml:space="preserve"> </w:t>
            </w:r>
            <w:r>
              <w:rPr>
                <w:rFonts w:ascii="Arial Narrow" w:hAnsi="Arial Narrow"/>
                <w:noProof/>
                <w:sz w:val="20"/>
              </w:rPr>
              <w:t>01 05 02 (közvetett kutatás)</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val="restart"/>
            <w:shd w:val="pct10" w:color="CCFFFF" w:fill="auto"/>
            <w:vAlign w:val="center"/>
          </w:tcPr>
          <w:p w:rsidR="008949F5" w:rsidRDefault="004A11FE">
            <w:pPr>
              <w:pStyle w:val="Text1"/>
              <w:spacing w:before="60" w:after="60"/>
              <w:ind w:left="0"/>
              <w:jc w:val="left"/>
              <w:rPr>
                <w:rFonts w:ascii="Arial Narrow" w:hAnsi="Arial Narrow"/>
                <w:noProof/>
                <w:sz w:val="20"/>
                <w:szCs w:val="20"/>
              </w:rPr>
            </w:pPr>
            <w:r>
              <w:rPr>
                <w:rFonts w:ascii="Arial Narrow" w:hAnsi="Arial Narrow"/>
                <w:noProof/>
                <w:sz w:val="20"/>
              </w:rPr>
              <w:t>10 01 05 02 (közvetlen kutatás)</w:t>
            </w: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AC</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END</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vMerge/>
            <w:shd w:val="pct10" w:color="CCFFFF" w:fill="auto"/>
            <w:vAlign w:val="center"/>
          </w:tcPr>
          <w:p w:rsidR="008949F5" w:rsidRDefault="008949F5">
            <w:pPr>
              <w:pStyle w:val="Text1"/>
              <w:spacing w:before="40" w:after="40"/>
              <w:ind w:left="0"/>
              <w:jc w:val="left"/>
              <w:rPr>
                <w:rFonts w:ascii="Arial Narrow" w:hAnsi="Arial Narrow"/>
                <w:noProof/>
                <w:sz w:val="20"/>
                <w:szCs w:val="20"/>
              </w:rPr>
            </w:pPr>
          </w:p>
        </w:tc>
        <w:tc>
          <w:tcPr>
            <w:tcW w:w="618" w:type="dxa"/>
            <w:shd w:val="pct10" w:color="CCFFFF" w:fill="auto"/>
            <w:vAlign w:val="center"/>
          </w:tcPr>
          <w:p w:rsidR="008949F5" w:rsidRDefault="004A11FE">
            <w:pPr>
              <w:jc w:val="center"/>
              <w:rPr>
                <w:rFonts w:ascii="Arial Narrow" w:hAnsi="Arial Narrow"/>
                <w:noProof/>
                <w:sz w:val="18"/>
                <w:szCs w:val="18"/>
              </w:rPr>
            </w:pPr>
            <w:r>
              <w:rPr>
                <w:rFonts w:ascii="Arial Narrow" w:hAnsi="Arial Narrow"/>
                <w:noProof/>
                <w:sz w:val="18"/>
              </w:rPr>
              <w:t>INT</w:t>
            </w:r>
          </w:p>
        </w:tc>
        <w:tc>
          <w:tcPr>
            <w:tcW w:w="666"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c>
          <w:tcPr>
            <w:tcW w:w="667" w:type="dxa"/>
            <w:shd w:val="pct10" w:color="CCFFFF" w:fill="auto"/>
          </w:tcPr>
          <w:p w:rsidR="008949F5" w:rsidRDefault="008949F5">
            <w:pPr>
              <w:jc w:val="center"/>
              <w:rPr>
                <w:rFonts w:ascii="Arial Narrow" w:hAnsi="Arial Narrow"/>
                <w:noProof/>
                <w:sz w:val="20"/>
                <w:szCs w:val="20"/>
              </w:rPr>
            </w:pPr>
          </w:p>
        </w:tc>
        <w:tc>
          <w:tcPr>
            <w:tcW w:w="1077" w:type="dxa"/>
            <w:shd w:val="pct10" w:color="CCFFFF" w:fill="auto"/>
            <w:vAlign w:val="center"/>
          </w:tcPr>
          <w:p w:rsidR="008949F5" w:rsidRDefault="008949F5">
            <w:pPr>
              <w:jc w:val="center"/>
              <w:rPr>
                <w:rFonts w:ascii="Arial Narrow" w:hAnsi="Arial Narrow"/>
                <w:noProof/>
                <w:sz w:val="20"/>
                <w:szCs w:val="20"/>
              </w:rPr>
            </w:pPr>
          </w:p>
        </w:tc>
      </w:tr>
      <w:tr w:rsidR="008949F5">
        <w:trPr>
          <w:trHeight w:val="221"/>
        </w:trPr>
        <w:tc>
          <w:tcPr>
            <w:tcW w:w="3342" w:type="dxa"/>
            <w:gridSpan w:val="2"/>
            <w:tcBorders>
              <w:bottom w:val="single" w:sz="12" w:space="0" w:color="auto"/>
            </w:tcBorders>
            <w:shd w:val="pct10" w:color="CCFFFF" w:fill="auto"/>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Egyéb költségvetési tétel (</w:t>
            </w:r>
            <w:r>
              <w:rPr>
                <w:rFonts w:ascii="Arial Narrow" w:hAnsi="Arial Narrow"/>
                <w:i/>
                <w:noProof/>
                <w:sz w:val="20"/>
              </w:rPr>
              <w:t>kérjük megnevezni</w:t>
            </w:r>
            <w:r>
              <w:rPr>
                <w:rFonts w:ascii="Arial Narrow" w:hAnsi="Arial Narrow"/>
                <w:noProof/>
                <w:sz w:val="20"/>
              </w:rPr>
              <w:t>)</w:t>
            </w:r>
          </w:p>
        </w:tc>
        <w:tc>
          <w:tcPr>
            <w:tcW w:w="618" w:type="dxa"/>
            <w:tcBorders>
              <w:bottom w:val="single" w:sz="12" w:space="0" w:color="auto"/>
            </w:tcBorders>
            <w:shd w:val="pct10" w:color="CCFFFF" w:fill="auto"/>
            <w:vAlign w:val="center"/>
          </w:tcPr>
          <w:p w:rsidR="008949F5" w:rsidRDefault="008949F5">
            <w:pPr>
              <w:jc w:val="center"/>
              <w:rPr>
                <w:rFonts w:ascii="Arial Narrow" w:hAnsi="Arial Narrow"/>
                <w:noProof/>
                <w:sz w:val="18"/>
                <w:szCs w:val="18"/>
              </w:rPr>
            </w:pPr>
          </w:p>
        </w:tc>
        <w:tc>
          <w:tcPr>
            <w:tcW w:w="666"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8949F5" w:rsidRDefault="004A11FE">
            <w:pPr>
              <w:pStyle w:val="Text1"/>
              <w:spacing w:before="0" w:after="0"/>
              <w:ind w:left="0"/>
              <w:jc w:val="center"/>
              <w:rPr>
                <w:rFonts w:ascii="Arial Narrow" w:hAnsi="Arial Narrow"/>
                <w:b/>
                <w:noProof/>
              </w:rPr>
            </w:pPr>
            <w:r>
              <w:rPr>
                <w:rFonts w:ascii="Arial Narrow" w:hAnsi="Arial Narrow"/>
                <w:noProof/>
                <w:sz w:val="22"/>
              </w:rPr>
              <w:t>A több</w:t>
            </w:r>
            <w:r>
              <w:rPr>
                <w:rFonts w:ascii="Arial Narrow" w:hAnsi="Arial Narrow"/>
                <w:noProof/>
                <w:sz w:val="22"/>
              </w:rPr>
              <w:t xml:space="preserve">éves pénzügyi keret </w:t>
            </w:r>
            <w:r>
              <w:rPr>
                <w:rFonts w:ascii="Arial Narrow" w:hAnsi="Arial Narrow"/>
                <w:b/>
                <w:noProof/>
                <w:sz w:val="22"/>
              </w:rPr>
              <w:t>5. FEJEZETÉBE bele nem tartozó előirányzatok részösszege</w:t>
            </w:r>
          </w:p>
        </w:tc>
        <w:tc>
          <w:tcPr>
            <w:tcW w:w="618"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r>
      <w:tr w:rsidR="008949F5">
        <w:trPr>
          <w:trHeight w:val="289"/>
        </w:trPr>
        <w:tc>
          <w:tcPr>
            <w:tcW w:w="3342" w:type="dxa"/>
            <w:gridSpan w:val="2"/>
            <w:tcBorders>
              <w:top w:val="single" w:sz="12" w:space="0" w:color="auto"/>
              <w:left w:val="single" w:sz="12" w:space="0" w:color="auto"/>
              <w:bottom w:val="single" w:sz="12" w:space="0" w:color="auto"/>
            </w:tcBorders>
            <w:shd w:val="pct10" w:color="CCFFFF" w:fill="auto"/>
            <w:vAlign w:val="center"/>
          </w:tcPr>
          <w:p w:rsidR="008949F5" w:rsidRDefault="004A11FE">
            <w:pPr>
              <w:pStyle w:val="Text1"/>
              <w:ind w:left="0"/>
              <w:jc w:val="center"/>
              <w:rPr>
                <w:rFonts w:ascii="Arial Narrow" w:hAnsi="Arial Narrow"/>
                <w:b/>
                <w:noProof/>
                <w:sz w:val="22"/>
              </w:rPr>
            </w:pPr>
            <w:r>
              <w:rPr>
                <w:rFonts w:ascii="Arial Narrow" w:hAnsi="Arial Narrow"/>
                <w:b/>
                <w:noProof/>
                <w:color w:val="0000FF"/>
                <w:sz w:val="20"/>
              </w:rPr>
              <w:t>09</w:t>
            </w:r>
            <w:r>
              <w:rPr>
                <w:noProof/>
              </w:rPr>
              <w:t xml:space="preserve"> </w:t>
            </w:r>
            <w:r>
              <w:rPr>
                <w:rFonts w:ascii="Arial Narrow" w:hAnsi="Arial Narrow"/>
                <w:noProof/>
                <w:sz w:val="20"/>
              </w:rPr>
              <w:t xml:space="preserve">az érintett szakpolitikai terület vagy költségvetési cím. </w:t>
            </w:r>
            <w:r>
              <w:rPr>
                <w:rFonts w:ascii="Arial Narrow" w:hAnsi="Arial Narrow"/>
                <w:b/>
                <w:noProof/>
                <w:sz w:val="22"/>
              </w:rPr>
              <w:t>ÖSSZESEN</w:t>
            </w:r>
          </w:p>
        </w:tc>
        <w:tc>
          <w:tcPr>
            <w:tcW w:w="618"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18"/>
                <w:szCs w:val="18"/>
              </w:rPr>
            </w:pPr>
          </w:p>
        </w:tc>
        <w:tc>
          <w:tcPr>
            <w:tcW w:w="666"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66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c>
          <w:tcPr>
            <w:tcW w:w="1077" w:type="dxa"/>
            <w:tcBorders>
              <w:top w:val="single" w:sz="12" w:space="0" w:color="auto"/>
              <w:bottom w:val="single" w:sz="12" w:space="0" w:color="auto"/>
            </w:tcBorders>
            <w:shd w:val="pct10" w:color="CCFFFF" w:fill="auto"/>
            <w:vAlign w:val="center"/>
          </w:tcPr>
          <w:p w:rsidR="008949F5" w:rsidRDefault="008949F5">
            <w:pPr>
              <w:jc w:val="center"/>
              <w:rPr>
                <w:rFonts w:ascii="Arial Narrow" w:hAnsi="Arial Narrow"/>
                <w:noProof/>
                <w:sz w:val="20"/>
                <w:szCs w:val="20"/>
              </w:rPr>
            </w:pPr>
          </w:p>
        </w:tc>
      </w:tr>
    </w:tbl>
    <w:p w:rsidR="008949F5" w:rsidRDefault="004A11FE">
      <w:pPr>
        <w:keepNext/>
        <w:rPr>
          <w:noProof/>
          <w:sz w:val="28"/>
          <w:szCs w:val="28"/>
          <w:u w:val="single"/>
        </w:rPr>
      </w:pPr>
      <w:r>
        <w:rPr>
          <w:noProof/>
          <w:sz w:val="18"/>
        </w:rPr>
        <w:t xml:space="preserve">A humánerőforrás-igényeknek az adott főigazgatóság rendelkezésére álló, az intézkedés irányításához rendelt és/vagy az adott főigazgatóságon belül átcsoportosított </w:t>
      </w:r>
      <w:r>
        <w:rPr>
          <w:noProof/>
          <w:sz w:val="18"/>
        </w:rPr>
        <w:t>személyzettel kell eleget tenni. A források adott esetben a meglévő költségvetési korlátok betartása mellett kiegészíthetők az éves elosztási eljárás keretében az irányító főigazgatósághoz rendelt további juttatásokkal.</w:t>
      </w:r>
    </w:p>
    <w:p w:rsidR="008949F5" w:rsidRDefault="008949F5">
      <w:pPr>
        <w:keepNext/>
        <w:spacing w:after="60"/>
        <w:ind w:left="540"/>
        <w:rPr>
          <w:noProof/>
        </w:rPr>
        <w:sectPr w:rsidR="008949F5" w:rsidSect="004A11FE">
          <w:headerReference w:type="default" r:id="rId27"/>
          <w:footerReference w:type="default" r:id="rId28"/>
          <w:headerReference w:type="first" r:id="rId29"/>
          <w:footerReference w:type="first" r:id="rId30"/>
          <w:pgSz w:w="15840" w:h="12240" w:orient="landscape" w:code="1"/>
          <w:pgMar w:top="624" w:right="902" w:bottom="624" w:left="1191" w:header="709" w:footer="567" w:gutter="0"/>
          <w:cols w:space="708"/>
          <w:docGrid w:linePitch="360"/>
        </w:sectPr>
      </w:pPr>
    </w:p>
    <w:p w:rsidR="008949F5" w:rsidRDefault="004A11FE">
      <w:pPr>
        <w:pStyle w:val="ManualHeading1"/>
        <w:rPr>
          <w:noProof/>
        </w:rPr>
      </w:pPr>
      <w:r>
        <w:t>2.</w:t>
      </w:r>
      <w:r>
        <w:tab/>
      </w:r>
      <w:r>
        <w:rPr>
          <w:noProof/>
        </w:rPr>
        <w:t>Az egyéb igazgatási kiadások költsége</w:t>
      </w:r>
    </w:p>
    <w:p w:rsidR="008949F5" w:rsidRDefault="004A11FE">
      <w:pPr>
        <w:pStyle w:val="Point1"/>
        <w:spacing w:after="0"/>
        <w:ind w:left="2263" w:hanging="284"/>
        <w:rPr>
          <w:noProof/>
        </w:rPr>
      </w:pPr>
      <w:r>
        <w:rPr>
          <w:noProof/>
        </w:rPr>
        <w:sym w:font="Wingdings" w:char="F0A8"/>
      </w:r>
      <w:r>
        <w:rPr>
          <w:noProof/>
        </w:rPr>
        <w:tab/>
      </w:r>
      <w:r>
        <w:rPr>
          <w:noProof/>
        </w:rPr>
        <w:sym w:font="Wingdings" w:char="F0A8"/>
      </w:r>
      <w:r>
        <w:rPr>
          <w:noProof/>
        </w:rPr>
        <w:t>A javaslat/kezdeményezés nem vonja maga után igazgatási előirányzatok felhasználását.</w:t>
      </w:r>
    </w:p>
    <w:p w:rsidR="008949F5" w:rsidRDefault="004A11FE">
      <w:pPr>
        <w:pStyle w:val="Text1"/>
        <w:spacing w:before="0" w:after="0"/>
        <w:ind w:left="2263" w:hanging="284"/>
        <w:rPr>
          <w:noProof/>
        </w:rPr>
      </w:pPr>
      <w:r>
        <w:rPr>
          <w:noProof/>
        </w:rPr>
        <w:t>x</w:t>
      </w:r>
      <w:r>
        <w:rPr>
          <w:noProof/>
        </w:rPr>
        <w:tab/>
        <w:t>A javaslat/kezdeményezés az alábbi igazgatás</w:t>
      </w:r>
      <w:r>
        <w:rPr>
          <w:noProof/>
        </w:rPr>
        <w:t>i előirányzatok felhasználását vonja maga után:</w:t>
      </w:r>
    </w:p>
    <w:p w:rsidR="008949F5" w:rsidRDefault="008949F5">
      <w:pPr>
        <w:tabs>
          <w:tab w:val="left" w:pos="870"/>
        </w:tabs>
        <w:rPr>
          <w:noProof/>
          <w:sz w:val="16"/>
          <w:szCs w:val="16"/>
        </w:rPr>
      </w:pPr>
    </w:p>
    <w:p w:rsidR="008949F5" w:rsidRDefault="004A11FE">
      <w:pPr>
        <w:jc w:val="right"/>
        <w:rPr>
          <w:noProof/>
          <w:sz w:val="20"/>
          <w:szCs w:val="20"/>
        </w:rPr>
      </w:pPr>
      <w:r>
        <w:rPr>
          <w:i/>
          <w:noProof/>
          <w:sz w:val="20"/>
        </w:rPr>
        <w:t>millió EUR (három tizedesjegyig)</w:t>
      </w:r>
    </w:p>
    <w:tbl>
      <w:tblPr>
        <w:tblW w:w="14973" w:type="dxa"/>
        <w:jc w:val="center"/>
        <w:tblInd w:w="-19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6"/>
        <w:gridCol w:w="1186"/>
        <w:gridCol w:w="1185"/>
        <w:gridCol w:w="1185"/>
        <w:gridCol w:w="1185"/>
        <w:gridCol w:w="1185"/>
        <w:gridCol w:w="1185"/>
        <w:gridCol w:w="1185"/>
        <w:gridCol w:w="1371"/>
      </w:tblGrid>
      <w:tr w:rsidR="008949F5">
        <w:trPr>
          <w:trHeight w:val="289"/>
          <w:jc w:val="center"/>
        </w:trPr>
        <w:tc>
          <w:tcPr>
            <w:tcW w:w="5306" w:type="dxa"/>
          </w:tcPr>
          <w:p w:rsidR="008949F5" w:rsidRDefault="008949F5">
            <w:pPr>
              <w:pStyle w:val="Text1"/>
              <w:spacing w:before="40" w:after="40"/>
              <w:ind w:left="0"/>
              <w:jc w:val="center"/>
              <w:rPr>
                <w:i/>
                <w:noProof/>
                <w:sz w:val="20"/>
                <w:szCs w:val="20"/>
              </w:rPr>
            </w:pPr>
          </w:p>
        </w:tc>
        <w:tc>
          <w:tcPr>
            <w:tcW w:w="1186"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2020</w:t>
            </w:r>
          </w:p>
        </w:tc>
        <w:tc>
          <w:tcPr>
            <w:tcW w:w="3555" w:type="dxa"/>
            <w:gridSpan w:val="3"/>
            <w:vAlign w:val="center"/>
          </w:tcPr>
          <w:p w:rsidR="008949F5" w:rsidRDefault="004A11FE">
            <w:pPr>
              <w:jc w:val="center"/>
              <w:rPr>
                <w:rFonts w:ascii="Arial Narrow" w:hAnsi="Arial Narrow"/>
                <w:noProof/>
                <w:sz w:val="20"/>
                <w:szCs w:val="20"/>
              </w:rPr>
            </w:pPr>
            <w:r>
              <w:rPr>
                <w:rFonts w:ascii="Arial Narrow" w:hAnsi="Arial Narrow"/>
                <w:noProof/>
                <w:color w:val="0000FF"/>
                <w:sz w:val="20"/>
              </w:rPr>
              <w:t xml:space="preserve">...a táblázat a hatás időtartamának megfelelően </w:t>
            </w:r>
            <w:r>
              <w:rPr>
                <w:rFonts w:ascii="Arial Narrow" w:hAnsi="Arial Narrow"/>
                <w:noProof/>
                <w:color w:val="0000FF"/>
                <w:sz w:val="18"/>
              </w:rPr>
              <w:t>(vö. 1.6. pont)</w:t>
            </w:r>
            <w:r>
              <w:rPr>
                <w:rFonts w:ascii="Arial Narrow" w:hAnsi="Arial Narrow"/>
                <w:noProof/>
                <w:color w:val="0000FF"/>
                <w:sz w:val="20"/>
              </w:rPr>
              <w:t xml:space="preserve"> további évekkel bővíthető</w:t>
            </w:r>
          </w:p>
        </w:tc>
        <w:tc>
          <w:tcPr>
            <w:tcW w:w="1371" w:type="dxa"/>
            <w:vAlign w:val="center"/>
          </w:tcPr>
          <w:p w:rsidR="008949F5" w:rsidRDefault="004A11FE">
            <w:pPr>
              <w:jc w:val="center"/>
              <w:rPr>
                <w:rFonts w:ascii="Arial Narrow" w:hAnsi="Arial Narrow"/>
                <w:b/>
                <w:noProof/>
                <w:sz w:val="20"/>
                <w:szCs w:val="20"/>
              </w:rPr>
            </w:pPr>
            <w:r>
              <w:rPr>
                <w:rFonts w:ascii="Arial Narrow" w:hAnsi="Arial Narrow"/>
                <w:b/>
                <w:noProof/>
                <w:sz w:val="20"/>
              </w:rPr>
              <w:t>ÖSSZESEN</w:t>
            </w:r>
          </w:p>
        </w:tc>
      </w:tr>
      <w:tr w:rsidR="008949F5">
        <w:trPr>
          <w:trHeight w:val="289"/>
          <w:jc w:val="center"/>
        </w:trPr>
        <w:tc>
          <w:tcPr>
            <w:tcW w:w="5306" w:type="dxa"/>
            <w:shd w:val="clear" w:color="auto" w:fill="D9D9D9"/>
          </w:tcPr>
          <w:p w:rsidR="008949F5" w:rsidRDefault="004A11FE">
            <w:pPr>
              <w:pStyle w:val="Text1"/>
              <w:spacing w:before="0" w:after="0"/>
              <w:ind w:left="0"/>
              <w:jc w:val="center"/>
              <w:rPr>
                <w:rFonts w:ascii="Arial Narrow" w:hAnsi="Arial Narrow"/>
                <w:i/>
                <w:noProof/>
                <w:sz w:val="20"/>
                <w:szCs w:val="20"/>
              </w:rPr>
            </w:pPr>
            <w:r>
              <w:rPr>
                <w:rFonts w:ascii="Arial Narrow" w:hAnsi="Arial Narrow"/>
                <w:noProof/>
                <w:sz w:val="22"/>
              </w:rPr>
              <w:t>A többéves pénzügyi keret</w:t>
            </w:r>
            <w:r>
              <w:rPr>
                <w:rFonts w:ascii="Arial Narrow" w:hAnsi="Arial Narrow"/>
                <w:b/>
                <w:noProof/>
                <w:sz w:val="22"/>
              </w:rPr>
              <w:t xml:space="preserve"> 5. FEJEZETE</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shd w:val="pct30" w:color="CCFFCC" w:fill="auto"/>
          </w:tcPr>
          <w:p w:rsidR="008949F5" w:rsidRDefault="004A11FE">
            <w:pPr>
              <w:pStyle w:val="Text1"/>
              <w:spacing w:before="40" w:after="40"/>
              <w:ind w:left="0"/>
              <w:jc w:val="left"/>
              <w:rPr>
                <w:rFonts w:ascii="Arial Narrow" w:hAnsi="Arial Narrow"/>
                <w:b/>
                <w:i/>
                <w:noProof/>
                <w:color w:val="008000"/>
                <w:sz w:val="20"/>
                <w:szCs w:val="20"/>
              </w:rPr>
            </w:pPr>
            <w:r>
              <w:rPr>
                <w:noProof/>
              </w:rPr>
              <w:tab/>
            </w:r>
            <w:r>
              <w:rPr>
                <w:rFonts w:ascii="Arial Narrow" w:hAnsi="Arial Narrow"/>
                <w:b/>
                <w:noProof/>
                <w:color w:val="008000"/>
                <w:sz w:val="20"/>
                <w:u w:val="single"/>
              </w:rPr>
              <w:t xml:space="preserve">A </w:t>
            </w:r>
            <w:r>
              <w:rPr>
                <w:rFonts w:ascii="Arial Narrow" w:hAnsi="Arial Narrow"/>
                <w:b/>
                <w:noProof/>
                <w:color w:val="008000"/>
                <w:sz w:val="20"/>
                <w:u w:val="single"/>
              </w:rPr>
              <w:t>központban:</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b/>
                <w:noProof/>
                <w:sz w:val="20"/>
                <w:szCs w:val="20"/>
              </w:rPr>
            </w:pPr>
            <w:r>
              <w:rPr>
                <w:rFonts w:ascii="Arial Narrow" w:hAnsi="Arial Narrow"/>
                <w:b/>
                <w:noProof/>
                <w:color w:val="0000FF"/>
                <w:sz w:val="20"/>
              </w:rPr>
              <w:t>09</w:t>
            </w:r>
            <w:r>
              <w:rPr>
                <w:noProof/>
              </w:rPr>
              <w:t xml:space="preserve"> 01 02 11 01 – Kiküldetési és reprezentációs költségek</w:t>
            </w:r>
          </w:p>
        </w:tc>
        <w:tc>
          <w:tcPr>
            <w:tcW w:w="1186" w:type="dxa"/>
            <w:vAlign w:val="center"/>
          </w:tcPr>
          <w:p w:rsidR="008949F5" w:rsidRDefault="004A11FE">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8949F5" w:rsidRDefault="004A11FE">
            <w:pPr>
              <w:jc w:val="center"/>
              <w:rPr>
                <w:rFonts w:ascii="Arial Narrow" w:hAnsi="Arial Narrow"/>
                <w:noProof/>
                <w:sz w:val="20"/>
                <w:szCs w:val="20"/>
              </w:rPr>
            </w:pPr>
            <w:r>
              <w:rPr>
                <w:rFonts w:ascii="Arial Narrow" w:hAnsi="Arial Narrow"/>
                <w:noProof/>
                <w:sz w:val="20"/>
              </w:rPr>
              <w:t>0,020</w:t>
            </w:r>
          </w:p>
        </w:tc>
        <w:tc>
          <w:tcPr>
            <w:tcW w:w="1185" w:type="dxa"/>
            <w:vAlign w:val="center"/>
          </w:tcPr>
          <w:p w:rsidR="008949F5" w:rsidRDefault="004A11FE">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8949F5" w:rsidRDefault="004A11FE">
            <w:pPr>
              <w:jc w:val="center"/>
              <w:rPr>
                <w:rFonts w:ascii="Arial Narrow" w:hAnsi="Arial Narrow"/>
                <w:noProof/>
                <w:sz w:val="20"/>
                <w:szCs w:val="20"/>
              </w:rPr>
            </w:pPr>
            <w:r>
              <w:rPr>
                <w:rFonts w:ascii="Arial Narrow" w:hAnsi="Arial Narrow"/>
                <w:noProof/>
                <w:sz w:val="20"/>
              </w:rPr>
              <w:t>0,010</w:t>
            </w: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4A11FE">
            <w:pPr>
              <w:jc w:val="center"/>
              <w:rPr>
                <w:rFonts w:ascii="Arial Narrow" w:hAnsi="Arial Narrow"/>
                <w:b/>
                <w:noProof/>
                <w:sz w:val="20"/>
                <w:szCs w:val="20"/>
              </w:rPr>
            </w:pPr>
            <w:r>
              <w:rPr>
                <w:rFonts w:ascii="Arial Narrow" w:hAnsi="Arial Narrow"/>
                <w:b/>
                <w:noProof/>
                <w:sz w:val="20"/>
              </w:rPr>
              <w:t>0,060</w:t>
            </w: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02 11 02 – Konferenciákkal és ülésekkel kapcsolatos költségek</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w:t>
            </w:r>
            <w:r>
              <w:rPr>
                <w:rFonts w:ascii="Arial Narrow" w:hAnsi="Arial Narrow"/>
                <w:noProof/>
                <w:sz w:val="20"/>
              </w:rPr>
              <w:t>01 02 11 03 – Bizottságok</w:t>
            </w:r>
            <w:r>
              <w:rPr>
                <w:rStyle w:val="FootnoteReference"/>
                <w:rFonts w:ascii="Arial Narrow" w:hAnsi="Arial Narrow"/>
                <w:noProof/>
                <w:sz w:val="20"/>
              </w:rPr>
              <w:footnoteReference w:id="29"/>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02 11 04 – Tanulmányok és konzultációk</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1F497D"/>
                <w:sz w:val="20"/>
              </w:rPr>
              <w:t>09</w:t>
            </w:r>
            <w:r>
              <w:rPr>
                <w:rFonts w:ascii="Arial Narrow" w:hAnsi="Arial Narrow"/>
                <w:noProof/>
                <w:sz w:val="20"/>
              </w:rPr>
              <w:t xml:space="preserve"> 01 02 11 05 – Információs és irányítási rendszerek</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01 – IKT-berendezések és -szolgáltatások</w:t>
            </w:r>
            <w:r>
              <w:rPr>
                <w:rStyle w:val="FootnoteReference"/>
                <w:rFonts w:ascii="Arial Narrow" w:hAnsi="Arial Narrow"/>
                <w:noProof/>
                <w:sz w:val="20"/>
              </w:rPr>
              <w:footnoteReference w:id="30"/>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Egyéb költségvetési tétel (</w:t>
            </w:r>
            <w:r>
              <w:rPr>
                <w:rFonts w:ascii="Arial Narrow" w:hAnsi="Arial Narrow"/>
                <w:i/>
                <w:noProof/>
                <w:sz w:val="20"/>
              </w:rPr>
              <w:t>kérjük megnevezni</w:t>
            </w:r>
            <w:r>
              <w:rPr>
                <w:rFonts w:ascii="Arial Narrow" w:hAnsi="Arial Narrow"/>
                <w:noProof/>
                <w:sz w:val="20"/>
              </w:rPr>
              <w:t>)</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shd w:val="pct30" w:color="CCFFCC" w:fill="auto"/>
            <w:vAlign w:val="center"/>
          </w:tcPr>
          <w:p w:rsidR="008949F5" w:rsidRDefault="004A11FE">
            <w:pPr>
              <w:pStyle w:val="Text1"/>
              <w:spacing w:before="20" w:after="20"/>
              <w:ind w:left="0"/>
              <w:jc w:val="left"/>
              <w:rPr>
                <w:rFonts w:ascii="Arial Narrow" w:hAnsi="Arial Narrow"/>
                <w:b/>
                <w:noProof/>
                <w:color w:val="008000"/>
                <w:sz w:val="20"/>
                <w:szCs w:val="20"/>
                <w:u w:val="single"/>
              </w:rPr>
            </w:pPr>
            <w:r>
              <w:rPr>
                <w:noProof/>
              </w:rPr>
              <w:tab/>
            </w:r>
            <w:r>
              <w:rPr>
                <w:rFonts w:ascii="Arial Narrow" w:hAnsi="Arial Narrow"/>
                <w:b/>
                <w:noProof/>
                <w:color w:val="008000"/>
                <w:sz w:val="20"/>
                <w:u w:val="single"/>
              </w:rPr>
              <w:t>Uniós küldöttségeknél</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XX 01 02 12 01 – Kiküldetési, konferencia- és reprezentációs költségek</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XX 01 02 12 02 – A személyzet továbbképzése</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vAlign w:val="center"/>
          </w:tcPr>
          <w:p w:rsidR="008949F5" w:rsidRDefault="004A11FE">
            <w:pPr>
              <w:pStyle w:val="Text1"/>
              <w:spacing w:before="40" w:after="40"/>
              <w:ind w:left="0"/>
              <w:jc w:val="left"/>
              <w:rPr>
                <w:rFonts w:ascii="Arial Narrow" w:hAnsi="Arial Narrow"/>
                <w:noProof/>
                <w:color w:val="0000FF"/>
                <w:sz w:val="20"/>
                <w:szCs w:val="20"/>
              </w:rPr>
            </w:pPr>
            <w:r>
              <w:rPr>
                <w:rFonts w:ascii="Arial Narrow" w:hAnsi="Arial Narrow"/>
                <w:noProof/>
                <w:sz w:val="20"/>
              </w:rPr>
              <w:t>XX 01 03 02 01 – Ingatlanok vásárlása, bérlése és ezzel kapcsolatos kiadások</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tcBorders>
              <w:bottom w:val="single" w:sz="12" w:space="0" w:color="auto"/>
            </w:tcBorders>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 xml:space="preserve">XX 01 03 02 02 – Bútorok, </w:t>
            </w:r>
            <w:r>
              <w:rPr>
                <w:rFonts w:ascii="Arial Narrow" w:hAnsi="Arial Narrow"/>
                <w:noProof/>
                <w:sz w:val="20"/>
              </w:rPr>
              <w:t>felszerelések, készletek és szolgáltatások</w:t>
            </w:r>
          </w:p>
        </w:tc>
        <w:tc>
          <w:tcPr>
            <w:tcW w:w="1186"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371" w:type="dxa"/>
            <w:tcBorders>
              <w:bottom w:val="single" w:sz="12" w:space="0" w:color="auto"/>
            </w:tcBorders>
            <w:vAlign w:val="center"/>
          </w:tcPr>
          <w:p w:rsidR="008949F5" w:rsidRDefault="008949F5">
            <w:pPr>
              <w:jc w:val="center"/>
              <w:rPr>
                <w:rFonts w:ascii="Arial Narrow" w:hAnsi="Arial Narrow"/>
                <w:b/>
                <w:noProof/>
                <w:sz w:val="20"/>
                <w:szCs w:val="20"/>
              </w:rPr>
            </w:pPr>
          </w:p>
        </w:tc>
      </w:tr>
      <w:tr w:rsidR="008949F5">
        <w:trPr>
          <w:trHeight w:val="289"/>
          <w:jc w:val="center"/>
        </w:trPr>
        <w:tc>
          <w:tcPr>
            <w:tcW w:w="5306" w:type="dxa"/>
            <w:tcBorders>
              <w:top w:val="single" w:sz="12" w:space="0" w:color="auto"/>
              <w:left w:val="single" w:sz="12" w:space="0" w:color="auto"/>
              <w:bottom w:val="single" w:sz="12" w:space="0" w:color="auto"/>
            </w:tcBorders>
            <w:vAlign w:val="center"/>
          </w:tcPr>
          <w:p w:rsidR="008949F5" w:rsidRDefault="004A11FE">
            <w:pPr>
              <w:pStyle w:val="Text1"/>
              <w:spacing w:before="20" w:after="20"/>
              <w:ind w:left="0"/>
              <w:jc w:val="center"/>
              <w:rPr>
                <w:rFonts w:ascii="Arial Narrow" w:hAnsi="Arial Narrow"/>
                <w:b/>
                <w:noProof/>
                <w:color w:val="0000FF"/>
                <w:sz w:val="20"/>
                <w:szCs w:val="20"/>
              </w:rPr>
            </w:pPr>
            <w:r>
              <w:rPr>
                <w:rFonts w:ascii="Arial Narrow" w:hAnsi="Arial Narrow"/>
                <w:noProof/>
                <w:sz w:val="22"/>
              </w:rPr>
              <w:t xml:space="preserve">A többéves pénzügyi keret </w:t>
            </w:r>
            <w:r>
              <w:rPr>
                <w:rFonts w:ascii="Arial Narrow" w:hAnsi="Arial Narrow"/>
                <w:b/>
                <w:noProof/>
                <w:sz w:val="22"/>
              </w:rPr>
              <w:t>5. FEJEZETÉNEK részösszege</w:t>
            </w:r>
          </w:p>
        </w:tc>
        <w:tc>
          <w:tcPr>
            <w:tcW w:w="1186"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0,020</w:t>
            </w:r>
          </w:p>
        </w:tc>
        <w:tc>
          <w:tcPr>
            <w:tcW w:w="1185"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0,010</w:t>
            </w:r>
          </w:p>
        </w:tc>
        <w:tc>
          <w:tcPr>
            <w:tcW w:w="1185" w:type="dxa"/>
            <w:tcBorders>
              <w:top w:val="single" w:sz="12" w:space="0" w:color="auto"/>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8949F5" w:rsidRDefault="008949F5">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8949F5" w:rsidRDefault="004A11FE">
            <w:pPr>
              <w:jc w:val="center"/>
              <w:rPr>
                <w:rFonts w:ascii="Arial Narrow" w:hAnsi="Arial Narrow"/>
                <w:b/>
                <w:noProof/>
                <w:sz w:val="20"/>
                <w:szCs w:val="20"/>
              </w:rPr>
            </w:pPr>
            <w:r>
              <w:rPr>
                <w:rFonts w:ascii="Arial Narrow" w:hAnsi="Arial Narrow"/>
                <w:b/>
                <w:noProof/>
                <w:sz w:val="20"/>
              </w:rPr>
              <w:t>0,060</w:t>
            </w:r>
          </w:p>
        </w:tc>
      </w:tr>
    </w:tbl>
    <w:p w:rsidR="008949F5" w:rsidRDefault="004A11FE">
      <w:pPr>
        <w:rPr>
          <w:noProof/>
          <w:sz w:val="20"/>
          <w:szCs w:val="20"/>
        </w:rPr>
      </w:pPr>
      <w:r>
        <w:rPr>
          <w:b/>
          <w:noProof/>
          <w:color w:val="0000FF"/>
          <w:sz w:val="20"/>
        </w:rPr>
        <w:t>09</w:t>
      </w:r>
      <w:r>
        <w:rPr>
          <w:noProof/>
          <w:sz w:val="20"/>
        </w:rPr>
        <w:t xml:space="preserve"> az érintett szakpolitikai terület vagy költségvetési cím.</w:t>
      </w:r>
    </w:p>
    <w:p w:rsidR="008949F5" w:rsidRDefault="004A11FE">
      <w:pPr>
        <w:ind w:right="-496"/>
        <w:jc w:val="right"/>
        <w:rPr>
          <w:noProof/>
        </w:rPr>
      </w:pPr>
      <w:r>
        <w:rPr>
          <w:noProof/>
        </w:rPr>
        <w:br w:type="page"/>
      </w:r>
    </w:p>
    <w:p w:rsidR="008949F5" w:rsidRDefault="008949F5">
      <w:pPr>
        <w:ind w:right="-496"/>
        <w:jc w:val="right"/>
        <w:rPr>
          <w:noProof/>
        </w:rPr>
      </w:pPr>
    </w:p>
    <w:p w:rsidR="008949F5" w:rsidRDefault="004A11FE">
      <w:pPr>
        <w:ind w:right="-496"/>
        <w:jc w:val="right"/>
        <w:rPr>
          <w:i/>
          <w:iCs/>
          <w:noProof/>
          <w:sz w:val="20"/>
          <w:szCs w:val="20"/>
        </w:rPr>
      </w:pPr>
      <w:r>
        <w:rPr>
          <w:i/>
          <w:noProof/>
          <w:sz w:val="20"/>
        </w:rPr>
        <w:t>millió EUR (három tizedesjegyig)</w:t>
      </w: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3555"/>
        <w:gridCol w:w="1371"/>
      </w:tblGrid>
      <w:tr w:rsidR="008949F5">
        <w:trPr>
          <w:trHeight w:val="289"/>
          <w:jc w:val="center"/>
        </w:trPr>
        <w:tc>
          <w:tcPr>
            <w:tcW w:w="4789" w:type="dxa"/>
          </w:tcPr>
          <w:p w:rsidR="008949F5" w:rsidRDefault="008949F5">
            <w:pPr>
              <w:pStyle w:val="Text1"/>
              <w:spacing w:before="40" w:after="40"/>
              <w:ind w:left="0"/>
              <w:jc w:val="center"/>
              <w:rPr>
                <w:i/>
                <w:noProof/>
                <w:sz w:val="20"/>
                <w:szCs w:val="20"/>
              </w:rPr>
            </w:pPr>
          </w:p>
        </w:tc>
        <w:tc>
          <w:tcPr>
            <w:tcW w:w="1186"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2017</w:t>
            </w:r>
          </w:p>
        </w:tc>
        <w:tc>
          <w:tcPr>
            <w:tcW w:w="1185"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2018</w:t>
            </w:r>
          </w:p>
        </w:tc>
        <w:tc>
          <w:tcPr>
            <w:tcW w:w="1185"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2019</w:t>
            </w:r>
          </w:p>
        </w:tc>
        <w:tc>
          <w:tcPr>
            <w:tcW w:w="1185" w:type="dxa"/>
            <w:vAlign w:val="center"/>
          </w:tcPr>
          <w:p w:rsidR="008949F5" w:rsidRDefault="004A11FE">
            <w:pPr>
              <w:jc w:val="center"/>
              <w:rPr>
                <w:rFonts w:ascii="Arial Narrow" w:hAnsi="Arial Narrow"/>
                <w:noProof/>
                <w:sz w:val="20"/>
                <w:szCs w:val="20"/>
              </w:rPr>
            </w:pPr>
            <w:r>
              <w:rPr>
                <w:rFonts w:ascii="Arial Narrow" w:hAnsi="Arial Narrow"/>
                <w:b/>
                <w:noProof/>
                <w:color w:val="0000FF"/>
                <w:sz w:val="20"/>
              </w:rPr>
              <w:t>2020</w:t>
            </w:r>
          </w:p>
        </w:tc>
        <w:tc>
          <w:tcPr>
            <w:tcW w:w="3555" w:type="dxa"/>
            <w:vAlign w:val="center"/>
          </w:tcPr>
          <w:p w:rsidR="008949F5" w:rsidRDefault="004A11FE">
            <w:pPr>
              <w:jc w:val="center"/>
              <w:rPr>
                <w:rFonts w:ascii="Arial Narrow" w:hAnsi="Arial Narrow"/>
                <w:noProof/>
                <w:sz w:val="20"/>
                <w:szCs w:val="20"/>
              </w:rPr>
            </w:pPr>
            <w:r>
              <w:rPr>
                <w:rFonts w:ascii="Arial Narrow" w:hAnsi="Arial Narrow"/>
                <w:noProof/>
                <w:color w:val="0000FF"/>
                <w:sz w:val="20"/>
              </w:rPr>
              <w:t>...a táblázat a hatás időtartamának megfelelően (vö. 1.6. pont) további évekkel bővíthető</w:t>
            </w:r>
          </w:p>
        </w:tc>
        <w:tc>
          <w:tcPr>
            <w:tcW w:w="1371" w:type="dxa"/>
            <w:vAlign w:val="center"/>
          </w:tcPr>
          <w:p w:rsidR="008949F5" w:rsidRDefault="004A11FE">
            <w:pPr>
              <w:jc w:val="center"/>
              <w:rPr>
                <w:rFonts w:ascii="Arial Narrow" w:hAnsi="Arial Narrow"/>
                <w:b/>
                <w:noProof/>
                <w:sz w:val="20"/>
                <w:szCs w:val="20"/>
              </w:rPr>
            </w:pPr>
            <w:r>
              <w:rPr>
                <w:rFonts w:ascii="Arial Narrow" w:hAnsi="Arial Narrow"/>
                <w:b/>
                <w:noProof/>
                <w:sz w:val="20"/>
              </w:rPr>
              <w:t>ÖSSZESEN</w:t>
            </w:r>
          </w:p>
        </w:tc>
      </w:tr>
    </w:tbl>
    <w:p w:rsidR="008949F5" w:rsidRDefault="008949F5">
      <w:pPr>
        <w:rPr>
          <w:rFonts w:ascii="Arial Narrow" w:hAnsi="Arial Narrow"/>
          <w:noProof/>
          <w:sz w:val="18"/>
          <w:szCs w:val="18"/>
        </w:rPr>
      </w:pPr>
    </w:p>
    <w:tbl>
      <w:tblPr>
        <w:tblW w:w="14456" w:type="dxa"/>
        <w:jc w:val="center"/>
        <w:tblInd w:w="-1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89"/>
        <w:gridCol w:w="1186"/>
        <w:gridCol w:w="1185"/>
        <w:gridCol w:w="1185"/>
        <w:gridCol w:w="1185"/>
        <w:gridCol w:w="1185"/>
        <w:gridCol w:w="1185"/>
        <w:gridCol w:w="1185"/>
        <w:gridCol w:w="1371"/>
      </w:tblGrid>
      <w:tr w:rsidR="008949F5">
        <w:trPr>
          <w:trHeight w:val="289"/>
          <w:jc w:val="center"/>
        </w:trPr>
        <w:tc>
          <w:tcPr>
            <w:tcW w:w="4789" w:type="dxa"/>
            <w:tcBorders>
              <w:top w:val="single" w:sz="12" w:space="0" w:color="auto"/>
            </w:tcBorders>
            <w:shd w:val="clear" w:color="auto" w:fill="D9D9D9"/>
            <w:vAlign w:val="center"/>
          </w:tcPr>
          <w:p w:rsidR="008949F5" w:rsidRDefault="004A11FE">
            <w:pPr>
              <w:pStyle w:val="Text1"/>
              <w:spacing w:before="40" w:after="40"/>
              <w:ind w:left="0"/>
              <w:jc w:val="center"/>
              <w:rPr>
                <w:rFonts w:ascii="Arial Narrow" w:hAnsi="Arial Narrow"/>
                <w:b/>
                <w:noProof/>
                <w:color w:val="0000FF"/>
                <w:sz w:val="20"/>
                <w:szCs w:val="20"/>
              </w:rPr>
            </w:pPr>
            <w:r>
              <w:rPr>
                <w:rFonts w:ascii="Arial Narrow" w:hAnsi="Arial Narrow"/>
                <w:noProof/>
                <w:sz w:val="22"/>
              </w:rPr>
              <w:t xml:space="preserve">A többéves pénzügyi keret </w:t>
            </w:r>
            <w:r>
              <w:rPr>
                <w:rFonts w:ascii="Arial Narrow" w:hAnsi="Arial Narrow"/>
                <w:b/>
                <w:noProof/>
                <w:sz w:val="22"/>
              </w:rPr>
              <w:t>5. FEJEZETÉBE bele nem tartozó előirányzatok</w:t>
            </w:r>
          </w:p>
        </w:tc>
        <w:tc>
          <w:tcPr>
            <w:tcW w:w="1186"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371" w:type="dxa"/>
            <w:tcBorders>
              <w:top w:val="single" w:sz="12" w:space="0" w:color="auto"/>
            </w:tcBorders>
            <w:vAlign w:val="center"/>
          </w:tcPr>
          <w:p w:rsidR="008949F5" w:rsidRDefault="008949F5">
            <w:pPr>
              <w:jc w:val="center"/>
              <w:rPr>
                <w:rFonts w:ascii="Arial Narrow" w:hAnsi="Arial Narrow"/>
                <w:b/>
                <w:noProof/>
                <w:sz w:val="20"/>
                <w:szCs w:val="20"/>
              </w:rPr>
            </w:pPr>
          </w:p>
        </w:tc>
      </w:tr>
      <w:tr w:rsidR="008949F5">
        <w:trPr>
          <w:trHeight w:val="289"/>
          <w:jc w:val="center"/>
        </w:trPr>
        <w:tc>
          <w:tcPr>
            <w:tcW w:w="4789"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0000FF"/>
                <w:sz w:val="20"/>
              </w:rPr>
              <w:t>09</w:t>
            </w:r>
            <w:r>
              <w:rPr>
                <w:noProof/>
              </w:rPr>
              <w:t xml:space="preserve"> 01 04 01 –</w:t>
            </w:r>
            <w:r>
              <w:rPr>
                <w:rFonts w:ascii="Arial Narrow" w:hAnsi="Arial Narrow"/>
                <w:noProof/>
                <w:sz w:val="20"/>
              </w:rPr>
              <w:t xml:space="preserve"> Technikai és igazgatási segítségnyújtás (a külső munkatársakat </w:t>
            </w:r>
            <w:r>
              <w:rPr>
                <w:rFonts w:ascii="Arial Narrow" w:hAnsi="Arial Narrow"/>
                <w:noProof/>
                <w:sz w:val="20"/>
                <w:u w:val="single"/>
              </w:rPr>
              <w:t>nem számítva</w:t>
            </w:r>
            <w:r>
              <w:rPr>
                <w:rFonts w:ascii="Arial Narrow" w:hAnsi="Arial Narrow"/>
                <w:noProof/>
                <w:sz w:val="20"/>
              </w:rPr>
              <w:t>) az operatív előirányzatokból (korábbi BA-tételek)</w:t>
            </w:r>
          </w:p>
        </w:tc>
        <w:tc>
          <w:tcPr>
            <w:tcW w:w="1186" w:type="dxa"/>
            <w:vAlign w:val="center"/>
          </w:tcPr>
          <w:p w:rsidR="008949F5" w:rsidRDefault="004A11FE">
            <w:pPr>
              <w:jc w:val="center"/>
              <w:rPr>
                <w:rFonts w:ascii="Arial Narrow" w:hAnsi="Arial Narrow"/>
                <w:noProof/>
                <w:sz w:val="20"/>
                <w:szCs w:val="20"/>
              </w:rPr>
            </w:pPr>
            <w:r>
              <w:rPr>
                <w:rFonts w:ascii="Arial Narrow" w:hAnsi="Arial Narrow"/>
                <w:noProof/>
                <w:sz w:val="20"/>
              </w:rPr>
              <w:t>0,090</w:t>
            </w:r>
          </w:p>
        </w:tc>
        <w:tc>
          <w:tcPr>
            <w:tcW w:w="1185" w:type="dxa"/>
            <w:vAlign w:val="center"/>
          </w:tcPr>
          <w:p w:rsidR="008949F5" w:rsidRDefault="004A11FE">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8949F5" w:rsidRDefault="004A11FE">
            <w:pPr>
              <w:jc w:val="center"/>
              <w:rPr>
                <w:rFonts w:ascii="Arial Narrow" w:hAnsi="Arial Narrow"/>
                <w:noProof/>
                <w:sz w:val="20"/>
                <w:szCs w:val="20"/>
              </w:rPr>
            </w:pPr>
            <w:r>
              <w:rPr>
                <w:rFonts w:ascii="Arial Narrow" w:hAnsi="Arial Narrow"/>
                <w:noProof/>
                <w:sz w:val="20"/>
              </w:rPr>
              <w:t>0,025</w:t>
            </w:r>
          </w:p>
        </w:tc>
        <w:tc>
          <w:tcPr>
            <w:tcW w:w="1185" w:type="dxa"/>
            <w:vAlign w:val="center"/>
          </w:tcPr>
          <w:p w:rsidR="008949F5" w:rsidRDefault="004A11FE">
            <w:pPr>
              <w:jc w:val="center"/>
              <w:rPr>
                <w:rFonts w:ascii="Arial Narrow" w:hAnsi="Arial Narrow"/>
                <w:noProof/>
                <w:sz w:val="20"/>
                <w:szCs w:val="20"/>
              </w:rPr>
            </w:pPr>
            <w:r>
              <w:rPr>
                <w:rFonts w:ascii="Arial Narrow" w:hAnsi="Arial Narrow"/>
                <w:noProof/>
                <w:sz w:val="20"/>
              </w:rPr>
              <w:t>0,060</w:t>
            </w: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4A11FE">
            <w:pPr>
              <w:jc w:val="center"/>
              <w:rPr>
                <w:rFonts w:ascii="Arial Narrow" w:hAnsi="Arial Narrow"/>
                <w:b/>
                <w:noProof/>
                <w:sz w:val="20"/>
                <w:szCs w:val="20"/>
              </w:rPr>
            </w:pPr>
            <w:r>
              <w:rPr>
                <w:rFonts w:ascii="Arial Narrow" w:hAnsi="Arial Narrow"/>
                <w:b/>
                <w:noProof/>
                <w:sz w:val="20"/>
              </w:rPr>
              <w:t>0,200</w:t>
            </w:r>
          </w:p>
        </w:tc>
      </w:tr>
      <w:tr w:rsidR="008949F5">
        <w:trPr>
          <w:trHeight w:val="289"/>
          <w:jc w:val="center"/>
        </w:trPr>
        <w:tc>
          <w:tcPr>
            <w:tcW w:w="4789" w:type="dxa"/>
            <w:vAlign w:val="center"/>
          </w:tcPr>
          <w:p w:rsidR="008949F5" w:rsidRDefault="004A11FE">
            <w:pPr>
              <w:pStyle w:val="Text1"/>
              <w:spacing w:before="40" w:after="40"/>
              <w:ind w:left="136"/>
              <w:jc w:val="left"/>
              <w:rPr>
                <w:rFonts w:ascii="Arial Narrow" w:hAnsi="Arial Narrow"/>
                <w:noProof/>
                <w:sz w:val="20"/>
                <w:szCs w:val="20"/>
              </w:rPr>
            </w:pPr>
            <w:r>
              <w:rPr>
                <w:rFonts w:ascii="Arial Narrow" w:hAnsi="Arial Narrow"/>
                <w:noProof/>
                <w:sz w:val="20"/>
              </w:rPr>
              <w:t>– a központban</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4789" w:type="dxa"/>
            <w:vAlign w:val="center"/>
          </w:tcPr>
          <w:p w:rsidR="008949F5" w:rsidRDefault="004A11FE">
            <w:pPr>
              <w:pStyle w:val="Text1"/>
              <w:spacing w:before="40" w:after="40"/>
              <w:ind w:left="136"/>
              <w:jc w:val="left"/>
              <w:rPr>
                <w:rFonts w:ascii="Arial Narrow" w:hAnsi="Arial Narrow"/>
                <w:noProof/>
                <w:sz w:val="20"/>
                <w:szCs w:val="20"/>
              </w:rPr>
            </w:pPr>
            <w:r>
              <w:rPr>
                <w:rFonts w:ascii="Arial Narrow" w:hAnsi="Arial Narrow"/>
                <w:noProof/>
                <w:sz w:val="20"/>
              </w:rPr>
              <w:t>– uniós küldöttségeknél</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4789" w:type="dxa"/>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b/>
                <w:noProof/>
                <w:color w:val="0000FF"/>
                <w:sz w:val="20"/>
              </w:rPr>
              <w:t>XX</w:t>
            </w:r>
            <w:r>
              <w:rPr>
                <w:noProof/>
              </w:rPr>
              <w:t xml:space="preserve"> 01 05 03 – A közvetett kutatással kapcsolatos egyéb igazgatási kiadások</w:t>
            </w:r>
          </w:p>
        </w:tc>
        <w:tc>
          <w:tcPr>
            <w:tcW w:w="1186"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185" w:type="dxa"/>
            <w:vAlign w:val="center"/>
          </w:tcPr>
          <w:p w:rsidR="008949F5" w:rsidRDefault="008949F5">
            <w:pPr>
              <w:jc w:val="center"/>
              <w:rPr>
                <w:rFonts w:ascii="Arial Narrow" w:hAnsi="Arial Narrow"/>
                <w:noProof/>
                <w:sz w:val="20"/>
                <w:szCs w:val="20"/>
              </w:rPr>
            </w:pPr>
          </w:p>
        </w:tc>
        <w:tc>
          <w:tcPr>
            <w:tcW w:w="1371" w:type="dxa"/>
            <w:vAlign w:val="center"/>
          </w:tcPr>
          <w:p w:rsidR="008949F5" w:rsidRDefault="008949F5">
            <w:pPr>
              <w:jc w:val="center"/>
              <w:rPr>
                <w:rFonts w:ascii="Arial Narrow" w:hAnsi="Arial Narrow"/>
                <w:b/>
                <w:noProof/>
                <w:sz w:val="20"/>
                <w:szCs w:val="20"/>
              </w:rPr>
            </w:pPr>
          </w:p>
        </w:tc>
      </w:tr>
      <w:tr w:rsidR="008949F5">
        <w:trPr>
          <w:trHeight w:val="289"/>
          <w:jc w:val="center"/>
        </w:trPr>
        <w:tc>
          <w:tcPr>
            <w:tcW w:w="4789" w:type="dxa"/>
            <w:tcBorders>
              <w:bottom w:val="single" w:sz="12" w:space="0" w:color="auto"/>
            </w:tcBorders>
            <w:vAlign w:val="center"/>
          </w:tcPr>
          <w:p w:rsidR="008949F5" w:rsidRDefault="004A11FE">
            <w:pPr>
              <w:pStyle w:val="Text1"/>
              <w:spacing w:before="40" w:after="40"/>
              <w:ind w:left="0"/>
              <w:jc w:val="left"/>
              <w:rPr>
                <w:rFonts w:ascii="Arial Narrow" w:hAnsi="Arial Narrow"/>
                <w:noProof/>
                <w:sz w:val="20"/>
                <w:szCs w:val="20"/>
              </w:rPr>
            </w:pPr>
            <w:r>
              <w:rPr>
                <w:rFonts w:ascii="Arial Narrow" w:hAnsi="Arial Narrow"/>
                <w:noProof/>
                <w:sz w:val="20"/>
              </w:rPr>
              <w:t>10 01 05 03 – A közvetlen kutatással kapcsolatos egyéb igazgatási kiadások</w:t>
            </w:r>
          </w:p>
        </w:tc>
        <w:tc>
          <w:tcPr>
            <w:tcW w:w="1186"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371" w:type="dxa"/>
            <w:tcBorders>
              <w:bottom w:val="single" w:sz="12" w:space="0" w:color="auto"/>
            </w:tcBorders>
            <w:vAlign w:val="center"/>
          </w:tcPr>
          <w:p w:rsidR="008949F5" w:rsidRDefault="008949F5">
            <w:pPr>
              <w:jc w:val="center"/>
              <w:rPr>
                <w:rFonts w:ascii="Arial Narrow" w:hAnsi="Arial Narrow"/>
                <w:b/>
                <w:noProof/>
                <w:sz w:val="20"/>
                <w:szCs w:val="20"/>
              </w:rPr>
            </w:pPr>
          </w:p>
        </w:tc>
      </w:tr>
      <w:tr w:rsidR="008949F5">
        <w:trPr>
          <w:trHeight w:val="289"/>
          <w:jc w:val="center"/>
        </w:trPr>
        <w:tc>
          <w:tcPr>
            <w:tcW w:w="4789" w:type="dxa"/>
            <w:tcBorders>
              <w:bottom w:val="single" w:sz="12" w:space="0" w:color="auto"/>
            </w:tcBorders>
            <w:vAlign w:val="center"/>
          </w:tcPr>
          <w:p w:rsidR="008949F5" w:rsidRDefault="004A11FE">
            <w:pPr>
              <w:pStyle w:val="Text1"/>
              <w:spacing w:before="40" w:after="40"/>
              <w:ind w:left="0"/>
              <w:jc w:val="left"/>
              <w:rPr>
                <w:rFonts w:ascii="Arial Narrow" w:hAnsi="Arial Narrow"/>
                <w:b/>
                <w:noProof/>
                <w:sz w:val="20"/>
                <w:szCs w:val="20"/>
              </w:rPr>
            </w:pPr>
            <w:r>
              <w:rPr>
                <w:rFonts w:ascii="Arial Narrow" w:hAnsi="Arial Narrow"/>
                <w:noProof/>
                <w:sz w:val="20"/>
              </w:rPr>
              <w:t>Egyéb költségvetési tétel (</w:t>
            </w:r>
            <w:r>
              <w:rPr>
                <w:rFonts w:ascii="Arial Narrow" w:hAnsi="Arial Narrow"/>
                <w:i/>
                <w:noProof/>
                <w:sz w:val="20"/>
              </w:rPr>
              <w:t>kérjük megnevezni</w:t>
            </w:r>
            <w:r>
              <w:rPr>
                <w:rFonts w:ascii="Arial Narrow" w:hAnsi="Arial Narrow"/>
                <w:noProof/>
                <w:sz w:val="20"/>
              </w:rPr>
              <w:t>)</w:t>
            </w:r>
          </w:p>
        </w:tc>
        <w:tc>
          <w:tcPr>
            <w:tcW w:w="1186"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bottom w:val="single" w:sz="12" w:space="0" w:color="auto"/>
            </w:tcBorders>
            <w:vAlign w:val="center"/>
          </w:tcPr>
          <w:p w:rsidR="008949F5" w:rsidRDefault="008949F5">
            <w:pPr>
              <w:jc w:val="center"/>
              <w:rPr>
                <w:rFonts w:ascii="Arial Narrow" w:hAnsi="Arial Narrow"/>
                <w:noProof/>
                <w:sz w:val="20"/>
                <w:szCs w:val="20"/>
              </w:rPr>
            </w:pPr>
          </w:p>
        </w:tc>
        <w:tc>
          <w:tcPr>
            <w:tcW w:w="1371" w:type="dxa"/>
            <w:tcBorders>
              <w:bottom w:val="single" w:sz="12" w:space="0" w:color="auto"/>
            </w:tcBorders>
            <w:vAlign w:val="center"/>
          </w:tcPr>
          <w:p w:rsidR="008949F5" w:rsidRDefault="008949F5">
            <w:pPr>
              <w:jc w:val="center"/>
              <w:rPr>
                <w:rFonts w:ascii="Arial Narrow" w:hAnsi="Arial Narrow"/>
                <w:b/>
                <w:noProof/>
                <w:sz w:val="20"/>
                <w:szCs w:val="20"/>
              </w:rPr>
            </w:pPr>
          </w:p>
        </w:tc>
      </w:tr>
      <w:tr w:rsidR="008949F5">
        <w:trPr>
          <w:trHeight w:val="289"/>
          <w:jc w:val="center"/>
        </w:trPr>
        <w:tc>
          <w:tcPr>
            <w:tcW w:w="4789" w:type="dxa"/>
            <w:tcBorders>
              <w:top w:val="single" w:sz="12" w:space="0" w:color="auto"/>
              <w:left w:val="single" w:sz="12" w:space="0" w:color="auto"/>
              <w:bottom w:val="single" w:sz="12" w:space="0" w:color="auto"/>
            </w:tcBorders>
            <w:vAlign w:val="center"/>
          </w:tcPr>
          <w:p w:rsidR="008949F5" w:rsidRDefault="004A11FE">
            <w:pPr>
              <w:pStyle w:val="Text1"/>
              <w:spacing w:before="20" w:after="20"/>
              <w:ind w:left="0"/>
              <w:jc w:val="center"/>
              <w:rPr>
                <w:rFonts w:ascii="Arial Narrow" w:hAnsi="Arial Narrow"/>
                <w:b/>
                <w:noProof/>
                <w:color w:val="0000FF"/>
                <w:sz w:val="20"/>
                <w:szCs w:val="20"/>
              </w:rPr>
            </w:pPr>
            <w:r>
              <w:rPr>
                <w:rFonts w:ascii="Arial Narrow" w:hAnsi="Arial Narrow"/>
                <w:noProof/>
                <w:sz w:val="22"/>
              </w:rPr>
              <w:t xml:space="preserve">A többéves pénzügyi keret </w:t>
            </w:r>
            <w:r>
              <w:rPr>
                <w:rFonts w:ascii="Arial Narrow" w:hAnsi="Arial Narrow"/>
                <w:b/>
                <w:noProof/>
                <w:sz w:val="22"/>
              </w:rPr>
              <w:t xml:space="preserve">5. </w:t>
            </w:r>
            <w:r>
              <w:rPr>
                <w:rFonts w:ascii="Arial Narrow" w:hAnsi="Arial Narrow"/>
                <w:b/>
                <w:noProof/>
                <w:sz w:val="22"/>
              </w:rPr>
              <w:t>FEJEZETÉBE bele nem tartozó előirányzatok részösszege</w:t>
            </w:r>
          </w:p>
        </w:tc>
        <w:tc>
          <w:tcPr>
            <w:tcW w:w="1186"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0,090</w:t>
            </w:r>
          </w:p>
        </w:tc>
        <w:tc>
          <w:tcPr>
            <w:tcW w:w="1185"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0,025</w:t>
            </w:r>
          </w:p>
        </w:tc>
        <w:tc>
          <w:tcPr>
            <w:tcW w:w="1185" w:type="dxa"/>
            <w:tcBorders>
              <w:top w:val="single" w:sz="12" w:space="0" w:color="auto"/>
              <w:bottom w:val="single" w:sz="12" w:space="0" w:color="auto"/>
            </w:tcBorders>
            <w:vAlign w:val="center"/>
          </w:tcPr>
          <w:p w:rsidR="008949F5" w:rsidRDefault="004A11FE">
            <w:pPr>
              <w:jc w:val="center"/>
              <w:rPr>
                <w:rFonts w:ascii="Arial Narrow" w:hAnsi="Arial Narrow"/>
                <w:noProof/>
                <w:sz w:val="20"/>
                <w:szCs w:val="20"/>
              </w:rPr>
            </w:pPr>
            <w:r>
              <w:rPr>
                <w:rFonts w:ascii="Arial Narrow" w:hAnsi="Arial Narrow"/>
                <w:noProof/>
                <w:sz w:val="20"/>
              </w:rPr>
              <w:t>0,060</w:t>
            </w:r>
          </w:p>
        </w:tc>
        <w:tc>
          <w:tcPr>
            <w:tcW w:w="1185" w:type="dxa"/>
            <w:tcBorders>
              <w:top w:val="single" w:sz="12" w:space="0" w:color="auto"/>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bottom w:val="single" w:sz="12" w:space="0" w:color="auto"/>
            </w:tcBorders>
            <w:vAlign w:val="center"/>
          </w:tcPr>
          <w:p w:rsidR="008949F5" w:rsidRDefault="008949F5">
            <w:pPr>
              <w:jc w:val="center"/>
              <w:rPr>
                <w:rFonts w:ascii="Arial Narrow" w:hAnsi="Arial Narrow"/>
                <w:noProof/>
                <w:sz w:val="20"/>
                <w:szCs w:val="20"/>
              </w:rPr>
            </w:pPr>
          </w:p>
        </w:tc>
        <w:tc>
          <w:tcPr>
            <w:tcW w:w="1371" w:type="dxa"/>
            <w:tcBorders>
              <w:top w:val="single" w:sz="12" w:space="0" w:color="auto"/>
              <w:bottom w:val="single" w:sz="12" w:space="0" w:color="auto"/>
              <w:right w:val="single" w:sz="12" w:space="0" w:color="auto"/>
            </w:tcBorders>
            <w:vAlign w:val="center"/>
          </w:tcPr>
          <w:p w:rsidR="008949F5" w:rsidRDefault="004A11FE">
            <w:pPr>
              <w:jc w:val="center"/>
              <w:rPr>
                <w:rFonts w:ascii="Arial Narrow" w:hAnsi="Arial Narrow"/>
                <w:b/>
                <w:noProof/>
                <w:sz w:val="20"/>
                <w:szCs w:val="20"/>
              </w:rPr>
            </w:pPr>
            <w:r>
              <w:rPr>
                <w:rFonts w:ascii="Arial Narrow" w:hAnsi="Arial Narrow"/>
                <w:b/>
                <w:noProof/>
                <w:sz w:val="20"/>
              </w:rPr>
              <w:t>0,200</w:t>
            </w:r>
          </w:p>
        </w:tc>
      </w:tr>
    </w:tbl>
    <w:p w:rsidR="008949F5" w:rsidRDefault="004A11FE">
      <w:pPr>
        <w:spacing w:before="60"/>
        <w:rPr>
          <w:noProof/>
          <w:sz w:val="20"/>
          <w:szCs w:val="20"/>
        </w:rPr>
      </w:pPr>
      <w:r>
        <w:rPr>
          <w:b/>
          <w:noProof/>
          <w:color w:val="0000FF"/>
          <w:sz w:val="20"/>
        </w:rPr>
        <w:t>XX</w:t>
      </w:r>
      <w:r>
        <w:rPr>
          <w:noProof/>
        </w:rPr>
        <w:t xml:space="preserve"> az érintett szakpolitikai terület vagy költségvetési cím.</w:t>
      </w:r>
    </w:p>
    <w:p w:rsidR="008949F5" w:rsidRDefault="008949F5">
      <w:pPr>
        <w:rPr>
          <w:noProof/>
          <w:sz w:val="18"/>
          <w:szCs w:val="18"/>
        </w:rPr>
      </w:pPr>
    </w:p>
    <w:p w:rsidR="008949F5" w:rsidRDefault="008949F5">
      <w:pPr>
        <w:rPr>
          <w:rFonts w:ascii="Arial Narrow" w:hAnsi="Arial Narrow"/>
          <w:noProof/>
          <w:sz w:val="18"/>
          <w:szCs w:val="18"/>
        </w:rPr>
      </w:pPr>
    </w:p>
    <w:p w:rsidR="008949F5" w:rsidRDefault="008949F5">
      <w:pPr>
        <w:rPr>
          <w:rFonts w:ascii="Arial Narrow" w:hAnsi="Arial Narrow"/>
          <w:noProof/>
          <w:sz w:val="18"/>
          <w:szCs w:val="18"/>
        </w:rPr>
      </w:pPr>
    </w:p>
    <w:tbl>
      <w:tblPr>
        <w:tblW w:w="14568" w:type="dxa"/>
        <w:jc w:val="center"/>
        <w:tblInd w:w="-1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01"/>
        <w:gridCol w:w="1186"/>
        <w:gridCol w:w="1185"/>
        <w:gridCol w:w="1185"/>
        <w:gridCol w:w="1185"/>
        <w:gridCol w:w="1185"/>
        <w:gridCol w:w="1185"/>
        <w:gridCol w:w="1185"/>
        <w:gridCol w:w="1371"/>
      </w:tblGrid>
      <w:tr w:rsidR="008949F5">
        <w:trPr>
          <w:trHeight w:val="289"/>
          <w:jc w:val="center"/>
        </w:trPr>
        <w:tc>
          <w:tcPr>
            <w:tcW w:w="4901" w:type="dxa"/>
            <w:tcBorders>
              <w:top w:val="single" w:sz="12" w:space="0" w:color="auto"/>
            </w:tcBorders>
            <w:vAlign w:val="center"/>
          </w:tcPr>
          <w:p w:rsidR="008949F5" w:rsidRDefault="004A11FE">
            <w:pPr>
              <w:pStyle w:val="Text1"/>
              <w:spacing w:after="0"/>
              <w:ind w:left="0"/>
              <w:jc w:val="center"/>
              <w:rPr>
                <w:rFonts w:ascii="Arial Narrow" w:hAnsi="Arial Narrow"/>
                <w:b/>
                <w:noProof/>
                <w:sz w:val="22"/>
              </w:rPr>
            </w:pPr>
            <w:r>
              <w:rPr>
                <w:rFonts w:ascii="Arial Narrow" w:hAnsi="Arial Narrow"/>
                <w:b/>
                <w:noProof/>
                <w:sz w:val="22"/>
              </w:rPr>
              <w:t>ÖSSZESEN</w:t>
            </w:r>
          </w:p>
          <w:p w:rsidR="008949F5" w:rsidRDefault="004A11FE">
            <w:pPr>
              <w:pStyle w:val="Text1"/>
              <w:spacing w:before="0"/>
              <w:ind w:left="0"/>
              <w:jc w:val="center"/>
              <w:rPr>
                <w:rFonts w:ascii="Arial Narrow" w:hAnsi="Arial Narrow"/>
                <w:b/>
                <w:noProof/>
                <w:sz w:val="22"/>
              </w:rPr>
            </w:pPr>
            <w:r>
              <w:rPr>
                <w:rFonts w:ascii="Arial Narrow" w:hAnsi="Arial Narrow"/>
                <w:noProof/>
                <w:sz w:val="22"/>
              </w:rPr>
              <w:t xml:space="preserve">A többéves pénzügyi keret </w:t>
            </w:r>
            <w:r>
              <w:rPr>
                <w:rFonts w:ascii="Arial Narrow" w:hAnsi="Arial Narrow"/>
                <w:b/>
                <w:noProof/>
                <w:sz w:val="22"/>
              </w:rPr>
              <w:t>5. FEJEZETÉBE beletartozó és bele nem tartozó előirányzatok</w:t>
            </w:r>
          </w:p>
        </w:tc>
        <w:tc>
          <w:tcPr>
            <w:tcW w:w="1186" w:type="dxa"/>
            <w:tcBorders>
              <w:top w:val="single" w:sz="12" w:space="0" w:color="auto"/>
            </w:tcBorders>
            <w:vAlign w:val="bottom"/>
          </w:tcPr>
          <w:p w:rsidR="008949F5" w:rsidRDefault="004A11FE">
            <w:pPr>
              <w:jc w:val="center"/>
              <w:rPr>
                <w:rFonts w:ascii="Arial Narrow" w:hAnsi="Arial Narrow"/>
                <w:noProof/>
                <w:sz w:val="20"/>
                <w:szCs w:val="20"/>
              </w:rPr>
            </w:pPr>
            <w:r>
              <w:rPr>
                <w:rFonts w:ascii="Arial" w:hAnsi="Arial"/>
                <w:noProof/>
                <w:color w:val="000000"/>
                <w:sz w:val="20"/>
              </w:rPr>
              <w:t>0,314</w:t>
            </w:r>
          </w:p>
        </w:tc>
        <w:tc>
          <w:tcPr>
            <w:tcW w:w="1185" w:type="dxa"/>
            <w:tcBorders>
              <w:top w:val="single" w:sz="12" w:space="0" w:color="auto"/>
            </w:tcBorders>
            <w:vAlign w:val="bottom"/>
          </w:tcPr>
          <w:p w:rsidR="008949F5" w:rsidRDefault="004A11FE">
            <w:pPr>
              <w:jc w:val="center"/>
              <w:rPr>
                <w:rFonts w:ascii="Arial Narrow" w:hAnsi="Arial Narrow"/>
                <w:noProof/>
                <w:sz w:val="20"/>
                <w:szCs w:val="20"/>
              </w:rPr>
            </w:pPr>
            <w:r>
              <w:rPr>
                <w:rFonts w:ascii="Arial" w:hAnsi="Arial"/>
                <w:noProof/>
                <w:color w:val="000000"/>
                <w:sz w:val="20"/>
              </w:rPr>
              <w:t>0,249</w:t>
            </w:r>
          </w:p>
        </w:tc>
        <w:tc>
          <w:tcPr>
            <w:tcW w:w="1185" w:type="dxa"/>
            <w:tcBorders>
              <w:top w:val="single" w:sz="12" w:space="0" w:color="auto"/>
            </w:tcBorders>
            <w:vAlign w:val="bottom"/>
          </w:tcPr>
          <w:p w:rsidR="008949F5" w:rsidRDefault="004A11FE">
            <w:pPr>
              <w:jc w:val="center"/>
              <w:rPr>
                <w:rFonts w:ascii="Arial Narrow" w:hAnsi="Arial Narrow"/>
                <w:noProof/>
                <w:sz w:val="20"/>
                <w:szCs w:val="20"/>
              </w:rPr>
            </w:pPr>
            <w:r>
              <w:rPr>
                <w:rFonts w:ascii="Arial" w:hAnsi="Arial"/>
                <w:noProof/>
                <w:color w:val="000000"/>
                <w:sz w:val="20"/>
              </w:rPr>
              <w:t>0,239</w:t>
            </w:r>
          </w:p>
        </w:tc>
        <w:tc>
          <w:tcPr>
            <w:tcW w:w="1185" w:type="dxa"/>
            <w:tcBorders>
              <w:top w:val="single" w:sz="12" w:space="0" w:color="auto"/>
            </w:tcBorders>
            <w:vAlign w:val="bottom"/>
          </w:tcPr>
          <w:p w:rsidR="008949F5" w:rsidRDefault="004A11FE">
            <w:pPr>
              <w:jc w:val="center"/>
              <w:rPr>
                <w:rFonts w:ascii="Arial Narrow" w:hAnsi="Arial Narrow"/>
                <w:noProof/>
                <w:sz w:val="20"/>
                <w:szCs w:val="20"/>
              </w:rPr>
            </w:pPr>
            <w:r>
              <w:rPr>
                <w:rFonts w:ascii="Arial" w:hAnsi="Arial"/>
                <w:noProof/>
                <w:color w:val="000000"/>
                <w:sz w:val="20"/>
              </w:rPr>
              <w:t>0,274</w:t>
            </w: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185" w:type="dxa"/>
            <w:tcBorders>
              <w:top w:val="single" w:sz="12" w:space="0" w:color="auto"/>
            </w:tcBorders>
            <w:vAlign w:val="center"/>
          </w:tcPr>
          <w:p w:rsidR="008949F5" w:rsidRDefault="008949F5">
            <w:pPr>
              <w:jc w:val="center"/>
              <w:rPr>
                <w:rFonts w:ascii="Arial Narrow" w:hAnsi="Arial Narrow"/>
                <w:noProof/>
                <w:sz w:val="20"/>
                <w:szCs w:val="20"/>
              </w:rPr>
            </w:pPr>
          </w:p>
        </w:tc>
        <w:tc>
          <w:tcPr>
            <w:tcW w:w="1371" w:type="dxa"/>
            <w:tcBorders>
              <w:top w:val="single" w:sz="12" w:space="0" w:color="auto"/>
            </w:tcBorders>
            <w:vAlign w:val="center"/>
          </w:tcPr>
          <w:p w:rsidR="008949F5" w:rsidRDefault="004A11FE">
            <w:pPr>
              <w:jc w:val="center"/>
              <w:rPr>
                <w:rFonts w:ascii="Arial Narrow" w:hAnsi="Arial Narrow"/>
                <w:b/>
                <w:noProof/>
                <w:sz w:val="20"/>
                <w:szCs w:val="20"/>
              </w:rPr>
            </w:pPr>
            <w:r>
              <w:rPr>
                <w:rFonts w:ascii="Arial Narrow" w:hAnsi="Arial Narrow"/>
                <w:b/>
                <w:noProof/>
                <w:sz w:val="20"/>
              </w:rPr>
              <w:t>1,076</w:t>
            </w:r>
          </w:p>
        </w:tc>
      </w:tr>
    </w:tbl>
    <w:p w:rsidR="008949F5" w:rsidRDefault="008949F5">
      <w:pPr>
        <w:spacing w:before="60"/>
        <w:ind w:left="-360" w:firstLine="900"/>
        <w:jc w:val="center"/>
        <w:rPr>
          <w:noProof/>
          <w:sz w:val="20"/>
          <w:szCs w:val="20"/>
        </w:rPr>
      </w:pPr>
    </w:p>
    <w:p w:rsidR="008949F5" w:rsidRDefault="008949F5">
      <w:pPr>
        <w:spacing w:before="60"/>
        <w:ind w:left="-360" w:firstLine="900"/>
        <w:jc w:val="center"/>
        <w:rPr>
          <w:noProof/>
          <w:sz w:val="20"/>
          <w:szCs w:val="20"/>
        </w:rPr>
      </w:pPr>
    </w:p>
    <w:p w:rsidR="008949F5" w:rsidRDefault="004A11FE">
      <w:pPr>
        <w:pStyle w:val="Text2"/>
        <w:spacing w:before="0" w:after="0"/>
        <w:ind w:left="0"/>
        <w:jc w:val="center"/>
        <w:rPr>
          <w:iCs/>
          <w:noProof/>
          <w:sz w:val="18"/>
          <w:szCs w:val="18"/>
        </w:rPr>
      </w:pPr>
      <w:r>
        <w:rPr>
          <w:noProof/>
          <w:sz w:val="18"/>
        </w:rPr>
        <w:t xml:space="preserve">A szükséges igazgatási előirányzatokat a fellépés irányításához rendelt és/vagy az adott főigazgatóságon belül átcsoportosított előirányzatokkal biztosítják. Az előirányzatok adott esetben a meglévő költségvetési korlátok </w:t>
      </w:r>
      <w:r>
        <w:rPr>
          <w:noProof/>
          <w:sz w:val="18"/>
        </w:rPr>
        <w:t>betartása mellett kiegészíthetők az éves elosztási eljárás keretében az irányító főigazgatósághoz rendelt további juttatásokkal.</w:t>
      </w:r>
    </w:p>
    <w:p w:rsidR="008949F5" w:rsidRDefault="008949F5">
      <w:pPr>
        <w:spacing w:before="60"/>
        <w:ind w:left="-360" w:firstLine="900"/>
        <w:rPr>
          <w:noProof/>
          <w:sz w:val="20"/>
          <w:szCs w:val="20"/>
        </w:rPr>
      </w:pPr>
    </w:p>
    <w:p w:rsidR="008949F5" w:rsidRDefault="008949F5">
      <w:pPr>
        <w:keepNext/>
        <w:spacing w:before="240" w:after="0"/>
        <w:rPr>
          <w:noProof/>
        </w:rPr>
        <w:sectPr w:rsidR="008949F5" w:rsidSect="004A11FE">
          <w:pgSz w:w="15840" w:h="12240" w:orient="landscape" w:code="1"/>
          <w:pgMar w:top="1418" w:right="1247" w:bottom="1418" w:left="1247" w:header="709" w:footer="709" w:gutter="0"/>
          <w:cols w:space="708"/>
          <w:docGrid w:linePitch="360"/>
        </w:sectPr>
      </w:pPr>
    </w:p>
    <w:p w:rsidR="008949F5" w:rsidRDefault="004A11FE">
      <w:pPr>
        <w:pStyle w:val="ManualHeading1"/>
        <w:rPr>
          <w:noProof/>
        </w:rPr>
      </w:pPr>
      <w:r>
        <w:t>3.</w:t>
      </w:r>
      <w:r>
        <w:tab/>
      </w:r>
      <w:r>
        <w:rPr>
          <w:noProof/>
        </w:rPr>
        <w:t>A költségek kiszámítására használt módszerek</w:t>
      </w:r>
    </w:p>
    <w:p w:rsidR="008949F5" w:rsidRDefault="004A11FE">
      <w:pPr>
        <w:pStyle w:val="ManualHeading2"/>
        <w:rPr>
          <w:noProof/>
          <w:szCs w:val="28"/>
        </w:rPr>
      </w:pPr>
      <w:r>
        <w:t>3.1.</w:t>
      </w:r>
      <w:r>
        <w:tab/>
      </w:r>
      <w:r>
        <w:rPr>
          <w:noProof/>
        </w:rPr>
        <w:t xml:space="preserve"> Humánerőforrás</w:t>
      </w:r>
    </w:p>
    <w:p w:rsidR="008949F5" w:rsidRDefault="008949F5">
      <w:pPr>
        <w:ind w:left="-357" w:firstLine="902"/>
        <w:rPr>
          <w:noProof/>
          <w:sz w:val="20"/>
          <w:szCs w:val="20"/>
        </w:rPr>
      </w:pPr>
    </w:p>
    <w:p w:rsidR="008949F5" w:rsidRDefault="008949F5">
      <w:pPr>
        <w:spacing w:after="60"/>
        <w:jc w:val="center"/>
        <w:rPr>
          <w:i/>
          <w:noProof/>
          <w:sz w:val="20"/>
          <w:szCs w:val="20"/>
        </w:rPr>
      </w:pPr>
    </w:p>
    <w:p w:rsidR="008949F5" w:rsidRDefault="004A11FE">
      <w:pPr>
        <w:spacing w:after="60"/>
        <w:jc w:val="center"/>
        <w:rPr>
          <w:i/>
          <w:noProof/>
          <w:sz w:val="20"/>
          <w:szCs w:val="20"/>
        </w:rPr>
      </w:pPr>
      <w:r>
        <w:rPr>
          <w:i/>
          <w:noProof/>
          <w:sz w:val="20"/>
        </w:rPr>
        <w:t>Ez a rész ismerteti a szükség</w:t>
      </w:r>
      <w:r>
        <w:rPr>
          <w:i/>
          <w:noProof/>
          <w:sz w:val="20"/>
        </w:rPr>
        <w:t>esnek tartott humán erőforrások becslésére használt számítási módszert (a munkateherre vonatkozó feltevések, beleértve a konkrét álláshelyeket (Sysper 2 munkakörök), a személyzeti kategóriákat és az azoknak megfelelő átlagos költségeket)</w:t>
      </w:r>
    </w:p>
    <w:p w:rsidR="008949F5" w:rsidRDefault="008949F5">
      <w:pPr>
        <w:spacing w:after="60"/>
        <w:ind w:left="540"/>
        <w:jc w:val="center"/>
        <w:rPr>
          <w:i/>
          <w:noProof/>
          <w:sz w:val="20"/>
          <w:szCs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8949F5">
        <w:trPr>
          <w:jc w:val="center"/>
        </w:trPr>
        <w:tc>
          <w:tcPr>
            <w:tcW w:w="12474" w:type="dxa"/>
            <w:tcBorders>
              <w:top w:val="single" w:sz="4" w:space="0" w:color="auto"/>
            </w:tcBorders>
          </w:tcPr>
          <w:p w:rsidR="008949F5" w:rsidRDefault="004A11FE">
            <w:pPr>
              <w:pStyle w:val="Text2"/>
              <w:spacing w:before="60" w:after="60"/>
              <w:ind w:left="0"/>
              <w:jc w:val="left"/>
              <w:rPr>
                <w:rFonts w:ascii="Arial Narrow" w:hAnsi="Arial Narrow"/>
                <w:b/>
                <w:noProof/>
                <w:sz w:val="22"/>
              </w:rPr>
            </w:pPr>
            <w:r>
              <w:rPr>
                <w:rFonts w:ascii="Arial Narrow" w:hAnsi="Arial Narrow"/>
                <w:noProof/>
                <w:sz w:val="22"/>
              </w:rPr>
              <w:t>A többéves pénzüg</w:t>
            </w:r>
            <w:r>
              <w:rPr>
                <w:rFonts w:ascii="Arial Narrow" w:hAnsi="Arial Narrow"/>
                <w:noProof/>
                <w:sz w:val="22"/>
              </w:rPr>
              <w:t xml:space="preserve">yi keret </w:t>
            </w:r>
            <w:r>
              <w:rPr>
                <w:rFonts w:ascii="Arial Narrow" w:hAnsi="Arial Narrow"/>
                <w:b/>
                <w:noProof/>
                <w:sz w:val="22"/>
              </w:rPr>
              <w:t>5. FEJEZETE</w:t>
            </w:r>
          </w:p>
        </w:tc>
      </w:tr>
      <w:tr w:rsidR="008949F5">
        <w:trPr>
          <w:jc w:val="center"/>
        </w:trPr>
        <w:tc>
          <w:tcPr>
            <w:tcW w:w="12474" w:type="dxa"/>
          </w:tcPr>
          <w:p w:rsidR="008949F5" w:rsidRDefault="004A11FE">
            <w:pPr>
              <w:pStyle w:val="Text2"/>
              <w:spacing w:before="20" w:after="20"/>
              <w:ind w:left="0"/>
              <w:jc w:val="center"/>
              <w:rPr>
                <w:rFonts w:ascii="Arial Narrow" w:hAnsi="Arial Narrow"/>
                <w:noProof/>
                <w:sz w:val="18"/>
                <w:szCs w:val="18"/>
              </w:rPr>
            </w:pPr>
            <w:r>
              <w:rPr>
                <w:rFonts w:ascii="Arial Narrow" w:hAnsi="Arial Narrow"/>
                <w:noProof/>
                <w:sz w:val="18"/>
                <w:u w:val="single"/>
              </w:rPr>
              <w:t>NB:</w:t>
            </w:r>
            <w:r>
              <w:rPr>
                <w:rFonts w:ascii="Arial Narrow" w:hAnsi="Arial Narrow"/>
                <w:noProof/>
                <w:sz w:val="18"/>
              </w:rPr>
              <w:t xml:space="preserve"> A központban foglalkoztatott egyes személyzeti kategóriák átlagköltségei a Költségvetési Főigazgatóság honlapján érhetők el:</w:t>
            </w:r>
          </w:p>
          <w:p w:rsidR="008949F5" w:rsidRDefault="004A11FE">
            <w:pPr>
              <w:pStyle w:val="Text2"/>
              <w:spacing w:before="0" w:after="20"/>
              <w:ind w:left="0"/>
              <w:jc w:val="center"/>
              <w:rPr>
                <w:rFonts w:ascii="Arial Narrow" w:hAnsi="Arial Narrow"/>
                <w:noProof/>
                <w:sz w:val="18"/>
                <w:szCs w:val="18"/>
              </w:rPr>
            </w:pPr>
            <w:hyperlink r:id="rId31">
              <w:r>
                <w:rPr>
                  <w:rStyle w:val="Hyperlink"/>
                  <w:rFonts w:ascii="Arial Narrow" w:hAnsi="Arial Narrow"/>
                  <w:noProof/>
                  <w:sz w:val="18"/>
                </w:rPr>
                <w:t>https://myintracomm.ec.europa.eu/budgweb/EN/pre/legalbasis/Pages/pre-040-020_preparation.aspx</w:t>
              </w:r>
            </w:hyperlink>
          </w:p>
        </w:tc>
      </w:tr>
      <w:tr w:rsidR="008949F5">
        <w:trPr>
          <w:jc w:val="center"/>
        </w:trPr>
        <w:tc>
          <w:tcPr>
            <w:tcW w:w="12474" w:type="dxa"/>
          </w:tcPr>
          <w:p w:rsidR="008949F5" w:rsidRDefault="004A11FE">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Tisztviselők és ideiglenes alkalmazottak</w:t>
            </w:r>
          </w:p>
          <w:p w:rsidR="008949F5" w:rsidRDefault="008949F5">
            <w:pPr>
              <w:pStyle w:val="Text2"/>
              <w:spacing w:before="0" w:after="0"/>
              <w:ind w:left="0"/>
              <w:rPr>
                <w:rFonts w:ascii="Arial Narrow" w:hAnsi="Arial Narrow"/>
                <w:noProof/>
                <w:sz w:val="20"/>
                <w:szCs w:val="20"/>
                <w:u w:val="single"/>
              </w:rPr>
            </w:pPr>
          </w:p>
          <w:p w:rsidR="008949F5" w:rsidRDefault="004A11FE">
            <w:pPr>
              <w:pStyle w:val="Text2"/>
              <w:spacing w:before="0" w:after="0"/>
              <w:ind w:left="0"/>
              <w:rPr>
                <w:rFonts w:ascii="Arial Narrow" w:hAnsi="Arial Narrow"/>
                <w:noProof/>
                <w:sz w:val="20"/>
                <w:szCs w:val="20"/>
              </w:rPr>
            </w:pPr>
            <w:r>
              <w:rPr>
                <w:rFonts w:ascii="Arial Narrow" w:hAnsi="Arial Narrow"/>
                <w:noProof/>
                <w:sz w:val="20"/>
              </w:rPr>
              <w:t xml:space="preserve">Költségvetési Főigazgatóság átlagköltség alkalmazása </w:t>
            </w:r>
          </w:p>
          <w:p w:rsidR="008949F5" w:rsidRDefault="008949F5">
            <w:pPr>
              <w:pStyle w:val="Text2"/>
              <w:spacing w:before="60" w:after="0"/>
              <w:ind w:left="0"/>
              <w:rPr>
                <w:rFonts w:ascii="Arial Narrow" w:hAnsi="Arial Narrow"/>
                <w:noProof/>
                <w:sz w:val="18"/>
                <w:szCs w:val="18"/>
                <w:u w:val="single"/>
              </w:rPr>
            </w:pPr>
          </w:p>
        </w:tc>
      </w:tr>
      <w:tr w:rsidR="008949F5">
        <w:trPr>
          <w:jc w:val="center"/>
        </w:trPr>
        <w:tc>
          <w:tcPr>
            <w:tcW w:w="12474" w:type="dxa"/>
            <w:tcBorders>
              <w:bottom w:val="single" w:sz="4" w:space="0" w:color="auto"/>
            </w:tcBorders>
          </w:tcPr>
          <w:p w:rsidR="008949F5" w:rsidRDefault="004A11FE">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 xml:space="preserve">Külső munkatársak </w:t>
            </w:r>
          </w:p>
          <w:p w:rsidR="008949F5" w:rsidRDefault="008949F5">
            <w:pPr>
              <w:pStyle w:val="Text2"/>
              <w:spacing w:before="0" w:after="0"/>
              <w:ind w:left="0"/>
              <w:rPr>
                <w:rFonts w:ascii="Arial Narrow" w:hAnsi="Arial Narrow"/>
                <w:noProof/>
                <w:sz w:val="20"/>
                <w:szCs w:val="20"/>
                <w:u w:val="single"/>
              </w:rPr>
            </w:pPr>
          </w:p>
          <w:p w:rsidR="008949F5" w:rsidRDefault="004A11FE">
            <w:pPr>
              <w:pStyle w:val="Text2"/>
              <w:spacing w:before="0" w:after="0"/>
              <w:ind w:left="0"/>
              <w:rPr>
                <w:rFonts w:ascii="Arial Narrow" w:hAnsi="Arial Narrow"/>
                <w:noProof/>
                <w:sz w:val="20"/>
                <w:szCs w:val="20"/>
              </w:rPr>
            </w:pPr>
            <w:r>
              <w:rPr>
                <w:rFonts w:ascii="Arial Narrow" w:hAnsi="Arial Narrow"/>
                <w:noProof/>
                <w:sz w:val="20"/>
              </w:rPr>
              <w:t xml:space="preserve">Költségvetési Főigazgatóság átlagköltség alkalmazása </w:t>
            </w: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60" w:after="0"/>
              <w:ind w:left="0"/>
              <w:rPr>
                <w:rFonts w:ascii="Arial Narrow" w:hAnsi="Arial Narrow"/>
                <w:noProof/>
                <w:sz w:val="18"/>
                <w:szCs w:val="18"/>
                <w:u w:val="single"/>
              </w:rPr>
            </w:pPr>
          </w:p>
        </w:tc>
      </w:tr>
    </w:tbl>
    <w:p w:rsidR="008949F5" w:rsidRDefault="008949F5">
      <w:pPr>
        <w:rPr>
          <w:rFonts w:ascii="Arial Narrow" w:hAnsi="Arial Narrow"/>
          <w:noProof/>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20"/>
      </w:tblGrid>
      <w:tr w:rsidR="008949F5">
        <w:trPr>
          <w:jc w:val="center"/>
        </w:trPr>
        <w:tc>
          <w:tcPr>
            <w:tcW w:w="12474" w:type="dxa"/>
            <w:tcBorders>
              <w:top w:val="single" w:sz="4" w:space="0" w:color="auto"/>
            </w:tcBorders>
          </w:tcPr>
          <w:p w:rsidR="008949F5" w:rsidRDefault="004A11FE">
            <w:pPr>
              <w:pStyle w:val="Text2"/>
              <w:spacing w:before="60" w:after="60"/>
              <w:ind w:left="0"/>
              <w:jc w:val="left"/>
              <w:rPr>
                <w:rFonts w:ascii="Arial Narrow" w:hAnsi="Arial Narrow"/>
                <w:b/>
                <w:noProof/>
                <w:sz w:val="22"/>
              </w:rPr>
            </w:pPr>
            <w:r>
              <w:rPr>
                <w:rFonts w:ascii="Arial Narrow" w:hAnsi="Arial Narrow"/>
                <w:noProof/>
                <w:sz w:val="22"/>
              </w:rPr>
              <w:t xml:space="preserve">A többéves pénzügyi keret </w:t>
            </w:r>
            <w:r>
              <w:rPr>
                <w:rFonts w:ascii="Arial Narrow" w:hAnsi="Arial Narrow"/>
                <w:b/>
                <w:noProof/>
                <w:sz w:val="22"/>
              </w:rPr>
              <w:t>5. FEJEZETÉBE bele nem tartozó előirányzatok</w:t>
            </w:r>
          </w:p>
        </w:tc>
      </w:tr>
      <w:tr w:rsidR="008949F5">
        <w:trPr>
          <w:jc w:val="center"/>
        </w:trPr>
        <w:tc>
          <w:tcPr>
            <w:tcW w:w="12474" w:type="dxa"/>
          </w:tcPr>
          <w:p w:rsidR="008949F5" w:rsidRDefault="004A11FE">
            <w:pPr>
              <w:pStyle w:val="Text2"/>
              <w:spacing w:before="40" w:after="0"/>
              <w:ind w:left="0"/>
              <w:jc w:val="left"/>
              <w:rPr>
                <w:rFonts w:ascii="Arial Narrow" w:hAnsi="Arial Narrow"/>
                <w:bCs/>
                <w:iCs/>
                <w:noProof/>
                <w:sz w:val="20"/>
                <w:szCs w:val="20"/>
              </w:rPr>
            </w:pPr>
            <w:r>
              <w:rPr>
                <w:rFonts w:ascii="Arial Narrow" w:hAnsi="Arial Narrow"/>
                <w:b/>
                <w:noProof/>
              </w:rPr>
              <w:sym w:font="Wingdings" w:char="F09F"/>
            </w:r>
            <w:r>
              <w:rPr>
                <w:rFonts w:ascii="Arial Narrow" w:hAnsi="Arial Narrow"/>
                <w:b/>
                <w:noProof/>
              </w:rPr>
              <w:t xml:space="preserve"> </w:t>
            </w:r>
            <w:r>
              <w:rPr>
                <w:noProof/>
              </w:rPr>
              <w:t>Csak a kutatási költségvetésből finanszírozott</w:t>
            </w:r>
            <w:r>
              <w:rPr>
                <w:noProof/>
              </w:rPr>
              <w:t xml:space="preserve"> álláshelyek</w:t>
            </w:r>
            <w:r>
              <w:rPr>
                <w:rFonts w:ascii="Arial Narrow" w:hAnsi="Arial Narrow"/>
                <w:noProof/>
                <w:sz w:val="22"/>
              </w:rPr>
              <w:t xml:space="preserve"> </w:t>
            </w: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60" w:after="0"/>
              <w:ind w:left="0"/>
              <w:rPr>
                <w:rFonts w:ascii="Arial Narrow" w:hAnsi="Arial Narrow"/>
                <w:noProof/>
                <w:sz w:val="18"/>
                <w:szCs w:val="18"/>
                <w:u w:val="single"/>
              </w:rPr>
            </w:pPr>
          </w:p>
        </w:tc>
      </w:tr>
      <w:tr w:rsidR="008949F5">
        <w:trPr>
          <w:jc w:val="center"/>
        </w:trPr>
        <w:tc>
          <w:tcPr>
            <w:tcW w:w="12474" w:type="dxa"/>
            <w:tcBorders>
              <w:bottom w:val="single" w:sz="4" w:space="0" w:color="auto"/>
            </w:tcBorders>
          </w:tcPr>
          <w:p w:rsidR="008949F5" w:rsidRDefault="004A11FE">
            <w:pPr>
              <w:pStyle w:val="Text2"/>
              <w:spacing w:before="40" w:after="0"/>
              <w:ind w:left="0"/>
              <w:jc w:val="left"/>
              <w:rPr>
                <w:rFonts w:ascii="Arial Narrow" w:hAnsi="Arial Narrow"/>
                <w:noProof/>
                <w:sz w:val="20"/>
                <w:szCs w:val="20"/>
              </w:rPr>
            </w:pPr>
            <w:r>
              <w:rPr>
                <w:rFonts w:ascii="Arial Narrow" w:hAnsi="Arial Narrow"/>
                <w:b/>
                <w:noProof/>
              </w:rPr>
              <w:sym w:font="Wingdings" w:char="F09F"/>
            </w:r>
            <w:r>
              <w:rPr>
                <w:rFonts w:ascii="Arial Narrow" w:hAnsi="Arial Narrow"/>
                <w:b/>
                <w:noProof/>
              </w:rPr>
              <w:t xml:space="preserve"> </w:t>
            </w:r>
            <w:r>
              <w:rPr>
                <w:rFonts w:ascii="Arial Narrow" w:hAnsi="Arial Narrow"/>
                <w:noProof/>
                <w:sz w:val="22"/>
              </w:rPr>
              <w:t xml:space="preserve">Külső munkatársak </w:t>
            </w: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60" w:after="0"/>
              <w:ind w:left="0"/>
              <w:rPr>
                <w:rFonts w:ascii="Arial Narrow" w:hAnsi="Arial Narrow"/>
                <w:noProof/>
                <w:sz w:val="18"/>
                <w:szCs w:val="18"/>
                <w:u w:val="single"/>
              </w:rPr>
            </w:pPr>
          </w:p>
        </w:tc>
      </w:tr>
    </w:tbl>
    <w:p w:rsidR="008949F5" w:rsidRDefault="008949F5">
      <w:pPr>
        <w:spacing w:before="60"/>
        <w:ind w:left="-360" w:firstLine="900"/>
        <w:rPr>
          <w:noProof/>
          <w:sz w:val="20"/>
          <w:szCs w:val="20"/>
        </w:rPr>
      </w:pPr>
    </w:p>
    <w:p w:rsidR="008949F5" w:rsidRDefault="004A11FE">
      <w:pPr>
        <w:pStyle w:val="ManualHeading2"/>
        <w:rPr>
          <w:noProof/>
          <w:szCs w:val="28"/>
        </w:rPr>
      </w:pPr>
      <w:r>
        <w:t>3.2.</w:t>
      </w:r>
      <w:r>
        <w:tab/>
      </w:r>
      <w:r>
        <w:rPr>
          <w:noProof/>
        </w:rPr>
        <w:t>Egyéb igazgatási kiadások</w:t>
      </w:r>
    </w:p>
    <w:p w:rsidR="008949F5" w:rsidRDefault="008949F5">
      <w:pPr>
        <w:ind w:left="-357" w:firstLine="902"/>
        <w:rPr>
          <w:noProof/>
          <w:sz w:val="20"/>
          <w:szCs w:val="20"/>
        </w:rPr>
      </w:pPr>
    </w:p>
    <w:p w:rsidR="008949F5" w:rsidRDefault="004A11FE">
      <w:pPr>
        <w:spacing w:before="60"/>
        <w:ind w:left="539"/>
        <w:jc w:val="center"/>
        <w:rPr>
          <w:i/>
          <w:noProof/>
          <w:sz w:val="20"/>
          <w:szCs w:val="20"/>
        </w:rPr>
      </w:pPr>
      <w:r>
        <w:rPr>
          <w:i/>
          <w:noProof/>
          <w:sz w:val="20"/>
        </w:rPr>
        <w:t xml:space="preserve">Adja meg az egyes költségvetési sorok esetében alkalmazott számítási módszer részleteit, </w:t>
      </w:r>
    </w:p>
    <w:p w:rsidR="008949F5" w:rsidRDefault="004A11FE">
      <w:pPr>
        <w:spacing w:after="60"/>
        <w:ind w:left="539"/>
        <w:jc w:val="center"/>
        <w:rPr>
          <w:i/>
          <w:noProof/>
          <w:sz w:val="20"/>
          <w:szCs w:val="20"/>
        </w:rPr>
      </w:pPr>
      <w:r>
        <w:rPr>
          <w:i/>
          <w:noProof/>
          <w:sz w:val="20"/>
        </w:rPr>
        <w:t xml:space="preserve">és különösen az azokat alátámasztó feltételezéseket (pl. ülések száma évente, </w:t>
      </w:r>
      <w:r>
        <w:rPr>
          <w:i/>
          <w:noProof/>
          <w:sz w:val="20"/>
        </w:rPr>
        <w:t>átlagköltségek, stb.)</w:t>
      </w:r>
    </w:p>
    <w:tbl>
      <w:tblPr>
        <w:tblW w:w="0" w:type="auto"/>
        <w:jc w:val="center"/>
        <w:tblInd w:w="-4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37"/>
      </w:tblGrid>
      <w:tr w:rsidR="008949F5">
        <w:trPr>
          <w:jc w:val="center"/>
        </w:trPr>
        <w:tc>
          <w:tcPr>
            <w:tcW w:w="9537" w:type="dxa"/>
            <w:tcBorders>
              <w:top w:val="single" w:sz="4" w:space="0" w:color="auto"/>
            </w:tcBorders>
          </w:tcPr>
          <w:p w:rsidR="008949F5" w:rsidRDefault="004A11FE">
            <w:pPr>
              <w:pStyle w:val="Text2"/>
              <w:spacing w:before="60" w:after="60"/>
              <w:ind w:left="0"/>
              <w:jc w:val="left"/>
              <w:rPr>
                <w:rFonts w:ascii="Arial Narrow" w:hAnsi="Arial Narrow"/>
                <w:b/>
                <w:noProof/>
                <w:sz w:val="22"/>
              </w:rPr>
            </w:pPr>
            <w:r>
              <w:rPr>
                <w:rFonts w:ascii="Arial Narrow" w:hAnsi="Arial Narrow"/>
                <w:noProof/>
                <w:sz w:val="22"/>
              </w:rPr>
              <w:t xml:space="preserve">A többéves pénzügyi keret </w:t>
            </w:r>
            <w:r>
              <w:rPr>
                <w:rFonts w:ascii="Arial Narrow" w:hAnsi="Arial Narrow"/>
                <w:b/>
                <w:noProof/>
                <w:sz w:val="22"/>
              </w:rPr>
              <w:t>5. FEJEZETE</w:t>
            </w:r>
          </w:p>
        </w:tc>
      </w:tr>
      <w:tr w:rsidR="008949F5">
        <w:trPr>
          <w:jc w:val="center"/>
        </w:trPr>
        <w:tc>
          <w:tcPr>
            <w:tcW w:w="9537" w:type="dxa"/>
            <w:tcBorders>
              <w:bottom w:val="single" w:sz="4" w:space="0" w:color="auto"/>
            </w:tcBorders>
          </w:tcPr>
          <w:p w:rsidR="008949F5" w:rsidRDefault="008949F5">
            <w:pPr>
              <w:pStyle w:val="Text2"/>
              <w:spacing w:before="0" w:after="0"/>
              <w:ind w:left="0"/>
              <w:rPr>
                <w:rFonts w:ascii="Arial Narrow" w:hAnsi="Arial Narrow"/>
                <w:noProof/>
                <w:sz w:val="22"/>
                <w:u w:val="single"/>
              </w:rPr>
            </w:pPr>
          </w:p>
          <w:p w:rsidR="008949F5" w:rsidRDefault="004A11FE">
            <w:pPr>
              <w:pStyle w:val="Text2"/>
              <w:spacing w:before="0" w:after="0"/>
              <w:ind w:left="0"/>
              <w:rPr>
                <w:rFonts w:ascii="Arial Narrow" w:hAnsi="Arial Narrow"/>
                <w:noProof/>
                <w:sz w:val="22"/>
              </w:rPr>
            </w:pPr>
            <w:r>
              <w:rPr>
                <w:rFonts w:ascii="Arial Narrow" w:hAnsi="Arial Narrow"/>
                <w:noProof/>
                <w:sz w:val="22"/>
              </w:rPr>
              <w:t>1 látogatás mindegyik mobil állomásnál az első 2 év során (átlagos költség +/- 715 EUR)</w:t>
            </w:r>
          </w:p>
          <w:p w:rsidR="008949F5" w:rsidRDefault="004A11FE">
            <w:pPr>
              <w:pStyle w:val="Text2"/>
              <w:spacing w:before="0" w:after="0"/>
              <w:ind w:left="0"/>
              <w:rPr>
                <w:rFonts w:ascii="Arial Narrow" w:hAnsi="Arial Narrow"/>
                <w:noProof/>
                <w:sz w:val="22"/>
              </w:rPr>
            </w:pPr>
            <w:r>
              <w:rPr>
                <w:rFonts w:ascii="Arial Narrow" w:hAnsi="Arial Narrow"/>
                <w:noProof/>
                <w:sz w:val="22"/>
              </w:rPr>
              <w:t xml:space="preserve">Kevésbé intenzív utánkövetés az elmúlt két év során. </w:t>
            </w:r>
          </w:p>
          <w:p w:rsidR="008949F5" w:rsidRDefault="008949F5">
            <w:pPr>
              <w:pStyle w:val="Text2"/>
              <w:spacing w:before="0" w:after="0"/>
              <w:ind w:left="0"/>
              <w:rPr>
                <w:rFonts w:ascii="Arial Narrow" w:hAnsi="Arial Narrow"/>
                <w:noProof/>
                <w:sz w:val="22"/>
                <w:u w:val="single"/>
              </w:rPr>
            </w:pPr>
          </w:p>
          <w:p w:rsidR="008949F5" w:rsidRDefault="008949F5">
            <w:pPr>
              <w:pStyle w:val="Text2"/>
              <w:spacing w:before="0" w:after="0"/>
              <w:ind w:left="0"/>
              <w:rPr>
                <w:rFonts w:ascii="Arial Narrow" w:hAnsi="Arial Narrow"/>
                <w:noProof/>
                <w:sz w:val="22"/>
                <w:u w:val="single"/>
              </w:rPr>
            </w:pPr>
          </w:p>
          <w:p w:rsidR="008949F5" w:rsidRDefault="008949F5">
            <w:pPr>
              <w:pStyle w:val="Text2"/>
              <w:spacing w:before="60" w:after="0"/>
              <w:ind w:left="0"/>
              <w:rPr>
                <w:rFonts w:ascii="Arial Narrow" w:hAnsi="Arial Narrow"/>
                <w:noProof/>
                <w:sz w:val="22"/>
                <w:u w:val="single"/>
              </w:rPr>
            </w:pPr>
          </w:p>
        </w:tc>
      </w:tr>
    </w:tbl>
    <w:p w:rsidR="008949F5" w:rsidRDefault="008949F5">
      <w:pPr>
        <w:rPr>
          <w:rFonts w:ascii="Arial Narrow" w:hAnsi="Arial Narrow"/>
          <w:noProof/>
          <w:sz w:val="22"/>
        </w:rPr>
      </w:pPr>
    </w:p>
    <w:tbl>
      <w:tblPr>
        <w:tblW w:w="9584" w:type="dxa"/>
        <w:jc w:val="center"/>
        <w:tblInd w:w="2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584"/>
      </w:tblGrid>
      <w:tr w:rsidR="008949F5">
        <w:trPr>
          <w:jc w:val="center"/>
        </w:trPr>
        <w:tc>
          <w:tcPr>
            <w:tcW w:w="9584" w:type="dxa"/>
            <w:tcBorders>
              <w:top w:val="single" w:sz="4" w:space="0" w:color="auto"/>
            </w:tcBorders>
          </w:tcPr>
          <w:p w:rsidR="008949F5" w:rsidRDefault="004A11FE">
            <w:pPr>
              <w:pStyle w:val="Text2"/>
              <w:spacing w:before="60" w:after="60"/>
              <w:ind w:left="0"/>
              <w:jc w:val="left"/>
              <w:rPr>
                <w:rFonts w:ascii="Arial Narrow" w:hAnsi="Arial Narrow"/>
                <w:b/>
                <w:noProof/>
                <w:sz w:val="22"/>
              </w:rPr>
            </w:pPr>
            <w:r>
              <w:rPr>
                <w:rFonts w:ascii="Arial Narrow" w:hAnsi="Arial Narrow"/>
                <w:noProof/>
                <w:sz w:val="22"/>
              </w:rPr>
              <w:t xml:space="preserve">A többéves pénzügyi keret </w:t>
            </w:r>
            <w:r>
              <w:rPr>
                <w:rFonts w:ascii="Arial Narrow" w:hAnsi="Arial Narrow"/>
                <w:b/>
                <w:noProof/>
                <w:sz w:val="22"/>
              </w:rPr>
              <w:t xml:space="preserve">5. FEJEZETÉBE bele </w:t>
            </w:r>
            <w:r>
              <w:rPr>
                <w:rFonts w:ascii="Arial Narrow" w:hAnsi="Arial Narrow"/>
                <w:b/>
                <w:noProof/>
                <w:sz w:val="22"/>
              </w:rPr>
              <w:t>nem tartozó előirányzatok</w:t>
            </w:r>
          </w:p>
        </w:tc>
      </w:tr>
      <w:tr w:rsidR="008949F5">
        <w:trPr>
          <w:jc w:val="center"/>
        </w:trPr>
        <w:tc>
          <w:tcPr>
            <w:tcW w:w="9584" w:type="dxa"/>
            <w:tcBorders>
              <w:bottom w:val="single" w:sz="4" w:space="0" w:color="auto"/>
            </w:tcBorders>
          </w:tcPr>
          <w:p w:rsidR="008949F5" w:rsidRDefault="004A11FE">
            <w:pPr>
              <w:pStyle w:val="Text2"/>
              <w:spacing w:before="0" w:after="0"/>
              <w:ind w:left="0"/>
              <w:jc w:val="left"/>
              <w:rPr>
                <w:rFonts w:ascii="Arial Narrow" w:hAnsi="Arial Narrow"/>
                <w:noProof/>
                <w:sz w:val="20"/>
                <w:szCs w:val="20"/>
              </w:rPr>
            </w:pPr>
            <w:r>
              <w:rPr>
                <w:rFonts w:ascii="Arial Narrow" w:hAnsi="Arial Narrow"/>
                <w:noProof/>
                <w:sz w:val="20"/>
              </w:rPr>
              <w:t>IT fejlesztés 2017-ben és azt követően karbantartás</w:t>
            </w:r>
            <w:r>
              <w:rPr>
                <w:rFonts w:ascii="Arial Narrow" w:hAnsi="Arial Narrow"/>
                <w:noProof/>
                <w:sz w:val="20"/>
                <w:szCs w:val="20"/>
              </w:rPr>
              <w:br/>
            </w:r>
            <w:r>
              <w:rPr>
                <w:rFonts w:ascii="Arial Narrow" w:hAnsi="Arial Narrow"/>
                <w:noProof/>
                <w:sz w:val="20"/>
              </w:rPr>
              <w:t>A végrehajtás befejezésekor végzett értékelés költségei</w:t>
            </w: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0" w:after="0"/>
              <w:ind w:left="0"/>
              <w:rPr>
                <w:rFonts w:ascii="Arial Narrow" w:hAnsi="Arial Narrow"/>
                <w:noProof/>
                <w:sz w:val="20"/>
                <w:szCs w:val="20"/>
                <w:u w:val="single"/>
              </w:rPr>
            </w:pPr>
          </w:p>
          <w:p w:rsidR="008949F5" w:rsidRDefault="008949F5">
            <w:pPr>
              <w:pStyle w:val="Text2"/>
              <w:spacing w:before="60" w:after="0"/>
              <w:ind w:left="0"/>
              <w:rPr>
                <w:rFonts w:ascii="Arial Narrow" w:hAnsi="Arial Narrow"/>
                <w:noProof/>
                <w:sz w:val="18"/>
                <w:szCs w:val="18"/>
                <w:u w:val="single"/>
              </w:rPr>
            </w:pPr>
          </w:p>
        </w:tc>
      </w:tr>
    </w:tbl>
    <w:p w:rsidR="008949F5" w:rsidRDefault="008949F5">
      <w:pPr>
        <w:rPr>
          <w:noProof/>
        </w:rPr>
      </w:pPr>
    </w:p>
    <w:sectPr w:rsidR="008949F5" w:rsidSect="004A11FE">
      <w:headerReference w:type="default" r:id="rId32"/>
      <w:footerReference w:type="default" r:id="rId33"/>
      <w:headerReference w:type="first" r:id="rId34"/>
      <w:footerReference w:type="first" r:id="rId35"/>
      <w:pgSz w:w="12240" w:h="15840" w:code="1"/>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F5" w:rsidRDefault="004A11FE">
      <w:pPr>
        <w:spacing w:before="0" w:after="0"/>
      </w:pPr>
      <w:r>
        <w:separator/>
      </w:r>
    </w:p>
  </w:endnote>
  <w:endnote w:type="continuationSeparator" w:id="0">
    <w:p w:rsidR="008949F5" w:rsidRDefault="004A11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Landscape"/>
      <w:rPr>
        <w:rFonts w:ascii="Arial" w:hAnsi="Arial" w:cs="Arial"/>
        <w:b/>
        <w:sz w:val="48"/>
      </w:rPr>
    </w:pPr>
    <w:r w:rsidRPr="004A11FE">
      <w:rPr>
        <w:rFonts w:ascii="Arial" w:hAnsi="Arial" w:cs="Arial"/>
        <w:b/>
        <w:sz w:val="48"/>
      </w:rPr>
      <w:t>HU</w:t>
    </w:r>
    <w:r w:rsidRPr="004A11F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4A11FE">
      <w:tab/>
    </w:r>
    <w:r w:rsidRPr="004A11FE">
      <w:rPr>
        <w:rFonts w:ascii="Arial" w:hAnsi="Arial" w:cs="Arial"/>
        <w:b/>
        <w:sz w:val="48"/>
      </w:rPr>
      <w:t>HU</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rPr>
        <w:rFonts w:ascii="Arial" w:hAnsi="Arial" w:cs="Arial"/>
        <w:b/>
        <w:sz w:val="48"/>
      </w:rPr>
    </w:pPr>
    <w:r w:rsidRPr="004A11FE">
      <w:rPr>
        <w:rFonts w:ascii="Arial" w:hAnsi="Arial" w:cs="Arial"/>
        <w:b/>
        <w:sz w:val="48"/>
      </w:rPr>
      <w:t>HU</w:t>
    </w:r>
    <w:r w:rsidRPr="004A11F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4A11FE">
      <w:tab/>
    </w:r>
    <w:r w:rsidRPr="004A11FE">
      <w:rPr>
        <w:rFonts w:ascii="Arial" w:hAnsi="Arial" w:cs="Arial"/>
        <w:b/>
        <w:sz w:val="48"/>
      </w:rPr>
      <w:t>HU</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F5" w:rsidRPr="004A11FE" w:rsidRDefault="004A11FE" w:rsidP="004A11FE">
    <w:pPr>
      <w:pStyle w:val="Footer"/>
      <w:rPr>
        <w:rFonts w:ascii="Arial" w:hAnsi="Arial" w:cs="Arial"/>
        <w:b/>
        <w:sz w:val="48"/>
      </w:rPr>
    </w:pPr>
    <w:r w:rsidRPr="004A11FE">
      <w:rPr>
        <w:rFonts w:ascii="Arial" w:hAnsi="Arial" w:cs="Arial"/>
        <w:b/>
        <w:sz w:val="48"/>
      </w:rPr>
      <w:t>HU</w:t>
    </w:r>
    <w:r w:rsidRPr="004A11FE">
      <w:rPr>
        <w:rFonts w:ascii="Arial" w:hAnsi="Arial" w:cs="Arial"/>
        <w:b/>
        <w:sz w:val="48"/>
      </w:rPr>
      <w:tab/>
    </w:r>
    <w:r w:rsidRPr="004A11FE">
      <w:rPr>
        <w:rFonts w:ascii="Arial" w:hAnsi="Arial" w:cs="Arial"/>
        <w:b/>
        <w:sz w:val="48"/>
      </w:rPr>
      <w:tab/>
    </w:r>
    <w:fldSimple w:instr=" DOCVARIABLE &quot;LW_Confidence&quot; \* MERGEFORMAT ">
      <w:r>
        <w:t xml:space="preserve"> </w:t>
      </w:r>
    </w:fldSimple>
    <w:r w:rsidRPr="004A11FE">
      <w:tab/>
    </w:r>
    <w:proofErr w:type="spellStart"/>
    <w:r w:rsidRPr="004A11FE">
      <w:rPr>
        <w:rFonts w:ascii="Arial" w:hAnsi="Arial" w:cs="Arial"/>
        <w:b/>
        <w:sz w:val="48"/>
      </w:rPr>
      <w:t>HU</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rPr>
        <w:rFonts w:ascii="Arial" w:hAnsi="Arial" w:cs="Arial"/>
        <w:b/>
        <w:sz w:val="48"/>
      </w:rPr>
    </w:pPr>
    <w:r w:rsidRPr="004A11FE">
      <w:rPr>
        <w:rFonts w:ascii="Arial" w:hAnsi="Arial" w:cs="Arial"/>
        <w:b/>
        <w:sz w:val="48"/>
      </w:rPr>
      <w:t>HU</w:t>
    </w:r>
    <w:r w:rsidRPr="004A11F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4A11FE">
      <w:tab/>
    </w:r>
    <w:r w:rsidRPr="004A11FE">
      <w:rPr>
        <w:rFonts w:ascii="Arial" w:hAnsi="Arial" w:cs="Arial"/>
        <w:b/>
        <w:sz w:val="48"/>
      </w:rPr>
      <w:t>HU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Landscape"/>
      <w:rPr>
        <w:rFonts w:ascii="Arial" w:hAnsi="Arial" w:cs="Arial"/>
        <w:b/>
        <w:sz w:val="48"/>
      </w:rPr>
    </w:pPr>
    <w:r w:rsidRPr="004A11FE">
      <w:rPr>
        <w:rFonts w:ascii="Arial" w:hAnsi="Arial" w:cs="Arial"/>
        <w:b/>
        <w:sz w:val="48"/>
      </w:rPr>
      <w:t>HU</w:t>
    </w:r>
    <w:r w:rsidRPr="004A11F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4A11FE">
      <w:tab/>
    </w:r>
    <w:r w:rsidRPr="004A11FE">
      <w:rPr>
        <w:rFonts w:ascii="Arial" w:hAnsi="Arial" w:cs="Arial"/>
        <w:b/>
        <w:sz w:val="48"/>
      </w:rPr>
      <w:t>HU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rPr>
        <w:rFonts w:ascii="Arial" w:hAnsi="Arial" w:cs="Arial"/>
        <w:b/>
        <w:sz w:val="48"/>
      </w:rPr>
    </w:pPr>
    <w:r w:rsidRPr="004A11FE">
      <w:rPr>
        <w:rFonts w:ascii="Arial" w:hAnsi="Arial" w:cs="Arial"/>
        <w:b/>
        <w:sz w:val="48"/>
      </w:rPr>
      <w:t>HU</w:t>
    </w:r>
    <w:r w:rsidRPr="004A11FE">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4A11FE">
      <w:tab/>
    </w:r>
    <w:r w:rsidRPr="004A11FE">
      <w:rPr>
        <w:rFonts w:ascii="Arial" w:hAnsi="Arial" w:cs="Arial"/>
        <w:b/>
        <w:sz w:val="48"/>
      </w:rPr>
      <w:t>HU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F5" w:rsidRDefault="004A11FE">
      <w:pPr>
        <w:spacing w:before="0" w:after="0"/>
      </w:pPr>
      <w:r>
        <w:separator/>
      </w:r>
    </w:p>
  </w:footnote>
  <w:footnote w:type="continuationSeparator" w:id="0">
    <w:p w:rsidR="008949F5" w:rsidRDefault="004A11FE">
      <w:pPr>
        <w:spacing w:before="0" w:after="0"/>
      </w:pPr>
      <w:r>
        <w:continuationSeparator/>
      </w:r>
    </w:p>
  </w:footnote>
  <w:footnote w:id="1">
    <w:p w:rsidR="008949F5" w:rsidRDefault="004A11FE">
      <w:pPr>
        <w:pStyle w:val="FootnoteText"/>
      </w:pPr>
      <w:r>
        <w:rPr>
          <w:rStyle w:val="FootnoteReference"/>
        </w:rPr>
        <w:footnoteRef/>
      </w:r>
      <w:r>
        <w:tab/>
        <w:t>A Bizottság közleménye</w:t>
      </w:r>
      <w:r>
        <w:t xml:space="preserve"> az Európai Parlamentnek, a Tanácsnak, az Európai Gazdasági és Szociális Bizottságnak és a Régiók Bizottságának – Az összekapcsoltság a versenyképes digitális egységes piac szolgálatában: Úton a </w:t>
      </w:r>
      <w:proofErr w:type="spellStart"/>
      <w:r>
        <w:t>gigabitalapú</w:t>
      </w:r>
      <w:proofErr w:type="spellEnd"/>
      <w:r>
        <w:t xml:space="preserve"> európai információs társadalom felé (COM(2016)58</w:t>
      </w:r>
      <w:r>
        <w:t>7).</w:t>
      </w:r>
    </w:p>
  </w:footnote>
  <w:footnote w:id="2">
    <w:p w:rsidR="008949F5" w:rsidRDefault="004A11FE">
      <w:pPr>
        <w:pStyle w:val="FootnoteText"/>
      </w:pPr>
      <w:r>
        <w:rPr>
          <w:rStyle w:val="FootnoteReference"/>
        </w:rPr>
        <w:footnoteRef/>
      </w:r>
      <w:r>
        <w:tab/>
        <w:t>Javaslat: Az Európai Parlament és a Tanács irányelve az Európai Elektronikus Hírközlési Kódex létrehozásáról (átdolgozás), COM(2016) 590.</w:t>
      </w:r>
    </w:p>
  </w:footnote>
  <w:footnote w:id="3">
    <w:p w:rsidR="008949F5" w:rsidRDefault="004A11FE">
      <w:pPr>
        <w:pStyle w:val="FootnoteText"/>
      </w:pPr>
      <w:r>
        <w:rPr>
          <w:rStyle w:val="FootnoteReference"/>
        </w:rPr>
        <w:footnoteRef/>
      </w:r>
      <w:r>
        <w:tab/>
        <w:t>Az Európai Parlament és a Tanács 2013. december 11-i, az Európai Parlament és a Tanács 2015. június 25-i 2015/</w:t>
      </w:r>
      <w:r>
        <w:t>1017/EU rendeletével (HL L 169., 2015.7.1., 1. o.) módosított 1316/2013/EU rendelete az Európai Hálózatfinanszírozási Eszköz létrehozásáról, a 913/2010/EU rendelet módosításáról és a 680/2007/EK és 67/2010/EK rendelet hatályon kívül helyezéséről (HL L 348.</w:t>
      </w:r>
      <w:r>
        <w:t>, 2013.12.20., 129. o.).</w:t>
      </w:r>
    </w:p>
  </w:footnote>
  <w:footnote w:id="4">
    <w:p w:rsidR="008949F5" w:rsidRDefault="004A11FE">
      <w:pPr>
        <w:pStyle w:val="FootnoteText"/>
      </w:pPr>
      <w:r>
        <w:rPr>
          <w:rStyle w:val="FootnoteReference"/>
        </w:rPr>
        <w:footnoteRef/>
      </w:r>
      <w:r>
        <w:tab/>
        <w:t xml:space="preserve">Az Európai Parlament és a Tanács 2014. március 11-i 283/2014/EU rendelete a távközlési infrastruktúrák területén működő transzeurópai hálózatokra vonatkozó iránymutatásokról és az 1336/97/EK határozat hatályon kívül helyezéséről </w:t>
      </w:r>
      <w:r>
        <w:t>(HL L 86., 2014.3.21., 14. o.).</w:t>
      </w:r>
    </w:p>
  </w:footnote>
  <w:footnote w:id="5">
    <w:p w:rsidR="008949F5" w:rsidRDefault="004A11FE">
      <w:pPr>
        <w:pStyle w:val="FootnoteText"/>
      </w:pPr>
      <w:r>
        <w:rPr>
          <w:rStyle w:val="FootnoteReference"/>
        </w:rPr>
        <w:footnoteRef/>
      </w:r>
      <w:r>
        <w:tab/>
        <w:t>A 2015. október 30-i 2015/2462/EU felhatalmazáson alapuló rendelettel (HL L 342., 2015.12.29., 7. o.) módosított, az Unió általános költségvetésére alkalmazandó pénzügyi szabályokról szóló 966/2012/EU, Euratom európai parl</w:t>
      </w:r>
      <w:r>
        <w:t>amenti és tanácsi rendelet alkalmazási szabályairól szóló 1268/2012/EU rendelet ( 2012. október 29. )  (HL L 362., 2012.12.31., 1. o.) 185. cikkében foglalt meghatározás szerint.</w:t>
      </w:r>
    </w:p>
  </w:footnote>
  <w:footnote w:id="6">
    <w:p w:rsidR="008949F5" w:rsidRDefault="004A11FE">
      <w:pPr>
        <w:pStyle w:val="FootnoteText"/>
      </w:pPr>
      <w:r>
        <w:rPr>
          <w:rStyle w:val="FootnoteReference"/>
        </w:rPr>
        <w:footnoteRef/>
      </w:r>
      <w:r>
        <w:tab/>
        <w:t>A tagállamok által nyújtott bármely kiegészítő támogatás rendszerint az Eur</w:t>
      </w:r>
      <w:r>
        <w:t>ópai Unió működéséről szóló szerződés 107. és 108. cikkének a csekély összegű támogatásokra való alkalmazásáról szóló, 2013. december 18-i 1407/2013/EU bizottsági rendelet (HL L 352., 2013.12.24., 1. o.) 3. cikkében meghatározott csekély összegű támogatásn</w:t>
      </w:r>
      <w:r>
        <w:t>ak minősül. Amennyiben az ilyen tagállami kiegészítő támogatás nem felel meg a csekély összegű támogatás követelményeinek, arra az EUMSZ 107. és 108. cikkét kell alkalmazni.</w:t>
      </w:r>
    </w:p>
  </w:footnote>
  <w:footnote w:id="7">
    <w:p w:rsidR="008949F5" w:rsidRDefault="004A11FE">
      <w:pPr>
        <w:pStyle w:val="FootnoteText"/>
      </w:pPr>
      <w:r>
        <w:rPr>
          <w:rStyle w:val="FootnoteReference"/>
        </w:rPr>
        <w:footnoteRef/>
      </w:r>
      <w:r>
        <w:tab/>
        <w:t xml:space="preserve">Az uniós pénzügyi támogatás földrajzilag kiegyensúlyozott elosztására vonatkozó </w:t>
      </w:r>
      <w:r>
        <w:t>célkitűzést a ténylegesen beérkezett javaslatok keretei között kell megvalósítani, a költségvetési rendeletben meghatározott konkrét pénzügyi támogatási formák alapelveinek teljes körű betartása mellett.</w:t>
      </w:r>
    </w:p>
  </w:footnote>
  <w:footnote w:id="8">
    <w:p w:rsidR="008949F5" w:rsidRDefault="004A11FE">
      <w:pPr>
        <w:pStyle w:val="FootnoteText"/>
      </w:pPr>
      <w:r>
        <w:rPr>
          <w:rStyle w:val="FootnoteReference"/>
        </w:rPr>
        <w:footnoteRef/>
      </w:r>
      <w:r>
        <w:tab/>
      </w:r>
      <w:hyperlink r:id="rId1">
        <w:r>
          <w:rPr>
            <w:rStyle w:val="Hyperlink"/>
            <w:rFonts w:ascii="Times New Roman" w:hAnsi="Times New Roman"/>
          </w:rPr>
          <w:t>https://ec.europa.eu/digital-single-market/en/broadband-competence-offices</w:t>
        </w:r>
      </w:hyperlink>
      <w:r>
        <w:t xml:space="preserve">. </w:t>
      </w:r>
    </w:p>
  </w:footnote>
  <w:footnote w:id="9">
    <w:p w:rsidR="008949F5" w:rsidRDefault="004A11FE">
      <w:pPr>
        <w:pStyle w:val="FootnoteText"/>
        <w:jc w:val="left"/>
      </w:pPr>
      <w:r>
        <w:rPr>
          <w:rStyle w:val="FootnoteReference"/>
        </w:rPr>
        <w:footnoteRef/>
      </w:r>
      <w:r>
        <w:tab/>
      </w:r>
      <w:hyperlink r:id="rId2">
        <w:r>
          <w:rPr>
            <w:rStyle w:val="Hyperlink"/>
            <w:rFonts w:ascii="Times New Roman" w:hAnsi="Times New Roman"/>
            <w:sz w:val="18"/>
          </w:rPr>
          <w:t>https://ec.europa.eu/digital-single-market/en/news/full-synopsis-report-public-consultation-evaluation-and-review-regulatory-framework-electronic</w:t>
        </w:r>
      </w:hyperlink>
    </w:p>
  </w:footnote>
  <w:footnote w:id="10">
    <w:p w:rsidR="008949F5" w:rsidRDefault="004A11FE">
      <w:pPr>
        <w:pStyle w:val="FootnoteText"/>
      </w:pPr>
      <w:r>
        <w:rPr>
          <w:rStyle w:val="FootnoteReference"/>
        </w:rPr>
        <w:footnoteRef/>
      </w:r>
      <w:r>
        <w:tab/>
        <w:t>Az Európai Parlament és a Tanács 2015. június 25-i 2015/1017/EU rendelete az</w:t>
      </w:r>
      <w:r>
        <w:t xml:space="preserve"> Európai Stratégiai Beruházási Alapról, az Európai Beruházási Tanácsadó Platformról és a Beruházási Projektek Európai Portáljáról, valamint az 1291/2013/EU és az 1316/2013/EU rendelet módosításáról – az Európai Stratégiai Beruházási Alap (HL 169., 2015.7.1</w:t>
      </w:r>
      <w:r>
        <w:t>., 1. o.).</w:t>
      </w:r>
    </w:p>
  </w:footnote>
  <w:footnote w:id="11">
    <w:p w:rsidR="008949F5" w:rsidRDefault="004A11FE">
      <w:pPr>
        <w:pStyle w:val="FootnoteText"/>
      </w:pPr>
      <w:r>
        <w:rPr>
          <w:rStyle w:val="FootnoteReference"/>
        </w:rPr>
        <w:footnoteRef/>
      </w:r>
      <w:r>
        <w:tab/>
        <w:t xml:space="preserve">Javaslat: Az Európai Parlament és a Tanács rendelete az 1316/2013/EU rendeletnek és a 2015/1017/EU rendeletnek az Európai Stratégiai Beruházási Alap időtartamának meghosszabbítása, továbbá az említett alapot és az Európai Beruházási Tanácsadó </w:t>
      </w:r>
      <w:r>
        <w:t>Platformot érintő technikai javítások bevezetése tekintetében történő módosításáról (COM(2016) 597).</w:t>
      </w:r>
    </w:p>
  </w:footnote>
  <w:footnote w:id="12">
    <w:p w:rsidR="008949F5" w:rsidRDefault="004A11FE">
      <w:pPr>
        <w:pStyle w:val="FootnoteText"/>
      </w:pPr>
      <w:r>
        <w:rPr>
          <w:rStyle w:val="FootnoteReference"/>
        </w:rPr>
        <w:footnoteRef/>
      </w:r>
      <w:r>
        <w:tab/>
        <w:t>HL C […], […], […]. o.</w:t>
      </w:r>
    </w:p>
  </w:footnote>
  <w:footnote w:id="13">
    <w:p w:rsidR="008949F5" w:rsidRDefault="004A11FE">
      <w:pPr>
        <w:pStyle w:val="FootnoteText"/>
      </w:pPr>
      <w:r>
        <w:rPr>
          <w:rStyle w:val="FootnoteReference"/>
        </w:rPr>
        <w:footnoteRef/>
      </w:r>
      <w:r>
        <w:tab/>
        <w:t>HL C […], […], […]. o.</w:t>
      </w:r>
    </w:p>
  </w:footnote>
  <w:footnote w:id="14">
    <w:p w:rsidR="008949F5" w:rsidRDefault="004A11FE">
      <w:pPr>
        <w:pStyle w:val="FootnoteText"/>
      </w:pPr>
      <w:r>
        <w:rPr>
          <w:rStyle w:val="FootnoteReference"/>
        </w:rPr>
        <w:footnoteRef/>
      </w:r>
      <w:r>
        <w:tab/>
        <w:t>A Bizottság közleménye az Európai Parlamentnek, a Tanácsnak, az Európai Gazdasági és Szociális Bizottsá</w:t>
      </w:r>
      <w:r>
        <w:t xml:space="preserve">gnak és a Régiók Bizottságának: Az összekapcsoltság a versenyképes digitális egységes piac szolgálatában: Úton a </w:t>
      </w:r>
      <w:proofErr w:type="spellStart"/>
      <w:r>
        <w:t>gigabitalapú</w:t>
      </w:r>
      <w:proofErr w:type="spellEnd"/>
      <w:r>
        <w:t xml:space="preserve"> európai információs társadalom felé (COM(2016) 587).</w:t>
      </w:r>
    </w:p>
  </w:footnote>
  <w:footnote w:id="15">
    <w:p w:rsidR="008949F5" w:rsidRDefault="004A11FE">
      <w:pPr>
        <w:pStyle w:val="FootnoteText"/>
      </w:pPr>
      <w:r>
        <w:rPr>
          <w:rStyle w:val="FootnoteReference"/>
        </w:rPr>
        <w:footnoteRef/>
      </w:r>
      <w:r>
        <w:tab/>
        <w:t>Az Európai Parlament és a Tanács 2013. december 11-i 1316/2013/EU rendelete</w:t>
      </w:r>
      <w:r>
        <w:t xml:space="preserve"> az Európai Hálózatfinanszírozási Eszköz létrehozásáról, a 913/2010/EU rendelet módosításáról és a 680/2007/EK és 67/2010/EK rendelet hatályon kívül helyezéséről (HL L 348., 2013.12.20., 129. o.), legutóbb a 2015. június 25-i (EU) 2015/1017 európai parlame</w:t>
      </w:r>
      <w:r>
        <w:t>nti és tanácsi rendelettel (HL L 169., 2015.7.1., 1. o.) módosítva.</w:t>
      </w:r>
    </w:p>
  </w:footnote>
  <w:footnote w:id="16">
    <w:p w:rsidR="008949F5" w:rsidRDefault="004A11FE">
      <w:pPr>
        <w:pStyle w:val="FootnoteText"/>
      </w:pPr>
      <w:r>
        <w:rPr>
          <w:rStyle w:val="FootnoteReference"/>
        </w:rPr>
        <w:footnoteRef/>
      </w:r>
      <w:r>
        <w:tab/>
        <w:t>Az Európai Parlament és a Tanács 2014. március 11-i 283/2014/EU rendelete a távközlési infrastruktúrák területén működő transzeurópai hálózatokra vonatkozó iránymutatásokról és az 1336/9</w:t>
      </w:r>
      <w:r>
        <w:t>7/EK határozat hatályon kívül helyezéséről (HL L 86., 2014.3.21., 14. o.).</w:t>
      </w:r>
    </w:p>
  </w:footnote>
  <w:footnote w:id="17">
    <w:p w:rsidR="008949F5" w:rsidRDefault="004A11FE">
      <w:pPr>
        <w:pStyle w:val="FootnoteText"/>
      </w:pPr>
      <w:r>
        <w:rPr>
          <w:rStyle w:val="FootnoteReference"/>
        </w:rPr>
        <w:footnoteRef/>
      </w:r>
      <w:r>
        <w:tab/>
        <w:t>Tevékenységalapú irányítás: ABM (</w:t>
      </w:r>
      <w:proofErr w:type="spellStart"/>
      <w:r>
        <w:t>Activity</w:t>
      </w:r>
      <w:proofErr w:type="spellEnd"/>
      <w:r>
        <w:t xml:space="preserve"> </w:t>
      </w:r>
      <w:proofErr w:type="spellStart"/>
      <w:r>
        <w:t>Based</w:t>
      </w:r>
      <w:proofErr w:type="spellEnd"/>
      <w:r>
        <w:t xml:space="preserve"> Management), tevékenységalapú költségvetés-tervezés: ABB (</w:t>
      </w:r>
      <w:proofErr w:type="spellStart"/>
      <w:r>
        <w:t>Activity</w:t>
      </w:r>
      <w:proofErr w:type="spellEnd"/>
      <w:r>
        <w:t xml:space="preserve"> </w:t>
      </w:r>
      <w:proofErr w:type="spellStart"/>
      <w:r>
        <w:t>Based</w:t>
      </w:r>
      <w:proofErr w:type="spellEnd"/>
      <w:r>
        <w:t xml:space="preserve"> </w:t>
      </w:r>
      <w:proofErr w:type="spellStart"/>
      <w:r>
        <w:t>Budgeting</w:t>
      </w:r>
      <w:proofErr w:type="spellEnd"/>
      <w:r>
        <w:t>).</w:t>
      </w:r>
    </w:p>
  </w:footnote>
  <w:footnote w:id="18">
    <w:p w:rsidR="008949F5" w:rsidRDefault="004A11FE">
      <w:pPr>
        <w:pStyle w:val="FootnoteText"/>
      </w:pPr>
      <w:r>
        <w:rPr>
          <w:rStyle w:val="FootnoteReference"/>
        </w:rPr>
        <w:footnoteRef/>
      </w:r>
      <w:r>
        <w:tab/>
        <w:t>A költségvetési rendelet 54. cikke (2) bekez</w:t>
      </w:r>
      <w:r>
        <w:t>désének a) vagy b) pontja szerint.</w:t>
      </w:r>
    </w:p>
  </w:footnote>
  <w:footnote w:id="19">
    <w:p w:rsidR="008949F5" w:rsidRDefault="004A11FE">
      <w:pPr>
        <w:pStyle w:val="FootnoteText"/>
      </w:pPr>
      <w:r>
        <w:rPr>
          <w:rStyle w:val="FootnoteReference"/>
        </w:rPr>
        <w:footnoteRef/>
      </w:r>
      <w:r>
        <w:tab/>
        <w:t>Amely kiterjed pl. az általános és középiskolákra, vasútállomásokra, kikötőkre és repülőterekre, helyi hatósági épületekre, egyetemekre, kutatóközpontokra, orvosi rendelőkre, kórházakra és stadionokra.</w:t>
      </w:r>
    </w:p>
  </w:footnote>
  <w:footnote w:id="20">
    <w:p w:rsidR="008949F5" w:rsidRDefault="004A11FE">
      <w:pPr>
        <w:pStyle w:val="FootnoteText"/>
        <w:jc w:val="left"/>
      </w:pPr>
      <w:r>
        <w:rPr>
          <w:rStyle w:val="FootnoteReference"/>
        </w:rPr>
        <w:footnoteRef/>
      </w:r>
      <w:r>
        <w:tab/>
        <w:t>Az egyes irányí</w:t>
      </w:r>
      <w:r>
        <w:t xml:space="preserve">tási módszerek ismertetése, valamint a költségvetési rendeletre való megfelelő hivatkozások megtalálhatók a Költségvetési Főigazgatóság honlapján: </w:t>
      </w:r>
      <w:hyperlink r:id="rId3">
        <w:r>
          <w:rPr>
            <w:rStyle w:val="Hyperlink"/>
            <w:rFonts w:ascii="Times New Roman" w:hAnsi="Times New Roman"/>
          </w:rPr>
          <w:t>https://myi</w:t>
        </w:r>
        <w:r>
          <w:rPr>
            <w:rStyle w:val="Hyperlink"/>
            <w:rFonts w:ascii="Times New Roman" w:hAnsi="Times New Roman"/>
          </w:rPr>
          <w:t>ntracomm.ec.europa.eu/budgweb/EN/man/budgmanag/Pages/budgmanag.aspx</w:t>
        </w:r>
      </w:hyperlink>
      <w:r>
        <w:t xml:space="preserve"> </w:t>
      </w:r>
    </w:p>
  </w:footnote>
  <w:footnote w:id="21">
    <w:p w:rsidR="008949F5" w:rsidRDefault="004A11FE">
      <w:pPr>
        <w:pStyle w:val="FootnoteText"/>
      </w:pPr>
      <w:r>
        <w:rPr>
          <w:rStyle w:val="FootnoteReference"/>
        </w:rPr>
        <w:footnoteRef/>
      </w:r>
      <w:r>
        <w:tab/>
        <w:t>Ezt az összeget a CEF DSI (09.0303) jogcímről a H2020-as jogcímre kell visszacsoportosítani a 2019–2020-as időszakra</w:t>
      </w:r>
    </w:p>
  </w:footnote>
  <w:footnote w:id="22">
    <w:p w:rsidR="008949F5" w:rsidRDefault="004A11FE">
      <w:pPr>
        <w:pStyle w:val="FootnoteText"/>
      </w:pPr>
      <w:r>
        <w:rPr>
          <w:rStyle w:val="FootnoteReference"/>
        </w:rPr>
        <w:footnoteRef/>
      </w:r>
      <w:r>
        <w:tab/>
        <w:t>Technikai és/vagy igazgatási segítségnyújtás, valamint uniós progr</w:t>
      </w:r>
      <w:r>
        <w:t xml:space="preserve">amok és/vagy intézkedések végrehajtásához biztosított támogatási kiadások (korábban: </w:t>
      </w:r>
      <w:proofErr w:type="spellStart"/>
      <w:r>
        <w:t>BA-tételek</w:t>
      </w:r>
      <w:proofErr w:type="spellEnd"/>
      <w:r>
        <w:t>), közvetett kutatás, közvetlen kutatás.</w:t>
      </w:r>
    </w:p>
  </w:footnote>
  <w:footnote w:id="23">
    <w:p w:rsidR="008949F5" w:rsidRDefault="004A11FE">
      <w:pPr>
        <w:pStyle w:val="FootnoteText"/>
      </w:pPr>
      <w:r>
        <w:rPr>
          <w:rStyle w:val="FootnoteReference"/>
        </w:rPr>
        <w:footnoteRef/>
      </w:r>
      <w:r>
        <w:tab/>
        <w:t xml:space="preserve">A teljesítés a nyújtandó termékekre és szolgáltatásokra vonatkozik (pl. finanszírozott diákcserék száma, épített utak </w:t>
      </w:r>
      <w:r>
        <w:t>hossza kilométerben stb.).</w:t>
      </w:r>
    </w:p>
  </w:footnote>
  <w:footnote w:id="24">
    <w:p w:rsidR="008949F5" w:rsidRDefault="004A11FE">
      <w:pPr>
        <w:pStyle w:val="FootnoteText"/>
      </w:pPr>
      <w:r>
        <w:rPr>
          <w:rStyle w:val="FootnoteReference"/>
        </w:rPr>
        <w:footnoteRef/>
      </w:r>
      <w:r>
        <w:tab/>
        <w:t xml:space="preserve">Technikai és/vagy igazgatási segítségnyújtás, valamint uniós programok és/vagy intézkedések végrehajtásához biztosított támogatási kiadások (korábban: </w:t>
      </w:r>
      <w:proofErr w:type="spellStart"/>
      <w:r>
        <w:t>BA-tételek</w:t>
      </w:r>
      <w:proofErr w:type="spellEnd"/>
      <w:r>
        <w:t>), közvetett kutatás, közvetlen kutatás.</w:t>
      </w:r>
    </w:p>
  </w:footnote>
  <w:footnote w:id="25">
    <w:p w:rsidR="008949F5" w:rsidRDefault="004A11FE">
      <w:pPr>
        <w:pStyle w:val="FootnoteText"/>
      </w:pPr>
      <w:r>
        <w:rPr>
          <w:rStyle w:val="FootnoteReference"/>
        </w:rPr>
        <w:footnoteRef/>
      </w:r>
      <w:r>
        <w:tab/>
        <w:t>AC= szerződéses alkalma</w:t>
      </w:r>
      <w:r>
        <w:t xml:space="preserve">zott AL = helyi alkalmazott; END= kirendelt nemzeti szakértő; INT = kölcsönmunkaerő; JED= küldöttségi pályakezdő szakértő. </w:t>
      </w:r>
    </w:p>
  </w:footnote>
  <w:footnote w:id="26">
    <w:p w:rsidR="008949F5" w:rsidRDefault="004A11FE">
      <w:pPr>
        <w:pStyle w:val="FootnoteText"/>
      </w:pPr>
      <w:r>
        <w:rPr>
          <w:rStyle w:val="FootnoteReference"/>
        </w:rPr>
        <w:footnoteRef/>
      </w:r>
      <w:r>
        <w:tab/>
        <w:t xml:space="preserve">Az operatív előirányzatokból finanszírozott külső munkatársakra vonatkozó részleges felső határérték (korábban: </w:t>
      </w:r>
      <w:proofErr w:type="spellStart"/>
      <w:r>
        <w:t>BA-tételek</w:t>
      </w:r>
      <w:proofErr w:type="spellEnd"/>
      <w:r>
        <w:t>).</w:t>
      </w:r>
    </w:p>
  </w:footnote>
  <w:footnote w:id="27">
    <w:p w:rsidR="008949F5" w:rsidRDefault="004A11FE">
      <w:pPr>
        <w:pStyle w:val="FootnoteText"/>
        <w:spacing w:after="120"/>
      </w:pPr>
      <w:r>
        <w:rPr>
          <w:rStyle w:val="FootnoteReference"/>
        </w:rPr>
        <w:footnoteRef/>
      </w:r>
      <w:r>
        <w:tab/>
      </w:r>
      <w:r>
        <w:rPr>
          <w:sz w:val="18"/>
        </w:rPr>
        <w:t>AC=</w:t>
      </w:r>
      <w:r>
        <w:rPr>
          <w:sz w:val="18"/>
        </w:rPr>
        <w:t xml:space="preserve"> szerződéses alkalmazott AL = helyi alkalmazott; END= kirendelt nemzeti szakértő; INT = kölcsönmunkaerő; JED= küldöttségi pályakezdő szakértő.</w:t>
      </w:r>
    </w:p>
  </w:footnote>
  <w:footnote w:id="28">
    <w:p w:rsidR="008949F5" w:rsidRDefault="004A11FE">
      <w:pPr>
        <w:pStyle w:val="FootnoteText"/>
        <w:spacing w:after="120"/>
      </w:pPr>
      <w:r>
        <w:rPr>
          <w:rStyle w:val="FootnoteReference"/>
        </w:rPr>
        <w:footnoteRef/>
      </w:r>
      <w:r>
        <w:tab/>
      </w:r>
      <w:r>
        <w:rPr>
          <w:sz w:val="18"/>
        </w:rPr>
        <w:t>AC= szerződéses alkalmazott AL = helyi alkalmazott; END= kirendelt nemzeti szakértő; INT = kölcsönmunkaerő; JED</w:t>
      </w:r>
      <w:r>
        <w:rPr>
          <w:sz w:val="18"/>
        </w:rPr>
        <w:t>= küldöttségi pályakezdő szakértő.</w:t>
      </w:r>
    </w:p>
  </w:footnote>
  <w:footnote w:id="29">
    <w:p w:rsidR="008949F5" w:rsidRDefault="004A11FE">
      <w:pPr>
        <w:pStyle w:val="FootnoteText"/>
      </w:pPr>
      <w:r>
        <w:rPr>
          <w:rStyle w:val="FootnoteReference"/>
        </w:rPr>
        <w:footnoteRef/>
      </w:r>
      <w:r>
        <w:tab/>
      </w:r>
      <w:r>
        <w:rPr>
          <w:sz w:val="18"/>
        </w:rPr>
        <w:t>Nevezze meg a bizottság típusát és azt a csoportot, amelyhez a bizottság tartozik.</w:t>
      </w:r>
    </w:p>
  </w:footnote>
  <w:footnote w:id="30">
    <w:p w:rsidR="008949F5" w:rsidRDefault="004A11FE">
      <w:pPr>
        <w:pStyle w:val="FootnoteText"/>
      </w:pPr>
      <w:r>
        <w:rPr>
          <w:rStyle w:val="FootnoteReference"/>
        </w:rPr>
        <w:footnoteRef/>
      </w:r>
      <w:r>
        <w:tab/>
        <w:t>IKT: Információs és kommunikációs technológiák: Az Informatikai Főigazgatósággal konzultálni kell.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FE" w:rsidRPr="004A11FE" w:rsidRDefault="004A11FE" w:rsidP="004A11FE">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0EEDCDE"/>
    <w:lvl w:ilvl="0">
      <w:start w:val="1"/>
      <w:numFmt w:val="decimal"/>
      <w:pStyle w:val="ListNumber3"/>
      <w:lvlText w:val="%1."/>
      <w:lvlJc w:val="left"/>
      <w:pPr>
        <w:tabs>
          <w:tab w:val="num" w:pos="1209"/>
        </w:tabs>
        <w:ind w:left="1209" w:hanging="360"/>
      </w:pPr>
      <w:rPr>
        <w:rFonts w:cs="Times New Roman"/>
      </w:rPr>
    </w:lvl>
  </w:abstractNum>
  <w:abstractNum w:abstractNumId="1">
    <w:nsid w:val="FFFFFF7E"/>
    <w:multiLevelType w:val="singleLevel"/>
    <w:tmpl w:val="4BD6CDDC"/>
    <w:lvl w:ilvl="0">
      <w:start w:val="1"/>
      <w:numFmt w:val="decimal"/>
      <w:pStyle w:val="ListNumber2"/>
      <w:lvlText w:val="%1."/>
      <w:lvlJc w:val="left"/>
      <w:pPr>
        <w:tabs>
          <w:tab w:val="num" w:pos="926"/>
        </w:tabs>
        <w:ind w:left="926" w:hanging="360"/>
      </w:pPr>
      <w:rPr>
        <w:rFonts w:cs="Times New Roman"/>
      </w:rPr>
    </w:lvl>
  </w:abstractNum>
  <w:abstractNum w:abstractNumId="2">
    <w:nsid w:val="FFFFFF7F"/>
    <w:multiLevelType w:val="singleLevel"/>
    <w:tmpl w:val="8CB8FB90"/>
    <w:lvl w:ilvl="0">
      <w:start w:val="1"/>
      <w:numFmt w:val="decimal"/>
      <w:pStyle w:val="ListNumber"/>
      <w:lvlText w:val="%1."/>
      <w:lvlJc w:val="left"/>
      <w:pPr>
        <w:tabs>
          <w:tab w:val="num" w:pos="643"/>
        </w:tabs>
        <w:ind w:left="643" w:hanging="360"/>
      </w:pPr>
      <w:rPr>
        <w:rFonts w:cs="Times New Roman"/>
      </w:rPr>
    </w:lvl>
  </w:abstractNum>
  <w:abstractNum w:abstractNumId="3">
    <w:nsid w:val="FFFFFF81"/>
    <w:multiLevelType w:val="singleLevel"/>
    <w:tmpl w:val="AB00CCCA"/>
    <w:lvl w:ilvl="0">
      <w:start w:val="1"/>
      <w:numFmt w:val="bullet"/>
      <w:pStyle w:val="ListBullet3"/>
      <w:lvlText w:val=""/>
      <w:lvlJc w:val="left"/>
      <w:pPr>
        <w:tabs>
          <w:tab w:val="num" w:pos="1209"/>
        </w:tabs>
        <w:ind w:left="1209" w:hanging="360"/>
      </w:pPr>
      <w:rPr>
        <w:rFonts w:ascii="Symbol" w:hAnsi="Symbol" w:hint="default"/>
      </w:rPr>
    </w:lvl>
  </w:abstractNum>
  <w:abstractNum w:abstractNumId="4">
    <w:nsid w:val="FFFFFF82"/>
    <w:multiLevelType w:val="singleLevel"/>
    <w:tmpl w:val="5A2E2900"/>
    <w:lvl w:ilvl="0">
      <w:start w:val="1"/>
      <w:numFmt w:val="bullet"/>
      <w:pStyle w:val="ListBullet2"/>
      <w:lvlText w:val=""/>
      <w:lvlJc w:val="left"/>
      <w:pPr>
        <w:tabs>
          <w:tab w:val="num" w:pos="926"/>
        </w:tabs>
        <w:ind w:left="926" w:hanging="360"/>
      </w:pPr>
      <w:rPr>
        <w:rFonts w:ascii="Symbol" w:hAnsi="Symbol" w:hint="default"/>
      </w:rPr>
    </w:lvl>
  </w:abstractNum>
  <w:abstractNum w:abstractNumId="5">
    <w:nsid w:val="FFFFFF83"/>
    <w:multiLevelType w:val="singleLevel"/>
    <w:tmpl w:val="E44AA05A"/>
    <w:lvl w:ilvl="0">
      <w:start w:val="1"/>
      <w:numFmt w:val="bullet"/>
      <w:pStyle w:val="ListBullet"/>
      <w:lvlText w:val=""/>
      <w:lvlJc w:val="left"/>
      <w:pPr>
        <w:tabs>
          <w:tab w:val="num" w:pos="643"/>
        </w:tabs>
        <w:ind w:left="643" w:hanging="360"/>
      </w:pPr>
      <w:rPr>
        <w:rFonts w:ascii="Symbol" w:hAnsi="Symbol" w:hint="default"/>
      </w:rPr>
    </w:lvl>
  </w:abstractNum>
  <w:abstractNum w:abstractNumId="6">
    <w:nsid w:val="FFFFFF88"/>
    <w:multiLevelType w:val="singleLevel"/>
    <w:tmpl w:val="A60CB450"/>
    <w:lvl w:ilvl="0">
      <w:start w:val="1"/>
      <w:numFmt w:val="decimal"/>
      <w:pStyle w:val="ListBullet4"/>
      <w:lvlText w:val="%1."/>
      <w:lvlJc w:val="left"/>
      <w:pPr>
        <w:tabs>
          <w:tab w:val="num" w:pos="360"/>
        </w:tabs>
        <w:ind w:left="360" w:hanging="360"/>
      </w:pPr>
      <w:rPr>
        <w:rFonts w:cs="Times New Roman"/>
      </w:rPr>
    </w:lvl>
  </w:abstractNum>
  <w:abstractNum w:abstractNumId="7">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6">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23"/>
    <w:lvlOverride w:ilvl="0">
      <w:startOverride w:val="1"/>
    </w:lvlOverride>
  </w:num>
  <w:num w:numId="9">
    <w:abstractNumId w:val="7"/>
  </w:num>
  <w:num w:numId="10">
    <w:abstractNumId w:val="16"/>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22"/>
  </w:num>
  <w:num w:numId="18">
    <w:abstractNumId w:val="11"/>
  </w:num>
  <w:num w:numId="19">
    <w:abstractNumId w:val="13"/>
  </w:num>
  <w:num w:numId="20">
    <w:abstractNumId w:val="9"/>
  </w:num>
  <w:num w:numId="21">
    <w:abstractNumId w:val="21"/>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proofState w:spelling="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0-03 15:26:2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9"/>
    <w:docVar w:name="DQCResult_ModifiedMarkers" w:val="0;0"/>
    <w:docVar w:name="DQCResult_ModifiedNumbering" w:val="0;0"/>
    <w:docVar w:name="DQCResult_Objects" w:val="0;0"/>
    <w:docVar w:name="DQCResult_Sections" w:val="0;0"/>
    <w:docVar w:name="DQCResult_StructureCheck" w:val="0;0"/>
    <w:docVar w:name="DQCResult_SuperfluousWhitespace" w:val="0;41"/>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FF4E088A2F13404CA407E1361ABE7C81"/>
    <w:docVar w:name="LW_CROSSREFERENCE" w:val="&lt;UNUSED&gt;"/>
    <w:docVar w:name="LW_DocType" w:val="COM"/>
    <w:docVar w:name="LW_EMISSION" w:val="2016.9.14."/>
    <w:docVar w:name="LW_EMISSION_ISODATE" w:val="2016-09-14"/>
    <w:docVar w:name="LW_EMISSION_LOCATION" w:val="BRX"/>
    <w:docVar w:name="LW_EMISSION_PREFIX" w:val="Brüsszel, "/>
    <w:docVar w:name="LW_EMISSION_SUFFIX" w:val=" "/>
    <w:docVar w:name="LW_ID_DOCMODEL" w:val="SJ-023"/>
    <w:docVar w:name="LW_ID_DOCSIGNATURE" w:val="SJ-023"/>
    <w:docVar w:name="LW_ID_DOCSTRUCTURE" w:val="COM/PL/ORG"/>
    <w:docVar w:name="LW_ID_DOCTYPE" w:val="SJ-023"/>
    <w:docVar w:name="LW_ID_STATUT" w:val="SJ-023"/>
    <w:docVar w:name="LW_INTERETEEE.CP" w:val="(EGT-vonatkozású szöveg)"/>
    <w:docVar w:name="LW_LANGUE" w:val="HU"/>
    <w:docVar w:name="LW_MARKING" w:val="&lt;UNUSED&gt;"/>
    <w:docVar w:name="LW_NOM.INST" w:val="EURÓPAI BIZOTTSÁG"/>
    <w:docVar w:name="LW_NOM.INST_JOINTDOC" w:val="&lt;EMPTY&gt;"/>
    <w:docVar w:name="LW_PART_NBR" w:val="1"/>
    <w:docVar w:name="LW_PART_NBR_TOTAL" w:val="1"/>
    <w:docVar w:name="LW_REF.II.NEW.CP" w:val="COD"/>
    <w:docVar w:name="LW_REF.II.NEW.CP_NUMBER" w:val="0287"/>
    <w:docVar w:name="LW_REF.II.NEW.CP_YEAR" w:val="2016"/>
    <w:docVar w:name="LW_REF.INST.NEW" w:val="COM"/>
    <w:docVar w:name="LW_REF.INST.NEW_ADOPTED" w:val="final"/>
    <w:docVar w:name="LW_REF.INST.NEW_TEXT" w:val="(2016) 589"/>
    <w:docVar w:name="LW_REF.INTERNE" w:val="&lt;UNUSED&gt;"/>
    <w:docVar w:name="LW_SOUS.TITRE.OBJ.CP" w:val="&lt;UNUSED&gt;"/>
    <w:docVar w:name="LW_STATUT.CP" w:val="Javaslat"/>
    <w:docVar w:name="LW_SUPERTITRE" w:val="&lt;UNUSED&gt;"/>
    <w:docVar w:name="LW_TITRE.OBJ.CP" w:val="_x000b_az 1316/2013/EU és a 283/2014/EU rendeletnek az internetkapcsolat helyi közösségekben történ\u337? el\u337?mozdítása tekintetében történ\u337? módosításáról"/>
    <w:docVar w:name="LW_TYPE.DOC.CP" w:val="AZ EURÓPAI PARLAMENT ÉS A TANÁCS RENDELETE"/>
  </w:docVars>
  <w:rsids>
    <w:rsidRoot w:val="008949F5"/>
    <w:rsid w:val="004A11FE"/>
    <w:rsid w:val="008949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hu-HU"/>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hu-HU"/>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hu-HU" w:eastAsia="hu-HU"/>
    </w:rPr>
  </w:style>
  <w:style w:type="paragraph" w:styleId="Header">
    <w:name w:val="header"/>
    <w:basedOn w:val="Normal"/>
    <w:link w:val="HeaderChar"/>
    <w:uiPriority w:val="99"/>
    <w:unhideWhenUsed/>
    <w:rsid w:val="004A11FE"/>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A11FE"/>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A11FE"/>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hu-HU"/>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locked="1" w:semiHidden="0" w:uiPriority="0"/>
    <w:lsdException w:name="annotation text" w:unhideWhenUsed="1"/>
    <w:lsdException w:name="header" w:unhideWhenUsed="1"/>
    <w:lsdException w:name="footer" w:locked="1" w:semiHidden="0"/>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open_sansregular" w:hAnsi="open_sansregular" w:cs="Times New Roman"/>
      <w:color w:val="2873E6"/>
      <w:u w:val="none"/>
      <w:effect w:val="none"/>
      <w:shd w:val="clear" w:color="auto" w:fill="auto"/>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
    <w:uiPriority w:val="99"/>
    <w:pPr>
      <w:spacing w:before="0" w:after="160" w:line="240" w:lineRule="exact"/>
    </w:pPr>
    <w:rPr>
      <w:rFonts w:ascii="Calibri" w:hAnsi="Calibri"/>
      <w:sz w:val="22"/>
      <w:vertAlign w:val="superscript"/>
    </w:rPr>
  </w:style>
  <w:style w:type="paragraph" w:styleId="ListParagraph">
    <w:name w:val="List Paragraph"/>
    <w:basedOn w:val="Normal"/>
    <w:uiPriority w:val="99"/>
    <w:qFormat/>
    <w:pPr>
      <w:spacing w:before="0" w:after="200" w:line="276" w:lineRule="auto"/>
      <w:ind w:left="720"/>
      <w:contextualSpacing/>
      <w:jc w:val="left"/>
    </w:pPr>
    <w:rPr>
      <w:rFonts w:ascii="Calibri" w:hAnsi="Calibri"/>
      <w:sz w:val="22"/>
    </w:rPr>
  </w:style>
  <w:style w:type="paragraph" w:styleId="Caption">
    <w:name w:val="caption"/>
    <w:basedOn w:val="Normal"/>
    <w:next w:val="Normal"/>
    <w:uiPriority w:val="99"/>
    <w:qFormat/>
    <w:pPr>
      <w:spacing w:before="0" w:after="200"/>
    </w:pPr>
    <w:rPr>
      <w:b/>
      <w:bCs/>
      <w:color w:val="4F81BD"/>
      <w:sz w:val="18"/>
      <w:szCs w:val="18"/>
    </w:rPr>
  </w:style>
  <w:style w:type="paragraph" w:styleId="TableofFigures">
    <w:name w:val="table of figures"/>
    <w:basedOn w:val="Normal"/>
    <w:next w:val="Normal"/>
    <w:uiPriority w:val="99"/>
    <w:semiHidden/>
    <w:pPr>
      <w:spacing w:after="0"/>
    </w:pPr>
  </w:style>
  <w:style w:type="paragraph" w:styleId="ListBullet">
    <w:name w:val="List Bullet"/>
    <w:basedOn w:val="Normal"/>
    <w:uiPriority w:val="99"/>
    <w:semiHidden/>
    <w:pPr>
      <w:numPr>
        <w:numId w:val="1"/>
      </w:numPr>
      <w:tabs>
        <w:tab w:val="clear" w:pos="643"/>
        <w:tab w:val="num" w:pos="360"/>
      </w:tabs>
      <w:ind w:left="360"/>
      <w:contextualSpacing/>
    </w:pPr>
  </w:style>
  <w:style w:type="paragraph" w:styleId="ListBullet2">
    <w:name w:val="List Bullet 2"/>
    <w:basedOn w:val="Normal"/>
    <w:uiPriority w:val="99"/>
    <w:pPr>
      <w:numPr>
        <w:numId w:val="2"/>
      </w:numPr>
      <w:tabs>
        <w:tab w:val="clear" w:pos="926"/>
        <w:tab w:val="num" w:pos="643"/>
      </w:tabs>
      <w:ind w:left="643"/>
      <w:contextualSpacing/>
    </w:pPr>
  </w:style>
  <w:style w:type="paragraph" w:styleId="ListBullet3">
    <w:name w:val="List Bullet 3"/>
    <w:basedOn w:val="Normal"/>
    <w:uiPriority w:val="99"/>
    <w:semiHidden/>
    <w:pPr>
      <w:numPr>
        <w:numId w:val="3"/>
      </w:numPr>
      <w:tabs>
        <w:tab w:val="clear" w:pos="1209"/>
        <w:tab w:val="num" w:pos="926"/>
      </w:tabs>
      <w:ind w:left="926"/>
      <w:contextualSpacing/>
    </w:pPr>
  </w:style>
  <w:style w:type="paragraph" w:styleId="ListBullet4">
    <w:name w:val="List Bullet 4"/>
    <w:basedOn w:val="Normal"/>
    <w:uiPriority w:val="99"/>
    <w:semiHidden/>
    <w:pPr>
      <w:numPr>
        <w:numId w:val="4"/>
      </w:numPr>
      <w:tabs>
        <w:tab w:val="clear" w:pos="360"/>
        <w:tab w:val="num" w:pos="1209"/>
      </w:tabs>
      <w:ind w:left="1209"/>
      <w:contextualSpacing/>
    </w:pPr>
  </w:style>
  <w:style w:type="paragraph" w:styleId="ListNumber">
    <w:name w:val="List Number"/>
    <w:basedOn w:val="Normal"/>
    <w:uiPriority w:val="99"/>
    <w:semiHidden/>
    <w:pPr>
      <w:numPr>
        <w:numId w:val="5"/>
      </w:numPr>
      <w:tabs>
        <w:tab w:val="clear" w:pos="643"/>
        <w:tab w:val="num" w:pos="360"/>
      </w:tabs>
      <w:ind w:left="360"/>
      <w:contextualSpacing/>
    </w:pPr>
  </w:style>
  <w:style w:type="paragraph" w:styleId="ListNumber2">
    <w:name w:val="List Number 2"/>
    <w:basedOn w:val="Normal"/>
    <w:uiPriority w:val="99"/>
    <w:semiHidden/>
    <w:pPr>
      <w:numPr>
        <w:numId w:val="6"/>
      </w:numPr>
      <w:tabs>
        <w:tab w:val="clear" w:pos="926"/>
        <w:tab w:val="num" w:pos="643"/>
      </w:tabs>
      <w:ind w:left="643"/>
      <w:contextualSpacing/>
    </w:pPr>
  </w:style>
  <w:style w:type="paragraph" w:styleId="ListNumber3">
    <w:name w:val="List Number 3"/>
    <w:basedOn w:val="Normal"/>
    <w:uiPriority w:val="99"/>
    <w:semiHidden/>
    <w:pPr>
      <w:numPr>
        <w:numId w:val="7"/>
      </w:numPr>
      <w:tabs>
        <w:tab w:val="clear" w:pos="1209"/>
        <w:tab w:val="num" w:pos="926"/>
      </w:tabs>
      <w:ind w:left="926"/>
      <w:contextualSpacing/>
    </w:pPr>
  </w:style>
  <w:style w:type="paragraph" w:styleId="ListNumber4">
    <w:name w:val="List Number 4"/>
    <w:basedOn w:val="Normal"/>
    <w:uiPriority w:val="99"/>
    <w:semiHidden/>
    <w:pPr>
      <w:tabs>
        <w:tab w:val="num" w:pos="1209"/>
      </w:tabs>
      <w:ind w:left="1209" w:hanging="360"/>
      <w:contextualSpacing/>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hu-HU"/>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hu-HU"/>
    </w:rPr>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hu-HU"/>
    </w:rPr>
  </w:style>
  <w:style w:type="character" w:styleId="FollowedHyperlink">
    <w:name w:val="FollowedHyperlink"/>
    <w:basedOn w:val="DefaultParagraphFont"/>
    <w:uiPriority w:val="99"/>
    <w:semiHidden/>
    <w:rPr>
      <w:rFonts w:cs="Times New Roman"/>
      <w:color w:val="800080"/>
      <w:u w:val="single"/>
    </w:rPr>
  </w:style>
  <w:style w:type="paragraph" w:customStyle="1" w:styleId="ListBullet1">
    <w:name w:val="List Bullet 1"/>
    <w:basedOn w:val="Normal"/>
    <w:uiPriority w:val="99"/>
    <w:pPr>
      <w:numPr>
        <w:numId w:val="9"/>
      </w:numPr>
    </w:pPr>
    <w:rPr>
      <w:rFonts w:eastAsia="Times New Roman"/>
    </w:rPr>
  </w:style>
  <w:style w:type="paragraph" w:customStyle="1" w:styleId="ListDash1">
    <w:name w:val="List Dash 1"/>
    <w:basedOn w:val="Normal"/>
    <w:uiPriority w:val="99"/>
    <w:pPr>
      <w:numPr>
        <w:numId w:val="10"/>
      </w:numPr>
    </w:pPr>
    <w:rPr>
      <w:rFonts w:eastAsia="Times New Roman"/>
    </w:rPr>
  </w:style>
  <w:style w:type="paragraph" w:customStyle="1" w:styleId="ListDash2">
    <w:name w:val="List Dash 2"/>
    <w:basedOn w:val="Normal"/>
    <w:uiPriority w:val="99"/>
    <w:pPr>
      <w:numPr>
        <w:numId w:val="11"/>
      </w:numPr>
    </w:pPr>
    <w:rPr>
      <w:rFonts w:eastAsia="Times New Roman"/>
    </w:rPr>
  </w:style>
  <w:style w:type="character" w:styleId="PageNumber">
    <w:name w:val="page number"/>
    <w:rPr>
      <w:rFonts w:cs="Times New Roman"/>
      <w:lang w:val="hu-HU" w:eastAsia="hu-HU"/>
    </w:rPr>
  </w:style>
  <w:style w:type="paragraph" w:styleId="Header">
    <w:name w:val="header"/>
    <w:basedOn w:val="Normal"/>
    <w:link w:val="HeaderChar"/>
    <w:uiPriority w:val="99"/>
    <w:unhideWhenUsed/>
    <w:rsid w:val="004A11FE"/>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sid w:val="004A11FE"/>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A11FE"/>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5"/>
      </w:numPr>
    </w:pPr>
  </w:style>
  <w:style w:type="paragraph" w:customStyle="1" w:styleId="Tiret1">
    <w:name w:val="Tiret 1"/>
    <w:basedOn w:val="Point1"/>
    <w:pPr>
      <w:numPr>
        <w:numId w:val="16"/>
      </w:numPr>
    </w:pPr>
  </w:style>
  <w:style w:type="paragraph" w:customStyle="1" w:styleId="Tiret2">
    <w:name w:val="Tiret 2"/>
    <w:basedOn w:val="Point2"/>
    <w:pPr>
      <w:numPr>
        <w:numId w:val="17"/>
      </w:numPr>
    </w:pPr>
  </w:style>
  <w:style w:type="paragraph" w:customStyle="1" w:styleId="Tiret3">
    <w:name w:val="Tiret 3"/>
    <w:basedOn w:val="Point3"/>
    <w:pPr>
      <w:numPr>
        <w:numId w:val="18"/>
      </w:numPr>
    </w:pPr>
  </w:style>
  <w:style w:type="paragraph" w:customStyle="1" w:styleId="Tiret4">
    <w:name w:val="Tiret 4"/>
    <w:basedOn w:val="Point4"/>
    <w:pPr>
      <w:numPr>
        <w:numId w:val="1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0"/>
      </w:numPr>
    </w:pPr>
  </w:style>
  <w:style w:type="paragraph" w:customStyle="1" w:styleId="NumPar2">
    <w:name w:val="NumPar 2"/>
    <w:basedOn w:val="Normal"/>
    <w:next w:val="Text1"/>
    <w:pPr>
      <w:numPr>
        <w:ilvl w:val="1"/>
        <w:numId w:val="20"/>
      </w:numPr>
    </w:pPr>
  </w:style>
  <w:style w:type="paragraph" w:customStyle="1" w:styleId="NumPar3">
    <w:name w:val="NumPar 3"/>
    <w:basedOn w:val="Normal"/>
    <w:next w:val="Text1"/>
    <w:pPr>
      <w:numPr>
        <w:ilvl w:val="2"/>
        <w:numId w:val="20"/>
      </w:numPr>
    </w:pPr>
  </w:style>
  <w:style w:type="paragraph" w:customStyle="1" w:styleId="NumPar4">
    <w:name w:val="NumPar 4"/>
    <w:basedOn w:val="Normal"/>
    <w:next w:val="Text1"/>
    <w:pPr>
      <w:numPr>
        <w:ilvl w:val="3"/>
        <w:numId w:val="2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
      </w:numPr>
    </w:pPr>
  </w:style>
  <w:style w:type="paragraph" w:customStyle="1" w:styleId="Point1number">
    <w:name w:val="Point 1 (number)"/>
    <w:basedOn w:val="Normal"/>
    <w:pPr>
      <w:numPr>
        <w:ilvl w:val="2"/>
        <w:numId w:val="22"/>
      </w:numPr>
    </w:pPr>
  </w:style>
  <w:style w:type="paragraph" w:customStyle="1" w:styleId="Point2number">
    <w:name w:val="Point 2 (number)"/>
    <w:basedOn w:val="Normal"/>
    <w:pPr>
      <w:numPr>
        <w:ilvl w:val="4"/>
        <w:numId w:val="22"/>
      </w:numPr>
    </w:pPr>
  </w:style>
  <w:style w:type="paragraph" w:customStyle="1" w:styleId="Point3number">
    <w:name w:val="Point 3 (number)"/>
    <w:basedOn w:val="Normal"/>
    <w:pPr>
      <w:numPr>
        <w:ilvl w:val="6"/>
        <w:numId w:val="22"/>
      </w:numPr>
    </w:pPr>
  </w:style>
  <w:style w:type="paragraph" w:customStyle="1" w:styleId="Point0letter">
    <w:name w:val="Point 0 (letter)"/>
    <w:basedOn w:val="Normal"/>
    <w:pPr>
      <w:numPr>
        <w:ilvl w:val="1"/>
        <w:numId w:val="22"/>
      </w:numPr>
    </w:pPr>
  </w:style>
  <w:style w:type="paragraph" w:customStyle="1" w:styleId="Point1letter">
    <w:name w:val="Point 1 (letter)"/>
    <w:basedOn w:val="Normal"/>
    <w:pPr>
      <w:numPr>
        <w:ilvl w:val="3"/>
        <w:numId w:val="22"/>
      </w:numPr>
    </w:pPr>
  </w:style>
  <w:style w:type="paragraph" w:customStyle="1" w:styleId="Point2letter">
    <w:name w:val="Point 2 (letter)"/>
    <w:basedOn w:val="Normal"/>
    <w:pPr>
      <w:numPr>
        <w:ilvl w:val="5"/>
        <w:numId w:val="22"/>
      </w:numPr>
    </w:pPr>
  </w:style>
  <w:style w:type="paragraph" w:customStyle="1" w:styleId="Point3letter">
    <w:name w:val="Point 3 (letter)"/>
    <w:basedOn w:val="Normal"/>
    <w:pPr>
      <w:numPr>
        <w:ilvl w:val="7"/>
        <w:numId w:val="22"/>
      </w:numPr>
    </w:pPr>
  </w:style>
  <w:style w:type="paragraph" w:customStyle="1" w:styleId="Point4letter">
    <w:name w:val="Point 4 (letter)"/>
    <w:basedOn w:val="Normal"/>
    <w:pPr>
      <w:numPr>
        <w:ilvl w:val="8"/>
        <w:numId w:val="22"/>
      </w:numPr>
    </w:pPr>
  </w:style>
  <w:style w:type="paragraph" w:customStyle="1" w:styleId="Bullet0">
    <w:name w:val="Bullet 0"/>
    <w:basedOn w:val="Normal"/>
    <w:pPr>
      <w:numPr>
        <w:numId w:val="23"/>
      </w:numPr>
    </w:pPr>
  </w:style>
  <w:style w:type="paragraph" w:customStyle="1" w:styleId="Bullet1">
    <w:name w:val="Bullet 1"/>
    <w:basedOn w:val="Normal"/>
    <w:pPr>
      <w:numPr>
        <w:numId w:val="24"/>
      </w:numPr>
    </w:pPr>
  </w:style>
  <w:style w:type="paragraph" w:customStyle="1" w:styleId="Bullet2">
    <w:name w:val="Bullet 2"/>
    <w:basedOn w:val="Normal"/>
    <w:pPr>
      <w:numPr>
        <w:numId w:val="25"/>
      </w:numPr>
    </w:pPr>
  </w:style>
  <w:style w:type="paragraph" w:customStyle="1" w:styleId="Bullet3">
    <w:name w:val="Bullet 3"/>
    <w:basedOn w:val="Normal"/>
    <w:pPr>
      <w:numPr>
        <w:numId w:val="26"/>
      </w:numPr>
    </w:pPr>
  </w:style>
  <w:style w:type="paragraph" w:customStyle="1" w:styleId="Bullet4">
    <w:name w:val="Bullet 4"/>
    <w:basedOn w:val="Normal"/>
    <w:pPr>
      <w:numPr>
        <w:numId w:val="27"/>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s://myintracomm.ec.europa.eu/budgweb/EN/pre/legalbasis/Pages/pre-040-020_preparation.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3.xml"/></Relationships>
</file>

<file path=word/_rels/footnotes.xml.rels><?xml version="1.0" encoding="UTF-8" standalone="yes"?>
<Relationships xmlns="http://schemas.openxmlformats.org/package/2006/relationships"><Relationship Id="rId3" Type="http://schemas.openxmlformats.org/officeDocument/2006/relationships/hyperlink" Target="https://myintracomm.ec.europa.eu/budgweb/EN/man/budgmanag/Pages/budgmanag.aspx" TargetMode="External"/><Relationship Id="rId2" Type="http://schemas.openxmlformats.org/officeDocument/2006/relationships/hyperlink" Target="https://ec.europa.eu/digital-single-market/en/news/full-synopsis-report-public-consultation-evaluation-and-review-regulatory-framework-electronic" TargetMode="External"/><Relationship Id="rId1" Type="http://schemas.openxmlformats.org/officeDocument/2006/relationships/hyperlink" Target="https://ec.europa.eu/digital-single-market/en/broadband-competence-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F78D-E269-4607-AA9A-2A8F6BBE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1</Pages>
  <Words>7672</Words>
  <Characters>55762</Characters>
  <Application>Microsoft Office Word</Application>
  <DocSecurity>0</DocSecurity>
  <Lines>2173</Lines>
  <Paragraphs>775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JANSEN Colette (SG)</cp:lastModifiedBy>
  <cp:revision>19</cp:revision>
  <cp:lastPrinted>2016-09-09T18:03:00Z</cp:lastPrinted>
  <dcterms:created xsi:type="dcterms:W3CDTF">2016-09-30T13:58:00Z</dcterms:created>
  <dcterms:modified xsi:type="dcterms:W3CDTF">2016-10-03T13:42:00Z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Yellow (DQC version 03)</vt:lpwstr>
  </property>
</Properties>
</file>