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5F95F450BA541D59FF7D2BBE1F4C3DC" style="width:450.75pt;height:352.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Bdr>
          <w:top w:val="nil"/>
          <w:left w:val="nil"/>
          <w:bottom w:val="nil"/>
          <w:right w:val="nil"/>
          <w:between w:val="nil"/>
          <w:bar w:val="nil"/>
        </w:pBdr>
        <w:spacing w:before="0" w:after="240"/>
        <w:rPr>
          <w:noProof/>
        </w:rPr>
      </w:pPr>
      <w:r>
        <w:rPr>
          <w:noProof/>
        </w:rPr>
        <w:t xml:space="preserve">Eiropas Savienības Padome secinājumos par bioloģisko lauksaimniecību, kas pieņemti 3237. Lauksaimniecības un zivsaimniecības padomes sanāksmē, mudināja Komisiju uzlabot pašreizējos mehānismus, lai veicinātu bioloģiskās lauksaimniecības produktu starptautisko tirdzniecību, un katrā tirdzniecības nolīgumā prasīt savstarpīgumu un pārredzamību. </w:t>
      </w:r>
    </w:p>
    <w:p>
      <w:pPr>
        <w:pBdr>
          <w:top w:val="nil"/>
          <w:left w:val="nil"/>
          <w:bottom w:val="nil"/>
          <w:right w:val="nil"/>
          <w:between w:val="nil"/>
          <w:bar w:val="nil"/>
        </w:pBdr>
        <w:spacing w:before="0" w:after="240"/>
        <w:rPr>
          <w:noProof/>
        </w:rPr>
      </w:pPr>
      <w:r>
        <w:rPr>
          <w:noProof/>
        </w:rPr>
        <w:t xml:space="preserve">Padome 2014. gada 16. jūnijā pilnvaroja Komisiju risināt sarunas par nolīgumiem starp ES un trešām valstīm par bioloģisko produktu tirdzniecību. </w:t>
      </w:r>
    </w:p>
    <w:p>
      <w:pPr>
        <w:pBdr>
          <w:top w:val="nil"/>
          <w:left w:val="nil"/>
          <w:bottom w:val="nil"/>
          <w:right w:val="nil"/>
          <w:between w:val="nil"/>
          <w:bar w:val="nil"/>
        </w:pBdr>
        <w:spacing w:before="0" w:after="240"/>
        <w:rPr>
          <w:noProof/>
        </w:rPr>
      </w:pPr>
      <w:r>
        <w:rPr>
          <w:noProof/>
        </w:rPr>
        <w:t xml:space="preserve">Pamatojoties uz Padomes sarunu norādēm, Komisija ir risinājusi sarunas ar Čīli par nolīgumu, ar ko savstarpēji atzīst attiecīgo bioloģiskās ražošanas noteikumu un kontroles sistēmu līdzvērtību attiecībā uz konkrētiem produktiem. </w:t>
      </w:r>
    </w:p>
    <w:p>
      <w:pPr>
        <w:pBdr>
          <w:top w:val="nil"/>
          <w:left w:val="nil"/>
          <w:bottom w:val="nil"/>
          <w:right w:val="nil"/>
          <w:between w:val="nil"/>
          <w:bar w:val="nil"/>
        </w:pBdr>
        <w:spacing w:before="0" w:after="240"/>
        <w:rPr>
          <w:noProof/>
        </w:rPr>
      </w:pPr>
      <w:r>
        <w:rPr>
          <w:noProof/>
        </w:rPr>
        <w:t xml:space="preserve">Nolīgumam ar Čīli par bioloģisko produktu tirdzniecību ir noteikts mērķis — stiprināt bioloģisko produktu tirdzniecību starp ES un Čīli, sasniegt augstu līmeni bioloģiskās ražošanas noteikumu principa ievērošanā, kā arī savstarpēji aizsargāt bioloģisko produktu logotipus. </w:t>
      </w:r>
    </w:p>
    <w:p>
      <w:pPr>
        <w:pBdr>
          <w:top w:val="nil"/>
          <w:left w:val="nil"/>
          <w:bottom w:val="nil"/>
          <w:right w:val="nil"/>
          <w:between w:val="nil"/>
          <w:bar w:val="nil"/>
        </w:pBdr>
        <w:spacing w:before="0" w:after="240"/>
        <w:rPr>
          <w:noProof/>
        </w:rPr>
      </w:pPr>
      <w:r>
        <w:rPr>
          <w:noProof/>
        </w:rPr>
        <w:t xml:space="preserve">Līdzvērtības nolīgums ļaus produktus, kas ražoti un kontrolēti atbilstoši ES noteikumiem, tieši laist Čīles tirgū, un otrādi. Tas arī nodrošinās sadarbības sistēmu, informācijas apmaiņu un domstarpību izšķiršanu bioloģisko produktu tirdzniecībā. </w:t>
      </w:r>
    </w:p>
    <w:p>
      <w:pPr>
        <w:pBdr>
          <w:top w:val="nil"/>
          <w:left w:val="nil"/>
          <w:bottom w:val="nil"/>
          <w:right w:val="nil"/>
          <w:between w:val="nil"/>
          <w:bar w:val="nil"/>
        </w:pBdr>
        <w:spacing w:before="0" w:after="240"/>
        <w:rPr>
          <w:noProof/>
        </w:rPr>
      </w:pPr>
      <w:r>
        <w:rPr>
          <w:noProof/>
        </w:rPr>
        <w:t>Čīle atzīs par līdzvērtīgiem visus Savienības bioloģiskos produktus, uz ko attiecas Regula (EK) Nr. 834/2007, proti: nepārstrādātus augu produktus, dzīvus dzīvniekus vai nepārstrādātus dzīvnieku produktus (ieskaitot medu), akvakultūras produktus un jūras aļģes, pārstrādātus lauksaimniecības produktus lietošanai pārtikā (ieskaitot vīnu), pārstrādātus lauksaimniecības produktus lietošanai dzīvnieku barībā, veģetatīvās pavairošanas materiālu un sēklas audzēšanai.</w:t>
      </w:r>
    </w:p>
    <w:p>
      <w:pPr>
        <w:pBdr>
          <w:top w:val="nil"/>
          <w:left w:val="nil"/>
          <w:bottom w:val="nil"/>
          <w:right w:val="nil"/>
          <w:between w:val="nil"/>
          <w:bar w:val="nil"/>
        </w:pBdr>
        <w:spacing w:before="0" w:after="240"/>
        <w:rPr>
          <w:noProof/>
        </w:rPr>
      </w:pPr>
      <w:r>
        <w:rPr>
          <w:noProof/>
        </w:rPr>
        <w:t xml:space="preserve">No otras puses, Savienība atzīs par līdzvērtīgiem šādus Čīles izcelsmes produktus: nepārstrādātus augu produktus, medu, pārstrādātus lauksaimniecības produktus lietošanai pārtikā (ieskaitot vīnu), veģetatīvās pavairošanas materiālu un sēklas audzēšanai. </w:t>
      </w:r>
    </w:p>
    <w:p>
      <w:pPr>
        <w:pBdr>
          <w:top w:val="nil"/>
          <w:left w:val="nil"/>
          <w:bottom w:val="nil"/>
          <w:right w:val="nil"/>
          <w:between w:val="nil"/>
          <w:bar w:val="nil"/>
        </w:pBdr>
        <w:spacing w:before="0" w:after="240"/>
        <w:rPr>
          <w:noProof/>
        </w:rPr>
      </w:pPr>
      <w:r>
        <w:rPr>
          <w:noProof/>
        </w:rPr>
        <w:t xml:space="preserve">Čīles ražošanas noteikumi attiecībā uz dzīvnieku izcelsmes produktiem, izņemot biškopības produktus, kā arī dzīvnieku barību, netika atzīti par līdzvērtīgiem, un tie varētu tikt atzīti par līdzvērtīgiem tikai vēlākā posmā, proti, tad, kad Čīle būs izstrādājusi savus tiesību aktus attiecībā uz šiem produktiem. Lai gan Čīlē nav bioloģiskās akvakultūras noteikumu, tā ir piekritusi atzīt ES bioloģiskās akvakultūras produktus un jūras aļģes. </w:t>
      </w:r>
    </w:p>
    <w:p>
      <w:pPr>
        <w:pBdr>
          <w:top w:val="nil"/>
          <w:left w:val="nil"/>
          <w:bottom w:val="nil"/>
          <w:right w:val="nil"/>
          <w:between w:val="nil"/>
          <w:bar w:val="nil"/>
        </w:pBdr>
        <w:spacing w:before="0" w:after="240"/>
        <w:rPr>
          <w:noProof/>
        </w:rPr>
      </w:pPr>
      <w:r>
        <w:rPr>
          <w:noProof/>
        </w:rPr>
        <w:t xml:space="preserve">Kaut arī Savienībai nav paredzēti nosacījumi par importētām sastāvdaļām, pārstrādātos lauksaimniecības produktos, kurus lieto pārtikā un kuri pārstrādāti Čīlē, jāizmanto Čīles bioloģiski audzētas sastāvdaļas vai sastāvdaļas, kas Čīlē importētas vai nu no Savienības, vai no trešās valsts, attiecībā uz kuru Savienība atzinusi līdzvērtību (saskaņā ar Regulas (EK) Nr. 834/2007 33. panta 2. punktu), taču ne no trešām valstīm, kurām ES ir atzinusi tikai kontroles iestādes vai organizācijas (saskaņā ar Regulas (EK) Nr. 834/2007 33. panta 3. punktu). </w:t>
      </w:r>
    </w:p>
    <w:p>
      <w:pPr>
        <w:pStyle w:val="ManualHeading1"/>
        <w:rPr>
          <w:noProof/>
        </w:rPr>
      </w:pPr>
      <w:r>
        <w:rPr>
          <w:noProof/>
        </w:rPr>
        <w:t>2.</w:t>
      </w:r>
      <w:r>
        <w:rPr>
          <w:noProof/>
        </w:rPr>
        <w:tab/>
        <w:t>JURIDISKAIS PAMATS, SUBSIDIARITĀTE UN PROPORCIONALITĀTE</w:t>
      </w:r>
    </w:p>
    <w:p>
      <w:pPr>
        <w:pBdr>
          <w:top w:val="nil"/>
          <w:left w:val="nil"/>
          <w:bottom w:val="nil"/>
          <w:right w:val="nil"/>
          <w:between w:val="nil"/>
          <w:bar w:val="nil"/>
        </w:pBdr>
        <w:spacing w:before="0" w:after="240"/>
        <w:rPr>
          <w:noProof/>
        </w:rPr>
      </w:pPr>
      <w:r>
        <w:rPr>
          <w:noProof/>
        </w:rPr>
        <w:t xml:space="preserve">Komisija par šo nolīgumu risināja sarunas saskaņā ar Padomes 2014. gada 16. jūnija lēmumu, ar kuru pilnvaroja Komisiju risināt sarunas par nolīgumiem starp ES un trešām valstīm par bioloģisko produktu tirdzniecību, un pieņēma attiecīgās sarunu norādes. </w:t>
      </w:r>
    </w:p>
    <w:p>
      <w:pPr>
        <w:pBdr>
          <w:top w:val="nil"/>
          <w:left w:val="nil"/>
          <w:bottom w:val="nil"/>
          <w:right w:val="nil"/>
          <w:between w:val="nil"/>
          <w:bar w:val="nil"/>
        </w:pBdr>
        <w:spacing w:before="0" w:after="240"/>
        <w:rPr>
          <w:rFonts w:eastAsia="Arial Unicode MS"/>
          <w:noProof/>
        </w:rPr>
      </w:pPr>
      <w:r>
        <w:rPr>
          <w:noProof/>
        </w:rPr>
        <w:t>Tirdzniecības politika ir Savienības ekskluzīvā kompetencē. Tādēļ šis nolīgums ir apspriests un parakstīts saskaņā ar LESD un 207. un 218. pantu.</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rPr>
          <w:rFonts w:eastAsia="Arial Unicode MS"/>
          <w:noProof/>
        </w:rPr>
      </w:pPr>
      <w:r>
        <w:rPr>
          <w:noProof/>
        </w:rPr>
        <w:t>Neattiecas.</w:t>
      </w:r>
      <w:r>
        <w:rPr>
          <w:noProof/>
        </w:rPr>
        <w:tab/>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 xml:space="preserve">Priekšlikums neietekmē budžetu. </w:t>
      </w:r>
    </w:p>
    <w:p>
      <w:pPr>
        <w:pStyle w:val="ManualHeading1"/>
        <w:rPr>
          <w:noProof/>
        </w:rPr>
      </w:pPr>
      <w:r>
        <w:rPr>
          <w:noProof/>
        </w:rPr>
        <w:t>5.</w:t>
      </w:r>
      <w:r>
        <w:rPr>
          <w:noProof/>
        </w:rPr>
        <w:tab/>
        <w:t>CITI ELEMENTI</w:t>
      </w:r>
    </w:p>
    <w:p>
      <w:pPr>
        <w:pStyle w:val="ManualHeading2"/>
        <w:rPr>
          <w:noProof/>
        </w:rPr>
      </w:pPr>
      <w:r>
        <w:rPr>
          <w:b w:val="0"/>
          <w:noProof/>
          <w:u w:color="000000"/>
          <w:bdr w:val="nil"/>
        </w:rPr>
        <w:t>Neattiecas.</w:t>
      </w:r>
      <w:r>
        <w:rPr>
          <w:noProof/>
        </w:rPr>
        <w:tab/>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2016/0316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Eiropas Savienības vārdā parakstītu Nolīgumu starp Eiropas Savienību un Čīles Republiku par bioloģisko produktu tirdzniecību</w:t>
      </w:r>
    </w:p>
    <w:p>
      <w:pPr>
        <w:pStyle w:val="Institutionquiagit"/>
        <w:rPr>
          <w:noProof/>
        </w:rPr>
      </w:pPr>
      <w:r>
        <w:rPr>
          <w:noProof/>
        </w:rPr>
        <w:t>EIROPAS SAVIENĪBAS PADOME,</w:t>
      </w:r>
    </w:p>
    <w:p>
      <w:pPr>
        <w:rPr>
          <w:noProof/>
        </w:rPr>
      </w:pPr>
      <w:r>
        <w:rPr>
          <w:noProof/>
        </w:rPr>
        <w:t>ņemot vērā Līgumu par Eiropas Savienības darbību un jo īpaši tā 207. panta 4. punkta pirmo daļu saistībā ar 218. panta 5.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 xml:space="preserve">Padome 2014. gada 16. jūnijā pilnvaroja Komisiju uzsākt sarunas ar trešām valstīm, lai noslēgtu nolīgumus par bioloģisko produktu tirdzniecību. </w:t>
      </w:r>
    </w:p>
    <w:p>
      <w:pPr>
        <w:pStyle w:val="ManualConsidrant"/>
        <w:rPr>
          <w:noProof/>
        </w:rPr>
      </w:pPr>
      <w:r>
        <w:t>(2)</w:t>
      </w:r>
      <w:r>
        <w:tab/>
      </w:r>
      <w:r>
        <w:rPr>
          <w:noProof/>
        </w:rPr>
        <w:t xml:space="preserve">Komisija Savienības vārdā ir risinājusi sarunas par nolīgumu ar Čīles Republiku par bioloģisko produktu tirdzniecību (“nolīgums”). </w:t>
      </w:r>
    </w:p>
    <w:p>
      <w:pPr>
        <w:pStyle w:val="ManualConsidrant"/>
        <w:rPr>
          <w:noProof/>
        </w:rPr>
      </w:pPr>
      <w:r>
        <w:t>(3)</w:t>
      </w:r>
      <w:r>
        <w:tab/>
      </w:r>
      <w:r>
        <w:rPr>
          <w:noProof/>
        </w:rPr>
        <w:t>Šajā nolīgumā Savienība un Čīles Republika atzīst par līdzvērtīgiem to noteikumus par bioloģisko ražošanu un bioloģisko produktu kontroles sistēmas.</w:t>
      </w:r>
    </w:p>
    <w:p>
      <w:pPr>
        <w:pStyle w:val="ManualConsidrant"/>
        <w:rPr>
          <w:noProof/>
        </w:rPr>
      </w:pPr>
      <w:r>
        <w:t>(4)</w:t>
      </w:r>
      <w:r>
        <w:tab/>
      </w:r>
      <w:r>
        <w:rPr>
          <w:noProof/>
        </w:rPr>
        <w:t>Nolīguma mērķis ir veicināt bioloģisko produktu tirdzniecību, sekmēt bioloģiskās lauksaimniecības nozares attīstību un paplašināšanos Savienībā un Čīles Republikā, sasniegt augstu līmeni bioloģiskās ražošanas noteikumu, kontroles sistēmu garantijas un bioloģisko produktu integritātes principu ievērošanā. Attiecīgi būtu jāuzlabo arī bioloģisko produktu logotipu aizsardzība. Nolīguma mērķis ir arī uzlabot regulatīvo sadarbību starp Pusēm par jautājumiem, kas saistīti ar bioloģisko ražošanu.</w:t>
      </w:r>
    </w:p>
    <w:p>
      <w:pPr>
        <w:pStyle w:val="ManualConsidrant"/>
        <w:rPr>
          <w:noProof/>
        </w:rPr>
      </w:pPr>
      <w:r>
        <w:t>(5)</w:t>
      </w:r>
      <w:r>
        <w:tab/>
      </w:r>
      <w:r>
        <w:rPr>
          <w:noProof/>
        </w:rPr>
        <w:t xml:space="preserve">Tādēļ nolīgums būtu jāparaksta Savienības vārdā, ņemot vērā tā noslēgšanu pēcāk, </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Ar šo Savienības vārdā tiek apstiprināta Nolīguma parakstīšana starp Eiropas Savienību un Čīles Republiku par bioloģisko produktu tirdzniecību, ņemot vērā minētā nolīguma noslēgšanu.</w:t>
      </w:r>
    </w:p>
    <w:p>
      <w:pPr>
        <w:rPr>
          <w:noProof/>
        </w:rPr>
      </w:pPr>
      <w:r>
        <w:rPr>
          <w:noProof/>
        </w:rPr>
        <w:t>Parakstāmā nolīguma teksts ir pievienots šim lēmumam.</w:t>
      </w:r>
    </w:p>
    <w:p>
      <w:pPr>
        <w:pStyle w:val="Titrearticle"/>
        <w:keepNext w:val="0"/>
        <w:rPr>
          <w:noProof/>
        </w:rPr>
      </w:pPr>
      <w:r>
        <w:rPr>
          <w:noProof/>
        </w:rPr>
        <w:t>2. pants</w:t>
      </w:r>
    </w:p>
    <w:p>
      <w:pPr>
        <w:rPr>
          <w:noProof/>
        </w:rPr>
      </w:pPr>
      <w:r>
        <w:rPr>
          <w:noProof/>
        </w:rPr>
        <w:t>Padomes Ģenerālsekretariāts izveido instrumentu, kas piešķir nolīguma sarunvedēja norādītajai personai (norādītajām personām) visas pilnvaras parakstīt nolīgumu, ievērojot tā noslēgšanu.</w:t>
      </w:r>
    </w:p>
    <w:p>
      <w:pPr>
        <w:pStyle w:val="Titrearticle"/>
        <w:rPr>
          <w:noProof/>
        </w:rPr>
      </w:pPr>
      <w:r>
        <w:rPr>
          <w:noProof/>
        </w:rPr>
        <w:t>3. pants</w:t>
      </w:r>
    </w:p>
    <w:p>
      <w:pPr>
        <w:keepLines/>
        <w:rPr>
          <w:noProof/>
        </w:rPr>
      </w:pPr>
      <w:r>
        <w:rPr>
          <w:noProof/>
        </w:rPr>
        <w:t>Šis lēmums stājas spēkā [...].</w:t>
      </w:r>
    </w:p>
    <w:p>
      <w:pPr>
        <w:pStyle w:val="Fait"/>
        <w:rPr>
          <w:noProof/>
        </w:rPr>
      </w:pPr>
      <w:r>
        <w:rPr>
          <w:noProof/>
        </w:rP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1847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E499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F4B5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4AFC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4244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7C90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CC0D0E"/>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81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0 09:53: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5F95F450BA541D59FF7D2BBE1F4C3DC"/>
    <w:docVar w:name="LW_CROSSREFERENCE" w:val="&lt;UNUSED&gt;"/>
    <w:docVar w:name="LW_DocType" w:val="COM"/>
    <w:docVar w:name="LW_EMISSION" w:val="10.10.2016"/>
    <w:docVar w:name="LW_EMISSION_ISODATE" w:val="2016-10-10"/>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STATUT" w:val="SJ-019"/>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NLE"/>
    <w:docVar w:name="LW_REF.II.NEW.CP_NUMBER" w:val="0316"/>
    <w:docVar w:name="LW_REF.II.NEW.CP_YEAR" w:val="2016"/>
    <w:docVar w:name="LW_REF.INST.NEW" w:val="COM"/>
    <w:docVar w:name="LW_REF.INST.NEW_ADOPTED" w:val="final"/>
    <w:docVar w:name="LW_REF.INST.NEW_TEXT" w:val="(2016) 648"/>
    <w:docVar w:name="LW_REF.INTERNE" w:val="&lt;UNUSED&gt;"/>
    <w:docVar w:name="LW_SOUS.TITRE.OBJ.CP" w:val="&lt;UNUSED&gt;"/>
    <w:docVar w:name="LW_STATUT.CP" w:val="Priek\u353?likums"/>
    <w:docVar w:name="LW_SUPERTITRE" w:val="&lt;UNUSED&gt;"/>
    <w:docVar w:name="LW_TITRE.OBJ.CP" w:val="par to, lai Eiropas Savien\u299?bas v\u257?rd\u257? parakst\u299?tu Nol\u299?gumu starp Eiropas Savien\u299?bu un \u268?\u299?les Republiku par biolo\u291?isko produktu tirdzniec\u299?b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A6D5-C180-4604-979D-13E7FC9B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709</Words>
  <Characters>4910</Characters>
  <Application>Microsoft Office Word</Application>
  <DocSecurity>0</DocSecurity>
  <Lines>94</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2016-04-29T08:51:00Z</cp:lastPrinted>
  <dcterms:created xsi:type="dcterms:W3CDTF">2016-07-13T13:50:00Z</dcterms:created>
  <dcterms:modified xsi:type="dcterms:W3CDTF">2016-10-10T07:53:00Z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