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EFA" w:rsidRDefault="005C4D05" w:rsidP="005C4D05">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A7A8DCD2EA284D0F9ED02FF2C2B57895" style="width:450.75pt;height:408.75pt">
            <v:imagedata r:id="rId12" o:title=""/>
          </v:shape>
        </w:pict>
      </w:r>
    </w:p>
    <w:p w:rsidR="00526EFA" w:rsidRDefault="00526EFA">
      <w:pPr>
        <w:rPr>
          <w:noProof/>
        </w:rPr>
        <w:sectPr w:rsidR="00526EFA" w:rsidSect="005C4D05">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rsidR="00526EFA" w:rsidRDefault="005C4D05">
      <w:pPr>
        <w:pStyle w:val="Exposdesmotifstitre"/>
        <w:rPr>
          <w:noProof/>
        </w:rPr>
      </w:pPr>
      <w:bookmarkStart w:id="0" w:name="_Toc455736242"/>
      <w:bookmarkStart w:id="1" w:name="_Toc455740694"/>
      <w:bookmarkStart w:id="2" w:name="_Toc455740869"/>
      <w:bookmarkStart w:id="3" w:name="_Toc455741952"/>
      <w:bookmarkStart w:id="4" w:name="_Toc455743777"/>
      <w:bookmarkStart w:id="5" w:name="_Toc455749663"/>
      <w:bookmarkStart w:id="6" w:name="_Toc455750897"/>
      <w:bookmarkStart w:id="7" w:name="_Toc455751132"/>
      <w:bookmarkStart w:id="8" w:name="_Toc455751307"/>
      <w:bookmarkStart w:id="9" w:name="_Toc455751849"/>
      <w:bookmarkStart w:id="10" w:name="_Toc455752323"/>
      <w:bookmarkStart w:id="11" w:name="_Toc455752858"/>
      <w:bookmarkStart w:id="12" w:name="_Toc455753128"/>
      <w:bookmarkStart w:id="13" w:name="_Toc455754001"/>
      <w:bookmarkStart w:id="14" w:name="_Toc455754656"/>
      <w:bookmarkStart w:id="15" w:name="_Toc455754667"/>
      <w:bookmarkStart w:id="16" w:name="_Toc455755017"/>
      <w:bookmarkStart w:id="17" w:name="_Toc455755192"/>
      <w:bookmarkStart w:id="18" w:name="_Toc455755830"/>
      <w:bookmarkStart w:id="19" w:name="_Toc455756255"/>
      <w:bookmarkStart w:id="20" w:name="_Toc455756609"/>
      <w:bookmarkStart w:id="21" w:name="_Toc455756759"/>
      <w:bookmarkStart w:id="22" w:name="_Toc455756934"/>
      <w:bookmarkStart w:id="23" w:name="_Toc455757491"/>
      <w:bookmarkStart w:id="24" w:name="_Toc455757780"/>
      <w:bookmarkStart w:id="25" w:name="_Toc455758563"/>
      <w:bookmarkStart w:id="26" w:name="_Toc455759141"/>
      <w:bookmarkStart w:id="27" w:name="_Toc455759887"/>
      <w:bookmarkStart w:id="28" w:name="_Toc455760062"/>
      <w:bookmarkStart w:id="29" w:name="_Toc455757955"/>
      <w:bookmarkStart w:id="30"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noProof/>
        </w:rPr>
        <w:lastRenderedPageBreak/>
        <w:t>MEABHRÁN MÍNIÚCHÁIN</w:t>
      </w:r>
    </w:p>
    <w:p w:rsidR="00526EFA" w:rsidRDefault="005C4D05">
      <w:pPr>
        <w:pStyle w:val="ManualHeading1"/>
        <w:rPr>
          <w:noProof/>
        </w:rPr>
      </w:pPr>
      <w:r>
        <w:rPr>
          <w:noProof/>
        </w:rPr>
        <w:t>1.</w:t>
      </w:r>
      <w:r>
        <w:rPr>
          <w:noProof/>
        </w:rPr>
        <w:tab/>
        <w:t>COMHTHÉACS AN TOGRA</w:t>
      </w:r>
    </w:p>
    <w:p w:rsidR="00526EFA" w:rsidRDefault="005C4D05">
      <w:pPr>
        <w:pStyle w:val="ManualHeading2"/>
        <w:rPr>
          <w:rFonts w:eastAsia="Arial Unicode MS"/>
          <w:noProof/>
        </w:rPr>
      </w:pPr>
      <w:r>
        <w:rPr>
          <w:noProof/>
          <w:color w:val="000000"/>
          <w:u w:color="000000"/>
          <w:bdr w:val="nil"/>
        </w:rPr>
        <w:t>•</w:t>
      </w:r>
      <w:r>
        <w:rPr>
          <w:noProof/>
        </w:rPr>
        <w:tab/>
        <w:t>Forais agus cuspóirí an togra</w:t>
      </w:r>
    </w:p>
    <w:p w:rsidR="00526EFA" w:rsidRDefault="005C4D05">
      <w:pPr>
        <w:spacing w:before="0"/>
        <w:rPr>
          <w:noProof/>
        </w:rPr>
      </w:pPr>
      <w:r>
        <w:rPr>
          <w:noProof/>
        </w:rPr>
        <w:t xml:space="preserve">Sa Teachtaireacht ón gCoimisiún i mBealtaine 2015, </w:t>
      </w:r>
      <w:r>
        <w:rPr>
          <w:i/>
          <w:noProof/>
        </w:rPr>
        <w:t>Straitéis maidir le Margadh Aonair Digiteach don Eoraip</w:t>
      </w:r>
      <w:r>
        <w:rPr>
          <w:rStyle w:val="FootnoteReference"/>
          <w:noProof/>
        </w:rPr>
        <w:footnoteReference w:id="1"/>
      </w:r>
      <w:r>
        <w:rPr>
          <w:noProof/>
        </w:rPr>
        <w:t>, rinneadh foráil maidir le tograí a thíolacadh in 2016 i dtaca le hathchóiriú uaillmhianach ó bhonn a dhéanamh ar an gcreat rialála um chumarsáid le</w:t>
      </w:r>
      <w:r>
        <w:rPr>
          <w:noProof/>
        </w:rPr>
        <w:t xml:space="preserve">ictreonach. Is é is aidhm don athchóiriú, </w:t>
      </w:r>
      <w:r>
        <w:rPr>
          <w:i/>
          <w:noProof/>
        </w:rPr>
        <w:t>inter alia</w:t>
      </w:r>
      <w:r>
        <w:rPr>
          <w:noProof/>
        </w:rPr>
        <w:t>, creat institiúideach rialála níos éifeachtaí a áirithiú chun na rialacha maidir le teileachumarsáid a dhéanamh oiriúnach dá bhfeidhm mar chuid den phróiseas chun na dálaí cearta a chruthú don mhargadh a</w:t>
      </w:r>
      <w:r>
        <w:rPr>
          <w:noProof/>
        </w:rPr>
        <w:t>onair digiteach. Áirítear ar na dálaí sin líonraí nascachta an</w:t>
      </w:r>
      <w:r>
        <w:rPr>
          <w:noProof/>
        </w:rPr>
        <w:noBreakHyphen/>
        <w:t xml:space="preserve">ardtoillte a úsáid, bainistíocht níos comhordaithe ar radaispeictream le haghaidh líonraí gan sreang agus cothrom iomaíochta a chruthú le haghaidh líonraí digiteacha ardleibhéil agus seirbhísí </w:t>
      </w:r>
      <w:r>
        <w:rPr>
          <w:noProof/>
        </w:rPr>
        <w:t>nuálaíocha. Sa teachtaireacht, tugadh aird ar leith ar an bpointe gur gá an creat institiúideach a neartú trí ról Chomhlacht na Rialálaithe Eorpacha um Chumarsáid Leictreonach ("BEREC") a fheabhsú mar gheall ar an margadh agus an timpeallacht theicneolaíoc</w:t>
      </w:r>
      <w:r>
        <w:rPr>
          <w:noProof/>
        </w:rPr>
        <w:t>h a bheith ag athrú.</w:t>
      </w:r>
    </w:p>
    <w:p w:rsidR="00526EFA" w:rsidRDefault="005C4D05">
      <w:pPr>
        <w:spacing w:before="0"/>
        <w:rPr>
          <w:noProof/>
        </w:rPr>
      </w:pPr>
      <w:r>
        <w:rPr>
          <w:noProof/>
        </w:rPr>
        <w:t>Sa Rún ó Pharlaimint na hEorpa "I dTreo Gníomh um Margadh Aonair Digiteach"</w:t>
      </w:r>
      <w:r>
        <w:rPr>
          <w:rStyle w:val="FootnoteReference"/>
          <w:noProof/>
        </w:rPr>
        <w:footnoteReference w:id="2"/>
      </w:r>
      <w:r>
        <w:rPr>
          <w:noProof/>
        </w:rPr>
        <w:t>, d'iarr sí ar an gCoimisiún an margadh aonair digiteach a chomhtháthú a thuilleadh trína áirithiú go mbeidh creat institiúideach níos éifeachtúla ar bun. Is f</w:t>
      </w:r>
      <w:r>
        <w:rPr>
          <w:noProof/>
        </w:rPr>
        <w:t>éidir sin a dhéanamh trí ról, acmhainn agus cumhachtaí cinnteoireachta BEREC a neartú le go mbeidh sé in ann (i) cur chun feidhme comhsheasmhach an chreata rialála le haghaidh cumarsáid leictreonach a chothú, (ii) cur ar a chumas do BEREC maoirseacht éifea</w:t>
      </w:r>
      <w:r>
        <w:rPr>
          <w:noProof/>
        </w:rPr>
        <w:t>chtúil a dhéanamh ar fhorbairt an mhargaidh aonair agus (iii) cuidiú leis díospóidí trasteorann a réiteach. I dtaca leis an méid sin, chuir Parlaimint na hEorpa i bhfios go láidir gur gá na hacmhainní airgeadais agus daonna a fheabhsú agus struchtúr rialac</w:t>
      </w:r>
      <w:r>
        <w:rPr>
          <w:noProof/>
        </w:rPr>
        <w:t>hais BEREC a leasú a thuilleadh.</w:t>
      </w:r>
    </w:p>
    <w:p w:rsidR="00526EFA" w:rsidRDefault="005C4D05">
      <w:pPr>
        <w:spacing w:before="0"/>
        <w:rPr>
          <w:noProof/>
        </w:rPr>
      </w:pPr>
      <w:r>
        <w:rPr>
          <w:noProof/>
        </w:rPr>
        <w:t xml:space="preserve">Ní mór an togra seo a léamh i gcomhar leis an togra le haghaidh Treoir ó Pharlaimint na hEorpa agus ón gComhairle lena mbunaítear an Cód um Chumarsáid Leictreonach Eorpach ("an Treoir"). Leis an togra sin chuirfí tuilleadh </w:t>
      </w:r>
      <w:r>
        <w:rPr>
          <w:noProof/>
        </w:rPr>
        <w:t>cúraimí ar BEREC, rud a chuideodh chun a áirithiú go gcuirfí an creat rialála chun feidhme go comhsheasmhach. Dá réir sin, chothófaí forbairt an mhargaidh cumarsáide leictreonaí ar fud an Aontais. Ina theannta sin, chuideodh BEREC chun rochtain agus glacad</w:t>
      </w:r>
      <w:r>
        <w:rPr>
          <w:noProof/>
        </w:rPr>
        <w:t>h nascacht sonraí an</w:t>
      </w:r>
      <w:r>
        <w:rPr>
          <w:noProof/>
        </w:rPr>
        <w:noBreakHyphen/>
        <w:t>ardtoillte a chur chun cinn, chuideodh sé le hiomaíocht a chur chun cinn i soláthar líonraí agus seirbhísí cumarsáide leictreonaí chomh maith le leasanna shaoránaigh an Aontais a chur chun cinn. Is é is aidhm don togra seo ról institiú</w:t>
      </w:r>
      <w:r>
        <w:rPr>
          <w:noProof/>
        </w:rPr>
        <w:t>ideach BEREC a neartú agus a struchtúr rialachais a fheabhsú trí ghníomhaireacht a dhéanamh de le go mbeidh sé in ann na cúraimí a bheidh air amach anseo a dhéanamh.</w:t>
      </w:r>
    </w:p>
    <w:p w:rsidR="00526EFA" w:rsidRDefault="005C4D05">
      <w:pPr>
        <w:spacing w:before="0"/>
        <w:rPr>
          <w:noProof/>
        </w:rPr>
      </w:pPr>
      <w:r>
        <w:rPr>
          <w:noProof/>
        </w:rPr>
        <w:t>Ó ghlac sé a chuid freagrachtaí air féin in 2010 agus ó chuaigh sé i mbun oibre go lánfhei</w:t>
      </w:r>
      <w:r>
        <w:rPr>
          <w:noProof/>
        </w:rPr>
        <w:t>dhmeach in 2011, is mór an cuidiú a thug BEREC agus Oifig BEREC ("Oifig BEREC") chun go gcuirfí an creat rialála chun feidhme go comhsheasmhach. Lena chois sin, thug sé saineolas teicniúil luachmhar do na húdaráis náisiúnta rialála ("ÚNRanna") agus d'insti</w:t>
      </w:r>
      <w:r>
        <w:rPr>
          <w:noProof/>
        </w:rPr>
        <w:t>tiúidí an Aontais Eorpaigh. Leagadh amach cúraimí breise do BEREC le gairid i Rialachán (AE) Uimh. 2015/2120. Is éard atá iontu treoirlínte eisiúna maidir le comhlíonadh oibleagáidí ÚNRanna a bhaineann le rochtain oscailte ar an idirlíon, chomh maith le tu</w:t>
      </w:r>
      <w:r>
        <w:rPr>
          <w:noProof/>
        </w:rPr>
        <w:t xml:space="preserve">airimí a thabhairt maidir le dréachtghníomhartha cur chun feidhme a ghlacfaidh an Coimisiún a bhaineann le fánaíocht ar fud an Aontais agus oibleagáidí tuairiscithe áirithe. An togra le haghaidh Treoir a ghabhann leis an togra seo, cuireann sé cúraimí nua </w:t>
      </w:r>
      <w:r>
        <w:rPr>
          <w:noProof/>
        </w:rPr>
        <w:t xml:space="preserve">breise ar BEREC, mar </w:t>
      </w:r>
      <w:r>
        <w:rPr>
          <w:noProof/>
        </w:rPr>
        <w:lastRenderedPageBreak/>
        <w:t>atá ról níos mó a imirt sa sásra comhairliúcháin le haghaidh leighseanna rialála margaidh, treoirlínte a thabhairt d'ÚNRanna le haghaidh suirbhéanna geografacha, cuir chuige coiteanna a fhorbairt le bheith in ann teacht roimh éileamh t</w:t>
      </w:r>
      <w:r>
        <w:rPr>
          <w:noProof/>
        </w:rPr>
        <w:t>rasnáisiúnta an úsáideora deiridh, tuairimí a thabhairt faoi dhréachtbhearta naisiúnta maidir le sannadh cearta úsáide le haghaidh radaispeictrim ("athbhreithniú piaraí" ar radaispeictrim), agus clár a bhunú le haghaidh úsáid allchríche uimhreacha agus soc</w:t>
      </w:r>
      <w:r>
        <w:rPr>
          <w:noProof/>
        </w:rPr>
        <w:t>ruithe trasteorann agus clár eile le haghaidh soláthraithe líonraí agus seirbhísí cumarsáide leictreonaí.</w:t>
      </w:r>
    </w:p>
    <w:p w:rsidR="00526EFA" w:rsidRDefault="005C4D05">
      <w:pPr>
        <w:spacing w:before="0"/>
        <w:rPr>
          <w:noProof/>
        </w:rPr>
      </w:pPr>
      <w:r>
        <w:rPr>
          <w:noProof/>
        </w:rPr>
        <w:t>Le tamall anuas, tá ról BEREC agus Oifig BEREC feabhsaithe go mór, go háirithe i ngnóthaí trasteorann (amhail seirbhísí idir meaisíní (M2M) nó an t</w:t>
      </w:r>
      <w:r>
        <w:rPr>
          <w:noProof/>
        </w:rPr>
        <w:noBreakHyphen/>
        <w:t>éi</w:t>
      </w:r>
      <w:r>
        <w:rPr>
          <w:noProof/>
        </w:rPr>
        <w:t>leamh trasnáisiúnta ar úsáideoirí gnó) agus tá taithí faighte ó thaobh cur chun feidhme comhsheasmhach an chreata rialála a áirithiú. Dealraíonn sé gur iomchuí agus gur gá tógáil ar an taithí sin agus gníomhaireacht chríochnaithe a dhéanamh den dá eagraíoc</w:t>
      </w:r>
      <w:r>
        <w:rPr>
          <w:noProof/>
        </w:rPr>
        <w:t>ht sin. An ghníomhaireacht nua, a mbeidh sainordú níos leithne aici, ba cheart go leanfadh sí d'obair BEREC agus de shaineolas ó ÚNRanna a thiomsú go fóill. Ós rud é go bhfuil brandáil BEREC aitheanta go maith cheana féin agus go bhfuilimid ag féachaint le</w:t>
      </w:r>
      <w:r>
        <w:rPr>
          <w:noProof/>
        </w:rPr>
        <w:t xml:space="preserve"> tógáil uirthi, agus i bhfianaise na gcostas nach beag a bhaineann le hainm a athrú, ba cheart don ghníomhaireacht an t</w:t>
      </w:r>
      <w:r>
        <w:rPr>
          <w:noProof/>
        </w:rPr>
        <w:noBreakHyphen/>
        <w:t xml:space="preserve">ainm BEREC a choinneáil. </w:t>
      </w:r>
    </w:p>
    <w:p w:rsidR="00526EFA" w:rsidRDefault="005C4D05">
      <w:pPr>
        <w:pBdr>
          <w:top w:val="nil"/>
          <w:left w:val="nil"/>
          <w:bottom w:val="nil"/>
          <w:right w:val="nil"/>
          <w:between w:val="nil"/>
          <w:bar w:val="nil"/>
        </w:pBdr>
        <w:spacing w:before="0" w:after="240"/>
        <w:rPr>
          <w:rFonts w:eastAsia="Arial Unicode MS"/>
          <w:noProof/>
        </w:rPr>
      </w:pPr>
      <w:r>
        <w:rPr>
          <w:noProof/>
        </w:rPr>
        <w:t>Trí ról BEREC a fheabhsú i réimse na cumarsáide leictreonaí agus é mar aidhm leis a struchtúr agus a rialachas</w:t>
      </w:r>
      <w:r>
        <w:rPr>
          <w:noProof/>
        </w:rPr>
        <w:t>, a oibriú, a chlársceidealú agus a fhreagracht a bheith ag teacht leis an Ráiteas Comhpháirteach ó Pharlaimint na hEorpa, ón gComhairle agus ón gCoimisiúin maidir le gníomhaireachtaí díláraithe an 19 Iúil 2012 ("an Cur Chuige Coiteann")</w:t>
      </w:r>
      <w:r>
        <w:rPr>
          <w:rStyle w:val="FootnoteReference"/>
          <w:noProof/>
        </w:rPr>
        <w:footnoteReference w:id="3"/>
      </w:r>
      <w:r>
        <w:rPr>
          <w:noProof/>
        </w:rPr>
        <w:t>, áirithímid go dt</w:t>
      </w:r>
      <w:r>
        <w:rPr>
          <w:noProof/>
        </w:rPr>
        <w:t>acaíonn an togra le tosaíochtaí an Aontais.</w:t>
      </w:r>
    </w:p>
    <w:p w:rsidR="00526EFA" w:rsidRDefault="005C4D05">
      <w:pPr>
        <w:pStyle w:val="ManualHeading2"/>
        <w:rPr>
          <w:rFonts w:eastAsia="Arial Unicode MS"/>
          <w:noProof/>
          <w:color w:val="000000"/>
          <w:u w:color="000000"/>
          <w:bdr w:val="nil"/>
        </w:rPr>
      </w:pPr>
      <w:r>
        <w:rPr>
          <w:noProof/>
          <w:color w:val="000000"/>
          <w:u w:color="000000"/>
          <w:bdr w:val="nil"/>
        </w:rPr>
        <w:t>•</w:t>
      </w:r>
      <w:r>
        <w:rPr>
          <w:noProof/>
        </w:rPr>
        <w:tab/>
        <w:t>Comhsheasmhacht le forálacha beartais atá sa réimse beartais cheana</w:t>
      </w:r>
    </w:p>
    <w:p w:rsidR="00526EFA" w:rsidRDefault="005C4D05">
      <w:pPr>
        <w:rPr>
          <w:noProof/>
        </w:rPr>
      </w:pPr>
      <w:r>
        <w:rPr>
          <w:noProof/>
        </w:rPr>
        <w:t xml:space="preserve">Leis na cuspóirí soiléire atá ag BEREC, fágann sé go bhfuil sé ag teacht go rímhaith leis na tionscnaimh eile a áirítear sa Straitéis maidir </w:t>
      </w:r>
      <w:r>
        <w:rPr>
          <w:noProof/>
        </w:rPr>
        <w:t>le Margadh Aonair Digiteach. Is amhlaidh atá mar go bhfeidhmíonn na seirbhísí nascachta a sholáthraítear ar líonraí cumarsáide leictreonaí mar a bheadh cnámh droma ann i dtaca le táirgí agus seirbhísí digiteacha a dháileadh.</w:t>
      </w:r>
    </w:p>
    <w:p w:rsidR="00526EFA" w:rsidRDefault="005C4D05">
      <w:pPr>
        <w:rPr>
          <w:rFonts w:eastAsia="Calibri"/>
          <w:bCs/>
          <w:noProof/>
          <w:szCs w:val="24"/>
        </w:rPr>
      </w:pPr>
      <w:r>
        <w:rPr>
          <w:noProof/>
        </w:rPr>
        <w:t>Déanann an togra an rialachán e</w:t>
      </w:r>
      <w:r>
        <w:rPr>
          <w:noProof/>
        </w:rPr>
        <w:t>arnáil-shonrach atá ann faoi láthair a chomhlánú. Cuireann na cúraimí radaispeictrim atá beartaithe do BEREC na hionstraimí atá ann faoi láthair sa réimse sin san áireamh, go háirithe Cinneadh 676/2002/CE maidir le Radaispeictream, Cinneadh 2002/622/CE mai</w:t>
      </w:r>
      <w:r>
        <w:rPr>
          <w:noProof/>
        </w:rPr>
        <w:t>dir leis an nGrúpa um an mBeartas Radaispeictrim agus Cinneadh 243/2012/AE lena mbunaítear clár beartais ilbhliantúil maidir le radaispeictream.</w:t>
      </w:r>
    </w:p>
    <w:p w:rsidR="00526EFA" w:rsidRDefault="005C4D05">
      <w:pPr>
        <w:rPr>
          <w:rFonts w:eastAsia="Calibri"/>
          <w:bCs/>
          <w:noProof/>
          <w:szCs w:val="24"/>
        </w:rPr>
      </w:pPr>
      <w:r>
        <w:rPr>
          <w:noProof/>
        </w:rPr>
        <w:t>Beartaítear sa togra seo freisin na cúraimí a sannadh do BEREC le Rialachán (AE) 2015/2120 a glacadh le gairid,</w:t>
      </w:r>
      <w:r>
        <w:rPr>
          <w:noProof/>
        </w:rPr>
        <w:t xml:space="preserve"> Rialachán ina leagtar síos rialacha maidir le rochtain oscailte ar an idirlíon a áirithiú agus deireadh a chur le formhuirir fánaíochta, na cúraimí sin a ionchorprú sa Rialachán maidir le BEREC.</w:t>
      </w:r>
    </w:p>
    <w:p w:rsidR="00526EFA" w:rsidRDefault="005C4D05">
      <w:pPr>
        <w:rPr>
          <w:noProof/>
        </w:rPr>
      </w:pPr>
      <w:r>
        <w:rPr>
          <w:noProof/>
        </w:rPr>
        <w:t xml:space="preserve">Faoi dheireadh 2016, táthar ag súil go ndéanfaidh an </w:t>
      </w:r>
      <w:r>
        <w:rPr>
          <w:noProof/>
        </w:rPr>
        <w:t>Coimisiún togra a thíolacadh go ndéanfaí athbhreithniú ar an Treoir um príobháideachas agus um chumarsáid leictreonach</w:t>
      </w:r>
      <w:hyperlink r:id="rId19" w:anchor="ntr8-L_2009337EN.01000101-E0008">
        <w:r>
          <w:rPr>
            <w:rStyle w:val="FootnoteReference"/>
            <w:noProof/>
          </w:rPr>
          <w:footnoteReference w:id="4"/>
        </w:r>
      </w:hyperlink>
      <w:r>
        <w:rPr>
          <w:noProof/>
        </w:rPr>
        <w:t>. Féadfaidh s</w:t>
      </w:r>
      <w:r>
        <w:rPr>
          <w:noProof/>
        </w:rPr>
        <w:t xml:space="preserve">é gur gá raon feidhme an togra le haghaidh Rialacháin atá ann faoi láthair a choigeartú i bhfianaise thoradh an togra lena ndéanfar athbhreithniú a bheidh ann amach anseo. </w:t>
      </w:r>
    </w:p>
    <w:p w:rsidR="00526EFA" w:rsidRDefault="005C4D05">
      <w:pPr>
        <w:rPr>
          <w:rFonts w:eastAsia="Calibri"/>
          <w:bCs/>
          <w:noProof/>
          <w:szCs w:val="24"/>
        </w:rPr>
      </w:pPr>
      <w:r>
        <w:rPr>
          <w:noProof/>
        </w:rPr>
        <w:t>Is é is aidhm don togra seo struchtúr rialachais iomchuí agus éifeachtúil a chur ar</w:t>
      </w:r>
      <w:r>
        <w:rPr>
          <w:noProof/>
        </w:rPr>
        <w:t xml:space="preserve"> fáil do BEREC mar aon le sainordú agus leis na huirlisí is gá chun cur chun feidhme </w:t>
      </w:r>
      <w:r>
        <w:rPr>
          <w:noProof/>
        </w:rPr>
        <w:lastRenderedPageBreak/>
        <w:t>comhsheasmhach an chreata rialála a áirithiú. Dá réir sin, déanann sé ionstraimí eile cumarsáide leictreonaí, dlí agus beartais a chomhlánú.</w:t>
      </w:r>
    </w:p>
    <w:p w:rsidR="00526EFA" w:rsidRDefault="005C4D05">
      <w:pPr>
        <w:pBdr>
          <w:top w:val="nil"/>
          <w:left w:val="nil"/>
          <w:bottom w:val="nil"/>
          <w:right w:val="nil"/>
          <w:between w:val="nil"/>
          <w:bar w:val="nil"/>
        </w:pBdr>
        <w:spacing w:before="0" w:after="240"/>
        <w:rPr>
          <w:rFonts w:eastAsia="Arial Unicode MS"/>
          <w:noProof/>
        </w:rPr>
      </w:pPr>
      <w:r>
        <w:rPr>
          <w:noProof/>
        </w:rPr>
        <w:t>Féadfaidh BEREC a chuid cúraim</w:t>
      </w:r>
      <w:r>
        <w:rPr>
          <w:noProof/>
        </w:rPr>
        <w:t xml:space="preserve">í a dhéanamh de réir mar is gá i gcomhar le comhlachtaí eile de chuid an Aontais, gníomhaireachtaí, oifigí agus grúpaí comhairleacha, go háirithe an Grúpa um an mBeartas Radaispeictrim, an Bord Eorpach um Chosaint Sonraí agus Grúpa na Rialálaithe Eorpacha </w:t>
      </w:r>
      <w:r>
        <w:rPr>
          <w:noProof/>
        </w:rPr>
        <w:t>um Sheirbhísí na Meán Closamhairc agus Gníomhaireacht an Aontais Eorpaigh um Shlándáil Gréasáin agus Faisnéise; agus i gcomhar le coistí atá ann cheana (amhail an Coiste um Chumarsáid agus an Coiste um Radaispeictream).</w:t>
      </w:r>
    </w:p>
    <w:p w:rsidR="00526EFA" w:rsidRDefault="005C4D05">
      <w:pPr>
        <w:pStyle w:val="ManualHeading2"/>
        <w:rPr>
          <w:rFonts w:eastAsia="Arial Unicode MS"/>
          <w:noProof/>
        </w:rPr>
      </w:pPr>
      <w:r>
        <w:rPr>
          <w:noProof/>
          <w:color w:val="000000"/>
          <w:u w:color="000000"/>
          <w:bdr w:val="nil"/>
        </w:rPr>
        <w:t>•</w:t>
      </w:r>
      <w:r>
        <w:rPr>
          <w:noProof/>
        </w:rPr>
        <w:tab/>
        <w:t>Comhsheasmhacht le beartais eile d</w:t>
      </w:r>
      <w:r>
        <w:rPr>
          <w:noProof/>
        </w:rPr>
        <w:t>e chuid an Aontais</w:t>
      </w:r>
    </w:p>
    <w:p w:rsidR="00526EFA" w:rsidRDefault="005C4D05">
      <w:pPr>
        <w:widowControl w:val="0"/>
        <w:tabs>
          <w:tab w:val="left" w:pos="298"/>
        </w:tabs>
        <w:spacing w:before="0"/>
        <w:ind w:right="20"/>
        <w:rPr>
          <w:noProof/>
          <w:szCs w:val="24"/>
        </w:rPr>
      </w:pPr>
      <w:r>
        <w:rPr>
          <w:noProof/>
        </w:rPr>
        <w:t>Tá Straitéis maidir le Margadh Aonair Digiteach ar cheann de na deich dtosaíocht a leag an Coimisiún nua amach in 2014. Tá an togra i gcomhréir le príomhthosaíochtaí eile an Choimisiúin freisin, go háirithe tionscnaimh eile chun an marga</w:t>
      </w:r>
      <w:r>
        <w:rPr>
          <w:noProof/>
        </w:rPr>
        <w:t>dh inmheánach a dhéanamh níos doimhne agus níos cothroime agus infheistíocht a spreagadh, fostaíocht a chruthú agus fás inbhuanaithe a chothú.</w:t>
      </w:r>
    </w:p>
    <w:p w:rsidR="00526EFA" w:rsidRDefault="005C4D05">
      <w:pPr>
        <w:widowControl w:val="0"/>
        <w:tabs>
          <w:tab w:val="left" w:pos="298"/>
        </w:tabs>
        <w:spacing w:before="0"/>
        <w:ind w:right="20"/>
        <w:rPr>
          <w:noProof/>
          <w:szCs w:val="24"/>
        </w:rPr>
      </w:pPr>
      <w:r>
        <w:rPr>
          <w:noProof/>
        </w:rPr>
        <w:t>Déanann roinnt de chúraimí BEREC dlí an Aontais a chomhlánú i réimsí éagsúla agus tógann siad air. Ar cheann de n</w:t>
      </w:r>
      <w:r>
        <w:rPr>
          <w:noProof/>
        </w:rPr>
        <w:t>a cúraimí sin tá tuairimí a thabhairt maidir le dréachtbhearta náisiúnta a bhaineann leis na nósanna imeachta inmheánacha le haghaidh rialú an mhargaidh. Tá siad sin bunaithe fós ar phrionsabail dhlí na hiomaíochta. Cúram eile is ea treoirlínte a thabhairt</w:t>
      </w:r>
      <w:r>
        <w:rPr>
          <w:noProof/>
        </w:rPr>
        <w:t xml:space="preserve"> maidir le suirbhéanna geografacha ar an dóigh ar úsáideadh líonraí. Cuireann siad sin eolas úsáideach ar fáil freisin chun críocha cúnamh Stáit, rud a chuireann feabhas ar chomhleanúnachas idir an dá bheartas.</w:t>
      </w:r>
    </w:p>
    <w:p w:rsidR="00526EFA" w:rsidRDefault="005C4D05">
      <w:pPr>
        <w:widowControl w:val="0"/>
        <w:tabs>
          <w:tab w:val="left" w:pos="298"/>
        </w:tabs>
        <w:spacing w:before="0"/>
        <w:ind w:right="20"/>
        <w:rPr>
          <w:noProof/>
        </w:rPr>
      </w:pPr>
      <w:r>
        <w:rPr>
          <w:noProof/>
        </w:rPr>
        <w:t>Ina theannta sin, is é is aidhm don togra gní</w:t>
      </w:r>
      <w:r>
        <w:rPr>
          <w:noProof/>
        </w:rPr>
        <w:t>omhaireacht díláraithe Aontais a dhéanamh de BEREC le go mbeidh sé ag teacht le prionsabail an chuir chuige coiteanna.</w:t>
      </w:r>
    </w:p>
    <w:p w:rsidR="00526EFA" w:rsidRDefault="005C4D05">
      <w:pPr>
        <w:pStyle w:val="ManualHeading2"/>
        <w:rPr>
          <w:rFonts w:eastAsia="Arial Unicode MS"/>
          <w:noProof/>
          <w:color w:val="000000"/>
          <w:szCs w:val="24"/>
          <w:u w:color="000000"/>
          <w:bdr w:val="nil"/>
        </w:rPr>
      </w:pPr>
      <w:r>
        <w:rPr>
          <w:noProof/>
        </w:rPr>
        <w:t xml:space="preserve">Comhsheasmhacht </w:t>
      </w:r>
      <w:r>
        <w:rPr>
          <w:noProof/>
          <w:color w:val="000000"/>
          <w:u w:color="000000"/>
          <w:bdr w:val="nil"/>
        </w:rPr>
        <w:t>le hoibleagáidí maidir leis an dlí idirnáisiúnta</w:t>
      </w:r>
    </w:p>
    <w:p w:rsidR="00526EFA" w:rsidRDefault="005C4D05">
      <w:pPr>
        <w:widowControl w:val="0"/>
        <w:tabs>
          <w:tab w:val="left" w:pos="298"/>
        </w:tabs>
        <w:spacing w:before="0"/>
        <w:ind w:right="20"/>
        <w:rPr>
          <w:noProof/>
          <w:szCs w:val="24"/>
        </w:rPr>
      </w:pPr>
      <w:r>
        <w:rPr>
          <w:noProof/>
        </w:rPr>
        <w:t>Más gá, agus a chuid cúraimí á ndéanamh aige, féadfaidh BEREC obair i gc</w:t>
      </w:r>
      <w:r>
        <w:rPr>
          <w:noProof/>
        </w:rPr>
        <w:t>omhar leis na húdaráis inniúla i dtríú tíortha agus/nó le heagraíochtaí idirnáisiúnta. Ba cheart an comhar sin a bheith bunaithe ar shocruithe oibre, agus ba cheart na socruithe sin caidrimh idirnáisiúnta an Aontais a urramú agus níor cheart dóibh oibleagá</w:t>
      </w:r>
      <w:r>
        <w:rPr>
          <w:noProof/>
        </w:rPr>
        <w:t>idí dlíthiúla a chruthú agus a chur ar an Aontas agus ar a chuid Ballstát.</w:t>
      </w:r>
    </w:p>
    <w:p w:rsidR="00526EFA" w:rsidRDefault="005C4D05">
      <w:pPr>
        <w:pStyle w:val="ManualHeading1"/>
        <w:rPr>
          <w:noProof/>
        </w:rPr>
      </w:pPr>
      <w:r>
        <w:rPr>
          <w:noProof/>
        </w:rPr>
        <w:t>2.</w:t>
      </w:r>
      <w:r>
        <w:rPr>
          <w:noProof/>
        </w:rPr>
        <w:tab/>
        <w:t>BUNÚS DLÍ, COIMHDEACHT AGUS COMHRÉIREACHT</w:t>
      </w:r>
    </w:p>
    <w:p w:rsidR="00526EFA" w:rsidRDefault="005C4D05">
      <w:pPr>
        <w:pStyle w:val="ManualHeading2"/>
        <w:rPr>
          <w:rFonts w:eastAsia="Arial Unicode MS"/>
          <w:noProof/>
          <w:u w:color="000000"/>
          <w:bdr w:val="nil"/>
        </w:rPr>
      </w:pPr>
      <w:r>
        <w:rPr>
          <w:noProof/>
        </w:rPr>
        <w:t>•</w:t>
      </w:r>
      <w:r>
        <w:rPr>
          <w:noProof/>
        </w:rPr>
        <w:tab/>
        <w:t>Bunús dlí</w:t>
      </w:r>
    </w:p>
    <w:p w:rsidR="00526EFA" w:rsidRDefault="005C4D05">
      <w:pPr>
        <w:widowControl w:val="0"/>
        <w:tabs>
          <w:tab w:val="left" w:pos="298"/>
        </w:tabs>
        <w:spacing w:before="0"/>
        <w:ind w:right="20"/>
        <w:rPr>
          <w:rFonts w:eastAsia="Arial Unicode MS"/>
          <w:noProof/>
        </w:rPr>
      </w:pPr>
      <w:r>
        <w:rPr>
          <w:noProof/>
        </w:rPr>
        <w:t>Tá an togra bunaithe ar Airteagal 114 den Chonradh, mar go mbaineann sé le forbairt agus feidhmiú an mhargaidh inmheánaigh d</w:t>
      </w:r>
      <w:r>
        <w:rPr>
          <w:noProof/>
        </w:rPr>
        <w:t>o chumarsáid leictreonach.</w:t>
      </w:r>
    </w:p>
    <w:p w:rsidR="00526EFA" w:rsidRDefault="005C4D05">
      <w:pPr>
        <w:pStyle w:val="ManualHeading2"/>
        <w:rPr>
          <w:rFonts w:eastAsia="Arial Unicode MS"/>
          <w:noProof/>
          <w:u w:color="000000"/>
          <w:bdr w:val="nil"/>
        </w:rPr>
      </w:pPr>
      <w:r>
        <w:rPr>
          <w:noProof/>
        </w:rPr>
        <w:t>•</w:t>
      </w:r>
      <w:r>
        <w:rPr>
          <w:noProof/>
        </w:rPr>
        <w:tab/>
        <w:t>Coimhdeacht (maidir le hinniúlacht neamheisiach)</w:t>
      </w:r>
    </w:p>
    <w:p w:rsidR="00526EFA" w:rsidRDefault="005C4D05">
      <w:pPr>
        <w:pStyle w:val="CommentText"/>
        <w:rPr>
          <w:noProof/>
          <w:sz w:val="24"/>
          <w:szCs w:val="24"/>
        </w:rPr>
      </w:pPr>
      <w:r>
        <w:rPr>
          <w:noProof/>
          <w:sz w:val="24"/>
        </w:rPr>
        <w:t>Ní mór don Aontas gníomhú chun aghaidh a thabhairt ar na neamhréireachtaí i gcur i bhfeidhm an chreata atá ann faoi láthair agus ar na heasnaimh sa struchtúr institiúideach chomh</w:t>
      </w:r>
      <w:r>
        <w:rPr>
          <w:noProof/>
          <w:sz w:val="24"/>
        </w:rPr>
        <w:t xml:space="preserve"> maith le neamhréireachtaí ó thaobh roinnt na bhfreagrachtaí ar na Ballstáit, ar na hÚNRanna agus ar an gCoimisiún. Na socruithe rialála atá ann faoi láthair, ní hiad sin amháin is cúis le hilroinnt na margaí san Aontas. Mar sin féin, dealraítear le bliant</w:t>
      </w:r>
      <w:r>
        <w:rPr>
          <w:noProof/>
          <w:sz w:val="24"/>
        </w:rPr>
        <w:t>a beaga anuas go bhfuil easpa comhsheasmhachta ann i rialú teileachumarsáide de dheasca, go pointe áirithe, an struchtúir institiúidigh atá ann faoi láthair agus an dóigh a ndéanann gníomhaithe institiúideacha éagsúla (go príomha na hÚNRanna, BEREC agus an</w:t>
      </w:r>
      <w:r>
        <w:rPr>
          <w:noProof/>
          <w:sz w:val="24"/>
        </w:rPr>
        <w:t xml:space="preserve"> Coimisiún) idirghníomhú lena chéile agus an dóigh a mbíonn tionchar acu ar thorthaí na rialála. Trí chumhachtaí </w:t>
      </w:r>
      <w:r>
        <w:rPr>
          <w:noProof/>
          <w:sz w:val="24"/>
        </w:rPr>
        <w:lastRenderedPageBreak/>
        <w:t xml:space="preserve">neartaithe a thabhairt do BEREC i réimse na rialála margaidh </w:t>
      </w:r>
      <w:r>
        <w:rPr>
          <w:i/>
          <w:noProof/>
          <w:sz w:val="24"/>
        </w:rPr>
        <w:t>ex ante</w:t>
      </w:r>
      <w:r>
        <w:rPr>
          <w:noProof/>
          <w:sz w:val="24"/>
        </w:rPr>
        <w:t>, cuirfear feabhas ar dheimhneacht dhlíthiúil agus cuideoidh sé le comhshea</w:t>
      </w:r>
      <w:r>
        <w:rPr>
          <w:noProof/>
          <w:sz w:val="24"/>
        </w:rPr>
        <w:t>smhacht rialála.</w:t>
      </w:r>
    </w:p>
    <w:p w:rsidR="00526EFA" w:rsidRDefault="005C4D05">
      <w:pPr>
        <w:pStyle w:val="CommentText"/>
        <w:rPr>
          <w:noProof/>
          <w:sz w:val="24"/>
          <w:szCs w:val="24"/>
        </w:rPr>
      </w:pPr>
      <w:r>
        <w:rPr>
          <w:noProof/>
          <w:sz w:val="24"/>
        </w:rPr>
        <w:t>Ina theannta sin, fágann forbairtí teicneolaíocha sa mhargadh agus forbairtí teicneolaíochta go bhfuil líon áirithe gnéithe trasteorann ann a bhfuil comhsheasmhacht rialála de dhíth orthu ar fud na mBallstát. Is fearr is féidir le comhlach</w:t>
      </w:r>
      <w:r>
        <w:rPr>
          <w:noProof/>
          <w:sz w:val="24"/>
        </w:rPr>
        <w:t>t Aontais dul i ngleic leis na gnéithe sin ná mar is féidir le Ballstáit aonair. Is fíor don mhéid sin go háirithe maidir le seirbhísí amhail cumarsáid idir meaisíní (M2M). Ba cheart na seirbhísí sin a chur ar fáil ar dhóigh a mbeifear in ann dul trasna te</w:t>
      </w:r>
      <w:r>
        <w:rPr>
          <w:noProof/>
          <w:sz w:val="24"/>
        </w:rPr>
        <w:t>orainneacha náisiúnta gan bhac. Tá bacainní náisiúnta ann go fóill ar sholáthar seirbhísí cumarsáide gnó trasteorann. Is mór an deis a chailltear leis sin ó thaobh fheidhmiú agus fhorbairt an mhargaidh inmheánaigh.</w:t>
      </w:r>
    </w:p>
    <w:p w:rsidR="00526EFA" w:rsidRDefault="005C4D05">
      <w:pPr>
        <w:pStyle w:val="CommentText"/>
        <w:rPr>
          <w:rFonts w:eastAsia="Arial Unicode MS"/>
          <w:noProof/>
        </w:rPr>
      </w:pPr>
      <w:r>
        <w:rPr>
          <w:noProof/>
          <w:sz w:val="24"/>
        </w:rPr>
        <w:t>Leas coiteann comhroinnte atá ann cur chu</w:t>
      </w:r>
      <w:r>
        <w:rPr>
          <w:noProof/>
          <w:sz w:val="24"/>
        </w:rPr>
        <w:t>n feidhme comhchuibhithe, comhsheasmhach agus éifeachtúil an chreata rialála a áirithiú le tacaíocht ó BEREC. Dá bhrí sin, ní féidir leis na Ballstáit cuspóirí an togra seo a bhaint amach go leordhóthanach. Is fearr is féidir iad a bhaint amach ar leibhéal</w:t>
      </w:r>
      <w:r>
        <w:rPr>
          <w:noProof/>
          <w:sz w:val="24"/>
        </w:rPr>
        <w:t xml:space="preserve"> an Aontais. Dá bhrí sin, féadfaidh an tAontas bearta a ghlacadh i gcomhréir le prionsabal na coimhdeachta mar a leagtar amach in Airteagal 5 den Chonradh ar an Aontas Eorpach é.</w:t>
      </w:r>
    </w:p>
    <w:p w:rsidR="00526EFA" w:rsidRDefault="005C4D05">
      <w:pPr>
        <w:pStyle w:val="ManualHeading2"/>
        <w:rPr>
          <w:rFonts w:eastAsia="Arial Unicode MS"/>
          <w:noProof/>
          <w:u w:color="000000"/>
          <w:bdr w:val="nil"/>
        </w:rPr>
      </w:pPr>
      <w:r>
        <w:rPr>
          <w:noProof/>
        </w:rPr>
        <w:t>•</w:t>
      </w:r>
      <w:r>
        <w:rPr>
          <w:noProof/>
        </w:rPr>
        <w:tab/>
        <w:t>Comhréireacht</w:t>
      </w:r>
    </w:p>
    <w:p w:rsidR="00526EFA" w:rsidRDefault="005C4D05">
      <w:pPr>
        <w:pStyle w:val="CommentText"/>
        <w:rPr>
          <w:noProof/>
          <w:sz w:val="24"/>
          <w:szCs w:val="24"/>
        </w:rPr>
      </w:pPr>
      <w:r>
        <w:rPr>
          <w:noProof/>
          <w:sz w:val="24"/>
        </w:rPr>
        <w:t xml:space="preserve">Comhlíontar leis an togra seo prionsabal na comhréireachta, </w:t>
      </w:r>
      <w:r>
        <w:rPr>
          <w:noProof/>
          <w:sz w:val="24"/>
        </w:rPr>
        <w:t>go háirithe maidir le cuspóirí agus le cúraimí BEREC. Is é is aidhm dó cur chun feidhme comhsheasmhach an chreata rialála a áirithiú, agus leis sin chuideodh sé chun an margadh cumarsáide leictreonaí a fhorbairt ar fud an Aontais, chun rochtain ar nascacht</w:t>
      </w:r>
      <w:r>
        <w:rPr>
          <w:noProof/>
          <w:sz w:val="24"/>
        </w:rPr>
        <w:t xml:space="preserve"> sonraí an</w:t>
      </w:r>
      <w:r>
        <w:rPr>
          <w:noProof/>
          <w:sz w:val="24"/>
        </w:rPr>
        <w:noBreakHyphen/>
        <w:t xml:space="preserve">ardtoillte le aghaidh gléasanna ceangailte agus móibíleacha araon a chur chun cinn, agus chuideoidh sé freisin chun ar an iomaíocht i soláthar na líonraí agus na seirbhísí cumarsáide leictreonaí agus leasanna shaoránaigh an Aontais a fhorbairt. </w:t>
      </w:r>
      <w:r>
        <w:rPr>
          <w:noProof/>
          <w:sz w:val="24"/>
        </w:rPr>
        <w:t>Ba cheart do BEREC cúnamh a thabhairt don Choimisiún agus do na hÚNRanna; treoirlínte a thabhairt chun comhsheasmhacht bearta ÚNRanna a áirithiú; tuairimí a eisiúint trí nósanna imeachta éifeachtúla sa mhargadh inmheánach maidir le dréachtbhearta náisiúnta</w:t>
      </w:r>
      <w:r>
        <w:rPr>
          <w:noProof/>
          <w:sz w:val="24"/>
        </w:rPr>
        <w:t>; cláir soláthraithe líonraí agus seirbhísí a choinneáil chomh maith le huimhreacha a bhfuil úsáid allchríche leo; cinntí ceangailteacha a ghlacadh maidir le dhá ábhar a bhaineann le gnóthaí trasteorann: margaí trasnáisiúnta a shainaithint agus teimpléad l</w:t>
      </w:r>
      <w:r>
        <w:rPr>
          <w:noProof/>
          <w:sz w:val="24"/>
        </w:rPr>
        <w:t>e haghaidh achoimre chonartha a chur ar bun. Bheadh cumhachtaí cuasaicheangailteacha ag BEREC i dtaobh nósanna imeachta an mhargaidh inmheánaigh le haghaidh dréachtbhearta náisiúnta maidir le rialú margaidh (córas "an dá ghlas") agus maidir le huasráta foi</w:t>
      </w:r>
      <w:r>
        <w:rPr>
          <w:noProof/>
          <w:sz w:val="24"/>
        </w:rPr>
        <w:t>rceanta aonair don Aontas a bhunú.</w:t>
      </w:r>
    </w:p>
    <w:p w:rsidR="00526EFA" w:rsidRDefault="005C4D05">
      <w:pPr>
        <w:pStyle w:val="CommentText"/>
        <w:rPr>
          <w:noProof/>
          <w:sz w:val="24"/>
          <w:szCs w:val="24"/>
        </w:rPr>
      </w:pPr>
      <w:r>
        <w:rPr>
          <w:noProof/>
          <w:sz w:val="24"/>
        </w:rPr>
        <w:t>Ba cheart donn ghníomhaireacht leanúint d'obair BEREC a dhéanamh agus de bheith ag tiomsú saineolais ó na hÚNRanna, eagraíochtaí atá i gcroílár obair na gníomhaireachta agus ar baill den Bhord Bainistíochta iad. Leanfaidh</w:t>
      </w:r>
      <w:r>
        <w:rPr>
          <w:noProof/>
          <w:sz w:val="24"/>
        </w:rPr>
        <w:t xml:space="preserve"> na hÚNRanna de bheith ag déanamh thromlach na hoibre i dtaca le cur chun feidhme an chreata rialála.</w:t>
      </w:r>
    </w:p>
    <w:p w:rsidR="00526EFA" w:rsidRDefault="005C4D05">
      <w:pPr>
        <w:pStyle w:val="Text1"/>
        <w:ind w:left="0"/>
        <w:rPr>
          <w:noProof/>
          <w:szCs w:val="24"/>
        </w:rPr>
      </w:pPr>
      <w:r>
        <w:rPr>
          <w:noProof/>
        </w:rPr>
        <w:t>Go háirithe maidir le rialú ar rochtain, is iad na hÚRNanna is inniúil chun a áirithiú go dtabharfar aghaidh ar chliseadh sa mhargadh agus leigheasanna io</w:t>
      </w:r>
      <w:r>
        <w:rPr>
          <w:noProof/>
        </w:rPr>
        <w:t>mchuí á n</w:t>
      </w:r>
      <w:r>
        <w:rPr>
          <w:noProof/>
        </w:rPr>
        <w:noBreakHyphen/>
        <w:t>úsáid chucu agus go mbeidh rialú ina chuidiú chun cuspóirí coiteanna beartais a bhaint amach. Leis na rialacha atá beartaithe, tugtar uirlisí breise do rialálaithe chun aghaidh a thabhairt ar na dúshláin atá ann faoi láthair maidir le nascacht, a</w:t>
      </w:r>
      <w:r>
        <w:rPr>
          <w:noProof/>
        </w:rPr>
        <w:t>ch braitheann an dóigh a n</w:t>
      </w:r>
      <w:r>
        <w:rPr>
          <w:noProof/>
        </w:rPr>
        <w:noBreakHyphen/>
        <w:t>úsáidfear iad ar dhálaí náisiúnta agus is faoi rialálaithe naisiúnta a bheidh sé measúnú a dhéanamh orthu sin. Easpa comhsheasmhachta i gcur i bhfeidhm na rialacha atá ann faoi láthair is cúis le neartú spriocdhírithe ar an maoir</w:t>
      </w:r>
      <w:r>
        <w:rPr>
          <w:noProof/>
        </w:rPr>
        <w:t>seacht rialála, go príomha trí ról níos mó a thabhairt do BEREC i bpróiseas maoirseachta dá shórt. Tá an chomhsheasmhacht ríthábhachtach le go bhfeidhmeoidh an margadh inmheánach mar is ceart.</w:t>
      </w:r>
    </w:p>
    <w:p w:rsidR="00526EFA" w:rsidRDefault="005C4D05">
      <w:pPr>
        <w:pStyle w:val="Text1"/>
        <w:ind w:left="0"/>
        <w:rPr>
          <w:noProof/>
          <w:szCs w:val="24"/>
        </w:rPr>
      </w:pPr>
      <w:r>
        <w:rPr>
          <w:noProof/>
        </w:rPr>
        <w:lastRenderedPageBreak/>
        <w:t>Fágtar bainistiú radaispeictrim faoi inniúlacht na mBallstát fr</w:t>
      </w:r>
      <w:r>
        <w:rPr>
          <w:noProof/>
        </w:rPr>
        <w:t>eisin. Leis na rialacha atá beartaithe déantar foráil maidir le creat foriomlán le haghaidh bainistiú comhleanúnach ar radaispeictream ar fud an Aontais, agus féadfaidh na Ballstáit na rialacha a chur i bhfeidhm agus dálaí náisiúnta á gcur san áireamh acu.</w:t>
      </w:r>
      <w:r>
        <w:rPr>
          <w:noProof/>
        </w:rPr>
        <w:t xml:space="preserve"> I bhfianaise mórimpleachtaí trasteorann bainistithe radaispeictrim agus an tionchar níos leithne a bheidh aige ar nascacht sa mhargadh inmheánach, is gá nósanna imeachta comhordúcháin áirithe a bheith ann ar leibhéal an Aontais. </w:t>
      </w:r>
    </w:p>
    <w:p w:rsidR="00526EFA" w:rsidRDefault="005C4D05">
      <w:pPr>
        <w:pStyle w:val="CommentText"/>
        <w:rPr>
          <w:noProof/>
          <w:sz w:val="24"/>
          <w:szCs w:val="24"/>
        </w:rPr>
      </w:pPr>
      <w:r>
        <w:rPr>
          <w:noProof/>
          <w:sz w:val="24"/>
        </w:rPr>
        <w:t>Mar rialachán, beidh feid</w:t>
      </w:r>
      <w:r>
        <w:rPr>
          <w:noProof/>
          <w:sz w:val="24"/>
        </w:rPr>
        <w:t>hm dhíreach ag an ionstraim atá beartaithe san Aontas. Déanfar an t</w:t>
      </w:r>
      <w:r>
        <w:rPr>
          <w:noProof/>
          <w:sz w:val="24"/>
        </w:rPr>
        <w:noBreakHyphen/>
        <w:t>ualach airgeadais agus riaracháin ar an Aontas, ar rialtais náisiúnta agus ar oibreoirí eacnamaíocha a laghdú oiread agus is féidir agus beidh an t</w:t>
      </w:r>
      <w:r>
        <w:rPr>
          <w:noProof/>
          <w:sz w:val="24"/>
        </w:rPr>
        <w:noBreakHyphen/>
        <w:t>ualach sin i gcomhréir le cuspóir an tog</w:t>
      </w:r>
      <w:r>
        <w:rPr>
          <w:noProof/>
          <w:sz w:val="24"/>
        </w:rPr>
        <w:t>ra. Cuirfear feabhas ar an staid reatha, is é sin gur bunaíodh gníomhaireacht Aontais go príomha chun tacú le BEREC. Áiritheoidh sé go mbeidh tuilleadh breisluacha ann a bhuí leis an ngníomhaireacht nua, agus go mbeidh sé i gcomhréir le tosaíochtaí beartai</w:t>
      </w:r>
      <w:r>
        <w:rPr>
          <w:noProof/>
          <w:sz w:val="24"/>
        </w:rPr>
        <w:t>s an Aontais, go háirithe an Straitéis maidir le Margadh Aonair Digiteach.</w:t>
      </w:r>
    </w:p>
    <w:p w:rsidR="00526EFA" w:rsidRDefault="005C4D05">
      <w:pPr>
        <w:pBdr>
          <w:top w:val="nil"/>
          <w:left w:val="nil"/>
          <w:bottom w:val="nil"/>
          <w:right w:val="nil"/>
          <w:between w:val="nil"/>
          <w:bar w:val="nil"/>
        </w:pBdr>
        <w:spacing w:before="0" w:after="240"/>
        <w:rPr>
          <w:rFonts w:eastAsia="Arial Unicode MS"/>
          <w:noProof/>
        </w:rPr>
      </w:pPr>
      <w:r>
        <w:rPr>
          <w:noProof/>
        </w:rPr>
        <w:t>I bhfianaise a chuid cuspóirí agus i gcomhréir le prionsabal na comhréireachta, mar a leagtar amach in Airteagal 5 den Chonradh ar an Aontas Eorpach é, ní théann an rialachán seo th</w:t>
      </w:r>
      <w:r>
        <w:rPr>
          <w:noProof/>
        </w:rPr>
        <w:t>ar a bhfuil riachtanach chun na cuspóirí sin a bhaint amach.</w:t>
      </w:r>
    </w:p>
    <w:p w:rsidR="00526EFA" w:rsidRDefault="005C4D05">
      <w:pPr>
        <w:pStyle w:val="ManualHeading2"/>
        <w:rPr>
          <w:rFonts w:eastAsia="Arial Unicode MS"/>
          <w:noProof/>
          <w:u w:color="000000"/>
          <w:bdr w:val="nil"/>
        </w:rPr>
      </w:pPr>
      <w:r>
        <w:rPr>
          <w:noProof/>
        </w:rPr>
        <w:t>•</w:t>
      </w:r>
      <w:r>
        <w:rPr>
          <w:noProof/>
        </w:rPr>
        <w:tab/>
        <w:t>An rogha ionstraime</w:t>
      </w:r>
    </w:p>
    <w:p w:rsidR="00526EFA" w:rsidRDefault="005C4D05">
      <w:pPr>
        <w:pBdr>
          <w:top w:val="nil"/>
          <w:left w:val="nil"/>
          <w:bottom w:val="nil"/>
          <w:right w:val="nil"/>
          <w:between w:val="nil"/>
          <w:bar w:val="nil"/>
        </w:pBdr>
        <w:spacing w:before="0" w:after="240"/>
        <w:rPr>
          <w:noProof/>
          <w:szCs w:val="24"/>
        </w:rPr>
      </w:pPr>
      <w:r>
        <w:rPr>
          <w:noProof/>
        </w:rPr>
        <w:t>Is le rialachán amháin, a mbeidh feidhm dhíreach aige, is féidir foráil a dhéanamh maidir le gníomhaireacht dhíláraithe de chuid an Aontais a bhunú agus maidir lena cuid cúr</w:t>
      </w:r>
      <w:r>
        <w:rPr>
          <w:noProof/>
        </w:rPr>
        <w:t>aimí agus cuspóirí a leagan amach, agus an leibhéal éifeachtúlachta agus aonfhoirmeachais is gá a chur ar fáil ar an gcaoi sin chun an creat rialála a chur chun feidhme.</w:t>
      </w:r>
    </w:p>
    <w:p w:rsidR="00526EFA" w:rsidRDefault="005C4D05">
      <w:pPr>
        <w:pBdr>
          <w:top w:val="nil"/>
          <w:left w:val="nil"/>
          <w:bottom w:val="nil"/>
          <w:right w:val="nil"/>
          <w:between w:val="nil"/>
          <w:bar w:val="nil"/>
        </w:pBdr>
        <w:spacing w:before="0" w:after="240"/>
        <w:rPr>
          <w:noProof/>
          <w:szCs w:val="24"/>
        </w:rPr>
      </w:pPr>
      <w:r>
        <w:rPr>
          <w:noProof/>
        </w:rPr>
        <w:t>Roghnaíodh an ionstraim dlí chéanna chun BEREC agus an Oifig a bhunú (Rialachán (CE) 1</w:t>
      </w:r>
      <w:r>
        <w:rPr>
          <w:noProof/>
        </w:rPr>
        <w:t>211/2009). Is é is aidhm don rialachán seo forálacha Rialachán (CE) 1211/2009 a leasú agus a leathnú. I bhfianaise a shuntasaí atá na leasuithe atá le déanamh, ba cheart an gníomh sin, ar mhaithe le breis soiléireachta, a aisghairm agus gníomh nua a chur i</w:t>
      </w:r>
      <w:r>
        <w:rPr>
          <w:noProof/>
        </w:rPr>
        <w:t>na ionad.</w:t>
      </w:r>
    </w:p>
    <w:p w:rsidR="00526EFA" w:rsidRDefault="005C4D05">
      <w:pPr>
        <w:pStyle w:val="ManualHeading1"/>
        <w:rPr>
          <w:noProof/>
        </w:rPr>
      </w:pPr>
      <w:r>
        <w:rPr>
          <w:noProof/>
        </w:rPr>
        <w:t>3.</w:t>
      </w:r>
      <w:r>
        <w:rPr>
          <w:noProof/>
        </w:rPr>
        <w:tab/>
        <w:t>TORTHAÍ Ó MHEASTÓIREACHTAÍ EX-POST, Ó CHOMHAIRLIÚCHÁIN LEIS NA PÁIRTITHE LEASMHARA AGUS Ó MHEASÚNUITHE TIONCHAIR</w:t>
      </w:r>
    </w:p>
    <w:p w:rsidR="00526EFA" w:rsidRDefault="005C4D05">
      <w:pPr>
        <w:pStyle w:val="ManualHeading2"/>
        <w:rPr>
          <w:rFonts w:eastAsia="Arial Unicode MS"/>
          <w:noProof/>
          <w:u w:color="000000"/>
          <w:bdr w:val="nil"/>
        </w:rPr>
      </w:pPr>
      <w:r>
        <w:rPr>
          <w:noProof/>
        </w:rPr>
        <w:t>•</w:t>
      </w:r>
      <w:r>
        <w:rPr>
          <w:noProof/>
        </w:rPr>
        <w:tab/>
        <w:t xml:space="preserve">Meastóireachtaí </w:t>
      </w:r>
      <w:r>
        <w:rPr>
          <w:i/>
          <w:noProof/>
        </w:rPr>
        <w:t>ex-post</w:t>
      </w:r>
      <w:r>
        <w:rPr>
          <w:noProof/>
        </w:rPr>
        <w:t>/seiceálacha oiriúnachta ar an reachtaíocht atá ann cheana</w:t>
      </w:r>
    </w:p>
    <w:p w:rsidR="00526EFA" w:rsidRDefault="005C4D05">
      <w:pPr>
        <w:pBdr>
          <w:top w:val="nil"/>
          <w:left w:val="nil"/>
          <w:bottom w:val="nil"/>
          <w:right w:val="nil"/>
          <w:between w:val="nil"/>
          <w:bar w:val="nil"/>
        </w:pBdr>
        <w:spacing w:before="0" w:after="240"/>
        <w:rPr>
          <w:noProof/>
          <w:szCs w:val="24"/>
        </w:rPr>
      </w:pPr>
      <w:r>
        <w:rPr>
          <w:noProof/>
        </w:rPr>
        <w:t xml:space="preserve">Rinne an Coimisiún meastóireacht </w:t>
      </w:r>
      <w:r>
        <w:rPr>
          <w:i/>
          <w:noProof/>
        </w:rPr>
        <w:t>ex-post</w:t>
      </w:r>
      <w:r>
        <w:rPr>
          <w:noProof/>
        </w:rPr>
        <w:t xml:space="preserve"> ("REF</w:t>
      </w:r>
      <w:r>
        <w:rPr>
          <w:noProof/>
        </w:rPr>
        <w:t xml:space="preserve">IT") ar éifeachtacht, éifeachtúlacht, ábharthacht, comhleanúnachas agus breisluach don Aontas Eorpach an Rialacháin maidir le BEREC agus codanna eile den chreat rialála. Leagadh amach go cruinn na háiteanna ina bhféadfaí é a shimpliú, agus sin gan an bonn </w:t>
      </w:r>
      <w:r>
        <w:rPr>
          <w:noProof/>
        </w:rPr>
        <w:t>a bhaint do chuspóirí an Choimisiúin. Rinne BEREC agus an Oifig</w:t>
      </w:r>
      <w:r>
        <w:rPr>
          <w:rStyle w:val="FootnoteReference"/>
          <w:noProof/>
        </w:rPr>
        <w:footnoteReference w:id="5"/>
      </w:r>
      <w:r>
        <w:rPr>
          <w:noProof/>
        </w:rPr>
        <w:t xml:space="preserve"> meastóireacht roimhe freisin idir 2012 agus 2013 i gcomhréir le hAirteagal 15 de Rialachán (CE) 1211/2009. Rinneadh a chuid torthaí a ionchorprú sa mheastóireacht </w:t>
      </w:r>
      <w:r>
        <w:rPr>
          <w:i/>
          <w:noProof/>
        </w:rPr>
        <w:t>ex-post.</w:t>
      </w:r>
    </w:p>
    <w:p w:rsidR="00526EFA" w:rsidRDefault="005C4D05">
      <w:pPr>
        <w:rPr>
          <w:noProof/>
          <w:szCs w:val="24"/>
        </w:rPr>
      </w:pPr>
      <w:r>
        <w:rPr>
          <w:noProof/>
        </w:rPr>
        <w:t xml:space="preserve">Ar an iomlán, is é </w:t>
      </w:r>
      <w:r>
        <w:rPr>
          <w:noProof/>
        </w:rPr>
        <w:t>tátal an doiciméid inmheánaigh de chuid an Choimisiúin a ghabhann leis an togra agus ina ndéantar measúnú ar oiriúnacht rialála na rialacha atá ann faoi láthair, go bhfuil a chuspóir ginearálta bainte amach ag an gcreat rialála, is e sin le rá, earnáil iom</w:t>
      </w:r>
      <w:r>
        <w:rPr>
          <w:noProof/>
        </w:rPr>
        <w:t>aíoch a áirithiú ina bhfuil leasanna suntasacha don úsáideoir deiridh. Baineann a phríomhchuspóirí sonracha le hábhar fós — is é sin, an iomaíocht a chur chun cinn, an margadh inmheánach a fhorbairt agus suim an úsáideora deiridh a chothú. Mar sin féin, de</w:t>
      </w:r>
      <w:r>
        <w:rPr>
          <w:noProof/>
        </w:rPr>
        <w:t>alraíonn sé gur gá an creat rialála a athbhreithniú, lena n</w:t>
      </w:r>
      <w:r>
        <w:rPr>
          <w:noProof/>
        </w:rPr>
        <w:noBreakHyphen/>
        <w:t>áirítear an Rialachán maidir le BEREC, chun aghaidh a thabhairt ar an ngá, atá ag méadú leis, le nascacht bhreise an mhargaidh aonair dhigitigh, agus le forálacha a chuíchóiriú agus forbairtí teic</w:t>
      </w:r>
      <w:r>
        <w:rPr>
          <w:noProof/>
        </w:rPr>
        <w:t>neolaíocha agus forbairtí sa mhargadh a chur san áireamh san am céanna.</w:t>
      </w:r>
    </w:p>
    <w:p w:rsidR="00526EFA" w:rsidRDefault="005C4D05">
      <w:pPr>
        <w:rPr>
          <w:noProof/>
          <w:szCs w:val="24"/>
        </w:rPr>
      </w:pPr>
      <w:r>
        <w:rPr>
          <w:noProof/>
        </w:rPr>
        <w:t>Is féidir achoimre a dhéanamh ar a bhfuarthas amach, de réir na gcritéar sonrach meastóireachta, mar seo a leanas.</w:t>
      </w:r>
    </w:p>
    <w:p w:rsidR="00526EFA" w:rsidRDefault="005C4D05">
      <w:pPr>
        <w:rPr>
          <w:noProof/>
          <w:szCs w:val="24"/>
        </w:rPr>
      </w:pPr>
      <w:r>
        <w:rPr>
          <w:b/>
          <w:noProof/>
        </w:rPr>
        <w:t>Ábharthacht</w:t>
      </w:r>
      <w:r>
        <w:rPr>
          <w:noProof/>
        </w:rPr>
        <w:t xml:space="preserve"> — I dtaca le ról agus le feidhmiú gníomhaithe institiúide</w:t>
      </w:r>
      <w:r>
        <w:rPr>
          <w:noProof/>
        </w:rPr>
        <w:t>acha tábhachtacha eile, ní mór do BEREC, i gcomhréir leis na forálacha atá i bhfeidhm, cuspóirí an chreata a bhaint amach. Go háirithe, ní mór dó cur chun feidhme comhsheasmhach an chreata rialála a áirithiú chun cuidiú le forbairt agus le feidhmiú níos fe</w:t>
      </w:r>
      <w:r>
        <w:rPr>
          <w:noProof/>
        </w:rPr>
        <w:t>arr an mhargaidh inmheánaigh. Nuair a chuirtear an cuspóir sin agus a shainordú níos leithne san áireamh, is léir go bhfuil méadú ag teacht ar ábharthacht BEREC, in ainneoin nár thángthas ar chomhdhearcadh sa chomhairliúchán poiblí maidir le conas an méadú</w:t>
      </w:r>
      <w:r>
        <w:rPr>
          <w:noProof/>
        </w:rPr>
        <w:t xml:space="preserve"> sin a léiriú i dtéarmaí rialála.</w:t>
      </w:r>
    </w:p>
    <w:p w:rsidR="00526EFA" w:rsidRDefault="005C4D05">
      <w:pPr>
        <w:rPr>
          <w:noProof/>
        </w:rPr>
      </w:pPr>
      <w:r>
        <w:rPr>
          <w:b/>
          <w:noProof/>
        </w:rPr>
        <w:t>Éifeachtacht —</w:t>
      </w:r>
      <w:r>
        <w:rPr>
          <w:noProof/>
        </w:rPr>
        <w:t xml:space="preserve"> Bhí tuairimí éagsúla ann sa chomhairliúchán poiblí ar an athbhreithniú ar theileachumarsáid ó thaobh éifeachtacht ról BEREC i dtacú le torthaí comhsheasmhacha a bhaint amach Ar na geallsealbhóirí, tá siad an</w:t>
      </w:r>
      <w:r>
        <w:rPr>
          <w:noProof/>
        </w:rPr>
        <w:t>n a mheasann gur rud dearfach í comhairle theicniúil neamhspleách BEREC agus an ról atá aige i bpróiseas athbhreithnithe an mhargaidh. Measann daoine eile go mbaineann a struchtúr – grúpa ÚNRanna gan pearsantacht dhlítheanach aige – an bonn de dhreasachtaí</w:t>
      </w:r>
      <w:r>
        <w:rPr>
          <w:noProof/>
        </w:rPr>
        <w:t xml:space="preserve"> BEREC bheith ag obair chun cuspóirí an mhargaidh inmheánaigh a bhaint amach, seachas chun cuspóirí indibhidiúla nó cnuasaitheacha a chuid ball náisiúnta a bhaint amach. Dúirt freagróirí gur ghá do BEREC bheith níos réamhghníomhaí maidir le hábhair ríthábh</w:t>
      </w:r>
      <w:r>
        <w:rPr>
          <w:noProof/>
        </w:rPr>
        <w:t>achtacha. Lena chois sin, dúirt siad gur minic, de dheasca an struchtúir institiúidigh atá ann faoi láthair, gurb é tuilleadh solúbthachta a roghnaíonn BEREC nó an comhthuiscint is ísle in ionad cur chuige comhchuibhithe a ghlacadh don mhargadh aonair.</w:t>
      </w:r>
    </w:p>
    <w:p w:rsidR="00526EFA" w:rsidRDefault="005C4D05">
      <w:pPr>
        <w:rPr>
          <w:noProof/>
        </w:rPr>
      </w:pPr>
      <w:r>
        <w:rPr>
          <w:noProof/>
        </w:rPr>
        <w:t>I d</w:t>
      </w:r>
      <w:r>
        <w:rPr>
          <w:noProof/>
        </w:rPr>
        <w:t>taca leis na cúraimí atá air faoi láthair, i bhfianaise na Tuairime maidir leis an Athbhreithniú ar Chreat Rialála an Aontais Eorpaigh do Chumarsáid Leictreonach</w:t>
      </w:r>
      <w:r>
        <w:rPr>
          <w:rStyle w:val="FootnoteReference"/>
          <w:noProof/>
        </w:rPr>
        <w:footnoteReference w:id="6"/>
      </w:r>
      <w:r>
        <w:rPr>
          <w:noProof/>
        </w:rPr>
        <w:t>, tá roinnt réimsí sainaitheanta ag BEREC inar féidir leis ról níos mó a imirt. Mar shampla: r</w:t>
      </w:r>
      <w:r>
        <w:rPr>
          <w:noProof/>
        </w:rPr>
        <w:t>aon feidhme níos leithne Thuairimí BEREC faoi Airteagal 7 agus Airteagal 7a, saincheisteanna de chineál trasteorann (amhail fánaíocht idirnáisiúnta), tagarmharcáil cháilíocht na seirbhísí rochtana ar an idirlíon ar leibhéal an Aontais, agus treoirlínte tei</w:t>
      </w:r>
      <w:r>
        <w:rPr>
          <w:noProof/>
        </w:rPr>
        <w:t>cniúla a fhorbairt.</w:t>
      </w:r>
    </w:p>
    <w:p w:rsidR="00526EFA" w:rsidRDefault="005C4D05">
      <w:pPr>
        <w:rPr>
          <w:rFonts w:eastAsia="Calibri"/>
          <w:bCs/>
          <w:noProof/>
        </w:rPr>
      </w:pPr>
      <w:r>
        <w:rPr>
          <w:noProof/>
        </w:rPr>
        <w:t>Le go mbeidh spriocanna Oifig BEREC mar ghníomhaireacht Aontais ag teacht le tosaíochtaí an Aontais faoi láthair, is é an tátal a bhain an mheastóireacht as, dá dtabharfaí tacíocht do BEREC, go gcuideodh na feidhmeanna atá ag Oifig BERE</w:t>
      </w:r>
      <w:r>
        <w:rPr>
          <w:noProof/>
        </w:rPr>
        <w:t>C faoi láthair chun an margadh aonair a fhorbairt agus chun na rialacha a chur chun feidhme go comhsheasmhach. Ina ainneoin sin, cás uathúil is ea é seo, cás inar bunaíodh gníomhaireacht gan d'fheidhm léi ach tacaíocht a thabhairt do chomhlacht rialála eil</w:t>
      </w:r>
      <w:r>
        <w:rPr>
          <w:noProof/>
        </w:rPr>
        <w:t>e arna bhunú faoi dhlí an Aontais. Tá dúshláin áirithe ag baint leis sin mar, bíodh agus go bhfuil a chuid feidhmeanna teoranta go leor, ní mór d'Oifig BEREC an tsraith chéanna de rialacha mionsonraithe a leanúint a bhfuil feidhm acu maidir le gach gníomha</w:t>
      </w:r>
      <w:r>
        <w:rPr>
          <w:noProof/>
        </w:rPr>
        <w:t>ireacht díláraithe de chuid an Aontais (rialacha airgeadais, rialacha foirne/rialacha cur chun feidhme, rialacha maidir le soláthar, tuairisciú etc.).</w:t>
      </w:r>
    </w:p>
    <w:p w:rsidR="00526EFA" w:rsidRDefault="005C4D05">
      <w:pPr>
        <w:rPr>
          <w:noProof/>
          <w:szCs w:val="24"/>
        </w:rPr>
      </w:pPr>
      <w:r>
        <w:rPr>
          <w:b/>
          <w:noProof/>
        </w:rPr>
        <w:t xml:space="preserve">Éifeachtúlacht </w:t>
      </w:r>
      <w:r>
        <w:rPr>
          <w:noProof/>
        </w:rPr>
        <w:t>—</w:t>
      </w:r>
      <w:r>
        <w:rPr>
          <w:b/>
          <w:noProof/>
        </w:rPr>
        <w:t xml:space="preserve"> </w:t>
      </w:r>
      <w:r>
        <w:rPr>
          <w:noProof/>
        </w:rPr>
        <w:t xml:space="preserve">Níorbh fhéidir áireamh cruinn ar chostais a dhéanamh, ach léirigh an mheastóireacht gur </w:t>
      </w:r>
      <w:r>
        <w:rPr>
          <w:noProof/>
        </w:rPr>
        <w:t>mó i bhfad leasanna an chreata — do thromlach na n</w:t>
      </w:r>
      <w:r>
        <w:rPr>
          <w:noProof/>
        </w:rPr>
        <w:noBreakHyphen/>
        <w:t>oibritheoirí agus na n</w:t>
      </w:r>
      <w:r>
        <w:rPr>
          <w:noProof/>
        </w:rPr>
        <w:noBreakHyphen/>
        <w:t>úsáideoirí deiridh agus don tsochaí ina hiomláine — ná na costais a bhaineann lena chur chun feidhme.</w:t>
      </w:r>
    </w:p>
    <w:p w:rsidR="00526EFA" w:rsidRDefault="005C4D05">
      <w:pPr>
        <w:rPr>
          <w:noProof/>
          <w:szCs w:val="24"/>
        </w:rPr>
      </w:pPr>
      <w:r>
        <w:rPr>
          <w:noProof/>
        </w:rPr>
        <w:t>Ar bhealaí go leor, níl Oifig BEREC i gcomhréir le prionsabail an chuir chuige c</w:t>
      </w:r>
      <w:r>
        <w:rPr>
          <w:noProof/>
        </w:rPr>
        <w:t>hoitinn. Tá impleachtaí diúltacha ag baint leis an líon teoranta cúraimí agus le méid teoranta na hOifige ó thaobh foireann a mhealladh agus a choinneáil agus ó thaobh gnéithe eagrúcháin de. An struchtúr dhá shraith is cúis le neamhéifeachtúlachtaí freisin</w:t>
      </w:r>
      <w:r>
        <w:rPr>
          <w:noProof/>
        </w:rPr>
        <w:t>. Cé gur deacair na neamhéifeachtúlachtaí sin a mheas, fágann an struchtúr dhá shraith go mbíonn gnóthaí níos casta agus cruthaíonn sé ualach riaracháin;. Mar shampla, is gá dhá thuarascáil bhliantúla agus dhá chlár oibre ar leith a ghlacadh — glacfaidh an</w:t>
      </w:r>
      <w:r>
        <w:rPr>
          <w:noProof/>
        </w:rPr>
        <w:t xml:space="preserve"> Bord Rialálaithe ceann amháin do BEREC agus glacfaidh an Coiste Bainistíochta ceann eile don Oifig.</w:t>
      </w:r>
    </w:p>
    <w:p w:rsidR="00526EFA" w:rsidRDefault="005C4D05">
      <w:pPr>
        <w:rPr>
          <w:noProof/>
        </w:rPr>
      </w:pPr>
      <w:r>
        <w:rPr>
          <w:noProof/>
        </w:rPr>
        <w:t xml:space="preserve">Sa mheastóireacht sainaithníodh roinnt saincheisteanna a d'fhéadfaí a shimpliú agus a chuíchóiriú (cumhachtaí údaráis cheapacháin a tharmligean, </w:t>
      </w:r>
      <w:r>
        <w:rPr>
          <w:noProof/>
        </w:rPr>
        <w:t>sainorduithe níos faide a thabhairt don Chathaoirleach nó sainorduithe ar féidir síneadh a chur leo a thabhairt, rialacha maidir le vótáil tromlaigh, acmhainní leordhóthanacha, an Coiste Bainistíochta a chuíchóiriú agus tréimhsí níos faide le haghaidh comh</w:t>
      </w:r>
      <w:r>
        <w:rPr>
          <w:noProof/>
        </w:rPr>
        <w:t>airliúcháin nó próiseas comhairliúcháin dhá chéim a bhunú le haghaidh gnóthaí ríthábhachtacha beartais).</w:t>
      </w:r>
    </w:p>
    <w:p w:rsidR="00526EFA" w:rsidRDefault="005C4D05">
      <w:pPr>
        <w:rPr>
          <w:rFonts w:eastAsia="Calibri"/>
          <w:bCs/>
          <w:noProof/>
        </w:rPr>
      </w:pPr>
      <w:r>
        <w:rPr>
          <w:b/>
          <w:noProof/>
        </w:rPr>
        <w:t>Breisluach don Aontas Eorpach</w:t>
      </w:r>
      <w:r>
        <w:rPr>
          <w:noProof/>
        </w:rPr>
        <w:t xml:space="preserve"> — An breisluach a bhaineann le BEREC a bhunú, go háirithe i dtéarmaí institiúidí an Aontais Eorpaigh ag fáil comhairle ua</w:t>
      </w:r>
      <w:r>
        <w:rPr>
          <w:noProof/>
        </w:rPr>
        <w:t>idh, tá sé nasctha le feidhmiú an mhargaidh inmheánaigh do chumarsáid leictreonach. Go ginearálta, feictear gur rud dearfach an méid sin, ach ar uairibh bíonn amhras ann faoi éifeachtacht BEREC. Dá mbeadh sé níos éifeachtaí, chuirfeadh sé lena bhreisluach.</w:t>
      </w:r>
      <w:r>
        <w:rPr>
          <w:noProof/>
        </w:rPr>
        <w:t xml:space="preserve"> Gné ábhartha eile is ea breisluach na hOifige mar ghníomhaireacht Aontais a thacaíonn le BEREC.</w:t>
      </w:r>
    </w:p>
    <w:p w:rsidR="00526EFA" w:rsidRDefault="005C4D05">
      <w:pPr>
        <w:pBdr>
          <w:top w:val="nil"/>
          <w:left w:val="nil"/>
          <w:bottom w:val="nil"/>
          <w:right w:val="nil"/>
          <w:between w:val="nil"/>
          <w:bar w:val="nil"/>
        </w:pBdr>
        <w:spacing w:before="0" w:after="240"/>
        <w:rPr>
          <w:rFonts w:eastAsia="Arial Unicode MS"/>
          <w:noProof/>
        </w:rPr>
      </w:pPr>
      <w:r>
        <w:rPr>
          <w:b/>
          <w:noProof/>
        </w:rPr>
        <w:t>Comhleanúnachas</w:t>
      </w:r>
      <w:r>
        <w:rPr>
          <w:noProof/>
        </w:rPr>
        <w:t xml:space="preserve"> — Ar an iomlán, na hionstraimí éagsúla ar cuid den chreat rialála iad, is comhlánú ar a chéile iad. Mar sin féin, sainaithníodh líon teoranta neamhréireachtaí inmheánacha sa mheastóireacht, amhail an neamhréir idir cúraimí ÚNRanna neamhspleácha agus cúrai</w:t>
      </w:r>
      <w:r>
        <w:rPr>
          <w:noProof/>
        </w:rPr>
        <w:t>mí BEREC. Is amhlaidh atá mar go mbíonn ar BEREC, in amanna, tuairimí a eisiúint ar leibhéal na hEorpa i réimsí nach bhfuil na baill de BEREC atá in ÚNRanna inniúil orthu ar an leibhéal náisiúnta. Léiríodh sa mheastóireacht freisin gur dhúshlán é an comhor</w:t>
      </w:r>
      <w:r>
        <w:rPr>
          <w:noProof/>
        </w:rPr>
        <w:t xml:space="preserve">dú idir BEREC agus an Coimisiún. Is amhlaidh a bhí maidir le faisnéis a thabhairt do BEREC agus don Oifig agus faisnéis a fháil ar ais uathu maidir le rátaí foirceanta agus fánaíocht. Is féidir an méid sin a fheabhsú, ionas go bhféadfadh gach eagraíocht a </w:t>
      </w:r>
      <w:r>
        <w:rPr>
          <w:noProof/>
        </w:rPr>
        <w:t>chúraimí a dhéanamh go héifeachtúil.</w:t>
      </w:r>
    </w:p>
    <w:p w:rsidR="00526EFA" w:rsidRDefault="005C4D05">
      <w:pPr>
        <w:pStyle w:val="ManualHeading2"/>
        <w:rPr>
          <w:rFonts w:eastAsia="Arial Unicode MS"/>
          <w:noProof/>
          <w:u w:color="000000"/>
          <w:bdr w:val="nil"/>
        </w:rPr>
      </w:pPr>
      <w:r>
        <w:rPr>
          <w:noProof/>
        </w:rPr>
        <w:t>•</w:t>
      </w:r>
      <w:r>
        <w:rPr>
          <w:noProof/>
        </w:rPr>
        <w:tab/>
        <w:t>Comhairliúcháin leis na páirtithe leasmhara</w:t>
      </w:r>
    </w:p>
    <w:p w:rsidR="00526EFA" w:rsidRDefault="005C4D05">
      <w:pPr>
        <w:spacing w:after="200"/>
        <w:rPr>
          <w:noProof/>
          <w:szCs w:val="24"/>
        </w:rPr>
      </w:pPr>
      <w:r>
        <w:rPr>
          <w:noProof/>
        </w:rPr>
        <w:t>Seoladh comhairliúchán poiblí 12 sheachtaine an 11 Meán Fómhair 2015 chun eolas a thiomsú le haghaidh an phróisis meastóireachta chun na rialacha atá ann faoi láthair a mhea</w:t>
      </w:r>
      <w:r>
        <w:rPr>
          <w:noProof/>
        </w:rPr>
        <w:t>súnú agus tuairimí a lorg maidir le hoiriúnuithe a d'fhéadfaí a dhéanamh ar an gcreat i bhfianaise forbairtí teicneolaíocha sa mhargadh nó forbairtí teicneolaíocha. Ar na nithe a cumhdaíodh bhí meastóireacht ghinearálta ar an gcreat atá ann faoi láthair ag</w:t>
      </w:r>
      <w:r>
        <w:rPr>
          <w:noProof/>
        </w:rPr>
        <w:t>us meastóireacht mhionsonraithe agus athbhreithniú mionsonraithe ar chodanna ar leith den chreat. Sin iad:</w:t>
      </w:r>
    </w:p>
    <w:p w:rsidR="00526EFA" w:rsidRDefault="005C4D05">
      <w:pPr>
        <w:pStyle w:val="Bullet0"/>
        <w:numPr>
          <w:ilvl w:val="0"/>
          <w:numId w:val="17"/>
        </w:numPr>
        <w:rPr>
          <w:noProof/>
        </w:rPr>
      </w:pPr>
      <w:r>
        <w:rPr>
          <w:noProof/>
        </w:rPr>
        <w:t xml:space="preserve">rialú ar rochtain ar líonraí, </w:t>
      </w:r>
    </w:p>
    <w:p w:rsidR="00526EFA" w:rsidRDefault="005C4D05">
      <w:pPr>
        <w:pStyle w:val="Bullet0"/>
        <w:rPr>
          <w:noProof/>
        </w:rPr>
      </w:pPr>
      <w:r>
        <w:rPr>
          <w:noProof/>
        </w:rPr>
        <w:t>bainistiú radaispeictrim agus nascacht gan sreang,</w:t>
      </w:r>
    </w:p>
    <w:p w:rsidR="00526EFA" w:rsidRDefault="005C4D05">
      <w:pPr>
        <w:pStyle w:val="Bullet0"/>
        <w:rPr>
          <w:noProof/>
        </w:rPr>
      </w:pPr>
      <w:r>
        <w:rPr>
          <w:noProof/>
        </w:rPr>
        <w:t>rialú earnáil-sonrach ar sheirbhísí cumarsáide,</w:t>
      </w:r>
    </w:p>
    <w:p w:rsidR="00526EFA" w:rsidRDefault="005C4D05">
      <w:pPr>
        <w:pStyle w:val="Bullet0"/>
        <w:rPr>
          <w:noProof/>
        </w:rPr>
      </w:pPr>
      <w:r>
        <w:rPr>
          <w:noProof/>
        </w:rPr>
        <w:t xml:space="preserve">rialacha maidir le </w:t>
      </w:r>
      <w:r>
        <w:rPr>
          <w:noProof/>
        </w:rPr>
        <w:t xml:space="preserve">seirbhís uilíoch, </w:t>
      </w:r>
    </w:p>
    <w:p w:rsidR="00526EFA" w:rsidRDefault="005C4D05">
      <w:pPr>
        <w:pStyle w:val="Bullet0"/>
        <w:rPr>
          <w:noProof/>
        </w:rPr>
      </w:pPr>
      <w:r>
        <w:rPr>
          <w:noProof/>
        </w:rPr>
        <w:t>struchtúr institiúideach agus rialachas.</w:t>
      </w:r>
    </w:p>
    <w:p w:rsidR="00526EFA" w:rsidRDefault="005C4D05">
      <w:pPr>
        <w:spacing w:before="0" w:after="200"/>
        <w:rPr>
          <w:noProof/>
          <w:szCs w:val="24"/>
        </w:rPr>
      </w:pPr>
      <w:r>
        <w:rPr>
          <w:noProof/>
        </w:rPr>
        <w:t>Comhairliúchán ginearálta agus mionsonraithe a bhí ann, lena raibh baint leitheadach ag tomhaltóirí, soláthraithe líonraí agus seirbhísí cumarsáide leictreonaí, cumainn oibreoirí náisiúnta agus Eo</w:t>
      </w:r>
      <w:r>
        <w:rPr>
          <w:noProof/>
        </w:rPr>
        <w:t>rpacha, eagraíochtaí na sochaí sibhialta, craoltóirí, soláthraithe teicneolaíochta, soláthraithe seirbhísí idirlín agus soláthraithe seirbhíse ar líne, gnólachtaí a bhíonn ag brath ar nascacht agus gníomhaithe an gheilleagair dhigitigh i gcoitinne, údaráis</w:t>
      </w:r>
      <w:r>
        <w:rPr>
          <w:noProof/>
        </w:rPr>
        <w:t xml:space="preserve"> náisiúnta ar gach leibhéal, agus geallsealbhóirí eile. Na geallsealbhóirí a ndéanann an beartas difear dóibh, na daoine nach mór dóibh é a chur chun feidhme agus iad siúd a bhfuil leas sonraithe sa bheartas, bhí siad ar fad rannpháirteach sa chomhairliúch</w:t>
      </w:r>
      <w:r>
        <w:rPr>
          <w:noProof/>
        </w:rPr>
        <w:t>án. Tugadh 244 fhreagra san iomlán ar an gcomhairliúchán ar líne ó gheallsealbhóirí sna Ballstáit ar fad agus ó gheallsealbhóirí taobh amuigh den Aontas. Leathbealaigh tríd, bhí éisteacht phoiblí ann an 11 Samhain 2015.</w:t>
      </w:r>
    </w:p>
    <w:p w:rsidR="00526EFA" w:rsidRDefault="005C4D05">
      <w:pPr>
        <w:spacing w:before="0" w:after="200"/>
        <w:rPr>
          <w:noProof/>
          <w:szCs w:val="24"/>
        </w:rPr>
      </w:pPr>
      <w:r>
        <w:rPr>
          <w:noProof/>
        </w:rPr>
        <w:t>Le cois an chomhairliúcháin phoiblí,</w:t>
      </w:r>
      <w:r>
        <w:rPr>
          <w:noProof/>
        </w:rPr>
        <w:t xml:space="preserve"> chuidigh BEREC féin leis an meastóireacht agus leis an bpróiseas athbhreithnithe agus d'fhoilsigh sé a thuairim ina leith i Nollaig 2015</w:t>
      </w:r>
      <w:r>
        <w:rPr>
          <w:rStyle w:val="FootnoteReference"/>
          <w:noProof/>
        </w:rPr>
        <w:footnoteReference w:id="7"/>
      </w:r>
      <w:r>
        <w:rPr>
          <w:noProof/>
        </w:rPr>
        <w:t>. Thug an Grúpa um an mBeartas Radaispeictrim a thuairim uaidh freisin maidir leis an Straitéis maidir le Margadh Aona</w:t>
      </w:r>
      <w:r>
        <w:rPr>
          <w:noProof/>
        </w:rPr>
        <w:t>ir Digiteach agus an t</w:t>
      </w:r>
      <w:r>
        <w:rPr>
          <w:noProof/>
        </w:rPr>
        <w:noBreakHyphen/>
        <w:t>athbhreithniú ar an gcreat</w:t>
      </w:r>
      <w:r>
        <w:rPr>
          <w:rStyle w:val="FootnoteReference"/>
          <w:noProof/>
        </w:rPr>
        <w:footnoteReference w:id="8"/>
      </w:r>
      <w:r>
        <w:rPr>
          <w:noProof/>
        </w:rPr>
        <w:t>.</w:t>
      </w:r>
    </w:p>
    <w:p w:rsidR="00526EFA" w:rsidRDefault="005C4D05">
      <w:pPr>
        <w:spacing w:after="200"/>
        <w:rPr>
          <w:noProof/>
          <w:szCs w:val="24"/>
        </w:rPr>
      </w:pPr>
      <w:r>
        <w:rPr>
          <w:noProof/>
        </w:rPr>
        <w:t>Seo a leanas na treochtaí a d'eascair as an bpróiseas comhairliúcháin.</w:t>
      </w:r>
    </w:p>
    <w:p w:rsidR="00526EFA" w:rsidRDefault="005C4D05">
      <w:pPr>
        <w:pStyle w:val="Bullet0"/>
        <w:numPr>
          <w:ilvl w:val="0"/>
          <w:numId w:val="17"/>
        </w:numPr>
        <w:rPr>
          <w:noProof/>
        </w:rPr>
      </w:pPr>
      <w:r>
        <w:rPr>
          <w:noProof/>
        </w:rPr>
        <w:t xml:space="preserve">Meastar gur coinníoll riachtanach é dea-nascacht le haghaidh an mhargaidh aonair dhigitigh. Leag cuid mhór freagróirí béim ar an ngá </w:t>
      </w:r>
      <w:r>
        <w:rPr>
          <w:noProof/>
        </w:rPr>
        <w:t>atá ann le bearta beartais agus le coigeartuithe féideartha a dhéanamh ar na huirlisí beartais agus rialála atá ann faoi láthair chun tacú le húsáid bonneagair i gcomhréir leis na riachtanais a bheidh ann amach anseo.</w:t>
      </w:r>
    </w:p>
    <w:p w:rsidR="00526EFA" w:rsidRDefault="005C4D05">
      <w:pPr>
        <w:pStyle w:val="Bullet0"/>
        <w:rPr>
          <w:noProof/>
        </w:rPr>
      </w:pPr>
      <w:r>
        <w:rPr>
          <w:noProof/>
        </w:rPr>
        <w:t>Dúirt roinnt de na freagróirí gur beag</w:t>
      </w:r>
      <w:r>
        <w:rPr>
          <w:noProof/>
        </w:rPr>
        <w:t xml:space="preserve"> an leas a dhéanann an creat rialála atá ann faoi láthair don mhargadh inmheánach. Meastar go coitianta nach mór an creat rialála a choigeartú chun riar do dhinimic reatha an mhargaidh. Ina ainneoin sin, tá sé aitheanta ag cuid mhór freagróirí gur tháinig </w:t>
      </w:r>
      <w:r>
        <w:rPr>
          <w:noProof/>
        </w:rPr>
        <w:t xml:space="preserve">athrú chun feabhais ar ghnóthaí a bhuí le léirscaoileadh na margaí teileachumarsáide, go háirithe i dtéarmaí leasanna do na húsáideoirí deiridh agus i dtéarmaí iomaíochta laistigh de thromlach na margaí náisiúnta. </w:t>
      </w:r>
    </w:p>
    <w:p w:rsidR="00526EFA" w:rsidRDefault="005C4D05">
      <w:pPr>
        <w:pStyle w:val="Bullet0"/>
        <w:rPr>
          <w:noProof/>
        </w:rPr>
      </w:pPr>
      <w:r>
        <w:rPr>
          <w:noProof/>
        </w:rPr>
        <w:t>I dtaca le radaispeictream, d'aithin frea</w:t>
      </w:r>
      <w:r>
        <w:rPr>
          <w:noProof/>
        </w:rPr>
        <w:t>gróirí a thábhachtaí atá nascacht gan sreang agus leathanbhanda gan sreang. Ar bhonn ginearálta, an lucht tionscail, atá i bhfách le cur chuige níos comhordaithe, tá siad ag iarraidh tuilleadh deimhneachta le haghaidh á gcuid infheistíochtaí agus le haghai</w:t>
      </w:r>
      <w:r>
        <w:rPr>
          <w:noProof/>
        </w:rPr>
        <w:t>dh deiseanna chun cumarsáid nua mhóibíleach gan sreang a fhorbairt, lena n</w:t>
      </w:r>
      <w:r>
        <w:rPr>
          <w:noProof/>
        </w:rPr>
        <w:noBreakHyphen/>
        <w:t>áirítear 5G, ar fud an Aontais.</w:t>
      </w:r>
    </w:p>
    <w:p w:rsidR="00526EFA" w:rsidRDefault="005C4D05">
      <w:pPr>
        <w:pStyle w:val="Bullet0"/>
        <w:rPr>
          <w:noProof/>
        </w:rPr>
      </w:pPr>
      <w:r>
        <w:rPr>
          <w:noProof/>
        </w:rPr>
        <w:t>Bíodh agus go n</w:t>
      </w:r>
      <w:r>
        <w:rPr>
          <w:noProof/>
        </w:rPr>
        <w:noBreakHyphen/>
        <w:t>aithnítear go leitheadach ról leanúnach ÚNRanna agus údaráis bainistithe radaispeictrim, leag beagnach leathchuid de na freagróirí bé</w:t>
      </w:r>
      <w:r>
        <w:rPr>
          <w:noProof/>
        </w:rPr>
        <w:t>im ar an bpointe gur cheart an struchtúr institiúideach ar leibhéal an Aontais a choigeartú chun deimhneacht dhlíthiúil agus freagracht níos fearr a áirithiú. Seo a leanas na hathruithe a mhol siad:</w:t>
      </w:r>
    </w:p>
    <w:p w:rsidR="00526EFA" w:rsidRDefault="005C4D05">
      <w:pPr>
        <w:pStyle w:val="Bullet1"/>
        <w:numPr>
          <w:ilvl w:val="0"/>
          <w:numId w:val="20"/>
        </w:numPr>
        <w:rPr>
          <w:noProof/>
        </w:rPr>
      </w:pPr>
      <w:r>
        <w:rPr>
          <w:noProof/>
        </w:rPr>
        <w:t>roinnt na gcumhachtaí a bheith níos soiléire idir na hins</w:t>
      </w:r>
      <w:r>
        <w:rPr>
          <w:noProof/>
        </w:rPr>
        <w:t>titiúidí éagsúla (chun forluí a sheachaint),</w:t>
      </w:r>
    </w:p>
    <w:p w:rsidR="00526EFA" w:rsidRDefault="005C4D05">
      <w:pPr>
        <w:pStyle w:val="Bullet1"/>
        <w:numPr>
          <w:ilvl w:val="0"/>
          <w:numId w:val="20"/>
        </w:numPr>
        <w:rPr>
          <w:noProof/>
        </w:rPr>
      </w:pPr>
      <w:r>
        <w:rPr>
          <w:noProof/>
        </w:rPr>
        <w:t>a áirithiú go bhfuil institiúidí cuntasach faoina gcuid cinntí ó thaobh polaitíochta agus dlí de,</w:t>
      </w:r>
    </w:p>
    <w:p w:rsidR="00526EFA" w:rsidRDefault="005C4D05">
      <w:pPr>
        <w:pStyle w:val="Bullet1"/>
        <w:numPr>
          <w:ilvl w:val="0"/>
          <w:numId w:val="20"/>
        </w:numPr>
        <w:rPr>
          <w:noProof/>
        </w:rPr>
      </w:pPr>
      <w:r>
        <w:rPr>
          <w:noProof/>
        </w:rPr>
        <w:t>ardleibhéal trédhearcachta a bheith ann i gcinnteoireacht (páirt níos mó a bheith ag geallsealbhóirí).</w:t>
      </w:r>
    </w:p>
    <w:p w:rsidR="00526EFA" w:rsidRDefault="005C4D05">
      <w:pPr>
        <w:spacing w:after="200"/>
        <w:rPr>
          <w:noProof/>
          <w:szCs w:val="24"/>
        </w:rPr>
      </w:pPr>
      <w:r>
        <w:rPr>
          <w:noProof/>
        </w:rPr>
        <w:t xml:space="preserve">Mar chuid </w:t>
      </w:r>
      <w:r>
        <w:rPr>
          <w:noProof/>
        </w:rPr>
        <w:t>den phróiseas meastóireachta, rinne an Coimisiún roinnt staidéar a choimisiúnú. Orthu sin bhí ceardlanna poiblí a thug cead cainte do gheallsealbhóirí agus a thug deis dóibh aiseolas a thabhairt maidir leis an obair mheastóireachta leanúnach.</w:t>
      </w:r>
    </w:p>
    <w:p w:rsidR="00526EFA" w:rsidRDefault="005C4D05">
      <w:pPr>
        <w:pStyle w:val="Bullet0"/>
        <w:rPr>
          <w:noProof/>
        </w:rPr>
      </w:pPr>
      <w:r>
        <w:rPr>
          <w:noProof/>
        </w:rPr>
        <w:t xml:space="preserve">An 6 Aibreán </w:t>
      </w:r>
      <w:r>
        <w:rPr>
          <w:noProof/>
        </w:rPr>
        <w:t>2016 bhí ceardlann phoiblí ann chun torthaí meántéarma staidéir a rinne WIK, IDATE agus Deloitte a dhearbhú maidir le "córais rialála, go háirithe córais rochtana, le haghaidh samhlacha le haghaidh infheistíochtaí i líonraí san Eoraip" (SMART 2015/0002).</w:t>
      </w:r>
    </w:p>
    <w:p w:rsidR="00526EFA" w:rsidRDefault="005C4D05">
      <w:pPr>
        <w:pStyle w:val="Bullet0"/>
        <w:rPr>
          <w:noProof/>
        </w:rPr>
      </w:pPr>
      <w:r>
        <w:rPr>
          <w:noProof/>
        </w:rPr>
        <w:t>A</w:t>
      </w:r>
      <w:r>
        <w:rPr>
          <w:noProof/>
        </w:rPr>
        <w:t>n 2 Bealtaine 2016 eagraíodh ceardlann phoiblí chun torthaí meántéarmacha staidéir a rinne WIK, CRIDS agus Cullen a bhailíochtú maidir le "Saincheisteanna substaintiúla le hathbhreithniú maidir le dul isteach sa mhargadh, bainistiú acmhainní ganna agus sai</w:t>
      </w:r>
      <w:r>
        <w:rPr>
          <w:noProof/>
        </w:rPr>
        <w:t>ncheisteanna ginearálta maidir le húsáideoirí deiridh</w:t>
      </w:r>
      <w:r>
        <w:rPr>
          <w:i/>
          <w:noProof/>
        </w:rPr>
        <w:t>"</w:t>
      </w:r>
      <w:r>
        <w:rPr>
          <w:noProof/>
        </w:rPr>
        <w:t xml:space="preserve"> (SMART 2015/0003).</w:t>
      </w:r>
    </w:p>
    <w:p w:rsidR="00526EFA" w:rsidRDefault="005C4D05">
      <w:pPr>
        <w:pStyle w:val="ManualHeading2"/>
        <w:rPr>
          <w:rFonts w:eastAsia="Arial Unicode MS"/>
          <w:noProof/>
          <w:u w:color="000000"/>
          <w:bdr w:val="nil"/>
        </w:rPr>
      </w:pPr>
      <w:r>
        <w:rPr>
          <w:noProof/>
        </w:rPr>
        <w:t>•</w:t>
      </w:r>
      <w:r>
        <w:rPr>
          <w:noProof/>
        </w:rPr>
        <w:tab/>
        <w:t>Bailiú agus úsáid saineolais</w:t>
      </w:r>
    </w:p>
    <w:p w:rsidR="00526EFA" w:rsidRDefault="005C4D05">
      <w:pPr>
        <w:spacing w:after="200"/>
        <w:rPr>
          <w:noProof/>
          <w:szCs w:val="24"/>
        </w:rPr>
      </w:pPr>
      <w:r>
        <w:rPr>
          <w:noProof/>
        </w:rPr>
        <w:t>D'úsáid an Coimisiún comhairle shaineolaíoch sheachtrach ó na foinsí seo a leanas:</w:t>
      </w:r>
    </w:p>
    <w:p w:rsidR="00526EFA" w:rsidRDefault="005C4D05">
      <w:pPr>
        <w:pStyle w:val="Bullet0"/>
        <w:rPr>
          <w:noProof/>
        </w:rPr>
      </w:pPr>
      <w:r>
        <w:rPr>
          <w:noProof/>
        </w:rPr>
        <w:t>- Moltaí beartais ó institiúidí eile de chuid an Aontais Eorpaigh, g</w:t>
      </w:r>
      <w:r>
        <w:rPr>
          <w:noProof/>
        </w:rPr>
        <w:t>o háirithe ó Pharlaimint na hEorpa</w:t>
      </w:r>
      <w:r>
        <w:rPr>
          <w:rStyle w:val="FootnoteReference"/>
          <w:noProof/>
        </w:rPr>
        <w:footnoteReference w:id="9"/>
      </w:r>
      <w:r>
        <w:rPr>
          <w:rStyle w:val="FootnoteReference"/>
          <w:noProof/>
        </w:rPr>
        <w:t xml:space="preserve"> </w:t>
      </w:r>
      <w:r>
        <w:rPr>
          <w:noProof/>
        </w:rPr>
        <w:t>agus ón gComhairle Eorpach</w:t>
      </w:r>
      <w:r>
        <w:rPr>
          <w:rStyle w:val="FootnoteReference"/>
          <w:noProof/>
        </w:rPr>
        <w:footnoteReference w:id="10"/>
      </w:r>
      <w:r>
        <w:rPr>
          <w:noProof/>
        </w:rPr>
        <w:t>.</w:t>
      </w:r>
    </w:p>
    <w:p w:rsidR="00526EFA" w:rsidRDefault="005C4D05">
      <w:pPr>
        <w:pStyle w:val="Bullet0"/>
        <w:rPr>
          <w:noProof/>
        </w:rPr>
      </w:pPr>
      <w:r>
        <w:rPr>
          <w:noProof/>
        </w:rPr>
        <w:t>- Trí staidéar athbhreithnithe.</w:t>
      </w:r>
    </w:p>
    <w:p w:rsidR="00526EFA" w:rsidRDefault="005C4D05">
      <w:pPr>
        <w:pStyle w:val="Tiret1"/>
        <w:numPr>
          <w:ilvl w:val="0"/>
          <w:numId w:val="18"/>
        </w:numPr>
        <w:rPr>
          <w:noProof/>
        </w:rPr>
      </w:pPr>
      <w:r>
        <w:rPr>
          <w:noProof/>
        </w:rPr>
        <w:t>"Tacaíocht d'ullmhúchán an mheasúnaithe tionchair a ghabhann le hathbhreithniú an chreata rialála le haghaidh ríomhchumarsáide" (SMART 2015/0005).</w:t>
      </w:r>
    </w:p>
    <w:p w:rsidR="00526EFA" w:rsidRDefault="005C4D05">
      <w:pPr>
        <w:pStyle w:val="Tiret1"/>
        <w:rPr>
          <w:noProof/>
        </w:rPr>
      </w:pPr>
      <w:r>
        <w:rPr>
          <w:noProof/>
        </w:rPr>
        <w:t>"Córais rial</w:t>
      </w:r>
      <w:r>
        <w:rPr>
          <w:noProof/>
        </w:rPr>
        <w:t xml:space="preserve">ála, go háirithe rialáil ar rochtain, le haghaidh samhlacha infheistíochta gréasán san Eoraip" (SMART 2015/0002). </w:t>
      </w:r>
    </w:p>
    <w:p w:rsidR="00526EFA" w:rsidRDefault="005C4D05">
      <w:pPr>
        <w:pStyle w:val="Tiret1"/>
        <w:rPr>
          <w:noProof/>
        </w:rPr>
      </w:pPr>
      <w:r>
        <w:rPr>
          <w:noProof/>
        </w:rPr>
        <w:t>"Saincheisteanna substaintiúla le hathbhreithniú maidir le dul isteach sa mhargadh, bainistiú acmhainní ganna agus saincheisteanna ginearálta</w:t>
      </w:r>
      <w:r>
        <w:rPr>
          <w:noProof/>
        </w:rPr>
        <w:t xml:space="preserve"> maidir le húsáideoirí deiridh" (SMART 2015/0003).</w:t>
      </w:r>
    </w:p>
    <w:p w:rsidR="00526EFA" w:rsidRDefault="005C4D05">
      <w:pPr>
        <w:pStyle w:val="Bullet0"/>
        <w:rPr>
          <w:noProof/>
        </w:rPr>
      </w:pPr>
      <w:r>
        <w:rPr>
          <w:noProof/>
        </w:rPr>
        <w:t>- Ina theannta sin, rinneadh roinnt staidéar eile a chuir leis an eolas atá faighte faoin bpróiseas athbhreithnithe. Liostaítear na staidéir sin i Roinn 6.1.4 den Mheasúnú Tionchair.</w:t>
      </w:r>
    </w:p>
    <w:p w:rsidR="00526EFA" w:rsidRDefault="005C4D05">
      <w:pPr>
        <w:pStyle w:val="Bullet0"/>
        <w:rPr>
          <w:noProof/>
        </w:rPr>
      </w:pPr>
      <w:r>
        <w:rPr>
          <w:noProof/>
        </w:rPr>
        <w:t xml:space="preserve">- Painéal ardleibhéil </w:t>
      </w:r>
      <w:r>
        <w:rPr>
          <w:noProof/>
        </w:rPr>
        <w:t>de shaineolaithe mar chuid den staidéar SMART 2015/0005</w:t>
      </w:r>
      <w:r>
        <w:rPr>
          <w:rStyle w:val="FootnoteReference"/>
          <w:noProof/>
        </w:rPr>
        <w:footnoteReference w:id="11"/>
      </w:r>
      <w:r>
        <w:rPr>
          <w:rStyle w:val="FootnoteReference"/>
          <w:noProof/>
          <w:vertAlign w:val="baseline"/>
        </w:rPr>
        <w:t>.</w:t>
      </w:r>
    </w:p>
    <w:p w:rsidR="00526EFA" w:rsidRDefault="005C4D05">
      <w:pPr>
        <w:pStyle w:val="ManualHeading2"/>
        <w:rPr>
          <w:rFonts w:eastAsia="Arial Unicode MS"/>
          <w:noProof/>
          <w:u w:color="000000"/>
          <w:bdr w:val="nil"/>
        </w:rPr>
      </w:pPr>
      <w:r>
        <w:rPr>
          <w:noProof/>
        </w:rPr>
        <w:t>•</w:t>
      </w:r>
      <w:r>
        <w:rPr>
          <w:noProof/>
        </w:rPr>
        <w:tab/>
        <w:t>Measúnú tionchair</w:t>
      </w:r>
    </w:p>
    <w:p w:rsidR="00526EFA" w:rsidRDefault="005C4D05">
      <w:pPr>
        <w:rPr>
          <w:rFonts w:eastAsia="Calibri"/>
          <w:noProof/>
          <w:szCs w:val="24"/>
        </w:rPr>
      </w:pPr>
      <w:r>
        <w:rPr>
          <w:noProof/>
        </w:rPr>
        <w:t>Is féidir teacht ar achoimre feidhmiúcháin an Mheasúnaithe Tionchair agus ar an tuairim dhearfach ón mBord um Ghrinnscrúdú Rialála ar shuíomh gréasáin an Choimisiúin</w:t>
      </w:r>
      <w:r>
        <w:rPr>
          <w:rStyle w:val="FootnoteReference"/>
          <w:noProof/>
        </w:rPr>
        <w:footnoteReference w:id="12"/>
      </w:r>
      <w:r>
        <w:rPr>
          <w:noProof/>
        </w:rPr>
        <w:t>.</w:t>
      </w:r>
    </w:p>
    <w:p w:rsidR="00526EFA" w:rsidRDefault="005C4D05">
      <w:pPr>
        <w:rPr>
          <w:rFonts w:eastAsia="Calibri"/>
          <w:noProof/>
          <w:szCs w:val="24"/>
        </w:rPr>
      </w:pPr>
      <w:r>
        <w:rPr>
          <w:noProof/>
        </w:rPr>
        <w:t>Scrúdaíodh</w:t>
      </w:r>
      <w:r>
        <w:rPr>
          <w:noProof/>
        </w:rPr>
        <w:t xml:space="preserve"> na roghanna rialachais seo a leanas. Cé go ndearnadh ailíniú ar struchtúr BEREC leis an gcur chuige coiteann a mheas i Rogha 2, is é Rogha 3 rogha na tosaíochta</w:t>
      </w:r>
      <w:r>
        <w:rPr>
          <w:rStyle w:val="FootnoteReference"/>
          <w:noProof/>
        </w:rPr>
        <w:footnoteReference w:id="13"/>
      </w:r>
      <w:r>
        <w:rPr>
          <w:noProof/>
        </w:rPr>
        <w:t>.</w:t>
      </w:r>
    </w:p>
    <w:p w:rsidR="00526EFA" w:rsidRDefault="005C4D05">
      <w:pPr>
        <w:spacing w:before="240" w:after="240"/>
        <w:rPr>
          <w:rFonts w:eastAsia="Calibri"/>
          <w:b/>
          <w:i/>
          <w:noProof/>
          <w:szCs w:val="24"/>
        </w:rPr>
      </w:pPr>
      <w:r>
        <w:rPr>
          <w:b/>
          <w:i/>
          <w:noProof/>
        </w:rPr>
        <w:t>Rogha 1 — Gan aon athrú — an cás bunlíne</w:t>
      </w:r>
    </w:p>
    <w:p w:rsidR="00526EFA" w:rsidRDefault="005C4D05">
      <w:pPr>
        <w:rPr>
          <w:rFonts w:eastAsia="Calibri"/>
          <w:noProof/>
          <w:szCs w:val="24"/>
        </w:rPr>
      </w:pPr>
      <w:r>
        <w:rPr>
          <w:noProof/>
        </w:rPr>
        <w:t>Tá an rogha seo bunaithe ar na forálacha atá ann fa</w:t>
      </w:r>
      <w:r>
        <w:rPr>
          <w:noProof/>
        </w:rPr>
        <w:t>oi láthair. Tá tionchar ag an easpa comhchuibhithe iomchuí atá déanta ar inniúlachtaí ÚNRanna. Is amhlaidh atá mar tá ról tugtha ag an reachtóir do BEREC i réimsí nach ndearnadh inniúlacht ar an leibhéal náisiúnta a chomhchuibhiú i dtaca lena gcuid ball, a</w:t>
      </w:r>
      <w:r>
        <w:rPr>
          <w:noProof/>
        </w:rPr>
        <w:t>mhail díospóidí trasteorann a réiteach.</w:t>
      </w:r>
    </w:p>
    <w:p w:rsidR="00526EFA" w:rsidRDefault="005C4D05">
      <w:pPr>
        <w:spacing w:before="240" w:after="240"/>
        <w:rPr>
          <w:rFonts w:eastAsia="Calibri"/>
          <w:b/>
          <w:i/>
          <w:noProof/>
          <w:szCs w:val="24"/>
        </w:rPr>
      </w:pPr>
      <w:r>
        <w:rPr>
          <w:b/>
          <w:i/>
          <w:noProof/>
        </w:rPr>
        <w:t>Rogha 2 — Ról feabhsaithe comhairleach agus inniúlachtaí neartaithe</w:t>
      </w:r>
    </w:p>
    <w:p w:rsidR="00526EFA" w:rsidRDefault="005C4D05">
      <w:pPr>
        <w:rPr>
          <w:rFonts w:eastAsia="Calibri"/>
          <w:noProof/>
          <w:szCs w:val="24"/>
        </w:rPr>
      </w:pPr>
      <w:r>
        <w:rPr>
          <w:noProof/>
        </w:rPr>
        <w:t>Sa rogha seo beartaítear na rialacha atá ann cheana a choigeartú ar bhonn na taithí atá faighte le blianta beaga anuas i dtaca leis an gcreat a chur</w:t>
      </w:r>
      <w:r>
        <w:rPr>
          <w:noProof/>
        </w:rPr>
        <w:t xml:space="preserve"> chun feidhme agus ar bhonn chleachtas REFIT, go háirithe ról ÚNRanna neamhspleácha a neartú trí shraith íosta inniúlachtaí a leagan síos maidir leis na hÚNRanna sin ar fud an Aontais.</w:t>
      </w:r>
    </w:p>
    <w:p w:rsidR="00526EFA" w:rsidRDefault="005C4D05">
      <w:pPr>
        <w:rPr>
          <w:rFonts w:eastAsia="Calibri"/>
          <w:noProof/>
          <w:szCs w:val="24"/>
        </w:rPr>
      </w:pPr>
      <w:r>
        <w:rPr>
          <w:noProof/>
        </w:rPr>
        <w:t>Ar leibhéal an Aontais, ba cheart do BEREC a ról comhairleach a leathnú</w:t>
      </w:r>
      <w:r>
        <w:rPr>
          <w:noProof/>
        </w:rPr>
        <w:t xml:space="preserve"> amach sna réimsí ina bhfuil inniúlacht ag na hÚNRanna neamhspleácha le go mbeidh a chuid cúraimí i gcomhréir leo sin atá ag na hÚNRanna. Mar sin féin, chun go mbeidh sé níos éifeachtúla agus chun bainistíocht níos cobhsaí a chur ar fáil, dhéanfaí struchtú</w:t>
      </w:r>
      <w:r>
        <w:rPr>
          <w:noProof/>
        </w:rPr>
        <w:t xml:space="preserve">r rialachais BEREC a choigeartú chun é a chur i gcomhréir leis an gcur chuige coiteann. D'fhágfadh sin gurb é comhlacht a bhfuil pearsantacht dhlítheanach aige a dhéanfadh na feidhmeanna rialála faoi choimirce BEREC. </w:t>
      </w:r>
    </w:p>
    <w:p w:rsidR="00526EFA" w:rsidRDefault="005C4D05">
      <w:pPr>
        <w:rPr>
          <w:rFonts w:eastAsia="Calibri"/>
          <w:noProof/>
          <w:szCs w:val="24"/>
        </w:rPr>
      </w:pPr>
      <w:r>
        <w:rPr>
          <w:noProof/>
        </w:rPr>
        <w:t>Bhunófaí Bord nua Bainistíochta chun m</w:t>
      </w:r>
      <w:r>
        <w:rPr>
          <w:noProof/>
        </w:rPr>
        <w:t xml:space="preserve">aoirseacht a dhéanamh ar threoracha ginearálta le haghaidh ghníomhaíochtaí na gníomhaireachta, agus thiocfadh sé in ionad an Bhoird Rialálaithe agus an Choiste Bainistíochta atá ann cheana. Tá struchtúr níos cobhsaí rialachais á bheartú trí chathaoirleach </w:t>
      </w:r>
      <w:r>
        <w:rPr>
          <w:noProof/>
        </w:rPr>
        <w:t>a cheapadh (a roghnófar as measc bhaill an Bhoird Bainistíochta) le haghaidh téarma oifige níos faide (bliain amháin atá sa téarma sin faoi láthair). Beidh níos mó cumhachtaí ag an Stiúrthóir Feidhmiúcháin ná mar atá ag Bainisteoir Riaracháin na hOifige fa</w:t>
      </w:r>
      <w:r>
        <w:rPr>
          <w:noProof/>
        </w:rPr>
        <w:t>oi láthair agus roghnófar é ó liosta iarrthóirí a mholfaidh an Coimisiún tar éis nós imeachta roghnúcháin de réir mar atá beartaithe faoin gcur chuige coiteann agus mar a dhéantar i ngníomhaireachtaí eile.</w:t>
      </w:r>
    </w:p>
    <w:p w:rsidR="00526EFA" w:rsidRDefault="005C4D05">
      <w:pPr>
        <w:spacing w:before="240" w:after="240"/>
        <w:rPr>
          <w:rFonts w:eastAsia="Calibri"/>
          <w:b/>
          <w:i/>
          <w:noProof/>
          <w:szCs w:val="24"/>
        </w:rPr>
      </w:pPr>
      <w:r>
        <w:rPr>
          <w:b/>
          <w:i/>
          <w:noProof/>
        </w:rPr>
        <w:t>Rogha 3 — Ról comhairleach a mbeidh cumhachtaí áir</w:t>
      </w:r>
      <w:r>
        <w:rPr>
          <w:b/>
          <w:i/>
          <w:noProof/>
        </w:rPr>
        <w:t>ithe réamhnormatacha ag gabháil leis agus próiseas athbhreithnithe margaidh níos fearr, agus sannadh na gceart úsáide le haghaidh radaispeictrim</w:t>
      </w:r>
    </w:p>
    <w:p w:rsidR="00526EFA" w:rsidRDefault="005C4D05">
      <w:pPr>
        <w:rPr>
          <w:rFonts w:eastAsia="Calibri"/>
          <w:noProof/>
          <w:szCs w:val="24"/>
        </w:rPr>
      </w:pPr>
      <w:r>
        <w:rPr>
          <w:noProof/>
        </w:rPr>
        <w:t>Tá tromlach na ngnéithe atá i Rogha 2 sa rogha seo freisin, go háirithe an tsraith íosta inniúlachtaí comhchuib</w:t>
      </w:r>
      <w:r>
        <w:rPr>
          <w:noProof/>
        </w:rPr>
        <w:t>hithe (lena n</w:t>
      </w:r>
      <w:r>
        <w:rPr>
          <w:noProof/>
        </w:rPr>
        <w:noBreakHyphen/>
        <w:t>áiritear inniúlacht lena sainítear gnéithe rialála na líonraí cumarsáide leictreonaí a bhfuil mórthionchar acu ar an margadh agus sannadh na gceart úsáide seirbhísí le haghaidh radaispeictrim) agus cúraimí ÚNRanna agus BEREC a thabhairt i gco</w:t>
      </w:r>
      <w:r>
        <w:rPr>
          <w:noProof/>
        </w:rPr>
        <w:t>mhréir le chéile, chomh maith le mór</w:t>
      </w:r>
      <w:r>
        <w:rPr>
          <w:noProof/>
        </w:rPr>
        <w:noBreakHyphen/>
        <w:t>ailíniú a dhéanamh ar struchtúr rialachais BEREC leis an gcur chuige coiteann.</w:t>
      </w:r>
    </w:p>
    <w:p w:rsidR="00526EFA" w:rsidRDefault="005C4D05">
      <w:pPr>
        <w:rPr>
          <w:rFonts w:eastAsia="Calibri"/>
          <w:noProof/>
          <w:szCs w:val="24"/>
        </w:rPr>
      </w:pPr>
      <w:r>
        <w:rPr>
          <w:noProof/>
        </w:rPr>
        <w:t>Tabharfar roinnt cúraimí breise do BEREC, amhail cumhachtaí chun cinntí ceangailteacha a ghlacadh maidir le margaí trasnáisiúnta a shainaith</w:t>
      </w:r>
      <w:r>
        <w:rPr>
          <w:noProof/>
        </w:rPr>
        <w:t>int agus le teimpléad le haghaidh achoimre chonartha; cumhachtaí cuasaicheangailteacha maidir le nósanna imeachta an mhargaidh inmheánaigh le haghaidh dréachtbhearta náisiúnta maidir le rialú margaidh (córas "an dá ghlas" – féach thíos) agus bunú uasráta f</w:t>
      </w:r>
      <w:r>
        <w:rPr>
          <w:noProof/>
        </w:rPr>
        <w:t>oirceanta aonair don Aontas; treoirlínte a eisiúint i roinnt réimsí: suirbhéanna geografacha, cuir chuige coiteanna maidir le héileamh trasnáisiúnta a chomhall, critéir íosta le haghaidh tairiscintí tagartha, critéir choiteanna maidir le hacmhainní uimhriú</w:t>
      </w:r>
      <w:r>
        <w:rPr>
          <w:noProof/>
        </w:rPr>
        <w:t>cháin a bhainistiú, paraiméadair maidir le cáilíocht seirbhíse, modhanna intomhaiste infheidhme agus mionsonraí teicniúla na samhla costais a chuirfidh ÚNRanna i bhfeidhm agus na huasrátaí foirceanta siméadracha á leagan síos aige. Tabharfar an chumhacht d</w:t>
      </w:r>
      <w:r>
        <w:rPr>
          <w:noProof/>
        </w:rPr>
        <w:t>ó freisin faisnéis a iarraidh go díreach ó oibritheoirí.</w:t>
      </w:r>
    </w:p>
    <w:p w:rsidR="00526EFA" w:rsidRDefault="005C4D05">
      <w:pPr>
        <w:rPr>
          <w:rFonts w:eastAsia="Calibri"/>
          <w:noProof/>
          <w:szCs w:val="24"/>
        </w:rPr>
      </w:pPr>
      <w:r>
        <w:rPr>
          <w:noProof/>
        </w:rPr>
        <w:t>Beidh BEREC i gceannas freisin ar chlár a bhunú le haghaidh úsáid allchríche uimhreacha agus socruithe trasteorann agus ar chlár eile a bhunú le haghaidh soláthraithe líonraí agus seirbhísí cumarsáid</w:t>
      </w:r>
      <w:r>
        <w:rPr>
          <w:noProof/>
        </w:rPr>
        <w:t xml:space="preserve">e leictreonaí. Cabhróidh sé freisin leis an gCoimisiún agus le hÚNRanna i réimse an chaighdeánaithe trí chuidiú leo bagairt ar nascacht ó cheann go ceann nó bagairt ar rochtain éifeachtach ar sheirbhísí éigeandála a shainaithint. D'fhéadfaí sin a dhéanamh </w:t>
      </w:r>
      <w:r>
        <w:rPr>
          <w:noProof/>
        </w:rPr>
        <w:t>trí na caighdeáin atá ann faoi láthair a fhorchur agus caighdeáin nua a leagan síos.</w:t>
      </w:r>
    </w:p>
    <w:p w:rsidR="00526EFA" w:rsidRDefault="005C4D05">
      <w:pPr>
        <w:rPr>
          <w:rFonts w:eastAsia="Calibri"/>
          <w:noProof/>
          <w:szCs w:val="24"/>
        </w:rPr>
      </w:pPr>
      <w:r>
        <w:rPr>
          <w:noProof/>
        </w:rPr>
        <w:t>Chun an staid reatha a fheabhsú, staid nach bhfuil ach cumhachtaí neamhcheangailteacha ag an gCoimisiún agus ag BEREC maidir le leigheasanna a thabhairt, beartaítear córas</w:t>
      </w:r>
      <w:r>
        <w:rPr>
          <w:noProof/>
        </w:rPr>
        <w:t xml:space="preserve"> "an dá ghlas" a bhunú. I gcóras dá shórt, i gcás ina dtiocfadh BEREC agus an Coimisiún ar chomhaontú faoin seasamh atá acu maidir leis na dréachtleigheasanna arna moladh ag ÚNR, d'fhéadfadh an Coimisiún ceangal a chur ar an ÚNR an dréachtbheart a leasú nó</w:t>
      </w:r>
      <w:r>
        <w:rPr>
          <w:noProof/>
        </w:rPr>
        <w:t xml:space="preserve"> a chúlghairm agus, más gá, an anailís mhargaidh a athfhógairt. Thabharfaí córas isteach ina ndéanfaí "athbhreithniú piaraí" laistigh de BEREC mar shásra nua comhordaithe chun éifeachtúlacht agus comhleanúnachas a fheabhsú idir na Ballstáit maidir le gnéit</w:t>
      </w:r>
      <w:r>
        <w:rPr>
          <w:noProof/>
        </w:rPr>
        <w:t>he de shannadh na gceart úsáide le haghaidh radaispeictrim.</w:t>
      </w:r>
    </w:p>
    <w:p w:rsidR="00526EFA" w:rsidRDefault="005C4D05">
      <w:pPr>
        <w:spacing w:before="240" w:after="240"/>
        <w:rPr>
          <w:rFonts w:eastAsia="Calibri"/>
          <w:b/>
          <w:i/>
          <w:noProof/>
          <w:szCs w:val="24"/>
        </w:rPr>
      </w:pPr>
      <w:r>
        <w:rPr>
          <w:b/>
          <w:i/>
          <w:noProof/>
        </w:rPr>
        <w:t>Rogha 4 — Rialálaí de chuid an Aontais Eorpaigh ag a bhfuil cumhachtaí áirithe cur chun feidhme/forghníomhaithe</w:t>
      </w:r>
    </w:p>
    <w:p w:rsidR="00526EFA" w:rsidRDefault="005C4D05">
      <w:pPr>
        <w:rPr>
          <w:rFonts w:eastAsia="Calibri"/>
          <w:noProof/>
          <w:szCs w:val="24"/>
        </w:rPr>
      </w:pPr>
      <w:r>
        <w:rPr>
          <w:noProof/>
        </w:rPr>
        <w:t xml:space="preserve">Féachann an rogha seo le rialálaí de chuig an Aontais Eorpaigh a bhunú. </w:t>
      </w:r>
      <w:r>
        <w:rPr>
          <w:noProof/>
        </w:rPr>
        <w:t>Gníomhaireacht neartaithe a bheadh ann a mbeadh na hacmhainní is gá aici chun bheith in ann cumhachtaí cur chun feidhme a aistriú, lena n</w:t>
      </w:r>
      <w:r>
        <w:rPr>
          <w:noProof/>
        </w:rPr>
        <w:noBreakHyphen/>
        <w:t>áirítear cumhachtaí maoirseachta agus forfheidhmithe. Agus cumhachtaí ceangailteacha aige, d'fhéadfadh sé gníomhú i ré</w:t>
      </w:r>
      <w:r>
        <w:rPr>
          <w:noProof/>
        </w:rPr>
        <w:t>imsí inar gá cur chun feidhme aonfhoirmeach rialacha an Aontais Eorpaigh a áirithiú. Ar cheann de na réimsí sin tá seirbhísí nua uile-Eorpacha nó domhanda atá, ar an iomlán, neamhrialaithe faoi láthair nó atá faoi réir creataí rialála doiléire (M2M, OTT ag</w:t>
      </w:r>
      <w:r>
        <w:rPr>
          <w:noProof/>
        </w:rPr>
        <w:t>us réimsí eile mórthábhachtacha don Aontas, amhail fánaíocht nó margaí trasnáisiúnta).</w:t>
      </w:r>
    </w:p>
    <w:p w:rsidR="00526EFA" w:rsidRDefault="005C4D05">
      <w:pPr>
        <w:pBdr>
          <w:top w:val="nil"/>
          <w:left w:val="nil"/>
          <w:bottom w:val="nil"/>
          <w:right w:val="nil"/>
          <w:between w:val="nil"/>
          <w:bar w:val="nil"/>
        </w:pBdr>
        <w:spacing w:before="0" w:after="240"/>
        <w:rPr>
          <w:rFonts w:eastAsia="Arial Unicode MS"/>
          <w:noProof/>
        </w:rPr>
      </w:pPr>
      <w:r>
        <w:rPr>
          <w:noProof/>
        </w:rPr>
        <w:t>I dtaca le radaispeictream, bheadh sásra le haghaidh réamhathbhreithniú piaraí ann a mbeadh baint ag rialálaí an Aontais Eorpaigh leis, agus seans go mbeadh ceart crosta</w:t>
      </w:r>
      <w:r>
        <w:rPr>
          <w:noProof/>
        </w:rPr>
        <w:t xml:space="preserve"> ag an gCoimisiún a chur freisin. D'fhéadfadh rialálaí an Aontais Eorpaigh nósanna imeachta ceangailteacha sannacháin a chomhordú le haghaidh bandaí sonracha. Ar deireadh, dhéanfadh an ghníomhaireacht dea-sheirbhís idirghabhála oifige a chur i bhfeidhm chu</w:t>
      </w:r>
      <w:r>
        <w:rPr>
          <w:noProof/>
        </w:rPr>
        <w:t>n dul i ngleic le baic thrasteorann agus saincheisteanna rialála.</w:t>
      </w:r>
    </w:p>
    <w:p w:rsidR="00526EFA" w:rsidRDefault="005C4D05">
      <w:pPr>
        <w:pStyle w:val="ManualHeading2"/>
        <w:rPr>
          <w:rFonts w:eastAsia="Arial Unicode MS"/>
          <w:noProof/>
          <w:u w:color="000000"/>
          <w:bdr w:val="nil"/>
        </w:rPr>
      </w:pPr>
      <w:r>
        <w:rPr>
          <w:noProof/>
        </w:rPr>
        <w:t>•</w:t>
      </w:r>
      <w:r>
        <w:rPr>
          <w:noProof/>
        </w:rPr>
        <w:tab/>
        <w:t>Oiriúnacht rialála agus simpliú</w:t>
      </w:r>
    </w:p>
    <w:p w:rsidR="00526EFA" w:rsidRDefault="005C4D05">
      <w:pPr>
        <w:rPr>
          <w:noProof/>
          <w:szCs w:val="24"/>
        </w:rPr>
      </w:pPr>
      <w:r>
        <w:rPr>
          <w:noProof/>
        </w:rPr>
        <w:t>Na bearta beartais a mholtar faoi rogha na tosaíochta, tá siad i gcomhréir le clár oibre REFIT mar gurb é is aidhm dóibh an t</w:t>
      </w:r>
      <w:r>
        <w:rPr>
          <w:noProof/>
        </w:rPr>
        <w:noBreakHyphen/>
        <w:t>ualach riaracháin a shimpliú a</w:t>
      </w:r>
      <w:r>
        <w:rPr>
          <w:noProof/>
        </w:rPr>
        <w:t>gus a laghdú i gcomhréir le torthaí na meastóireachta a rinneadh ar acmhainneacht REFIT san athbhreithniú. Na hathruithe a mholtar ar an rialachas agus ar réimsí eile beartais, is é aidhm do chuid mhór dóibh na rialacha a shoiléiriú; a chur ar chumas comhp</w:t>
      </w:r>
      <w:r>
        <w:rPr>
          <w:noProof/>
        </w:rPr>
        <w:t>háirtithe a gcearta agus a n</w:t>
      </w:r>
      <w:r>
        <w:rPr>
          <w:noProof/>
        </w:rPr>
        <w:noBreakHyphen/>
        <w:t>oibleagáidí a thuiscint go héasca; agus ró</w:t>
      </w:r>
      <w:r>
        <w:rPr>
          <w:noProof/>
        </w:rPr>
        <w:noBreakHyphen/>
        <w:t>rialáil agus ualaí riaracháin a sheachaint.</w:t>
      </w:r>
    </w:p>
    <w:p w:rsidR="00526EFA" w:rsidRDefault="005C4D05">
      <w:pPr>
        <w:rPr>
          <w:noProof/>
        </w:rPr>
      </w:pPr>
      <w:r>
        <w:rPr>
          <w:noProof/>
        </w:rPr>
        <w:t>Ag féachaint do struchtúr institiúideach níos éifeachtúla agus níos cuíchóirithe a bheith ann agus an mheastóireacht ar REFIT á cur san áire</w:t>
      </w:r>
      <w:r>
        <w:rPr>
          <w:noProof/>
        </w:rPr>
        <w:t xml:space="preserve">amh, tá líon áirithe athruithe sa togra a thabharfadh BEREC i gcomhréir leis an gcur chuige coiteann agus le struchtúr ghníomhaireachtaí eile de chuid an Aontais. Má ghlactar leis an moladh gníomhaireacht dhíláraithe Aontais a dhéanamh de BEREC, ba cheart </w:t>
      </w:r>
      <w:r>
        <w:rPr>
          <w:noProof/>
        </w:rPr>
        <w:t>go mbainfí amach leibhéal áirithe gnóthachan éifeachtúlachta agus sineirgíochtaí dá bharr sin, agus dhéanfadh sin an gá atá le hacmhainní breise a fhritháireamh i bpáirt chun gur féidir na cúraimí nua a thabharfar do BEREC a dhéanamh.</w:t>
      </w:r>
    </w:p>
    <w:p w:rsidR="00526EFA" w:rsidRDefault="005C4D05">
      <w:pPr>
        <w:tabs>
          <w:tab w:val="left" w:pos="720"/>
        </w:tabs>
        <w:spacing w:before="0" w:after="240"/>
        <w:rPr>
          <w:noProof/>
        </w:rPr>
      </w:pPr>
      <w:r>
        <w:rPr>
          <w:noProof/>
        </w:rPr>
        <w:t>- Bunófar gníomhairea</w:t>
      </w:r>
      <w:r>
        <w:rPr>
          <w:noProof/>
        </w:rPr>
        <w:t>cht díláraithe Aontais a mbeidh struchtúr agus rialachas, sainordú agus cumhachtaí iomchuí aici. Déanfaidh sí cuntasacht dhlíthiúil agus pholaitiúil a neartú mar go nglacfar gach Cinneadh (rialála, riaracháin, airgeadais, etc.) faoi choimirce ghníomhaireac</w:t>
      </w:r>
      <w:r>
        <w:rPr>
          <w:noProof/>
        </w:rPr>
        <w:t xml:space="preserve">ht Aontais a mbeidh pearsantacht dhlítheanach aici. </w:t>
      </w:r>
    </w:p>
    <w:p w:rsidR="00526EFA" w:rsidRDefault="005C4D05">
      <w:pPr>
        <w:tabs>
          <w:tab w:val="left" w:pos="720"/>
        </w:tabs>
        <w:spacing w:before="0" w:after="240"/>
        <w:rPr>
          <w:noProof/>
        </w:rPr>
      </w:pPr>
      <w:r>
        <w:rPr>
          <w:noProof/>
        </w:rPr>
        <w:t>Déanfar an struchtúr rialachais a shimpliú trí Bhord Bainistíochta aonair a chur in ionad an dá struchtúr bainistíochta atá ann faoi láthair (an Bord Rialálaithe le haghaidh cinntí rialála agus an Coiste</w:t>
      </w:r>
      <w:r>
        <w:rPr>
          <w:noProof/>
        </w:rPr>
        <w:t xml:space="preserve"> Bainistíochta le haghaidh cinntí riaracháin agus airgeadais). Laghdóidh sé sin an t</w:t>
      </w:r>
      <w:r>
        <w:rPr>
          <w:noProof/>
        </w:rPr>
        <w:noBreakHyphen/>
        <w:t xml:space="preserve">ualach riaracháin trí dheireadh a chur leis an dúbailt a dhéantar ar chláir gnó, ar chláir oibre, ar thuarascálacha bliantúla, ar chláir doiciméad, ar choinní ball, etc. </w:t>
      </w:r>
    </w:p>
    <w:p w:rsidR="00526EFA" w:rsidRDefault="005C4D05">
      <w:pPr>
        <w:tabs>
          <w:tab w:val="left" w:pos="720"/>
        </w:tabs>
        <w:spacing w:before="0" w:after="240"/>
        <w:rPr>
          <w:noProof/>
        </w:rPr>
      </w:pPr>
      <w:r>
        <w:rPr>
          <w:noProof/>
        </w:rPr>
        <w:t>- Ceapfar Stiúrthóir Feidhmiúcháin ag ceann na gníomhaireachta, agus is é a bheidh ina ionadaí dlíthiúil do BEREC agus is é a bheidh freagrach as na cúraimí a shannfar don ghníomhaireacht a dhéanamh. Go háirithe, beidh 'cumhachtaí údaráis cheapacháin' tarm</w:t>
      </w:r>
      <w:r>
        <w:rPr>
          <w:noProof/>
        </w:rPr>
        <w:t>ligthe dó/di. Dhéanfaidh sin bainistiú fhoireann na gníomhaireachta níos éifeachtúla (faoin Rialachán maidir le BEREC atá ann faoi láthair, tugtar na cumhachtaí sin don Leas</w:t>
      </w:r>
      <w:r>
        <w:rPr>
          <w:noProof/>
        </w:rPr>
        <w:noBreakHyphen/>
        <w:t>Chathaoirleach, a bhfuil téarma oifige bliana aige, agus ní féidir iad a tharmlige</w:t>
      </w:r>
      <w:r>
        <w:rPr>
          <w:noProof/>
        </w:rPr>
        <w:t>an/a fho</w:t>
      </w:r>
      <w:r>
        <w:rPr>
          <w:noProof/>
        </w:rPr>
        <w:noBreakHyphen/>
        <w:t>tharmligean).</w:t>
      </w:r>
    </w:p>
    <w:p w:rsidR="00526EFA" w:rsidRDefault="005C4D05">
      <w:pPr>
        <w:tabs>
          <w:tab w:val="left" w:pos="720"/>
        </w:tabs>
        <w:spacing w:before="0" w:after="240"/>
        <w:rPr>
          <w:noProof/>
        </w:rPr>
      </w:pPr>
      <w:r>
        <w:rPr>
          <w:noProof/>
        </w:rPr>
        <w:t xml:space="preserve">- Beidh téarma oifige níos faide ag Cathaoirleach an Bhoird Bainistíochta (conradh inathnuaite de cheithre bliana in ionad conradh bliana atá ann faoi láthair) agus ag an Stiúrthóir Feidhmiúcháin (conradh inathnuaite de chúig bliana </w:t>
      </w:r>
      <w:r>
        <w:rPr>
          <w:noProof/>
        </w:rPr>
        <w:t>in ionad conradh trí bliana atá ann faoi láthair) chun an leanúnachas agus an chobhsaíocht is gá a áirithiú.</w:t>
      </w:r>
    </w:p>
    <w:p w:rsidR="00526EFA" w:rsidRDefault="005C4D05">
      <w:pPr>
        <w:pBdr>
          <w:top w:val="nil"/>
          <w:left w:val="nil"/>
          <w:bottom w:val="nil"/>
          <w:right w:val="nil"/>
          <w:between w:val="nil"/>
          <w:bar w:val="nil"/>
        </w:pBdr>
        <w:spacing w:before="0" w:after="240"/>
        <w:rPr>
          <w:rFonts w:eastAsia="Arial Unicode MS"/>
          <w:noProof/>
        </w:rPr>
      </w:pPr>
      <w:r>
        <w:rPr>
          <w:noProof/>
        </w:rPr>
        <w:t>Mar chríoch, is fearr a bheidh BEREC in ann cuidiú leis an gCoimisiún agus leis na hÚNRanna, agus bainfear amach gnóthachain éifeachtúlachta ó na r</w:t>
      </w:r>
      <w:r>
        <w:rPr>
          <w:noProof/>
        </w:rPr>
        <w:t>éimsí ar cuireadh béim orthu thuas. Rannchuidíonn an togra seo le córas Aontais éifeachtúil le haghaidh údaráis rialála sa mhargadh aonair digiteach agus ba cheart go gcuirfeadh sé an tacaíocht is gá ar fáil le haghaidh cur chun feidhme éifeachtúil an chre</w:t>
      </w:r>
      <w:r>
        <w:rPr>
          <w:noProof/>
        </w:rPr>
        <w:t xml:space="preserve">ata athbhreithnithe teileachumarsáide. </w:t>
      </w:r>
    </w:p>
    <w:p w:rsidR="00526EFA" w:rsidRDefault="005C4D05">
      <w:pPr>
        <w:pStyle w:val="ManualHeading2"/>
        <w:rPr>
          <w:rFonts w:eastAsia="Arial Unicode MS"/>
          <w:noProof/>
          <w:u w:color="000000"/>
          <w:bdr w:val="nil"/>
        </w:rPr>
      </w:pPr>
      <w:r>
        <w:rPr>
          <w:noProof/>
        </w:rPr>
        <w:t>•</w:t>
      </w:r>
      <w:r>
        <w:rPr>
          <w:noProof/>
        </w:rPr>
        <w:tab/>
        <w:t>Cearta bunúsacha</w:t>
      </w:r>
    </w:p>
    <w:p w:rsidR="00526EFA" w:rsidRDefault="005C4D05">
      <w:pPr>
        <w:pBdr>
          <w:top w:val="nil"/>
          <w:left w:val="nil"/>
          <w:bottom w:val="nil"/>
          <w:right w:val="nil"/>
          <w:between w:val="nil"/>
          <w:bar w:val="nil"/>
        </w:pBdr>
        <w:spacing w:before="0" w:after="240"/>
        <w:rPr>
          <w:rFonts w:eastAsia="Arial Unicode MS"/>
          <w:noProof/>
        </w:rPr>
      </w:pPr>
      <w:r>
        <w:rPr>
          <w:rStyle w:val="None"/>
          <w:noProof/>
        </w:rPr>
        <w:t>Cuireann na cearta bunúsacha agus na prionsabail arna sainaithint leis an gCairt um Chearta Bunúsacha an Aontais Eorpaigh san áireamh go hiomlán sa togra. Go háirithe,</w:t>
      </w:r>
      <w:r>
        <w:rPr>
          <w:noProof/>
        </w:rPr>
        <w:t xml:space="preserve"> is é is aidhm do na bearta atá beartaithe, lena n</w:t>
      </w:r>
      <w:r>
        <w:rPr>
          <w:noProof/>
        </w:rPr>
        <w:noBreakHyphen/>
        <w:t>áirítear BEREC a bhunú, nascacht a mhéadú trí shraith nuachóirithe rialacha cosanta don úsáideoir deiridh. Áiritheofar leis sin rochtain neamhdhealaitheach ar aon inneachar agus ar aon seirbhísí, lena n</w:t>
      </w:r>
      <w:r>
        <w:rPr>
          <w:noProof/>
        </w:rPr>
        <w:noBreakHyphen/>
        <w:t>ái</w:t>
      </w:r>
      <w:r>
        <w:rPr>
          <w:noProof/>
        </w:rPr>
        <w:t>rítear seirbhísí poiblí. Cuideoidh sé freisin chun saoirse cainte agus gnó a chur chun cinn agus cuirfidh sé ar chumas na mBallstát an chairt a chomhlíonadh ar chostas i bhfad níos lú amach anseo.</w:t>
      </w:r>
    </w:p>
    <w:p w:rsidR="00526EFA" w:rsidRDefault="005C4D05">
      <w:pPr>
        <w:pStyle w:val="ManualHeading1"/>
        <w:rPr>
          <w:noProof/>
        </w:rPr>
      </w:pPr>
      <w:r>
        <w:rPr>
          <w:noProof/>
        </w:rPr>
        <w:t>4.</w:t>
      </w:r>
      <w:r>
        <w:rPr>
          <w:noProof/>
        </w:rPr>
        <w:tab/>
        <w:t>IMPLEACHTAÍ BUISÉADACHA</w:t>
      </w:r>
    </w:p>
    <w:p w:rsidR="00526EFA" w:rsidRDefault="005C4D05">
      <w:pPr>
        <w:autoSpaceDE w:val="0"/>
        <w:autoSpaceDN w:val="0"/>
        <w:adjustRightInd w:val="0"/>
        <w:spacing w:before="0" w:after="0"/>
        <w:rPr>
          <w:noProof/>
          <w:szCs w:val="24"/>
        </w:rPr>
      </w:pPr>
      <w:r>
        <w:rPr>
          <w:noProof/>
        </w:rPr>
        <w:t>Fágfar líon teoranta cúraimí fao</w:t>
      </w:r>
      <w:r>
        <w:rPr>
          <w:noProof/>
        </w:rPr>
        <w:t>i BEREC, a bhunófar ar bhonn BEREC agus Oifig BEREC mar atá faoi láthair, arb é is aidhm dóibh cur chun feidhme comhsheasmhach an chreata rialála a áirithiú, rud a chuideodh chun forbairt a dhéanamh ar an margadh cumarsáide leictreonaí ar fud an Aontais, r</w:t>
      </w:r>
      <w:r>
        <w:rPr>
          <w:noProof/>
        </w:rPr>
        <w:t>ochtain ar nascacht sonraí an</w:t>
      </w:r>
      <w:r>
        <w:rPr>
          <w:noProof/>
        </w:rPr>
        <w:noBreakHyphen/>
        <w:t>ardtoillte a chur chun cinn do shaoránaigh uile an Aontais agus do ghnólachtaí, agus chuideoidh sé freisin chun forbairt a dhéanamh ar an iomaíocht i soláthar na líonraí agus na seirbhísí cumarsáide leictreonaí agus ar leasann</w:t>
      </w:r>
      <w:r>
        <w:rPr>
          <w:noProof/>
        </w:rPr>
        <w:t>a shaoránaigh an Aontais.</w:t>
      </w:r>
    </w:p>
    <w:p w:rsidR="00526EFA" w:rsidRDefault="00526EFA">
      <w:pPr>
        <w:autoSpaceDE w:val="0"/>
        <w:autoSpaceDN w:val="0"/>
        <w:adjustRightInd w:val="0"/>
        <w:spacing w:before="0" w:after="0"/>
        <w:rPr>
          <w:noProof/>
          <w:szCs w:val="24"/>
        </w:rPr>
      </w:pPr>
    </w:p>
    <w:p w:rsidR="00526EFA" w:rsidRDefault="005C4D05">
      <w:pPr>
        <w:autoSpaceDE w:val="0"/>
        <w:autoSpaceDN w:val="0"/>
        <w:adjustRightInd w:val="0"/>
        <w:spacing w:before="0" w:after="240"/>
        <w:rPr>
          <w:noProof/>
          <w:szCs w:val="24"/>
        </w:rPr>
      </w:pPr>
      <w:r>
        <w:rPr>
          <w:noProof/>
        </w:rPr>
        <w:t>EUR 14 135 milliún méid iomlán na n</w:t>
      </w:r>
      <w:r>
        <w:rPr>
          <w:noProof/>
        </w:rPr>
        <w:noBreakHyphen/>
        <w:t>acmhainní airgeadais is gá le go mbeidh BEREC in ann a misean a chomhlíonadh don tréimhse 2019</w:t>
      </w:r>
      <w:r>
        <w:rPr>
          <w:noProof/>
        </w:rPr>
        <w:noBreakHyphen/>
        <w:t>2020</w:t>
      </w:r>
      <w:r>
        <w:rPr>
          <w:rStyle w:val="FootnoteReference"/>
          <w:noProof/>
        </w:rPr>
        <w:footnoteReference w:id="14"/>
      </w:r>
      <w:r>
        <w:rPr>
          <w:noProof/>
        </w:rPr>
        <w:t>. Le cois na ranníocaíochta ón Aontas, is féidir le BEREC muirir a bhailiú as foilseacháin ag</w:t>
      </w:r>
      <w:r>
        <w:rPr>
          <w:noProof/>
        </w:rPr>
        <w:t>us as seirbhísí eile a sholáthar, ranníocaíochtaí a fháil ó thríú tíortha nó ó údaráis rialála cumarsáide leictreonaí na dtríú tíortha atá rannpháirteach in obair BEREC agus is féidir leis ranníocaíochtaí deonacha a bhailiú ó na Ballstáit agus ó ÚNRanna</w:t>
      </w:r>
      <w:r>
        <w:rPr>
          <w:rStyle w:val="FootnoteReference"/>
          <w:noProof/>
        </w:rPr>
        <w:footnoteReference w:id="15"/>
      </w:r>
      <w:r>
        <w:rPr>
          <w:noProof/>
        </w:rPr>
        <w:t xml:space="preserve">. </w:t>
      </w:r>
    </w:p>
    <w:p w:rsidR="00526EFA" w:rsidRDefault="005C4D05">
      <w:pPr>
        <w:pBdr>
          <w:top w:val="nil"/>
          <w:left w:val="nil"/>
          <w:bottom w:val="nil"/>
          <w:right w:val="nil"/>
          <w:between w:val="nil"/>
          <w:bar w:val="nil"/>
        </w:pBdr>
        <w:spacing w:before="0" w:after="240"/>
        <w:rPr>
          <w:noProof/>
          <w:sz w:val="22"/>
        </w:rPr>
      </w:pPr>
      <w:r>
        <w:rPr>
          <w:noProof/>
        </w:rPr>
        <w:t>Táthar ag súil go leanfaí de na comhaontuithe seirbhíse amach anseo i gcomhar leis an gCoimisiún (oifigeach cuntasaíochta agus feidhmeanna agus uirlisí áirithe) agus i gcomhar le gníomhaireachtaí eile Aontais (go háirithe le ENISA maidir le stóráil sheach</w:t>
      </w:r>
      <w:r>
        <w:rPr>
          <w:noProof/>
        </w:rPr>
        <w:t>trach sonraí cúl taca agus an comhordaitheoir rialála inmheánach), rud a d'fhéadfaí a fhorbairt le haghaidh réimsí eile chun tuilleadh gnóthachan éifeachtúlachta agus sineirgíochtaí a bhaint amach.</w:t>
      </w:r>
    </w:p>
    <w:p w:rsidR="00526EFA" w:rsidRDefault="005C4D05">
      <w:pPr>
        <w:pBdr>
          <w:top w:val="nil"/>
          <w:left w:val="nil"/>
          <w:bottom w:val="nil"/>
          <w:right w:val="nil"/>
          <w:between w:val="nil"/>
          <w:bar w:val="nil"/>
        </w:pBdr>
        <w:spacing w:before="0" w:after="240"/>
        <w:rPr>
          <w:rFonts w:eastAsia="Arial Unicode MS"/>
          <w:noProof/>
        </w:rPr>
      </w:pPr>
      <w:r>
        <w:rPr>
          <w:noProof/>
        </w:rPr>
        <w:t>I dteannta líon na mball foirne atá ann faoi láthair, ba c</w:t>
      </w:r>
      <w:r>
        <w:rPr>
          <w:noProof/>
        </w:rPr>
        <w:t>heart do BEREC 11 ghníomhaí ar conradh agus 7 saineolaí náisiúnta ar iasacht a chur san áireamh le go mbeidh 44 bhall foirne ann san iomlán faoi dheireadh na tréimhse 2019</w:t>
      </w:r>
      <w:r>
        <w:rPr>
          <w:noProof/>
        </w:rPr>
        <w:noBreakHyphen/>
        <w:t>2020</w:t>
      </w:r>
      <w:r>
        <w:rPr>
          <w:rStyle w:val="FootnoteReference"/>
          <w:noProof/>
        </w:rPr>
        <w:footnoteReference w:id="16"/>
      </w:r>
      <w:r>
        <w:rPr>
          <w:noProof/>
        </w:rPr>
        <w:t>. Bunaithe ar an Measúnú Tionchair, agus gan dochar don chéad chreat airgeadais</w:t>
      </w:r>
      <w:r>
        <w:rPr>
          <w:noProof/>
        </w:rPr>
        <w:t xml:space="preserve"> ilbhliantúil eile, meastar gur 34 choibhéis lánaimseartha an líon foirne iomlán breise atá de dhíth ar BEREC chun a chuid cúraimí nua a chomhlíonadh faoin sainordú méadaithe, agus tá líon foirne foriomlán de 60 coibhéis lánaimseartha bearaithe faoi dheire</w:t>
      </w:r>
      <w:r>
        <w:rPr>
          <w:noProof/>
        </w:rPr>
        <w:t>adh na tréimhse cur chun feidhme 2019</w:t>
      </w:r>
      <w:r>
        <w:rPr>
          <w:noProof/>
        </w:rPr>
        <w:noBreakHyphen/>
        <w:t>2022.</w:t>
      </w:r>
    </w:p>
    <w:p w:rsidR="00526EFA" w:rsidRDefault="005C4D05">
      <w:pPr>
        <w:pStyle w:val="ManualHeading1"/>
        <w:rPr>
          <w:noProof/>
        </w:rPr>
      </w:pPr>
      <w:r>
        <w:rPr>
          <w:noProof/>
        </w:rPr>
        <w:t>5.</w:t>
      </w:r>
      <w:r>
        <w:rPr>
          <w:noProof/>
        </w:rPr>
        <w:tab/>
        <w:t>EILIMINTÍ EILE</w:t>
      </w:r>
    </w:p>
    <w:p w:rsidR="00526EFA" w:rsidRDefault="005C4D05">
      <w:pPr>
        <w:pStyle w:val="ManualHeading2"/>
        <w:rPr>
          <w:rFonts w:eastAsia="Arial Unicode MS"/>
          <w:noProof/>
          <w:u w:color="000000"/>
          <w:bdr w:val="nil"/>
        </w:rPr>
      </w:pPr>
      <w:r>
        <w:rPr>
          <w:noProof/>
        </w:rPr>
        <w:t>•</w:t>
      </w:r>
      <w:r>
        <w:rPr>
          <w:noProof/>
        </w:rPr>
        <w:tab/>
        <w:t>Pleananna cur chun feidhme agus socruithe faireacháin, meastóireachta agus tuairiscithe</w:t>
      </w:r>
    </w:p>
    <w:p w:rsidR="00526EFA" w:rsidRDefault="005C4D05">
      <w:pPr>
        <w:tabs>
          <w:tab w:val="left" w:pos="720"/>
        </w:tabs>
        <w:spacing w:before="0" w:after="240"/>
        <w:rPr>
          <w:noProof/>
        </w:rPr>
      </w:pPr>
      <w:r>
        <w:rPr>
          <w:noProof/>
        </w:rPr>
        <w:t xml:space="preserve">I gcomhréir leis an gcur chuige coiteann, beartaítear leis an togra seo nach mór don Choimisiún </w:t>
      </w:r>
      <w:r>
        <w:rPr>
          <w:noProof/>
        </w:rPr>
        <w:t>meastóireacht a dhéanamh laistigh de chúig bliana tar éis theacht i bhfeidhm an rialacháin seo, agus gach cúig bliana ina dhiaidh sin, chun measúnú a dhéanamh, i gcomhréir le treoirlíne an Choimisiúin, ar fheidhmíocht BEREC maidir lena chuspóirí, a shainor</w:t>
      </w:r>
      <w:r>
        <w:rPr>
          <w:noProof/>
        </w:rPr>
        <w:t>dú, a chúraimí agus a shuíomh(anna). Díreofar sa mheastóireacht go háirithe ar an ngá a d’fhéadfadh bheith le sainordú BEREC a mhodhnú, agus ar na himpleachtaí airgeadais a bheadh ag an modhnú sin. Má mheasann an Coimisiún nach bhfuil bonn cirt a thuillead</w:t>
      </w:r>
      <w:r>
        <w:rPr>
          <w:noProof/>
        </w:rPr>
        <w:t>h le BEREC a choinneáil ar bun ag féachaint do na cuspóirí, an sainordú agus na cúraimí atá sannta dó, féadfaidh sé a mholadh go ndéanfaí an rialachán seo a leasú dá réir nó a aisghairm. Ní mór don Choimisiún tuairisciú do Pharlaimint na hEorpa, don Chomha</w:t>
      </w:r>
      <w:r>
        <w:rPr>
          <w:noProof/>
        </w:rPr>
        <w:t>irle agus don Bhoird Bainistíochta maidir le torthaí na meastóireachta. Ní mór torthaí na meastóireachta a chur ar fáil don phobal.</w:t>
      </w:r>
    </w:p>
    <w:p w:rsidR="00526EFA" w:rsidRDefault="005C4D05">
      <w:pPr>
        <w:tabs>
          <w:tab w:val="left" w:pos="720"/>
        </w:tabs>
        <w:spacing w:before="0" w:after="240"/>
        <w:rPr>
          <w:noProof/>
        </w:rPr>
      </w:pPr>
      <w:r>
        <w:rPr>
          <w:noProof/>
        </w:rPr>
        <w:t>D'eiseodh BEREC freisin tuarascálacha bliantúla ar ghníomhaíochtaí lena ndéanfaí meastóireacht ar thorthaí a ngníomhaíochtaí</w:t>
      </w:r>
      <w:r>
        <w:rPr>
          <w:noProof/>
        </w:rPr>
        <w:t xml:space="preserve"> féin le linn na bliana. Ní mór tuarascálacha bliantúla ar ghníomhaíochtaí a tharchur chuig Parlaimint na hEorpa, chuig an gComhairle, chuig an gCoimisiún agus chuig an gCúirt Iniúchóirí agus ní mór iad a chur ar fáil don phobal.</w:t>
      </w:r>
    </w:p>
    <w:p w:rsidR="00526EFA" w:rsidRDefault="005C4D05">
      <w:pPr>
        <w:tabs>
          <w:tab w:val="left" w:pos="720"/>
        </w:tabs>
        <w:spacing w:before="0" w:after="240"/>
        <w:rPr>
          <w:noProof/>
        </w:rPr>
      </w:pPr>
      <w:r>
        <w:rPr>
          <w:noProof/>
        </w:rPr>
        <w:t>Ina theannta sin, áiritheo</w:t>
      </w:r>
      <w:r>
        <w:rPr>
          <w:noProof/>
        </w:rPr>
        <w:t xml:space="preserve">idh an Coimisiún go ndéanfar faireachán ar chur chun feidhme an chreata rialála go fóill bunaithe air seo a leanas. </w:t>
      </w:r>
    </w:p>
    <w:p w:rsidR="00526EFA" w:rsidRDefault="005C4D05">
      <w:pPr>
        <w:pStyle w:val="ManualHeading2"/>
        <w:rPr>
          <w:rFonts w:eastAsia="Arial Unicode MS"/>
          <w:noProof/>
          <w:u w:color="000000"/>
          <w:bdr w:val="nil"/>
        </w:rPr>
      </w:pPr>
      <w:bookmarkStart w:id="31" w:name="_Toc456633152"/>
      <w:bookmarkStart w:id="32" w:name="_Toc456628628"/>
      <w:bookmarkStart w:id="33" w:name="_Toc456263123"/>
      <w:bookmarkStart w:id="34" w:name="_Toc456262824"/>
      <w:bookmarkStart w:id="35" w:name="_Toc456261886"/>
      <w:bookmarkStart w:id="36" w:name="_Toc456115252"/>
      <w:bookmarkStart w:id="37" w:name="_Toc456114340"/>
      <w:bookmarkStart w:id="38" w:name="_Toc456026214"/>
      <w:bookmarkStart w:id="39" w:name="_Toc456025762"/>
      <w:bookmarkStart w:id="40" w:name="_Toc455764968"/>
      <w:bookmarkStart w:id="41" w:name="_Toc455763954"/>
      <w:bookmarkStart w:id="42" w:name="_Toc455761986"/>
      <w:bookmarkStart w:id="43" w:name="_Toc455759953"/>
      <w:bookmarkStart w:id="44" w:name="_Toc455755721"/>
      <w:bookmarkStart w:id="45" w:name="_Toc455746508"/>
      <w:bookmarkStart w:id="46" w:name="_Toc455740209"/>
      <w:bookmarkStart w:id="47" w:name="_Toc453340922"/>
      <w:bookmarkStart w:id="48" w:name="_Toc453340588"/>
      <w:bookmarkStart w:id="49" w:name="_Toc453339587"/>
      <w:bookmarkStart w:id="50" w:name="_Toc453339086"/>
      <w:bookmarkStart w:id="51" w:name="_Toc453337853"/>
      <w:bookmarkStart w:id="52" w:name="_Toc453318013"/>
      <w:bookmarkStart w:id="53" w:name="_Toc453093000"/>
      <w:bookmarkStart w:id="54" w:name="_Toc453089695"/>
      <w:bookmarkStart w:id="55" w:name="_Toc453087012"/>
      <w:bookmarkStart w:id="56" w:name="_Toc453002998"/>
      <w:bookmarkStart w:id="57" w:name="_Toc453001504"/>
      <w:bookmarkStart w:id="58" w:name="_Toc452998504"/>
      <w:bookmarkStart w:id="59" w:name="_Toc452992283"/>
      <w:bookmarkStart w:id="60" w:name="_Toc452742267"/>
      <w:bookmarkStart w:id="61" w:name="_Toc452742078"/>
      <w:bookmarkStart w:id="62" w:name="_Toc452741678"/>
      <w:bookmarkStart w:id="63" w:name="_Toc452741495"/>
      <w:bookmarkStart w:id="64" w:name="_Toc452740081"/>
      <w:bookmarkStart w:id="65" w:name="_Toc452739831"/>
      <w:bookmarkStart w:id="66" w:name="_Toc452738564"/>
      <w:bookmarkStart w:id="67" w:name="_Toc452736704"/>
      <w:bookmarkStart w:id="68" w:name="_Toc452729942"/>
      <w:bookmarkStart w:id="69" w:name="_Toc452729247"/>
      <w:bookmarkStart w:id="70" w:name="_Toc452727178"/>
      <w:bookmarkStart w:id="71" w:name="_Toc452723317"/>
      <w:bookmarkStart w:id="72" w:name="_Toc452723144"/>
      <w:bookmarkStart w:id="73" w:name="_Toc452721107"/>
      <w:bookmarkStart w:id="74" w:name="_Toc452712424"/>
      <w:bookmarkStart w:id="75" w:name="_Toc452708183"/>
      <w:bookmarkStart w:id="76" w:name="_Toc452657912"/>
      <w:bookmarkStart w:id="77" w:name="_Toc452651029"/>
      <w:bookmarkStart w:id="78" w:name="_Toc452650902"/>
      <w:bookmarkStart w:id="79" w:name="_Toc452646089"/>
      <w:bookmarkStart w:id="80" w:name="_Toc452573992"/>
      <w:bookmarkStart w:id="81" w:name="_Toc452571630"/>
      <w:bookmarkStart w:id="82" w:name="_Toc451879342"/>
      <w:bookmarkStart w:id="83" w:name="_Toc451879012"/>
      <w:bookmarkStart w:id="84" w:name="_Toc451878164"/>
      <w:bookmarkStart w:id="85" w:name="_Toc451877223"/>
      <w:bookmarkStart w:id="86" w:name="_Toc451876728"/>
      <w:bookmarkStart w:id="87" w:name="_Toc451875737"/>
      <w:bookmarkStart w:id="88" w:name="_Toc451875208"/>
      <w:bookmarkStart w:id="89" w:name="_Toc451525353"/>
      <w:bookmarkStart w:id="90" w:name="_Toc451527055"/>
      <w:bookmarkStart w:id="91" w:name="_Toc451526875"/>
      <w:bookmarkStart w:id="92" w:name="_Toc451524424"/>
      <w:bookmarkStart w:id="93" w:name="_Toc451525800"/>
      <w:bookmarkStart w:id="94" w:name="_Toc451525448"/>
      <w:bookmarkStart w:id="95" w:name="_Toc451524999"/>
      <w:bookmarkStart w:id="96" w:name="_Toc451524792"/>
      <w:bookmarkStart w:id="97" w:name="_Toc451523699"/>
      <w:bookmarkStart w:id="98" w:name="_Toc451523094"/>
      <w:bookmarkStart w:id="99" w:name="_Toc451522619"/>
      <w:bookmarkStart w:id="100" w:name="_Toc451523865"/>
      <w:bookmarkStart w:id="101" w:name="_Toc451523259"/>
      <w:bookmarkStart w:id="102" w:name="_Toc451520641"/>
      <w:bookmarkStart w:id="103" w:name="_Toc451520917"/>
      <w:bookmarkStart w:id="104" w:name="_Toc451518420"/>
      <w:bookmarkStart w:id="105" w:name="_Toc451457872"/>
      <w:bookmarkStart w:id="106" w:name="_Toc451451961"/>
      <w:r>
        <w:rPr>
          <w:noProof/>
        </w:rPr>
        <w:t>An Tuarascáil Eorpach maidir le Dul Chun Cinn Digiteach</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526EFA" w:rsidRDefault="005C4D05">
      <w:pPr>
        <w:autoSpaceDE w:val="0"/>
        <w:autoSpaceDN w:val="0"/>
        <w:adjustRightInd w:val="0"/>
        <w:spacing w:before="0"/>
        <w:rPr>
          <w:noProof/>
          <w:szCs w:val="24"/>
        </w:rPr>
      </w:pPr>
      <w:r>
        <w:rPr>
          <w:noProof/>
        </w:rPr>
        <w:t xml:space="preserve">Sa </w:t>
      </w:r>
      <w:r>
        <w:rPr>
          <w:b/>
          <w:noProof/>
        </w:rPr>
        <w:t>Tuarascáil Eorpach ar Dhul Chun Cinn Digiteach</w:t>
      </w:r>
      <w:r>
        <w:rPr>
          <w:noProof/>
        </w:rPr>
        <w:t>, lena gcumhdaítear na hocht mBall</w:t>
      </w:r>
      <w:r>
        <w:rPr>
          <w:noProof/>
        </w:rPr>
        <w:t>stát is fiche, tugtar sonraí cuimsitheacha mar aon le hanailís ar fhorbairtí sa mhargadh, forbairtí rialála agus forbairtí tomhaltóra sa gheilleagar digiteach. Sa tuarascáil sin tá na tuarascálacha agus an fhianaise ar fad a foilsíodh don Scórchlár Digitea</w:t>
      </w:r>
      <w:r>
        <w:rPr>
          <w:noProof/>
        </w:rPr>
        <w:t>ch</w:t>
      </w:r>
      <w:r>
        <w:rPr>
          <w:rStyle w:val="FootnoteReference"/>
          <w:noProof/>
        </w:rPr>
        <w:footnoteReference w:id="17"/>
      </w:r>
      <w:r>
        <w:rPr>
          <w:noProof/>
        </w:rPr>
        <w:t xml:space="preserve"> mar aon leis an Tuarascáil ar an gCur Chun Feidhme maidir le Teileachumarsáid, agus cuirtear na tuarascálacha tíre léi freisin. Ar an gcaoi sin, tarraingíonn sé ar fhianaise ó na foinsí seo a leanas:</w:t>
      </w:r>
    </w:p>
    <w:p w:rsidR="00526EFA" w:rsidRDefault="005C4D05">
      <w:pPr>
        <w:pStyle w:val="Tiret1"/>
        <w:rPr>
          <w:noProof/>
        </w:rPr>
      </w:pPr>
      <w:r>
        <w:rPr>
          <w:b/>
          <w:noProof/>
        </w:rPr>
        <w:t>An Scórchlár Digiteach.</w:t>
      </w:r>
      <w:r>
        <w:rPr>
          <w:noProof/>
        </w:rPr>
        <w:t xml:space="preserve"> Déanann sé seo dul chun cinn</w:t>
      </w:r>
      <w:r>
        <w:rPr>
          <w:noProof/>
        </w:rPr>
        <w:t xml:space="preserve"> an gheilleagair Eorpaigh a thomhas. Tarraingíonn sé ar shonraí a chuireann na hÚNRanna, Eurostat agus foinsí ábhartha breise ar fáil agus áirítear sna sonraí sin sonraí a bhaineann leis an staid ghinearálta maidir le gach gné den Innéacs um an nGeilleagar</w:t>
      </w:r>
      <w:r>
        <w:rPr>
          <w:noProof/>
        </w:rPr>
        <w:t xml:space="preserve"> Digiteach agus an tSochaí Dhigiteach sna Ballstáit</w:t>
      </w:r>
      <w:r>
        <w:rPr>
          <w:rStyle w:val="FootnoteReference"/>
          <w:noProof/>
        </w:rPr>
        <w:footnoteReference w:id="18"/>
      </w:r>
      <w:r>
        <w:rPr>
          <w:noProof/>
        </w:rPr>
        <w:t>. A bhuí leis na táscairí sa tuarascáil, is féidir comparáid a dhéanamh idir an dul chun cinn i dtíortha na hEorpa agus le himeacht ama.</w:t>
      </w:r>
    </w:p>
    <w:p w:rsidR="00526EFA" w:rsidRDefault="005C4D05">
      <w:pPr>
        <w:pStyle w:val="Tiret1"/>
        <w:rPr>
          <w:rFonts w:eastAsia="Arial Unicode MS"/>
          <w:noProof/>
        </w:rPr>
      </w:pPr>
      <w:r>
        <w:rPr>
          <w:b/>
          <w:noProof/>
        </w:rPr>
        <w:t xml:space="preserve">Tuarascálacha teileachumarsáide ar rialú agus margaí na cumarsáide </w:t>
      </w:r>
      <w:r>
        <w:rPr>
          <w:b/>
          <w:noProof/>
        </w:rPr>
        <w:t>leictreonaí Eorpaí.</w:t>
      </w:r>
      <w:r>
        <w:rPr>
          <w:noProof/>
        </w:rPr>
        <w:t xml:space="preserve"> Leis na tuarascálacha sin, tugtar sonraí cuimsitheacha agus anailís ar fhorbairtí sa mhargadh, forbairtí rialála agus forbairtí tomhaltóra san earnáil. </w:t>
      </w:r>
    </w:p>
    <w:p w:rsidR="00526EFA" w:rsidRDefault="005C4D05">
      <w:pPr>
        <w:pStyle w:val="ManualHeading2"/>
        <w:rPr>
          <w:rFonts w:eastAsia="Arial Unicode MS"/>
          <w:noProof/>
          <w:u w:color="000000"/>
          <w:bdr w:val="nil"/>
        </w:rPr>
      </w:pPr>
      <w:r>
        <w:rPr>
          <w:noProof/>
        </w:rPr>
        <w:t>•</w:t>
      </w:r>
      <w:r>
        <w:rPr>
          <w:noProof/>
        </w:rPr>
        <w:tab/>
        <w:t>Doiciméid mhíniúcháin (le haghaidh treoracha).</w:t>
      </w:r>
    </w:p>
    <w:p w:rsidR="00526EFA" w:rsidRDefault="005C4D05">
      <w:pPr>
        <w:pBdr>
          <w:top w:val="nil"/>
          <w:left w:val="nil"/>
          <w:bottom w:val="nil"/>
          <w:right w:val="nil"/>
          <w:between w:val="nil"/>
          <w:bar w:val="nil"/>
        </w:pBdr>
        <w:spacing w:before="0" w:after="240"/>
        <w:rPr>
          <w:rFonts w:eastAsia="Arial Unicode MS"/>
          <w:noProof/>
          <w:szCs w:val="24"/>
        </w:rPr>
      </w:pPr>
      <w:r>
        <w:rPr>
          <w:noProof/>
        </w:rPr>
        <w:t>Neamhbhainteach</w:t>
      </w:r>
    </w:p>
    <w:p w:rsidR="00526EFA" w:rsidRDefault="005C4D05">
      <w:pPr>
        <w:pStyle w:val="ManualHeading2"/>
        <w:rPr>
          <w:rFonts w:eastAsia="Arial Unicode MS"/>
          <w:noProof/>
          <w:u w:color="000000"/>
          <w:bdr w:val="nil"/>
        </w:rPr>
      </w:pPr>
      <w:r>
        <w:rPr>
          <w:noProof/>
        </w:rPr>
        <w:t>•</w:t>
      </w:r>
      <w:r>
        <w:rPr>
          <w:noProof/>
        </w:rPr>
        <w:tab/>
        <w:t>Míniúchán mionso</w:t>
      </w:r>
      <w:r>
        <w:rPr>
          <w:noProof/>
        </w:rPr>
        <w:t>nraithe ar fhorálacha sonracha an togra</w:t>
      </w:r>
    </w:p>
    <w:p w:rsidR="00526EFA" w:rsidRDefault="005C4D05">
      <w:pPr>
        <w:pBdr>
          <w:top w:val="nil"/>
          <w:left w:val="nil"/>
          <w:bottom w:val="nil"/>
          <w:right w:val="nil"/>
          <w:between w:val="nil"/>
          <w:bar w:val="nil"/>
        </w:pBdr>
        <w:spacing w:before="0" w:after="240"/>
        <w:rPr>
          <w:noProof/>
        </w:rPr>
      </w:pPr>
      <w:r>
        <w:rPr>
          <w:noProof/>
        </w:rPr>
        <w:t>Le Rialachán (CE) Uimh. 1211/2009 bunaíodh Comhlacht na Rialálaithe Eorpacha um Chumarsáid Leictreonach (BEREC) agus an Oifig agus leagadh síos na cúraimí a bhí orthu. Leis an togra seo déantar an sainordú atá ag BER</w:t>
      </w:r>
      <w:r>
        <w:rPr>
          <w:noProof/>
        </w:rPr>
        <w:t>EC faoi láthair a leathnú agus déantar gníomhaireacht chríochnaithe de, gníomhaireacht a mbeidh na huirlisí is gá agus acmhainní leordhóthanacha aici chun a cuspóirí a bhaint amach agus a cúraimí a dhéanamh.</w:t>
      </w:r>
    </w:p>
    <w:p w:rsidR="00526EFA" w:rsidRDefault="005C4D05">
      <w:pPr>
        <w:spacing w:before="0" w:after="0"/>
        <w:rPr>
          <w:b/>
          <w:noProof/>
          <w:szCs w:val="24"/>
        </w:rPr>
      </w:pPr>
      <w:r>
        <w:rPr>
          <w:b/>
          <w:noProof/>
        </w:rPr>
        <w:t>(1) Bunú, raon feidhme agus cuspóirí:</w:t>
      </w:r>
    </w:p>
    <w:p w:rsidR="00526EFA" w:rsidRDefault="00526EFA">
      <w:pPr>
        <w:spacing w:before="0" w:after="0"/>
        <w:rPr>
          <w:b/>
          <w:noProof/>
          <w:szCs w:val="24"/>
        </w:rPr>
      </w:pPr>
    </w:p>
    <w:p w:rsidR="00526EFA" w:rsidRDefault="005C4D05">
      <w:pPr>
        <w:tabs>
          <w:tab w:val="left" w:pos="720"/>
        </w:tabs>
        <w:spacing w:before="0" w:after="240"/>
        <w:rPr>
          <w:b/>
          <w:noProof/>
          <w:szCs w:val="24"/>
        </w:rPr>
      </w:pPr>
      <w:r>
        <w:rPr>
          <w:b/>
          <w:noProof/>
        </w:rPr>
        <w:t>Caibidil </w:t>
      </w:r>
      <w:r>
        <w:rPr>
          <w:b/>
          <w:noProof/>
        </w:rPr>
        <w:t>I "Cuspóirí agus cúraimí"</w:t>
      </w:r>
    </w:p>
    <w:p w:rsidR="00526EFA" w:rsidRDefault="005C4D05">
      <w:pPr>
        <w:tabs>
          <w:tab w:val="left" w:pos="720"/>
        </w:tabs>
        <w:spacing w:before="0" w:after="240"/>
        <w:rPr>
          <w:noProof/>
          <w:szCs w:val="24"/>
        </w:rPr>
      </w:pPr>
      <w:r>
        <w:rPr>
          <w:b/>
          <w:noProof/>
        </w:rPr>
        <w:t xml:space="preserve">Airteagal 1: </w:t>
      </w:r>
      <w:r>
        <w:rPr>
          <w:noProof/>
        </w:rPr>
        <w:t>bunaítear BEREC agus déantar foráil maidir le raon feidhme chur i bhfeidhm an rialacháin, sainmhínithe agus cuspóirí BEREC, agus ba cheart an aidhm a bheith aige na cuspóirí céanna agus atá ag na hÚNRanna a bhaint ama</w:t>
      </w:r>
      <w:r>
        <w:rPr>
          <w:noProof/>
        </w:rPr>
        <w:t>ch.</w:t>
      </w:r>
    </w:p>
    <w:p w:rsidR="00526EFA" w:rsidRDefault="005C4D05">
      <w:pPr>
        <w:tabs>
          <w:tab w:val="left" w:pos="720"/>
        </w:tabs>
        <w:spacing w:before="0" w:after="240"/>
        <w:rPr>
          <w:noProof/>
          <w:szCs w:val="24"/>
        </w:rPr>
      </w:pPr>
      <w:r>
        <w:rPr>
          <w:b/>
          <w:noProof/>
        </w:rPr>
        <w:t xml:space="preserve">Airteagal 2: </w:t>
      </w:r>
      <w:r>
        <w:rPr>
          <w:noProof/>
        </w:rPr>
        <w:t xml:space="preserve">déantar cúraimí BEREC a liostú. Ina theannta sin, féadfaidh BEREC comhoibriú le comhlachtaí an Aontais, le gníomhaireachtaí, le hoifigí agus grúpaí comhairleacha, le húdaráis inniúla i dtríú tíortha agus/nó le heagraíochtaí idirnáisiúnta </w:t>
      </w:r>
      <w:r>
        <w:rPr>
          <w:noProof/>
        </w:rPr>
        <w:t>más gá agus ba cheart dó dul i gcomhairle le páirtithe leasmhara más iomchuí.</w:t>
      </w:r>
    </w:p>
    <w:p w:rsidR="00526EFA" w:rsidRDefault="005C4D05">
      <w:pPr>
        <w:tabs>
          <w:tab w:val="left" w:pos="720"/>
        </w:tabs>
        <w:spacing w:before="0" w:after="240"/>
        <w:rPr>
          <w:b/>
          <w:noProof/>
          <w:szCs w:val="24"/>
        </w:rPr>
      </w:pPr>
      <w:r>
        <w:rPr>
          <w:b/>
          <w:noProof/>
        </w:rPr>
        <w:t>Caibidil II "Struchtúr riaracháin agus bainistíochta"</w:t>
      </w:r>
    </w:p>
    <w:p w:rsidR="00526EFA" w:rsidRDefault="005C4D05">
      <w:pPr>
        <w:tabs>
          <w:tab w:val="left" w:pos="720"/>
        </w:tabs>
        <w:spacing w:before="0" w:after="240"/>
        <w:rPr>
          <w:noProof/>
          <w:szCs w:val="24"/>
        </w:rPr>
      </w:pPr>
      <w:r>
        <w:rPr>
          <w:b/>
          <w:noProof/>
        </w:rPr>
        <w:t>Airteagal 3:</w:t>
      </w:r>
      <w:r>
        <w:rPr>
          <w:noProof/>
        </w:rPr>
        <w:t xml:space="preserve"> Baineann sé le struchtúr riaracháin agus bainistíochta BEREC, ina bhfuil Bord Bainistíochta, Stiúrthóir Feidhmiúcháin, Meithleacha agus Bord Achomhairc.</w:t>
      </w:r>
    </w:p>
    <w:p w:rsidR="00526EFA" w:rsidRDefault="005C4D05">
      <w:pPr>
        <w:tabs>
          <w:tab w:val="left" w:pos="720"/>
        </w:tabs>
        <w:spacing w:before="0" w:after="240"/>
        <w:rPr>
          <w:noProof/>
          <w:szCs w:val="24"/>
        </w:rPr>
      </w:pPr>
      <w:r>
        <w:rPr>
          <w:b/>
          <w:noProof/>
        </w:rPr>
        <w:t>Airteagal 4 agus Airteagal 5:</w:t>
      </w:r>
      <w:r>
        <w:rPr>
          <w:noProof/>
        </w:rPr>
        <w:t xml:space="preserve"> leagtar síos anseo go mbeidh ar an mBord Bainistíochta an ceann, nó ball</w:t>
      </w:r>
      <w:r>
        <w:rPr>
          <w:noProof/>
        </w:rPr>
        <w:t xml:space="preserve"> an chomhlachta choláistigh, ceann gach ÚNR, agus beirt ionadaí ón gCoimisiún agus beidh ceart chun vótála acu ar fad. Leagtar amach ann feidhmeanna an Bhoird freisin. Go háirithe, ba cheart don Bhord Bainistíochta cumhachtaí údaráis ceapacháin ábhartha a </w:t>
      </w:r>
      <w:r>
        <w:rPr>
          <w:noProof/>
        </w:rPr>
        <w:t>tharmligean don Stiúrthóir Feidhmiúcháin. Ba cheart an Stiúrthóir Feidhmiúcháin a údarú chun na cumhachtaí sin a fho-tharmligean, agus na coinníollacha a shaineadh faoinar féidir tarmligean na gcumhachtaí sin a chur ar fionraí.</w:t>
      </w:r>
    </w:p>
    <w:p w:rsidR="00526EFA" w:rsidRDefault="005C4D05">
      <w:pPr>
        <w:tabs>
          <w:tab w:val="left" w:pos="720"/>
        </w:tabs>
        <w:spacing w:before="0" w:after="240"/>
        <w:rPr>
          <w:noProof/>
          <w:szCs w:val="24"/>
        </w:rPr>
      </w:pPr>
      <w:r>
        <w:rPr>
          <w:b/>
          <w:noProof/>
        </w:rPr>
        <w:t>Airteagal 6</w:t>
      </w:r>
      <w:r>
        <w:rPr>
          <w:noProof/>
        </w:rPr>
        <w:t>: leagtar síos go</w:t>
      </w:r>
      <w:r>
        <w:rPr>
          <w:noProof/>
        </w:rPr>
        <w:t xml:space="preserve"> dtoghfaidh an Bord Bainistíochta Cathaoirleach agus Leas-Chathaoirleach as measc a chuid ball, trí thromlach dhá thrian agus ar feadh téarma oifige ceithre bliana, téarma is féidir a athnuachan uair amháin.</w:t>
      </w:r>
    </w:p>
    <w:p w:rsidR="00526EFA" w:rsidRDefault="005C4D05">
      <w:pPr>
        <w:tabs>
          <w:tab w:val="left" w:pos="720"/>
        </w:tabs>
        <w:spacing w:before="0" w:after="240"/>
        <w:rPr>
          <w:noProof/>
        </w:rPr>
      </w:pPr>
      <w:r>
        <w:rPr>
          <w:b/>
          <w:noProof/>
        </w:rPr>
        <w:t>Airteagal 7 agus Airteagal 8:</w:t>
      </w:r>
      <w:r>
        <w:rPr>
          <w:noProof/>
        </w:rPr>
        <w:t xml:space="preserve"> leagtar amach an l</w:t>
      </w:r>
      <w:r>
        <w:rPr>
          <w:noProof/>
        </w:rPr>
        <w:t>íon íosta gnáthchruinnithe in aghaidh na bliana don Bhord Bainistíochta (dhá cheann) agus leagtar amach na cearta chun vótála (le tromlach mar réamhshocrú).</w:t>
      </w:r>
    </w:p>
    <w:p w:rsidR="00526EFA" w:rsidRDefault="005C4D05">
      <w:pPr>
        <w:tabs>
          <w:tab w:val="left" w:pos="720"/>
        </w:tabs>
        <w:spacing w:before="0" w:after="240"/>
        <w:rPr>
          <w:noProof/>
        </w:rPr>
      </w:pPr>
      <w:r>
        <w:rPr>
          <w:b/>
          <w:noProof/>
        </w:rPr>
        <w:t>Airteagal 9:</w:t>
      </w:r>
      <w:r>
        <w:rPr>
          <w:noProof/>
        </w:rPr>
        <w:t xml:space="preserve"> leagtar amach freagrachtaí an Stiúrthóra Feidhmiúcháin; ba cheart dó an ghníomhaireach</w:t>
      </w:r>
      <w:r>
        <w:rPr>
          <w:noProof/>
        </w:rPr>
        <w:t>t a bhainistiú agus a bheith ina ionadaí dlí di. Tá an Stiúrthóir Feidhmiúcháin cuntasach don Bhord Bainistíochta agus tabharfaidh sé tuarascáil do Pharlaimint na hEorpa agus féadfar cuireadh a chur air tuarascáil a chur faoi bhráid na Comhairle maidir lei</w:t>
      </w:r>
      <w:r>
        <w:rPr>
          <w:noProof/>
        </w:rPr>
        <w:t xml:space="preserve">s na dualgais atá a ndéanamh aige. </w:t>
      </w:r>
    </w:p>
    <w:p w:rsidR="00526EFA" w:rsidRDefault="005C4D05">
      <w:pPr>
        <w:tabs>
          <w:tab w:val="left" w:pos="720"/>
        </w:tabs>
        <w:spacing w:before="0" w:after="240"/>
        <w:rPr>
          <w:noProof/>
        </w:rPr>
      </w:pPr>
      <w:r>
        <w:rPr>
          <w:b/>
          <w:noProof/>
        </w:rPr>
        <w:t xml:space="preserve">Airteagal 10: </w:t>
      </w:r>
      <w:r>
        <w:rPr>
          <w:noProof/>
        </w:rPr>
        <w:t>leagtar amach go bhféadfaidh an Bord Bainistíochta meithleacha a bhunú de réir mar is gá, agus déanfaidh ball foirne BEREC iad a chomhordú agus a stiúradh. Chun meithleacha áirithe a bhunú, ba cheart liosta</w:t>
      </w:r>
      <w:r>
        <w:rPr>
          <w:noProof/>
        </w:rPr>
        <w:t>í saineolaithe a bheith réidh roimh ré.</w:t>
      </w:r>
    </w:p>
    <w:p w:rsidR="00526EFA" w:rsidRDefault="005C4D05">
      <w:pPr>
        <w:tabs>
          <w:tab w:val="left" w:pos="720"/>
        </w:tabs>
        <w:spacing w:before="0" w:after="240"/>
        <w:rPr>
          <w:noProof/>
        </w:rPr>
      </w:pPr>
      <w:r>
        <w:rPr>
          <w:b/>
          <w:noProof/>
        </w:rPr>
        <w:t>Airteagal 11 go dtí Airteagal 14:</w:t>
      </w:r>
      <w:r>
        <w:rPr>
          <w:noProof/>
        </w:rPr>
        <w:t xml:space="preserve"> bunaítear an Bord Achomhairc agus leagtar amach ann a chomhdhéanamh agus ceapachán a chuid ball. Ba cheart na baill sin a bheith neamhspleách agus níor cheart dóibh aon dualgas eile </w:t>
      </w:r>
      <w:r>
        <w:rPr>
          <w:noProof/>
        </w:rPr>
        <w:t>laistigh de BEREC a dhéanamh. Féadfaidh aon duine nádúrtha nó duine dlítheannach, lena n</w:t>
      </w:r>
      <w:r>
        <w:rPr>
          <w:noProof/>
        </w:rPr>
        <w:noBreakHyphen/>
        <w:t xml:space="preserve">áirítear ÚRNanna, achomharc a iarraidh in aghaidh Cinneadh ceangailteach ó BEREC. Níor cheart éifeacht fionraíochta a bheith ag achomhairc den sórt sin, ach féadfaidh </w:t>
      </w:r>
      <w:r>
        <w:rPr>
          <w:noProof/>
        </w:rPr>
        <w:t>an Bord Achomhairc cur i bhfeidhm an chinnidh a chur ar fionraí.</w:t>
      </w:r>
    </w:p>
    <w:p w:rsidR="00526EFA" w:rsidRDefault="005C4D05">
      <w:pPr>
        <w:tabs>
          <w:tab w:val="left" w:pos="720"/>
        </w:tabs>
        <w:spacing w:before="0" w:after="240"/>
        <w:rPr>
          <w:b/>
          <w:noProof/>
        </w:rPr>
      </w:pPr>
      <w:r>
        <w:rPr>
          <w:b/>
          <w:noProof/>
        </w:rPr>
        <w:t>Caibidil III "Clársceidealú bliantúil agus ilbhliantúil"</w:t>
      </w:r>
    </w:p>
    <w:p w:rsidR="00526EFA" w:rsidRDefault="005C4D05">
      <w:pPr>
        <w:tabs>
          <w:tab w:val="left" w:pos="720"/>
        </w:tabs>
        <w:spacing w:before="0" w:after="240"/>
        <w:rPr>
          <w:noProof/>
        </w:rPr>
      </w:pPr>
      <w:r>
        <w:rPr>
          <w:b/>
          <w:noProof/>
        </w:rPr>
        <w:t>Airteagal 15:</w:t>
      </w:r>
      <w:r>
        <w:rPr>
          <w:noProof/>
        </w:rPr>
        <w:t xml:space="preserve"> leagtar amach an nós imeachta maidir leis an doiciméad clársceidealaithe bliantúil agus ilbhliantúil a ghlacadh. Ba chea</w:t>
      </w:r>
      <w:r>
        <w:rPr>
          <w:noProof/>
        </w:rPr>
        <w:t>rt an straitéis maidir le caidrimh le comhlachtaí Aontais, le gníomhaireachtaí, le hoifigí agus le grúpaí comhairleacha, le húdaráis inniúla i dtríú tíortha agus/nó le heagraíochtaí idirnáisiúnta a bheith san áireamh.</w:t>
      </w:r>
    </w:p>
    <w:p w:rsidR="00526EFA" w:rsidRDefault="005C4D05">
      <w:pPr>
        <w:tabs>
          <w:tab w:val="left" w:pos="720"/>
        </w:tabs>
        <w:spacing w:before="0" w:after="240"/>
        <w:rPr>
          <w:noProof/>
        </w:rPr>
      </w:pPr>
      <w:r>
        <w:rPr>
          <w:b/>
          <w:noProof/>
        </w:rPr>
        <w:t>Airteagal 16 agus Airteagal 17:</w:t>
      </w:r>
      <w:r>
        <w:rPr>
          <w:noProof/>
        </w:rPr>
        <w:t xml:space="preserve"> déanta</w:t>
      </w:r>
      <w:r>
        <w:rPr>
          <w:noProof/>
        </w:rPr>
        <w:t>r foráil</w:t>
      </w:r>
      <w:r>
        <w:rPr>
          <w:b/>
          <w:noProof/>
        </w:rPr>
        <w:t xml:space="preserve"> </w:t>
      </w:r>
      <w:r>
        <w:rPr>
          <w:noProof/>
        </w:rPr>
        <w:t>maidir le buiséad agus struchtúr BEREC a bhunú i dtéarmaí ioncaim agus caiteachais.</w:t>
      </w:r>
    </w:p>
    <w:p w:rsidR="00526EFA" w:rsidRDefault="005C4D05">
      <w:pPr>
        <w:tabs>
          <w:tab w:val="left" w:pos="720"/>
        </w:tabs>
        <w:spacing w:before="0" w:after="240"/>
        <w:rPr>
          <w:noProof/>
        </w:rPr>
      </w:pPr>
      <w:r>
        <w:rPr>
          <w:b/>
          <w:noProof/>
        </w:rPr>
        <w:t xml:space="preserve">Airteagal 18 go dtí Airteagal 20: </w:t>
      </w:r>
      <w:r>
        <w:rPr>
          <w:noProof/>
        </w:rPr>
        <w:t>luaitear gurb é an Stiúrthóir Feidhmiúcháin atá freagrach as buiséad BEREC a chur chun feidhme agus leagtar amach ann an nós imea</w:t>
      </w:r>
      <w:r>
        <w:rPr>
          <w:noProof/>
        </w:rPr>
        <w:t>chta le haghaidh cuntais agus urscaoileadh a chur i láthair. Ba cheart don Bhord Bainistíochta na rialacha airgeadais is infheidhme maidir le BEREC a ghlacadh .</w:t>
      </w:r>
    </w:p>
    <w:p w:rsidR="00526EFA" w:rsidRDefault="005C4D05">
      <w:pPr>
        <w:tabs>
          <w:tab w:val="left" w:pos="720"/>
        </w:tabs>
        <w:spacing w:before="0" w:after="240"/>
        <w:rPr>
          <w:b/>
          <w:noProof/>
        </w:rPr>
      </w:pPr>
      <w:r>
        <w:rPr>
          <w:b/>
          <w:noProof/>
        </w:rPr>
        <w:t>Caibidil IV "An fhoireann"</w:t>
      </w:r>
    </w:p>
    <w:p w:rsidR="00526EFA" w:rsidRDefault="005C4D05">
      <w:pPr>
        <w:tabs>
          <w:tab w:val="left" w:pos="720"/>
        </w:tabs>
        <w:spacing w:before="0" w:after="240"/>
        <w:rPr>
          <w:noProof/>
        </w:rPr>
      </w:pPr>
      <w:r>
        <w:rPr>
          <w:b/>
          <w:noProof/>
        </w:rPr>
        <w:t xml:space="preserve">Airteagal 21: </w:t>
      </w:r>
      <w:r>
        <w:rPr>
          <w:noProof/>
        </w:rPr>
        <w:t>luaitear go mbeidh feidhm ag na Rialacháin Foirne agus</w:t>
      </w:r>
      <w:r>
        <w:rPr>
          <w:noProof/>
        </w:rPr>
        <w:t xml:space="preserve"> Coinníollacha Fostaíochta Seirbhíseach eile agus ag na rialacha cur chun feidhme arna nglacadh chun éifeacht a thabhairt dóibh, maidir le foireann BEREC.</w:t>
      </w:r>
    </w:p>
    <w:p w:rsidR="00526EFA" w:rsidRDefault="005C4D05">
      <w:pPr>
        <w:tabs>
          <w:tab w:val="left" w:pos="720"/>
        </w:tabs>
        <w:spacing w:before="0" w:after="240"/>
        <w:rPr>
          <w:noProof/>
        </w:rPr>
      </w:pPr>
      <w:r>
        <w:rPr>
          <w:b/>
          <w:noProof/>
        </w:rPr>
        <w:t>Airteagal 22</w:t>
      </w:r>
      <w:r>
        <w:rPr>
          <w:noProof/>
        </w:rPr>
        <w:t xml:space="preserve">: leagtar amach an nós imeachta don Bhord Bainistíochta chun an Stiúrthóir Feidhmiúcháin </w:t>
      </w:r>
      <w:r>
        <w:rPr>
          <w:noProof/>
        </w:rPr>
        <w:t>a cheapadh ó liosta iarrthóirí a mholfaidh an Coimisiún, le haghaidh téarma oifige cúig bliana is féidir a athnuachan, agus chun síneadh a chur lena théarma oifige nó chun é a chur as oifig.</w:t>
      </w:r>
    </w:p>
    <w:p w:rsidR="00526EFA" w:rsidRDefault="005C4D05">
      <w:pPr>
        <w:tabs>
          <w:tab w:val="left" w:pos="720"/>
        </w:tabs>
        <w:spacing w:before="0" w:after="240"/>
        <w:rPr>
          <w:noProof/>
        </w:rPr>
      </w:pPr>
      <w:r>
        <w:rPr>
          <w:b/>
          <w:noProof/>
        </w:rPr>
        <w:t xml:space="preserve">Airteagal 23: </w:t>
      </w:r>
      <w:r>
        <w:rPr>
          <w:noProof/>
        </w:rPr>
        <w:t>luaitear gur féidir le BEREC úsáid a bhaint as sain</w:t>
      </w:r>
      <w:r>
        <w:rPr>
          <w:noProof/>
        </w:rPr>
        <w:t>eolaithe náisiúnta ar iasacht nó as foireann eile nach fostaithe de chuid BEREC iad, foireann nach mbeidh feidhm ag na Rialacháin Foirne agus Coinníollacha Fostaíochta Seirbhíseach eile maidir leo.</w:t>
      </w:r>
    </w:p>
    <w:p w:rsidR="00526EFA" w:rsidRDefault="005C4D05">
      <w:pPr>
        <w:tabs>
          <w:tab w:val="left" w:pos="720"/>
        </w:tabs>
        <w:spacing w:before="0" w:after="240"/>
        <w:rPr>
          <w:b/>
          <w:noProof/>
        </w:rPr>
      </w:pPr>
      <w:r>
        <w:rPr>
          <w:b/>
          <w:noProof/>
        </w:rPr>
        <w:t>Caibidil V "Forálacha ginearálta"</w:t>
      </w:r>
    </w:p>
    <w:p w:rsidR="00526EFA" w:rsidRDefault="005C4D05">
      <w:pPr>
        <w:tabs>
          <w:tab w:val="left" w:pos="720"/>
        </w:tabs>
        <w:spacing w:before="0" w:after="240"/>
        <w:rPr>
          <w:noProof/>
        </w:rPr>
      </w:pPr>
      <w:r>
        <w:rPr>
          <w:b/>
          <w:noProof/>
        </w:rPr>
        <w:t>Airteagal 24 agus Airtea</w:t>
      </w:r>
      <w:r>
        <w:rPr>
          <w:b/>
          <w:noProof/>
        </w:rPr>
        <w:t>gal 25:</w:t>
      </w:r>
      <w:r>
        <w:rPr>
          <w:noProof/>
        </w:rPr>
        <w:t xml:space="preserve"> leagtar síos gur cheart pearsantacht dhlítheanach a bheith ag BEREC agus gur cheart é a bheith ina chomhlacht de chuid an Aontais. Beidh feidhm ag an bPrótacal ar Phribhléidí agus Díolúintí an Aontais Eorpaigh maidir le BEREC agus a bhaill foirne.</w:t>
      </w:r>
    </w:p>
    <w:p w:rsidR="00526EFA" w:rsidRDefault="005C4D05">
      <w:pPr>
        <w:tabs>
          <w:tab w:val="left" w:pos="720"/>
        </w:tabs>
        <w:spacing w:before="0" w:after="240"/>
        <w:rPr>
          <w:noProof/>
        </w:rPr>
      </w:pPr>
      <w:r>
        <w:rPr>
          <w:b/>
          <w:noProof/>
        </w:rPr>
        <w:t>Airteagal 26:</w:t>
      </w:r>
      <w:r>
        <w:rPr>
          <w:noProof/>
        </w:rPr>
        <w:t xml:space="preserve"> luaitear go bhféadfaidh BEREC, más gá, oibriú i gcomhar le comhlachtaí inniúla an Aontais, le gníomhaireachtaí, le hoifigí agus le grúpaí comhairleacha; le húdaráis inniúla i dtríú tíortha agus/nó le heagraíochtaí idirnáisiúnta. Ba cheart an </w:t>
      </w:r>
      <w:r>
        <w:rPr>
          <w:noProof/>
        </w:rPr>
        <w:t>comhar sin a bheith bunaithe ar shocruithe oibre, agus ba cheart formheas an Choimisiúin a fháil do na socruithe oibre sin roimh ré. I gcomhréir leis an gcur chuige coiteann, ba cheart don Choimisiún agus don ghníomhaireacht socrú oibre iomchuí a thabhairt</w:t>
      </w:r>
      <w:r>
        <w:rPr>
          <w:noProof/>
        </w:rPr>
        <w:t xml:space="preserve"> i gcrích arb é is aidhm leis a áirithiú go n</w:t>
      </w:r>
      <w:r>
        <w:rPr>
          <w:noProof/>
        </w:rPr>
        <w:noBreakHyphen/>
        <w:t>oibríonn BEREC laistigh dá shainordú agus laistigh den chreat institiúideach. Leagtar síos san Airteagal seo freisin go bhfuil BEREC oscailte do rannpháirtíocht údarás rialála i dtríú tíortha atá inniúil i gcum</w:t>
      </w:r>
      <w:r>
        <w:rPr>
          <w:noProof/>
        </w:rPr>
        <w:t>arsáid leictreonach agus a bhfuil comhaontuithe tugtha i gcrích acu leis an Aontas chuige sin.</w:t>
      </w:r>
    </w:p>
    <w:p w:rsidR="00526EFA" w:rsidRDefault="005C4D05">
      <w:pPr>
        <w:tabs>
          <w:tab w:val="left" w:pos="720"/>
        </w:tabs>
        <w:spacing w:before="0" w:after="240"/>
        <w:rPr>
          <w:noProof/>
        </w:rPr>
      </w:pPr>
      <w:r>
        <w:rPr>
          <w:b/>
          <w:noProof/>
        </w:rPr>
        <w:t xml:space="preserve">Airteagal 27: </w:t>
      </w:r>
      <w:r>
        <w:rPr>
          <w:noProof/>
        </w:rPr>
        <w:t>luaitear go bhfuil feidhm ag Rialachán (CE) Uimh. 1049/2001 maidir le doiciméid atá ag BEREC agus go mbeidh an phróiseáil a dhéanfaidh BEREC ar sho</w:t>
      </w:r>
      <w:r>
        <w:rPr>
          <w:noProof/>
        </w:rPr>
        <w:t>nraí pearsanta faoi réir Rialachán (CE) Uimh. 45/2001. Luaitear freisin go bhféadfaidh BEREC dul i mbun gníomhaíochtaí cumarsáide ar a thionscnamh féin laistigh dá réimse inniúlachta.</w:t>
      </w:r>
    </w:p>
    <w:p w:rsidR="00526EFA" w:rsidRDefault="005C4D05">
      <w:pPr>
        <w:tabs>
          <w:tab w:val="left" w:pos="720"/>
        </w:tabs>
        <w:spacing w:before="0" w:after="240"/>
        <w:rPr>
          <w:noProof/>
        </w:rPr>
      </w:pPr>
      <w:r>
        <w:rPr>
          <w:b/>
          <w:noProof/>
        </w:rPr>
        <w:t>Airteagal 28:</w:t>
      </w:r>
      <w:r>
        <w:rPr>
          <w:noProof/>
        </w:rPr>
        <w:t xml:space="preserve"> déantar tagairt do rialacha rúndachta nár mhór do BEREC a </w:t>
      </w:r>
      <w:r>
        <w:rPr>
          <w:noProof/>
        </w:rPr>
        <w:t>leanúint.</w:t>
      </w:r>
    </w:p>
    <w:p w:rsidR="00526EFA" w:rsidRDefault="005C4D05">
      <w:pPr>
        <w:tabs>
          <w:tab w:val="left" w:pos="720"/>
        </w:tabs>
        <w:spacing w:before="0" w:after="240"/>
        <w:rPr>
          <w:noProof/>
        </w:rPr>
      </w:pPr>
      <w:r>
        <w:rPr>
          <w:b/>
          <w:noProof/>
        </w:rPr>
        <w:t>Airteagal 29:</w:t>
      </w:r>
      <w:r>
        <w:rPr>
          <w:noProof/>
        </w:rPr>
        <w:t xml:space="preserve"> déantar tagairt do na rialacha slándála a bheidh le glacadh ag BEREC maidir le faisnéis rúnaicmithe agus faisnéis íogair neamhaicmithe a chosaint.</w:t>
      </w:r>
    </w:p>
    <w:p w:rsidR="00526EFA" w:rsidRDefault="005C4D05">
      <w:pPr>
        <w:tabs>
          <w:tab w:val="left" w:pos="720"/>
        </w:tabs>
        <w:spacing w:before="0" w:after="240"/>
        <w:rPr>
          <w:noProof/>
        </w:rPr>
      </w:pPr>
      <w:r>
        <w:rPr>
          <w:b/>
          <w:noProof/>
        </w:rPr>
        <w:t xml:space="preserve">Airteagal 30: </w:t>
      </w:r>
      <w:r>
        <w:rPr>
          <w:noProof/>
        </w:rPr>
        <w:t>leagtar síos nár mhór don Choimisiún agus do ÚNRanna faisnéis a thabhai</w:t>
      </w:r>
      <w:r>
        <w:rPr>
          <w:noProof/>
        </w:rPr>
        <w:t>rt do BEREC (agus nár mhór do BEREC faisnéis a thabhairt dóibh sin freisin). Leagtar síos freisin, i gcás nach mbeidh rogha eile ann, go bhféadfaidh BEREC an fhaisnéis is gá a iarraidh ó údaráis agus ó ghnóthais eile.</w:t>
      </w:r>
    </w:p>
    <w:p w:rsidR="00526EFA" w:rsidRDefault="005C4D05">
      <w:pPr>
        <w:tabs>
          <w:tab w:val="left" w:pos="720"/>
        </w:tabs>
        <w:spacing w:before="0" w:after="240"/>
        <w:rPr>
          <w:noProof/>
        </w:rPr>
      </w:pPr>
      <w:r>
        <w:rPr>
          <w:b/>
          <w:noProof/>
        </w:rPr>
        <w:t>Airteagal 31:</w:t>
      </w:r>
      <w:r>
        <w:rPr>
          <w:noProof/>
        </w:rPr>
        <w:t xml:space="preserve"> leagtar síos an gá atá l</w:t>
      </w:r>
      <w:r>
        <w:rPr>
          <w:noProof/>
        </w:rPr>
        <w:t>e baill an Bhoird Bainistíochta, an Stiúrthóir Feidhmiúcháin, saineolaithe náisiúnta ar iasacht agus foireann eile nach bhfuil fostaithe ag BEREC dearbhú a thabhairt lena léirítear a dtiomantas agus lena léirítear an ann nó nach ann d'aon leas díreach nó i</w:t>
      </w:r>
      <w:r>
        <w:rPr>
          <w:noProof/>
        </w:rPr>
        <w:t xml:space="preserve">ndíreach a bhféadfaí a mheas a bheith dochrach dá neamhspleáchas; Is gá dóibh siúd freisin, agus do shaineolaithe rannpháirteacha i meithleacha, dearbhú a thabhairt faoi aon leas a bhféadfaí a mheas a bheith dochrach dá neamhspleáchas maidir le hábhair ar </w:t>
      </w:r>
      <w:r>
        <w:rPr>
          <w:noProof/>
        </w:rPr>
        <w:t>an gclár oibre.</w:t>
      </w:r>
    </w:p>
    <w:p w:rsidR="00526EFA" w:rsidRDefault="005C4D05">
      <w:pPr>
        <w:tabs>
          <w:tab w:val="left" w:pos="720"/>
        </w:tabs>
        <w:spacing w:before="0" w:after="240"/>
        <w:rPr>
          <w:noProof/>
        </w:rPr>
      </w:pPr>
      <w:r>
        <w:rPr>
          <w:b/>
          <w:noProof/>
        </w:rPr>
        <w:t>Airteagal 32:</w:t>
      </w:r>
      <w:r>
        <w:rPr>
          <w:noProof/>
        </w:rPr>
        <w:t xml:space="preserve"> leagtar síos nár mhór do BEREC aontú don Chomhaontú Idirinstitiúideach an 25 Bealtaine 1999 maidir le himscrúduithe inmheánacha a dhéanfaidh an Oifig Eorpach Frith</w:t>
      </w:r>
      <w:r>
        <w:rPr>
          <w:noProof/>
        </w:rPr>
        <w:noBreakHyphen/>
        <w:t>Chalaoise (OLAF) agus forálacha iomchuí a ghlacadh a bhfuil fe</w:t>
      </w:r>
      <w:r>
        <w:rPr>
          <w:noProof/>
        </w:rPr>
        <w:t>idhm acu maidir le fostaithe uile BEREC.</w:t>
      </w:r>
    </w:p>
    <w:p w:rsidR="00526EFA" w:rsidRDefault="005C4D05">
      <w:pPr>
        <w:tabs>
          <w:tab w:val="left" w:pos="720"/>
        </w:tabs>
        <w:spacing w:before="0" w:after="240"/>
        <w:rPr>
          <w:noProof/>
        </w:rPr>
      </w:pPr>
      <w:r>
        <w:rPr>
          <w:b/>
          <w:noProof/>
        </w:rPr>
        <w:t>Airtealal 33:</w:t>
      </w:r>
      <w:r>
        <w:rPr>
          <w:noProof/>
        </w:rPr>
        <w:t xml:space="preserve"> áirítear forálacha maidir le dliteanas conarthach BEREC.</w:t>
      </w:r>
    </w:p>
    <w:p w:rsidR="00526EFA" w:rsidRDefault="005C4D05">
      <w:pPr>
        <w:tabs>
          <w:tab w:val="left" w:pos="720"/>
        </w:tabs>
        <w:spacing w:before="0" w:after="240"/>
        <w:rPr>
          <w:noProof/>
        </w:rPr>
      </w:pPr>
      <w:r>
        <w:rPr>
          <w:b/>
          <w:noProof/>
        </w:rPr>
        <w:t>Airteagal 34:</w:t>
      </w:r>
      <w:r>
        <w:rPr>
          <w:noProof/>
        </w:rPr>
        <w:t xml:space="preserve"> leagtar síos go mbeidh gníomhaíochtaí BEREC faoi réir fhiosrúcháin an Ombudsman Eorpaigh i gcomhréir le hAirteagal 228 den Chonradh.</w:t>
      </w:r>
    </w:p>
    <w:p w:rsidR="00526EFA" w:rsidRDefault="005C4D05">
      <w:pPr>
        <w:tabs>
          <w:tab w:val="left" w:pos="720"/>
        </w:tabs>
        <w:spacing w:before="0" w:after="240"/>
        <w:rPr>
          <w:noProof/>
        </w:rPr>
      </w:pPr>
      <w:r>
        <w:rPr>
          <w:b/>
          <w:noProof/>
        </w:rPr>
        <w:t xml:space="preserve">Airteagal 35: </w:t>
      </w:r>
      <w:r>
        <w:rPr>
          <w:noProof/>
        </w:rPr>
        <w:t>leagtar síos go mbeidh feidhm ag Rialachán Uimh. 1/58 maidir le BEREC agus go ndéanfaidh Lárionad Aistriúchá</w:t>
      </w:r>
      <w:r>
        <w:rPr>
          <w:noProof/>
        </w:rPr>
        <w:t xml:space="preserve">in Chomhlachtaí an Aontais Eorpaigh na seirbhísí aistriúcháin is gá a sholáthar le haghaidh feidhmiú BEREC. </w:t>
      </w:r>
    </w:p>
    <w:p w:rsidR="00526EFA" w:rsidRDefault="005C4D05">
      <w:pPr>
        <w:tabs>
          <w:tab w:val="left" w:pos="720"/>
        </w:tabs>
        <w:spacing w:before="0" w:after="240"/>
        <w:rPr>
          <w:noProof/>
        </w:rPr>
      </w:pPr>
      <w:r>
        <w:rPr>
          <w:b/>
          <w:noProof/>
        </w:rPr>
        <w:t>Airteagal 36:</w:t>
      </w:r>
      <w:r>
        <w:rPr>
          <w:noProof/>
        </w:rPr>
        <w:t xml:space="preserve"> déantar tagairt don nós imeachta maidir lea rialacha nós imeachta an Bhoird Achomhairc a leagan síos. Tugtar cumhachtaí cur chun feid</w:t>
      </w:r>
      <w:r>
        <w:rPr>
          <w:noProof/>
        </w:rPr>
        <w:t>hme don Choimisiún chuige sin.</w:t>
      </w:r>
    </w:p>
    <w:p w:rsidR="00526EFA" w:rsidRDefault="005C4D05">
      <w:pPr>
        <w:tabs>
          <w:tab w:val="left" w:pos="720"/>
        </w:tabs>
        <w:spacing w:before="0" w:after="240"/>
        <w:rPr>
          <w:b/>
          <w:noProof/>
        </w:rPr>
      </w:pPr>
      <w:r>
        <w:rPr>
          <w:b/>
          <w:noProof/>
        </w:rPr>
        <w:t>Caibidil VI "Forálacha idirthréimhseacha agus forálacha críochnaitheacha"</w:t>
      </w:r>
    </w:p>
    <w:p w:rsidR="00526EFA" w:rsidRDefault="005C4D05">
      <w:pPr>
        <w:tabs>
          <w:tab w:val="left" w:pos="720"/>
        </w:tabs>
        <w:spacing w:before="0" w:after="240"/>
        <w:rPr>
          <w:noProof/>
        </w:rPr>
      </w:pPr>
      <w:r>
        <w:rPr>
          <w:b/>
          <w:noProof/>
        </w:rPr>
        <w:t>Airteagal 37:</w:t>
      </w:r>
      <w:r>
        <w:rPr>
          <w:noProof/>
        </w:rPr>
        <w:t xml:space="preserve"> leagtar síos an ga atá ann le Comhaontú Ceanncheathrún a thabhairt i gcrích idir BEREC agus na Ballstáit ina bhfuil BEREC suite. Cuirfidh Ballstát aíochta BEREC na dálaí is gá ar fáil chun feidhmiú rianúil agus éifeachtúil BEREC a áirithiú, lena n</w:t>
      </w:r>
      <w:r>
        <w:rPr>
          <w:noProof/>
        </w:rPr>
        <w:noBreakHyphen/>
        <w:t>áirítea</w:t>
      </w:r>
      <w:r>
        <w:rPr>
          <w:noProof/>
        </w:rPr>
        <w:t>r scolaíocht ilteangach atá dírithe ar an Eoraip agus naisc iompair iomchuí.</w:t>
      </w:r>
    </w:p>
    <w:p w:rsidR="00526EFA" w:rsidRDefault="005C4D05">
      <w:pPr>
        <w:tabs>
          <w:tab w:val="left" w:pos="720"/>
        </w:tabs>
        <w:spacing w:before="0" w:after="240"/>
        <w:rPr>
          <w:noProof/>
        </w:rPr>
      </w:pPr>
      <w:r>
        <w:rPr>
          <w:b/>
          <w:noProof/>
        </w:rPr>
        <w:t xml:space="preserve">Airteagal 38: </w:t>
      </w:r>
      <w:r>
        <w:rPr>
          <w:noProof/>
        </w:rPr>
        <w:t>leagtar síos nach mór don Choimisiún meastóireacht a dhéanamh laistigh de chúig bliana tar éis teacht i bhfeidhm an rialacháin seo, agus gach cúig bliana ina dhiaidh</w:t>
      </w:r>
      <w:r>
        <w:rPr>
          <w:noProof/>
        </w:rPr>
        <w:t xml:space="preserve"> sin, chun measúnú a dhéanamh, i gcomhréir le treoirlíne an Choimisiúin, ar fheidhmíocht BEREC maidir lena chuspóirí, a shainordú, a chúraimí agus a shuíomh(anna). Ní mór don Choimisiún tuairisc ar thorthaí na meastóireachta a thabhairt do Pharlaimint na h</w:t>
      </w:r>
      <w:r>
        <w:rPr>
          <w:noProof/>
        </w:rPr>
        <w:t>Eorpa, don Chomhairle agus don Bhord Bainistíochta agus ní mór na torthaí sin a chur ar fáil don phobal.</w:t>
      </w:r>
    </w:p>
    <w:p w:rsidR="00526EFA" w:rsidRDefault="005C4D05">
      <w:pPr>
        <w:tabs>
          <w:tab w:val="left" w:pos="720"/>
        </w:tabs>
        <w:spacing w:before="0" w:after="240"/>
        <w:rPr>
          <w:noProof/>
        </w:rPr>
      </w:pPr>
      <w:r>
        <w:rPr>
          <w:b/>
          <w:noProof/>
        </w:rPr>
        <w:t>Airteagal 39:</w:t>
      </w:r>
      <w:r>
        <w:rPr>
          <w:noProof/>
        </w:rPr>
        <w:t xml:space="preserve"> leagtar síos go dtiocfaidh BEREC i gcomharba ar an Oifig a bunaíodh faoi Rialachán (CE) Uimh. 1211/2009 maidir leis na nithe seo ar fad: </w:t>
      </w:r>
      <w:r>
        <w:rPr>
          <w:noProof/>
        </w:rPr>
        <w:t>úinéireacht, comhaontú, oibleagáidí dlíthiúla, conarthaí fostaíochta, gealltanais airgeadais agus dliteanais. Leagtar amach san Airteagal seo freisin forálacha idirthréimhseacha maidir leis an mBainisteoir Riaracháin agus é ag feidhmiú mar Stiúrthóir Feidh</w:t>
      </w:r>
      <w:r>
        <w:rPr>
          <w:noProof/>
        </w:rPr>
        <w:t>miúcháin eatramhach, conradh an Bhainisteora Riaracháin, comhdhéanamh an Bhoird Bainistíochta agus an nós imeachta um urscaoileadh.</w:t>
      </w:r>
    </w:p>
    <w:p w:rsidR="00526EFA" w:rsidRDefault="005C4D05">
      <w:pPr>
        <w:tabs>
          <w:tab w:val="left" w:pos="720"/>
        </w:tabs>
        <w:spacing w:before="0" w:after="240"/>
        <w:rPr>
          <w:noProof/>
        </w:rPr>
      </w:pPr>
      <w:r>
        <w:rPr>
          <w:b/>
          <w:noProof/>
        </w:rPr>
        <w:t xml:space="preserve">Airteagal 40: </w:t>
      </w:r>
      <w:r>
        <w:rPr>
          <w:noProof/>
        </w:rPr>
        <w:t>luaitear go n</w:t>
      </w:r>
      <w:r>
        <w:rPr>
          <w:noProof/>
        </w:rPr>
        <w:noBreakHyphen/>
        <w:t>aisghairtear Rialachán (CE) Uimh. 1211/2009 agus go bhfuil tagairtí dó agus d'Oifig BEREC le for</w:t>
      </w:r>
      <w:r>
        <w:rPr>
          <w:noProof/>
        </w:rPr>
        <w:t>léiriú mar thagairtí don rialachán seo agus do BEREC.</w:t>
      </w:r>
    </w:p>
    <w:p w:rsidR="00526EFA" w:rsidRDefault="005C4D05">
      <w:pPr>
        <w:pBdr>
          <w:top w:val="nil"/>
          <w:left w:val="nil"/>
          <w:bottom w:val="nil"/>
          <w:right w:val="nil"/>
          <w:between w:val="nil"/>
          <w:bar w:val="nil"/>
        </w:pBdr>
        <w:spacing w:before="0" w:after="240"/>
        <w:rPr>
          <w:rFonts w:eastAsia="Arial Unicode MS"/>
          <w:noProof/>
        </w:rPr>
      </w:pPr>
      <w:r>
        <w:rPr>
          <w:b/>
          <w:noProof/>
        </w:rPr>
        <w:t>Airteagal 41:</w:t>
      </w:r>
      <w:r>
        <w:rPr>
          <w:noProof/>
        </w:rPr>
        <w:t xml:space="preserve"> tá an clásal caighdeánach ann maidir le teacht i bhfeidhm an rialacháin agus déantar foráil ann maidir le cur i bhfeidhm iarchurtha roinnt dá bhforálacha.</w:t>
      </w:r>
    </w:p>
    <w:p w:rsidR="00526EFA" w:rsidRDefault="00526EFA">
      <w:pPr>
        <w:rPr>
          <w:noProof/>
        </w:rPr>
      </w:pPr>
    </w:p>
    <w:p w:rsidR="00526EFA" w:rsidRDefault="00526EFA">
      <w:pPr>
        <w:rPr>
          <w:noProof/>
        </w:rPr>
        <w:sectPr w:rsidR="00526EFA" w:rsidSect="005C4D05">
          <w:pgSz w:w="11907" w:h="16839"/>
          <w:pgMar w:top="1134" w:right="1417" w:bottom="1134" w:left="1417" w:header="709" w:footer="709" w:gutter="0"/>
          <w:cols w:space="708"/>
          <w:docGrid w:linePitch="360"/>
        </w:sectPr>
      </w:pPr>
    </w:p>
    <w:p w:rsidR="00526EFA" w:rsidRDefault="005C4D05" w:rsidP="005C4D05">
      <w:pPr>
        <w:pStyle w:val="Rfrenceinterinstitutionnelle"/>
        <w:rPr>
          <w:noProof/>
        </w:rPr>
      </w:pPr>
      <w:r w:rsidRPr="005C4D05">
        <w:t>2016/0286 (COD)</w:t>
      </w:r>
    </w:p>
    <w:p w:rsidR="00526EFA" w:rsidRDefault="005C4D05" w:rsidP="005C4D05">
      <w:pPr>
        <w:pStyle w:val="Statut"/>
        <w:rPr>
          <w:noProof/>
        </w:rPr>
      </w:pPr>
      <w:r w:rsidRPr="005C4D05">
        <w:t>Togra le haghaidh</w:t>
      </w:r>
    </w:p>
    <w:p w:rsidR="00526EFA" w:rsidRDefault="005C4D05" w:rsidP="005C4D05">
      <w:pPr>
        <w:pStyle w:val="Typedudocument"/>
        <w:rPr>
          <w:noProof/>
        </w:rPr>
      </w:pPr>
      <w:r w:rsidRPr="005C4D05">
        <w:t>RIALACHÁN Ó PHARLAIMINT NA hEORPA AGUS ÓN gCOMHAIRLE</w:t>
      </w:r>
    </w:p>
    <w:p w:rsidR="00526EFA" w:rsidRDefault="005C4D05" w:rsidP="005C4D05">
      <w:pPr>
        <w:pStyle w:val="Titreobjet"/>
        <w:rPr>
          <w:noProof/>
        </w:rPr>
      </w:pPr>
      <w:r w:rsidRPr="005C4D05">
        <w:t>lena mbunaítear Comhlacht na Rialálaithe Eorpacha um Chumarsáid Leictreonach</w:t>
      </w:r>
    </w:p>
    <w:p w:rsidR="00526EFA" w:rsidRDefault="005C4D05" w:rsidP="005C4D05">
      <w:pPr>
        <w:pStyle w:val="IntrtEEE"/>
        <w:rPr>
          <w:noProof/>
        </w:rPr>
      </w:pPr>
      <w:r w:rsidRPr="005C4D05">
        <w:t>(Téacs atá ábhartha maidir le LEE)</w:t>
      </w:r>
    </w:p>
    <w:p w:rsidR="00526EFA" w:rsidRDefault="005C4D05">
      <w:pPr>
        <w:pStyle w:val="Institutionquiagit"/>
        <w:rPr>
          <w:noProof/>
        </w:rPr>
      </w:pPr>
      <w:r>
        <w:rPr>
          <w:noProof/>
        </w:rPr>
        <w:t>TÁ PARLAIMINT NA hEORPA AGUS COMHAIRLE AN AONTAIS EORPAIGH,</w:t>
      </w:r>
    </w:p>
    <w:p w:rsidR="00526EFA" w:rsidRDefault="005C4D05">
      <w:pPr>
        <w:rPr>
          <w:noProof/>
        </w:rPr>
      </w:pPr>
      <w:r>
        <w:rPr>
          <w:noProof/>
        </w:rPr>
        <w:t>Ag féachaint don Chonradh ar Fheidhmiú an Aontais Eorpaigh, agus go háirithe Airteagal 114 de,</w:t>
      </w:r>
    </w:p>
    <w:p w:rsidR="00526EFA" w:rsidRDefault="005C4D05">
      <w:pPr>
        <w:rPr>
          <w:noProof/>
        </w:rPr>
      </w:pPr>
      <w:r>
        <w:rPr>
          <w:noProof/>
        </w:rPr>
        <w:t>Ag féachaint don togra ón gCoimisiún Eorpach,</w:t>
      </w:r>
    </w:p>
    <w:p w:rsidR="00526EFA" w:rsidRDefault="005C4D05">
      <w:pPr>
        <w:rPr>
          <w:noProof/>
        </w:rPr>
      </w:pPr>
      <w:r>
        <w:rPr>
          <w:noProof/>
        </w:rPr>
        <w:t>Tar éis an dréachtghníomh reachtach a chur</w:t>
      </w:r>
      <w:r>
        <w:rPr>
          <w:noProof/>
        </w:rPr>
        <w:t xml:space="preserve"> chuig na parlaimintí náisiúnta,</w:t>
      </w:r>
    </w:p>
    <w:p w:rsidR="00526EFA" w:rsidRDefault="005C4D05">
      <w:pPr>
        <w:rPr>
          <w:noProof/>
        </w:rPr>
      </w:pPr>
      <w:r>
        <w:rPr>
          <w:noProof/>
        </w:rPr>
        <w:t>Ag féachaint don tuairim ó Choiste Eacnamaíoch agus Sóisialta na hEorpa</w:t>
      </w:r>
      <w:r>
        <w:rPr>
          <w:rStyle w:val="FootnoteReference"/>
          <w:noProof/>
        </w:rPr>
        <w:footnoteReference w:id="19"/>
      </w:r>
      <w:r>
        <w:rPr>
          <w:noProof/>
        </w:rPr>
        <w:t>,</w:t>
      </w:r>
    </w:p>
    <w:p w:rsidR="00526EFA" w:rsidRDefault="005C4D05">
      <w:pPr>
        <w:rPr>
          <w:noProof/>
        </w:rPr>
      </w:pPr>
      <w:r>
        <w:rPr>
          <w:noProof/>
        </w:rPr>
        <w:t>Tar éis dóibh dul i gcomhairle le Coiste na Réigiún</w:t>
      </w:r>
      <w:r>
        <w:rPr>
          <w:rStyle w:val="FootnoteReference"/>
          <w:noProof/>
        </w:rPr>
        <w:footnoteReference w:id="20"/>
      </w:r>
      <w:r>
        <w:rPr>
          <w:noProof/>
        </w:rPr>
        <w:t>,</w:t>
      </w:r>
    </w:p>
    <w:p w:rsidR="00526EFA" w:rsidRDefault="005C4D05">
      <w:pPr>
        <w:rPr>
          <w:noProof/>
        </w:rPr>
      </w:pPr>
      <w:r>
        <w:rPr>
          <w:noProof/>
        </w:rPr>
        <w:t>Ag gníomhú dóibh i gcomhréir leis an ngnáthnós imeachta reachtach,</w:t>
      </w:r>
    </w:p>
    <w:p w:rsidR="00526EFA" w:rsidRDefault="005C4D05">
      <w:pPr>
        <w:rPr>
          <w:noProof/>
        </w:rPr>
      </w:pPr>
      <w:r>
        <w:rPr>
          <w:noProof/>
        </w:rPr>
        <w:t xml:space="preserve">De bharr an méid seo a </w:t>
      </w:r>
      <w:r>
        <w:rPr>
          <w:noProof/>
        </w:rPr>
        <w:t>leanas:</w:t>
      </w:r>
    </w:p>
    <w:p w:rsidR="00526EFA" w:rsidRDefault="005C4D05">
      <w:pPr>
        <w:pStyle w:val="ManualConsidrant"/>
        <w:rPr>
          <w:noProof/>
        </w:rPr>
      </w:pPr>
      <w:r>
        <w:rPr>
          <w:noProof/>
        </w:rPr>
        <w:t>(1)</w:t>
      </w:r>
      <w:r>
        <w:rPr>
          <w:noProof/>
        </w:rPr>
        <w:tab/>
        <w:t>Treoir [</w:t>
      </w:r>
      <w:r>
        <w:rPr>
          <w:noProof/>
          <w:highlight w:val="yellow"/>
        </w:rPr>
        <w:t>...</w:t>
      </w:r>
      <w:r>
        <w:rPr>
          <w:noProof/>
        </w:rPr>
        <w:t>] ó Pharlaimint na hEorpa agus ón gComhairle</w:t>
      </w:r>
      <w:hyperlink r:id="rId20" w:anchor="ntr8-L_2009337EN.01000101-E0008">
        <w:r>
          <w:rPr>
            <w:rStyle w:val="FootnoteReference"/>
            <w:noProof/>
          </w:rPr>
          <w:footnoteReference w:id="21"/>
        </w:r>
      </w:hyperlink>
      <w:r>
        <w:rPr>
          <w:noProof/>
        </w:rPr>
        <w:t xml:space="preserve"> ("an Treoir"), lena mbunaítear roinnt cúraimí do Chomhlacht na Rialálaithe Eorpacha um Chumarsáid Leictreonach ("BEREC"), agus Treoir 2002/58/CE ó Pharlaimint na hEorpa agus ón gComhairle</w:t>
      </w:r>
      <w:hyperlink r:id="rId21" w:anchor="ntr8-L_2009337EN.01000101-E0008">
        <w:r>
          <w:rPr>
            <w:rStyle w:val="FootnoteReference"/>
            <w:noProof/>
          </w:rPr>
          <w:footnoteReference w:id="22"/>
        </w:r>
      </w:hyperlink>
      <w:r>
        <w:rPr>
          <w:noProof/>
        </w:rPr>
        <w:t xml:space="preserve"> arb é is aidhm dóibh margadh inmheánach do chumarsáid leictreonach a chruthú laistigh den Aontas agus, san am céanna, ardleibhéal infheistíochta, nuálaíochta agus cosanta tomhaltóirí a áirithiú trí </w:t>
      </w:r>
      <w:r>
        <w:rPr>
          <w:noProof/>
        </w:rPr>
        <w:t>iomaíocht fheabhsaithe.</w:t>
      </w:r>
    </w:p>
    <w:p w:rsidR="00526EFA" w:rsidRDefault="005C4D05">
      <w:pPr>
        <w:pStyle w:val="ManualConsidrant"/>
        <w:rPr>
          <w:noProof/>
        </w:rPr>
      </w:pPr>
      <w:r>
        <w:rPr>
          <w:noProof/>
        </w:rPr>
        <w:t>(2)</w:t>
      </w:r>
      <w:r>
        <w:rPr>
          <w:noProof/>
        </w:rPr>
        <w:tab/>
        <w:t>Déanann Rialachán (CE) Uimh. 531/2012 ó Pharlaimint na hEorpa agus ón gComhairle</w:t>
      </w:r>
      <w:r>
        <w:rPr>
          <w:rStyle w:val="FootnoteReference"/>
          <w:noProof/>
        </w:rPr>
        <w:footnoteReference w:id="23"/>
      </w:r>
      <w:r>
        <w:rPr>
          <w:noProof/>
        </w:rPr>
        <w:t xml:space="preserve"> na rialacha dá bhforáiltear sa chreat rialála le haghaidh cumarsáid leictreonach a chomhlánú agus tá sé mar thaca leo, a mhéid a bhaineann le fána</w:t>
      </w:r>
      <w:r>
        <w:rPr>
          <w:noProof/>
        </w:rPr>
        <w:t>íocht a dhéanamh ar fud an Aontais, agus bunaítear leis cúraimí áirithe do BEREC.</w:t>
      </w:r>
    </w:p>
    <w:p w:rsidR="00526EFA" w:rsidRDefault="005C4D05">
      <w:pPr>
        <w:pStyle w:val="ManualConsidrant"/>
        <w:rPr>
          <w:noProof/>
        </w:rPr>
      </w:pPr>
      <w:r>
        <w:rPr>
          <w:noProof/>
        </w:rPr>
        <w:t>(3)</w:t>
      </w:r>
      <w:r>
        <w:rPr>
          <w:noProof/>
        </w:rPr>
        <w:tab/>
        <w:t>Le Rialachán (AE) Uimh. 2015/2120 ó Pharlaimint na hEorpa agus ón gComhairle</w:t>
      </w:r>
      <w:r>
        <w:rPr>
          <w:rStyle w:val="FootnoteReference"/>
          <w:noProof/>
        </w:rPr>
        <w:footnoteReference w:id="24"/>
      </w:r>
      <w:r>
        <w:rPr>
          <w:noProof/>
        </w:rPr>
        <w:t>, bunaítear rialacha coiteanna le go ndéanfaí an chóir chomhionann agus neamh</w:t>
      </w:r>
      <w:r>
        <w:rPr>
          <w:noProof/>
        </w:rPr>
        <w:noBreakHyphen/>
        <w:t>idirdhealaithea</w:t>
      </w:r>
      <w:r>
        <w:rPr>
          <w:noProof/>
        </w:rPr>
        <w:t>ch a chuirtear ar thrácht i ndáil le soláthar seirbhísí rochtana ar an idirlíon agus cearta gaolmhara úsáideoirí deiridh a choimirciú agus bunaítear leis sásra nua maidir le praghsanna miondíola do sheirbhísí fánaíochta rialáilte ar fud an Aontais. Bunaíte</w:t>
      </w:r>
      <w:r>
        <w:rPr>
          <w:noProof/>
        </w:rPr>
        <w:t>ar leis an rialachán seo cúraimí breise do BEREC, go háirithe treoirlínte a eisiúint a bhaineann le cur chun feidhme oibleagáidí údarás náisiúnta rialála ("ÚNRanna") maidir le rochtain oscailte ar an idirlíon chomh maith le tuarascálacha a thabhairt ar dhr</w:t>
      </w:r>
      <w:r>
        <w:rPr>
          <w:noProof/>
        </w:rPr>
        <w:t>éachtghníomhartha cur chun feidhme a ghlacfaidh an Coimisiún maidir le fánaíocht ar fud an Aontais agus comhairliúchán a dhéanamh ina leith sin.</w:t>
      </w:r>
    </w:p>
    <w:p w:rsidR="00526EFA" w:rsidRDefault="005C4D05">
      <w:pPr>
        <w:pStyle w:val="ManualConsidrant"/>
        <w:rPr>
          <w:noProof/>
        </w:rPr>
      </w:pPr>
      <w:r>
        <w:rPr>
          <w:noProof/>
        </w:rPr>
        <w:t>(4)</w:t>
      </w:r>
      <w:r>
        <w:rPr>
          <w:noProof/>
        </w:rPr>
        <w:tab/>
        <w:t>Bunaíodh BEREC agus an Oifig ("Oifig BEREC") le Rialachán (CE) Uimh. 1211/2009 ó Pharlaimint na hEorpa agus</w:t>
      </w:r>
      <w:r>
        <w:rPr>
          <w:noProof/>
        </w:rPr>
        <w:t xml:space="preserve"> ón gComhairle</w:t>
      </w:r>
      <w:r>
        <w:rPr>
          <w:rStyle w:val="FootnoteReference"/>
          <w:noProof/>
        </w:rPr>
        <w:footnoteReference w:id="25"/>
      </w:r>
      <w:r>
        <w:rPr>
          <w:noProof/>
        </w:rPr>
        <w:t>. Tháinig BEREC in áit Ghrúpa na Rialaitheoirí Eorpacha</w:t>
      </w:r>
      <w:r>
        <w:rPr>
          <w:rStyle w:val="FootnoteReference"/>
          <w:noProof/>
        </w:rPr>
        <w:footnoteReference w:id="26"/>
      </w:r>
      <w:r>
        <w:rPr>
          <w:noProof/>
        </w:rPr>
        <w:t xml:space="preserve"> agus é mar aidhm leis cuidiú le forbairt agus le feidhmiú níos fearr an mhargaidh inmheánaigh do ghréasáin chumarsáide leictreonaí agus do sheirbhísí cumarsáide leictreonaí, trí dhíriú</w:t>
      </w:r>
      <w:r>
        <w:rPr>
          <w:noProof/>
        </w:rPr>
        <w:t xml:space="preserve"> ar chur chun feidhme comhsheasmhach an chreata rialála a áirithiú do chumarsáid leictreonach. Bunaíodh Oifig BEREC mar chomhlacht comhphobail ag a bhfuil pearsantacht dhlítheanach chun na cúraimí dá dtagraítear i Rialachán (CE) Uimh. 1211/2009) a dhéanamh</w:t>
      </w:r>
      <w:r>
        <w:rPr>
          <w:noProof/>
        </w:rPr>
        <w:t>, go háirithe seirbhísí gairmiúla agus riaracháin a sholáthar do BEREC.</w:t>
      </w:r>
    </w:p>
    <w:p w:rsidR="00526EFA" w:rsidRDefault="005C4D05">
      <w:pPr>
        <w:pStyle w:val="ManualConsidrant"/>
        <w:rPr>
          <w:noProof/>
        </w:rPr>
      </w:pPr>
      <w:r>
        <w:rPr>
          <w:noProof/>
        </w:rPr>
        <w:t>(5)</w:t>
      </w:r>
      <w:r>
        <w:rPr>
          <w:noProof/>
        </w:rPr>
        <w:tab/>
        <w:t>Ina Theachtaireacht an 6 Bealtaine 2015 dar teideal "Straitéis maidir le margadh aonair digiteach don Eoraip"</w:t>
      </w:r>
      <w:r>
        <w:rPr>
          <w:rStyle w:val="FootnoteReference"/>
          <w:noProof/>
        </w:rPr>
        <w:footnoteReference w:id="27"/>
      </w:r>
      <w:r>
        <w:rPr>
          <w:noProof/>
        </w:rPr>
        <w:t>, bheartaigh an Coimisiún tograí a thíolacadh in 2016 maidir le hathch</w:t>
      </w:r>
      <w:r>
        <w:rPr>
          <w:noProof/>
        </w:rPr>
        <w:t xml:space="preserve">óiriú ó bhonn a dhéanamh ar an gcreat rialála le haghaidh cumarsáid leictreonach, lena ndíreofar, </w:t>
      </w:r>
      <w:r>
        <w:rPr>
          <w:i/>
          <w:noProof/>
        </w:rPr>
        <w:t>inter alia</w:t>
      </w:r>
      <w:r>
        <w:rPr>
          <w:noProof/>
        </w:rPr>
        <w:t xml:space="preserve">, ar chreat níos éifeachtaí chun na rialacha maidir le teileachumarsáid a dhéanamh oiriúnach dá bhfeidhm mar chuid den obair chun na dálaí cearta a </w:t>
      </w:r>
      <w:r>
        <w:rPr>
          <w:noProof/>
        </w:rPr>
        <w:t>chruthú don mhargadh aonair digiteach. Áirítear orthu sin leas a bhaint as líonraí nascachta an</w:t>
      </w:r>
      <w:r>
        <w:rPr>
          <w:noProof/>
        </w:rPr>
        <w:noBreakHyphen/>
        <w:t>ardtoillte, bainistíocht níos comhordaithe a dhéanamh ar radaispeictream le haghaidh líonraí gan sreang agus cothrom iomaíochta a chruthú le haghaidh líonraí di</w:t>
      </w:r>
      <w:r>
        <w:rPr>
          <w:noProof/>
        </w:rPr>
        <w:t>giteacha ardleibhéil agus seirbhísí nuálaíocha. Sa teachtaireacht sin, tugadh le fios gur gá an creat institiúideach a neartú trí ról BEREC a fheabhsú mar gheall ar an margadh agus an timpeallacht theicneolaíoch a bheith ag athrú.</w:t>
      </w:r>
    </w:p>
    <w:p w:rsidR="00526EFA" w:rsidRDefault="005C4D05">
      <w:pPr>
        <w:pStyle w:val="ManualConsidrant"/>
        <w:rPr>
          <w:noProof/>
        </w:rPr>
      </w:pPr>
      <w:r>
        <w:rPr>
          <w:noProof/>
        </w:rPr>
        <w:t>(6)</w:t>
      </w:r>
      <w:r>
        <w:rPr>
          <w:noProof/>
        </w:rPr>
        <w:tab/>
        <w:t xml:space="preserve">Ina Rún an 19 Eanáir </w:t>
      </w:r>
      <w:r>
        <w:rPr>
          <w:noProof/>
        </w:rPr>
        <w:t>2016 "I dTreo Gníomh um Margadh Aonair Digiteach", d'iarr Parlaimint na hEorpa ar an gCoimisiún an margadh aonair digiteach a chomhtháthú a thuilleadh trína áirithiú go mbeidh creat institiúideach níos éifeachtúla ann. Is féidir leis an gCoimisiún sin a dh</w:t>
      </w:r>
      <w:r>
        <w:rPr>
          <w:noProof/>
        </w:rPr>
        <w:t>éanamh trí ról, acmhainn agus cumhachtaí cinnteoireachta BEREC a neartú le go mbeidh sé in ann cur chun feidhme comhsheasmhach an chreata rialála do chumarsáid leictreonach a chothú, maoirseacht éifeachtúil a dhéanfaidh BEREC ar fhorbairt an mhargaidh aona</w:t>
      </w:r>
      <w:r>
        <w:rPr>
          <w:noProof/>
        </w:rPr>
        <w:t>ir a éascú agus cuidiú leis díospóidí trasteorann a réiteach. I dtaca leis sin, cuireann Parlaimint na hEorpa i bhfios go láidir freisin gur gá a bhfuil d'acmhainní airgeadais agus daonna ann a fheabhsú agus struchtúr rialachais BEREC a leasú a thuilleadh.</w:t>
      </w:r>
    </w:p>
    <w:p w:rsidR="00526EFA" w:rsidRDefault="005C4D05">
      <w:pPr>
        <w:pStyle w:val="ManualConsidrant"/>
        <w:rPr>
          <w:noProof/>
        </w:rPr>
      </w:pPr>
      <w:r>
        <w:rPr>
          <w:noProof/>
        </w:rPr>
        <w:t>(7)</w:t>
      </w:r>
      <w:r>
        <w:rPr>
          <w:noProof/>
        </w:rPr>
        <w:tab/>
        <w:t>Is mór atá déanta ag BEREC agus ag Oifig BEREC chun cuidiú le cur chun feidhme comhsheasmhach an chreata rialála do chumarsáid leictreonach. Dá ainneoin sin, tá éagothromaíochtaí móra ann go fóill idir na Ballstáit maidir le cleachtas rialála. Ina the</w:t>
      </w:r>
      <w:r>
        <w:rPr>
          <w:noProof/>
        </w:rPr>
        <w:t>annta sin, tá struchtúr rialachais BEREC agus Oifig BEREC liopasta, rud a fhágann go mbíonn ualach riaracháin neamhriachtanach ann dá bharr. Chun gnóthachain éifeachtúlachta agus sineirgí a áirithiú agus chun cuidiú a thuilleadh le forbairt an mhargaidh in</w:t>
      </w:r>
      <w:r>
        <w:rPr>
          <w:noProof/>
        </w:rPr>
        <w:t>mheánaigh do chumarsáid leictreonach ar fud an Aontais, agus chun na nithe seo a leanas a chur chun cinn: rochtain ar nascacht sonraí an</w:t>
      </w:r>
      <w:r>
        <w:rPr>
          <w:noProof/>
        </w:rPr>
        <w:noBreakHyphen/>
        <w:t xml:space="preserve">ardtoillte agus glacadh na nascachta sin, iomaíocht i dtaca le soláthar líonraí cumarsáide leictreonaí, seirbhísí agus </w:t>
      </w:r>
      <w:r>
        <w:rPr>
          <w:noProof/>
        </w:rPr>
        <w:t>na saoráidí agus a ghabhann leo, agus leasanna na saoránach, is é is aidhm don rialachán seo ról BEREC a neartú agus a struchtúr rialachais a fheabhsú trí BEREC a bhunú mar ghníomhaireacht dhíláraithe de chuid an Aontais. Freagraíonn sin freisin don ghá at</w:t>
      </w:r>
      <w:r>
        <w:rPr>
          <w:noProof/>
        </w:rPr>
        <w:t>á ann an ról a d'imir BEREC a léiriú, ról a feabhsaíodh go mór tar éis theacht i bhfeidhm Rialachán (CE) Uimh. 531/2012 lena leagtar síos cúraimí do BEREC maidir le fánaíocht a dhéanamh ar fud an Aontais, Rialachán (AE) Uimh. 2015/2120 lena leagtar síos cú</w:t>
      </w:r>
      <w:r>
        <w:rPr>
          <w:noProof/>
        </w:rPr>
        <w:t>raimí do BEREC maidir le rochtain oscailte ar an idirlíon agus fánaíocht a dhéanamh ar fud an Aontais, agus an Treoir lena leagtar síos líon mór cúraimí nua do BEREC amhail cinntí agus treoirlínte a eisiúint ar ábhair éagsúla, tuairisciú faoi ghnóthaí teic</w:t>
      </w:r>
      <w:r>
        <w:rPr>
          <w:noProof/>
        </w:rPr>
        <w:t xml:space="preserve">niúla, cláir a choinneáil agus tuairimí a thabhairt ar nósanna imeachta an mhargaidh inmheánaigh le haghaidh dréachtbhearta náisiúnta maidir le rialáil an mhargaidh chomh maith le sannadh na gceart úsáide le haghaidh radaispeictrim. </w:t>
      </w:r>
    </w:p>
    <w:p w:rsidR="00526EFA" w:rsidRDefault="005C4D05">
      <w:pPr>
        <w:pStyle w:val="ManualConsidrant"/>
        <w:rPr>
          <w:noProof/>
        </w:rPr>
      </w:pPr>
      <w:r>
        <w:rPr>
          <w:noProof/>
        </w:rPr>
        <w:t>(8)</w:t>
      </w:r>
      <w:r>
        <w:rPr>
          <w:noProof/>
        </w:rPr>
        <w:tab/>
        <w:t xml:space="preserve">Is den riachtanas </w:t>
      </w:r>
      <w:r>
        <w:rPr>
          <w:noProof/>
        </w:rPr>
        <w:t>an creat rialála do chumarsáid leictreonach a chur i bhfeidhm go comhsheasmhach sna Ballstáit ar fad le go bhforbrófar margadh inmheánach do chumarsáid leictreonach ar bhonn rathúil ar fud an Aontais agus is den riachtanas rochtain ar nascacht sonraí an</w:t>
      </w:r>
      <w:r>
        <w:rPr>
          <w:noProof/>
        </w:rPr>
        <w:noBreakHyphen/>
        <w:t>ar</w:t>
      </w:r>
      <w:r>
        <w:rPr>
          <w:noProof/>
        </w:rPr>
        <w:t>dtoillte agus glacadh na nascachta sin a chur chun cinn agus iomaíocht i soláthar líonraí cumarsáide leictreonaí, seirbhísí agus na saoráidí a ghabhann leo agus leasanna shaoránaigh an Aontais a chur chun cinn freisin. Ag féachaint d'fhorbairtí sa mhargadh</w:t>
      </w:r>
      <w:r>
        <w:rPr>
          <w:noProof/>
        </w:rPr>
        <w:t xml:space="preserve"> nó d'fhorbairtí teicneolaíocha, ar minic gné mhéadaithe thrasteorann ag gabháil leo, agus ag féachaint dá bhfuarthas amach go dtí seo maidir le cur chun feidhme comhsheasmhach a áirithiú i réimse na cumarsáide leictreonaí, is gá tógáil ar obair BEREC agus</w:t>
      </w:r>
      <w:r>
        <w:rPr>
          <w:noProof/>
        </w:rPr>
        <w:t xml:space="preserve"> Oifig BEREC agus iad a fhorbairt a thuilleadh agus gníomhaireacht chríochnaithe a dhéanamh díobh.</w:t>
      </w:r>
    </w:p>
    <w:p w:rsidR="00526EFA" w:rsidRDefault="005C4D05">
      <w:pPr>
        <w:pStyle w:val="ManualConsidrant"/>
        <w:rPr>
          <w:noProof/>
        </w:rPr>
      </w:pPr>
      <w:r>
        <w:rPr>
          <w:noProof/>
        </w:rPr>
        <w:t>(9)</w:t>
      </w:r>
      <w:r>
        <w:rPr>
          <w:noProof/>
        </w:rPr>
        <w:tab/>
        <w:t>Ba cheart an ghníomhaireacht a rialú agus a oibriú i gcomhréir le prionsabail an Ráitis Chomhpháirtigh ó Pharlaimint na hEorpa, ón gComhairle agus ón gCo</w:t>
      </w:r>
      <w:r>
        <w:rPr>
          <w:noProof/>
        </w:rPr>
        <w:t>imisiún Eorpach an 19 Iúil 2012 maidir le gníomhaireachtaí díláraithe ("Cur Chuige Coiteann")</w:t>
      </w:r>
      <w:r>
        <w:rPr>
          <w:rStyle w:val="FootnoteReference"/>
          <w:noProof/>
        </w:rPr>
        <w:footnoteReference w:id="28"/>
      </w:r>
      <w:r>
        <w:rPr>
          <w:noProof/>
        </w:rPr>
        <w:t>. De bharr go bhfuil íomhá BEREC seanbhunaithe agus de dheasca na gcostas a bhainfeadh lena ainm a mhodhnú, ba cheart don ghníomhaireacht an t</w:t>
      </w:r>
      <w:r>
        <w:rPr>
          <w:noProof/>
        </w:rPr>
        <w:noBreakHyphen/>
        <w:t>ainm BEREC a choinn</w:t>
      </w:r>
      <w:r>
        <w:rPr>
          <w:noProof/>
        </w:rPr>
        <w:t xml:space="preserve">eáil. </w:t>
      </w:r>
    </w:p>
    <w:p w:rsidR="00526EFA" w:rsidRDefault="005C4D05">
      <w:pPr>
        <w:pStyle w:val="ManualConsidrant"/>
        <w:rPr>
          <w:noProof/>
        </w:rPr>
      </w:pPr>
      <w:r>
        <w:rPr>
          <w:noProof/>
        </w:rPr>
        <w:t>(10)</w:t>
      </w:r>
      <w:r>
        <w:rPr>
          <w:noProof/>
        </w:rPr>
        <w:tab/>
        <w:t>Mar chomhlacht teicniúil a bhfuil saineolas aige ar chumarsáid leictreonach agus a bhfuil ionadaithe ó ÚNRanna agus ón gCoimisiún mar chuid de, is faoi BEREC is fearr na cúraimí a fhágáil amhail cinntí a dhéanamh faoi shaincheisteanna áirithe a</w:t>
      </w:r>
      <w:r>
        <w:rPr>
          <w:noProof/>
        </w:rPr>
        <w:t xml:space="preserve"> bhfuil gné thrasteorann ag baint leo, cuidiú le nósanna imeachta éifeachtúla an mhargaidh inmheánaigh le haghaidh dréachtbhearta náisiúnta (maidir le rialáil an mhargaidh agus maidir le sannadh na gceart úsáide le haghaidh radaispeictrim), na treoirlínte </w:t>
      </w:r>
      <w:r>
        <w:rPr>
          <w:noProof/>
        </w:rPr>
        <w:t>is gá a chur ar fáil d'ÚNRanna chun critéir choiteanna agus cur chuige rialála comhsheasmhach a áirithiú, agus cláir áirithe a choinneáil ar leibhéal an Aontais. Tá an méid sin gan dochar do na cúraimí arna leagan síos d'ÚNRanna, arb iad is gaire do na mar</w:t>
      </w:r>
      <w:r>
        <w:rPr>
          <w:noProof/>
        </w:rPr>
        <w:t>gaí cumarsáide leictreonaí agus na dálaí áitiúla a ghabhann leo. Chun a cuid cúraimí a dhéanamh, ba ghá acmhainní leordhóthanacha airgeadais agus daonna a bheith ag an ngníomhaireacht agus ba ghá di leanúint de shaineolas ó ÚNRanna a thiomsú freisin.</w:t>
      </w:r>
    </w:p>
    <w:p w:rsidR="00526EFA" w:rsidRDefault="005C4D05">
      <w:pPr>
        <w:pStyle w:val="ManualConsidrant"/>
        <w:rPr>
          <w:noProof/>
        </w:rPr>
      </w:pPr>
      <w:r>
        <w:rPr>
          <w:noProof/>
        </w:rPr>
        <w:t>(11)</w:t>
      </w:r>
      <w:r>
        <w:rPr>
          <w:noProof/>
        </w:rPr>
        <w:tab/>
      </w:r>
      <w:r>
        <w:rPr>
          <w:noProof/>
        </w:rPr>
        <w:t>Ba cheart a cheadú do BEREC, más gá, agus gan dochar don ról atá acu, oibriú i gcomhar le comhlachtaí eile de chuid an Aontais, gníomhaireachtaí, oifigí agus grúpaí comhairliúcháin, go háirithe an Grúpa um an mBeartas Radaispeictrim</w:t>
      </w:r>
      <w:r>
        <w:rPr>
          <w:rStyle w:val="FootnoteReference"/>
          <w:noProof/>
        </w:rPr>
        <w:footnoteReference w:id="29"/>
      </w:r>
      <w:r>
        <w:rPr>
          <w:noProof/>
        </w:rPr>
        <w:t>, an Bord Eorpach um Ch</w:t>
      </w:r>
      <w:r>
        <w:rPr>
          <w:noProof/>
        </w:rPr>
        <w:t>osaint Sonraí</w:t>
      </w:r>
      <w:r>
        <w:rPr>
          <w:rStyle w:val="FootnoteReference"/>
          <w:noProof/>
        </w:rPr>
        <w:footnoteReference w:id="30"/>
      </w:r>
      <w:r>
        <w:rPr>
          <w:noProof/>
        </w:rPr>
        <w:t xml:space="preserve"> agus Grúpa na Rialálaithe Eorpacha um Sheirbhísí na Meán Closamhairc</w:t>
      </w:r>
      <w:r>
        <w:rPr>
          <w:rStyle w:val="FootnoteReference"/>
          <w:noProof/>
        </w:rPr>
        <w:footnoteReference w:id="31"/>
      </w:r>
      <w:r>
        <w:rPr>
          <w:noProof/>
        </w:rPr>
        <w:t xml:space="preserve"> agus Gníomhaireacht an Aontais Eorpaigh um Shlándáil Gréasáin agus Faisnéise</w:t>
      </w:r>
      <w:r>
        <w:rPr>
          <w:rStyle w:val="FootnoteReference"/>
          <w:noProof/>
        </w:rPr>
        <w:footnoteReference w:id="32"/>
      </w:r>
      <w:r>
        <w:rPr>
          <w:noProof/>
        </w:rPr>
        <w:t>; chomh maith le coistí atá ann cheana (amhail an Coiste um Chumarsáid agus an Coiste um Radai</w:t>
      </w:r>
      <w:r>
        <w:rPr>
          <w:noProof/>
        </w:rPr>
        <w:t xml:space="preserve">speictream). Ba cheart a cheadú dó freisin comhoibriú le húdaráis inniúla i dtríú tíortha, go háirithe údaráis rialála atá inniúil i réimse na cumarsáide leictreonaí agus/nó grúpaí de na húdaráis sin, mar aon le heagraíochtaí idirnáisiúnta nuair is gá sin </w:t>
      </w:r>
      <w:r>
        <w:rPr>
          <w:noProof/>
        </w:rPr>
        <w:t>chun a chúraimí a dhéanamh.</w:t>
      </w:r>
    </w:p>
    <w:p w:rsidR="00526EFA" w:rsidRDefault="005C4D05">
      <w:pPr>
        <w:pStyle w:val="ManualConsidrant"/>
        <w:rPr>
          <w:noProof/>
        </w:rPr>
      </w:pPr>
      <w:r>
        <w:rPr>
          <w:noProof/>
        </w:rPr>
        <w:t>(12)</w:t>
      </w:r>
      <w:r>
        <w:rPr>
          <w:noProof/>
        </w:rPr>
        <w:tab/>
        <w:t>I gcomparáid leis an am atá thart nuair a bhíodh Bord Rialálaithe agus Coiste Bainistíochta á reáchtáil go comhthreomhar, ós rud é nach mbeidh ach aon bhord amháin ann a leagfaidh síos treoshuíomhanna ginearálta maidir le g</w:t>
      </w:r>
      <w:r>
        <w:rPr>
          <w:noProof/>
        </w:rPr>
        <w:t>níomhaíochtaí BEREC, agus gurb é a dhéanfaidh cinntí maidir le gnóthaí rialála, oibríochtúla mar aon le gnóthaí riaracháin agus gnóthaí bainistithe buiséid, ba cheart go gcuirfí feabhas, dá bharr sin, ar éifeachtúlacht, ar chomhsheasmhacht agus ar fheidhmí</w:t>
      </w:r>
      <w:r>
        <w:rPr>
          <w:noProof/>
        </w:rPr>
        <w:t xml:space="preserve">ocht na gníomhaireachta. Chuige sin, ba cheart don Bhord Bainistíochta na feidhmeanna ábhartha a dhéanamh agus, lena chois sin, ba cheart gurb é a bheadh ar an mbord beirt ionadaithe ón gCoimisiún, ó Cheann gach ÚNR, nó murach sin, comhalta den chomhlacht </w:t>
      </w:r>
      <w:r>
        <w:rPr>
          <w:noProof/>
        </w:rPr>
        <w:t>coláisteach, a bheadh uile faoi chosaint ag ceanglais maidir le briseadh as oifig.</w:t>
      </w:r>
    </w:p>
    <w:p w:rsidR="00526EFA" w:rsidRDefault="005C4D05">
      <w:pPr>
        <w:pStyle w:val="ManualConsidrant"/>
        <w:rPr>
          <w:noProof/>
        </w:rPr>
      </w:pPr>
      <w:r>
        <w:rPr>
          <w:noProof/>
        </w:rPr>
        <w:t>(13)</w:t>
      </w:r>
      <w:r>
        <w:rPr>
          <w:noProof/>
        </w:rPr>
        <w:tab/>
        <w:t>San am atá thart, ba é Leas-Chathaoirleach Choiste Bainistíochta Oifig BEREC a d'fheidhmigh cumhachtaí an údaráis ceapacháin. Ba cheart do Bhord Bainistíochta na gníomh</w:t>
      </w:r>
      <w:r>
        <w:rPr>
          <w:noProof/>
        </w:rPr>
        <w:t>aireachta nua cumhachtaí ábhartha an údaráis ceapacháin a tharmligean don Stiúrthóir Feidhmiúcháin, agus bheadh an t</w:t>
      </w:r>
      <w:r>
        <w:rPr>
          <w:noProof/>
        </w:rPr>
        <w:noBreakHyphen/>
        <w:t>údarás aige siúd na cumhachtaí sin a fho</w:t>
      </w:r>
      <w:r>
        <w:rPr>
          <w:noProof/>
        </w:rPr>
        <w:noBreakHyphen/>
        <w:t>tharmligean. Chuideodh sin le bainistiú éifeachtúil fhoireann BEREC agus d'áiritheodh sé go mbeadh</w:t>
      </w:r>
      <w:r>
        <w:rPr>
          <w:noProof/>
        </w:rPr>
        <w:t xml:space="preserve"> an Coiste Bainistíochta, chomh maith leis an gCathaoirleach agus an Leas</w:t>
      </w:r>
      <w:r>
        <w:rPr>
          <w:noProof/>
        </w:rPr>
        <w:noBreakHyphen/>
        <w:t>Chathaoirleach, in ann díriú ar a gcuid feidhmeanna féin.</w:t>
      </w:r>
    </w:p>
    <w:p w:rsidR="00526EFA" w:rsidRDefault="005C4D05">
      <w:pPr>
        <w:pStyle w:val="ManualConsidrant"/>
        <w:rPr>
          <w:noProof/>
        </w:rPr>
      </w:pPr>
      <w:r>
        <w:rPr>
          <w:noProof/>
        </w:rPr>
        <w:t>(14)</w:t>
      </w:r>
      <w:r>
        <w:rPr>
          <w:noProof/>
        </w:rPr>
        <w:tab/>
        <w:t>San am atá thart, bliain amháin a bhí sa téarma oifige a bhí ag an gCathaoirleach agus ag Leas-Chathaoirligh Bhord na R</w:t>
      </w:r>
      <w:r>
        <w:rPr>
          <w:noProof/>
        </w:rPr>
        <w:t>ialálaithe. I bhfianaise na gcúraimí breise a sannadh do BEREC agus an gá atá ann clársceidealú bliantúil agus ilbhliantúil a áirithiú maidir lena chúraimí, tá sé ríthábhachtach a áirithiú go dtabharfar don Chathaoirleach agus don Leas-Chathaoirleach saino</w:t>
      </w:r>
      <w:r>
        <w:rPr>
          <w:noProof/>
        </w:rPr>
        <w:t>rdú a bheidh cobhsaí agus fadtéarmach.</w:t>
      </w:r>
    </w:p>
    <w:p w:rsidR="00526EFA" w:rsidRDefault="005C4D05">
      <w:pPr>
        <w:pStyle w:val="ManualConsidrant"/>
        <w:rPr>
          <w:noProof/>
        </w:rPr>
      </w:pPr>
      <w:r>
        <w:rPr>
          <w:noProof/>
        </w:rPr>
        <w:t>(15)</w:t>
      </w:r>
      <w:r>
        <w:rPr>
          <w:noProof/>
        </w:rPr>
        <w:tab/>
        <w:t>Ba cheart don Bhord Bainistíochta dhá ghnáthchruinniú ar a laghad a thionól in aghaidh na bliana. I bhfianaise na taithí a fuarthas go dtí seo agus i bhfianaise ról méadaithe BEREC, d’fhéadfadh sé go mbeadh ar an</w:t>
      </w:r>
      <w:r>
        <w:rPr>
          <w:noProof/>
        </w:rPr>
        <w:t xml:space="preserve"> mBord Bainistíochta cruinnithe breise a thionól.</w:t>
      </w:r>
    </w:p>
    <w:p w:rsidR="00526EFA" w:rsidRDefault="005C4D05">
      <w:pPr>
        <w:pStyle w:val="ManualConsidrant"/>
        <w:rPr>
          <w:noProof/>
        </w:rPr>
      </w:pPr>
      <w:r>
        <w:rPr>
          <w:noProof/>
        </w:rPr>
        <w:t>(16)</w:t>
      </w:r>
      <w:r>
        <w:rPr>
          <w:noProof/>
        </w:rPr>
        <w:tab/>
        <w:t>Tá ról an Stiúrthóra Feidhmiúcháin, arbh é ionadaí dlíthiúil BEREC é, fíorthábhachtach ó thaobh fheidhmiú leordhóthanach na gníomhaireachta nua agus ó thaobh chur chun feidhme na gcúraimí a leagfar air</w:t>
      </w:r>
      <w:r>
        <w:rPr>
          <w:noProof/>
        </w:rPr>
        <w:t>. Ba cheart don Bhord Bainistíochta é a cheapadh ar bhonn liosta arna tharraingt suas ag an gCoimisiún de thoradh nós imeachta roghnúcháin oscailte agus trédhearcach chun dianmheastóireacht ar na hiarrthóirí agus leibhéal ard neamhspleáchais a ráthú. Thair</w:t>
      </w:r>
      <w:r>
        <w:rPr>
          <w:noProof/>
        </w:rPr>
        <w:t>is sin, san am atá caite, mhaireadh téarma oifige Bhainisteoir Riaracháin Oifig BEREC trí bliana. Is den riachtanas go mbeadh sainordú an Stiúrthóra Feidhmiúcháin fada go leor chun go bhféadfaí cobhsaíocht straitéis fhadtéarmach na gníomhaireachta a áirith</w:t>
      </w:r>
      <w:r>
        <w:rPr>
          <w:noProof/>
        </w:rPr>
        <w:t>iú agus an straitéis sin a chur i bhfeidhm.</w:t>
      </w:r>
    </w:p>
    <w:p w:rsidR="00526EFA" w:rsidRDefault="005C4D05">
      <w:pPr>
        <w:pStyle w:val="ManualConsidrant"/>
        <w:rPr>
          <w:noProof/>
        </w:rPr>
      </w:pPr>
      <w:r>
        <w:rPr>
          <w:noProof/>
        </w:rPr>
        <w:t>(17)</w:t>
      </w:r>
      <w:r>
        <w:rPr>
          <w:noProof/>
        </w:rPr>
        <w:tab/>
        <w:t xml:space="preserve">Is léir ón taithí a fuarthas gur fearr is féidir an chuid is mó de chúraimí BEREC a chur i gcrích le meithleacha agus ba cheart don Bhord Bainistíochta, dá bhrí sin, bheith i bhfeighil meithleacha a chur ar </w:t>
      </w:r>
      <w:r>
        <w:rPr>
          <w:noProof/>
        </w:rPr>
        <w:t>bun agus comhaltaí na meithleacha sin a cheapadh. Chun cur chuige cothrom a áirithiú, ba cheart do bhaill foirne BEREC na meithleacha a chomhordú agus a stiúradh. Ba cheart liostaí de shaineolaithe cáilithe a chur le chéile roimh ré chun a áirithiú go mbun</w:t>
      </w:r>
      <w:r>
        <w:rPr>
          <w:noProof/>
        </w:rPr>
        <w:t xml:space="preserve">ófar meithleacha áirithe go luath, go háirithe na meithleacha sin a mbeidh baint acu le nósanna imeachta an mhargaidh inmheánaigh le haghaidh dréachtbhearta náisiúnta maidir le rialáil an mhargaidh agus sannadh na gceart úsáide le haghaidh radaispeictrim, </w:t>
      </w:r>
      <w:r>
        <w:rPr>
          <w:noProof/>
        </w:rPr>
        <w:t>go mbunófar go luath iad i ngeall ar theorainneacha ama na nósanna imeachta sin.</w:t>
      </w:r>
    </w:p>
    <w:p w:rsidR="00526EFA" w:rsidRDefault="005C4D05">
      <w:pPr>
        <w:pStyle w:val="ManualConsidrant"/>
        <w:rPr>
          <w:noProof/>
        </w:rPr>
      </w:pPr>
      <w:r>
        <w:rPr>
          <w:noProof/>
        </w:rPr>
        <w:t>(18)</w:t>
      </w:r>
      <w:r>
        <w:rPr>
          <w:noProof/>
        </w:rPr>
        <w:tab/>
        <w:t>Ar an ábhar go bhfuil BEREC inniúil chun cinntí a ghlacadh ag a bhfuil éifeacht cheangailteach, is gá a áirithiú go bhfuil sé de cheart ag aon duine nádúrtha nó dlítheana</w:t>
      </w:r>
      <w:r>
        <w:rPr>
          <w:noProof/>
        </w:rPr>
        <w:t>ch atá faoi réir ag Cinneadh de chuid BEREC, nó a mbaineann an Cinneadh sin leis, go bhfuil sé de cheart aige achomharc a dhéanamh leis an mBord Achomhairc, ar cuid den ghníomhaireacht é ach atá neamhspleách ar a struchtúr riaracháin agus rialála. Ós rud é</w:t>
      </w:r>
      <w:r>
        <w:rPr>
          <w:noProof/>
        </w:rPr>
        <w:t xml:space="preserve"> go bhfuil na cinntí a eisíonn an Bord Achomhairc ceaptha éifeacht dhlíthiúil a bheith acu i leith tríú páirtithe, féadfar caingean chun athbhreithniú a dhéanamh ar a ndlíthiúlacht a thionscnamh os comhair na Cúirte Ginearálta. Chun coinníollacha aonfhoirm</w:t>
      </w:r>
      <w:r>
        <w:rPr>
          <w:noProof/>
        </w:rPr>
        <w:t>eacha a áirithiú maidir le rialacha nós imeachta an Bhoird Achomhairc, ba cheart cumhachtaí cur chun feidhme a thabhairt don Choimisiún. Ba cheart na cumhachtaí sin a fheidhmiú i gcomhréir le Rialachán (AE) Uimh. 182/2011 ó Pharlaimint na hEorpa agus ón gC</w:t>
      </w:r>
      <w:r>
        <w:rPr>
          <w:noProof/>
        </w:rPr>
        <w:t>omhairle</w:t>
      </w:r>
      <w:r>
        <w:rPr>
          <w:rStyle w:val="FootnoteReference"/>
          <w:noProof/>
        </w:rPr>
        <w:t xml:space="preserve"> </w:t>
      </w:r>
      <w:r>
        <w:rPr>
          <w:rStyle w:val="FootnoteReference"/>
          <w:noProof/>
        </w:rPr>
        <w:footnoteReference w:id="33"/>
      </w:r>
      <w:r>
        <w:rPr>
          <w:noProof/>
        </w:rPr>
        <w:t>.</w:t>
      </w:r>
    </w:p>
    <w:p w:rsidR="00526EFA" w:rsidRDefault="005C4D05">
      <w:pPr>
        <w:pStyle w:val="ManualConsidrant"/>
        <w:rPr>
          <w:noProof/>
        </w:rPr>
      </w:pPr>
      <w:r>
        <w:rPr>
          <w:noProof/>
        </w:rPr>
        <w:t>(19)</w:t>
      </w:r>
      <w:r>
        <w:rPr>
          <w:noProof/>
        </w:rPr>
        <w:tab/>
        <w:t>Ba cheart feidhm maidir le BEREC a bheith ag an Rialachán Tarmligthe (AE) Uimh. 1271/2013 ó Pharlaimint na hEorpa agus ón gComhairle</w:t>
      </w:r>
      <w:r>
        <w:rPr>
          <w:rStyle w:val="FootnoteReference"/>
          <w:noProof/>
        </w:rPr>
        <w:footnoteReference w:id="34"/>
      </w:r>
      <w:r>
        <w:rPr>
          <w:noProof/>
        </w:rPr>
        <w:t>.</w:t>
      </w:r>
    </w:p>
    <w:p w:rsidR="00526EFA" w:rsidRDefault="005C4D05">
      <w:pPr>
        <w:pStyle w:val="ManualConsidrant"/>
        <w:rPr>
          <w:noProof/>
        </w:rPr>
      </w:pPr>
      <w:r>
        <w:rPr>
          <w:noProof/>
        </w:rPr>
        <w:t>(20)</w:t>
      </w:r>
      <w:r>
        <w:rPr>
          <w:noProof/>
        </w:rPr>
        <w:tab/>
        <w:t xml:space="preserve">Chun neamhspleáchas BEREC a ráthú, ba cheart a bhuiséad féin a bheith aige, ar as ranníocaíocht ón </w:t>
      </w:r>
      <w:r>
        <w:rPr>
          <w:noProof/>
        </w:rPr>
        <w:t xml:space="preserve">Aontas go bunúsach a thiocfaidh an chuid is mó de. Ba cheart maoiniú BEREC a bheith faoi réir comhaontú ón údarás buiséadach mar a leagtar amach i bpointe 31 den Chomhaontú Idirinstitiúideach maidir le smacht buiséadach, maidir le comhar i gcúrsaí buiséid </w:t>
      </w:r>
      <w:r>
        <w:rPr>
          <w:noProof/>
        </w:rPr>
        <w:t>agus maidir le bainistíocht fhónta airgeadais</w:t>
      </w:r>
      <w:r>
        <w:rPr>
          <w:rStyle w:val="FootnoteReference"/>
          <w:noProof/>
        </w:rPr>
        <w:footnoteReference w:id="35"/>
      </w:r>
      <w:r>
        <w:rPr>
          <w:noProof/>
        </w:rPr>
        <w:t>.</w:t>
      </w:r>
    </w:p>
    <w:p w:rsidR="00526EFA" w:rsidRDefault="005C4D05">
      <w:pPr>
        <w:pStyle w:val="ManualConsidrant"/>
        <w:rPr>
          <w:noProof/>
        </w:rPr>
      </w:pPr>
      <w:r>
        <w:rPr>
          <w:noProof/>
        </w:rPr>
        <w:t>(21)</w:t>
      </w:r>
      <w:r>
        <w:rPr>
          <w:noProof/>
        </w:rPr>
        <w:tab/>
        <w:t>Ba cheart do BEREC a bheith neamhspleách i dtaca le cúrsaí oibríochtúla agus teicniúla agus ba cheart neamhspleáchas dlíthiúil, riaracháin agus airgeadais a bheith aige. Chuige sin, is gá agus is iomchuí</w:t>
      </w:r>
      <w:r>
        <w:rPr>
          <w:noProof/>
        </w:rPr>
        <w:t xml:space="preserve"> gur comhlacht de chuid an Aontais é BEREC ag a mbeidh pearsantacht dhlítheanach agus a fheidhmeoidh na cumhachtaí cur chun feidhme arna dtabhairt dó. </w:t>
      </w:r>
    </w:p>
    <w:p w:rsidR="00526EFA" w:rsidRDefault="005C4D05">
      <w:pPr>
        <w:pStyle w:val="ManualConsidrant"/>
        <w:rPr>
          <w:noProof/>
        </w:rPr>
      </w:pPr>
      <w:r>
        <w:rPr>
          <w:noProof/>
        </w:rPr>
        <w:t>(22)</w:t>
      </w:r>
      <w:r>
        <w:rPr>
          <w:noProof/>
        </w:rPr>
        <w:tab/>
        <w:t>Mar ghníomhaireacht dhíláraithe de chuid an Aontais, ba cheart do BEREC feidhmiú laistigh den saino</w:t>
      </w:r>
      <w:r>
        <w:rPr>
          <w:noProof/>
        </w:rPr>
        <w:t>rdú atá aige agus laistigh den chreat institiúideach atá ann faoi láthair. Níor cheart a mheas go bhfuil seasamh an Aontais á chur in iúl thar a cheann ag BEREC do phobal lasmuigh nó go bhfuil oibleagáidí dlíthiúla á gcur aige ar an Aontas.</w:t>
      </w:r>
    </w:p>
    <w:p w:rsidR="00526EFA" w:rsidRDefault="005C4D05">
      <w:pPr>
        <w:pStyle w:val="ManualConsidrant"/>
        <w:rPr>
          <w:noProof/>
        </w:rPr>
      </w:pPr>
      <w:r>
        <w:rPr>
          <w:noProof/>
        </w:rPr>
        <w:t>(23)</w:t>
      </w:r>
      <w:r>
        <w:rPr>
          <w:noProof/>
        </w:rPr>
        <w:tab/>
        <w:t>Chun sínea</w:t>
      </w:r>
      <w:r>
        <w:rPr>
          <w:noProof/>
        </w:rPr>
        <w:t>dh breise a chur le cur chun feidhme comhsheasmhach fhorálacha an chreata rialála do chumarsáid leictreonach laistigh de raon feidhme BEREC, ba cheart don ghníomhaireacht nua bheith oscailte do rannpháirtíocht údarás rialála tríú tíortha atá inniúil i réim</w:t>
      </w:r>
      <w:r>
        <w:rPr>
          <w:noProof/>
        </w:rPr>
        <w:t>se na cumarsáide leictreonaí agus a bhfuil comhaontuithe chuige sin déanta acu leis an Aontas, go háirithe údaráis rialála i Stáit CSTE LEE agus i dtíortha is iarrthóirí.</w:t>
      </w:r>
    </w:p>
    <w:p w:rsidR="00526EFA" w:rsidRDefault="005C4D05">
      <w:pPr>
        <w:pStyle w:val="ManualConsidrant"/>
        <w:rPr>
          <w:noProof/>
        </w:rPr>
      </w:pPr>
      <w:r>
        <w:rPr>
          <w:noProof/>
        </w:rPr>
        <w:t>(24)</w:t>
      </w:r>
      <w:r>
        <w:rPr>
          <w:noProof/>
        </w:rPr>
        <w:tab/>
        <w:t xml:space="preserve">Ba cheart cead a thabhairt do BEREC, laistigh dá réimse inniúlachta, gabháil do </w:t>
      </w:r>
      <w:r>
        <w:rPr>
          <w:noProof/>
        </w:rPr>
        <w:t>ghníomhaíochtaí cumarsáide, chomh fada agus nach ndéanfaidh siad díobháil do phríomhchúraimí BEREC, agus ba cheart iad a dhéanamh i gcomhréir le pleananna ábhartha cumarsáide agus scaipthe arna nglacadh ag an mBord Bainistíochta. Ba cheart ábhar agus cur c</w:t>
      </w:r>
      <w:r>
        <w:rPr>
          <w:noProof/>
        </w:rPr>
        <w:t>hun feidhme straitéis cumarsáide BEREC a bheith comhleanúnach agus ábhartha agus ba cheart iad a chomhordú le straitéisí agus gníomhaíochtaí an Choimisiúin agus na n</w:t>
      </w:r>
      <w:r>
        <w:rPr>
          <w:noProof/>
        </w:rPr>
        <w:noBreakHyphen/>
        <w:t>institiúidí eile ionas gur féidir íomhá ghinearálta an Aontais a chur san áireamh.</w:t>
      </w:r>
    </w:p>
    <w:p w:rsidR="00526EFA" w:rsidRDefault="005C4D05">
      <w:pPr>
        <w:pStyle w:val="ManualConsidrant"/>
        <w:rPr>
          <w:noProof/>
        </w:rPr>
      </w:pPr>
      <w:r>
        <w:rPr>
          <w:noProof/>
        </w:rPr>
        <w:t>(25)</w:t>
      </w:r>
      <w:r>
        <w:rPr>
          <w:noProof/>
        </w:rPr>
        <w:tab/>
        <w:t>Ch</w:t>
      </w:r>
      <w:r>
        <w:rPr>
          <w:noProof/>
        </w:rPr>
        <w:t>un a chuid cúraimí a dhéanamh go héifeachtach, ba cheart an ceart a bheith ag BEREC gach faisnéis riachtanach a iarraidh ar an gCoimisiún, ar na hÚNRanna agus, mar rogha dheireanach, ar údaráis agus gnóthais eile. Ba cheart na hiarrataí ar fhaisnéis a bhei</w:t>
      </w:r>
      <w:r>
        <w:rPr>
          <w:noProof/>
        </w:rPr>
        <w:t>th comhréireach agus níor cheart ualach míchuí a bheith ar na seolaithe dá ndeasca. Ba cheart do na hÚNRanna, ós iad is gaire do na margaí cumarsáide leictreonaí, oibriú i gcomhar le BEREC agus ba cheart dóibh faisnéis a chur ar fáil go tráthúil beacht chu</w:t>
      </w:r>
      <w:r>
        <w:rPr>
          <w:noProof/>
        </w:rPr>
        <w:t>n a áirithiú gur féidir leis a shainordú a chomhlíonadh. Ba cheart do BEREC freisin gach faisnéis riachtanach a roinnt leis an gCoimisiún agus leis na hÚNRanna de réir phrionsabal an chomhair dhílis.</w:t>
      </w:r>
    </w:p>
    <w:p w:rsidR="00526EFA" w:rsidRDefault="005C4D05">
      <w:pPr>
        <w:pStyle w:val="ManualConsidrant"/>
        <w:rPr>
          <w:noProof/>
        </w:rPr>
      </w:pPr>
      <w:r>
        <w:rPr>
          <w:noProof/>
        </w:rPr>
        <w:t>(26)</w:t>
      </w:r>
      <w:r>
        <w:rPr>
          <w:noProof/>
        </w:rPr>
        <w:tab/>
        <w:t xml:space="preserve">Ós rud é nach féidir leis na Ballstáit cuspóirí an </w:t>
      </w:r>
      <w:r>
        <w:rPr>
          <w:noProof/>
        </w:rPr>
        <w:t>Rialacháin seo, eadhon an gá atá le cur chun feidhme comhsheasmhach an chreata rialála do chumarsáid leictreonach, a áirithiú laistigh den raon feidhme atá sainithe, go háirithe i dtaca le gnéithe trasteorann agus trí bhíthin nósanna imeachta éifeachtúla a</w:t>
      </w:r>
      <w:r>
        <w:rPr>
          <w:noProof/>
        </w:rPr>
        <w:t>n mhargaidh inmheánaigh le haghaidh dréachtbhearta náisiúnta, ós rud é nach féidir leis na Ballstáit na cuspóirí sin a ghnóthú go leordhóthanach ach gur fearr is féidir, de bharr fhairsinge agus éifeachtaí na gníomhaíochta, iad a ghnóthú ar leibhéal an Aon</w:t>
      </w:r>
      <w:r>
        <w:rPr>
          <w:noProof/>
        </w:rPr>
        <w:t>tais, féadfaidh an tAontas bearta a ghlacadh i gcomhréir le prionsabal na coimhdeachta a leagtar amach in Airteagal 5 den Chonradh. I gcomhréir le prionsabal na comhréireachta a leagtar amach san Airteagal sin, ní théann an Rialachán seo thar a bhfuil riac</w:t>
      </w:r>
      <w:r>
        <w:rPr>
          <w:noProof/>
        </w:rPr>
        <w:t>htanach chun na cuspóirí sin a ghnóthú.</w:t>
      </w:r>
    </w:p>
    <w:p w:rsidR="00526EFA" w:rsidRDefault="005C4D05">
      <w:pPr>
        <w:pStyle w:val="ManualConsidrant"/>
        <w:rPr>
          <w:noProof/>
        </w:rPr>
      </w:pPr>
      <w:r>
        <w:rPr>
          <w:noProof/>
        </w:rPr>
        <w:t>(27)</w:t>
      </w:r>
      <w:r>
        <w:rPr>
          <w:noProof/>
        </w:rPr>
        <w:tab/>
        <w:t>Is é is aidhm don rialachán seo forálacha Rialachán (CE) Uimh. 1211/2009 ó Pharlaimint na hEorpa agus ón gComhairle a leasú agus a leathnú. Ós rud é gur suntasach na leasuithe atá le déanamh ó thaobh a gcineáil,</w:t>
      </w:r>
      <w:r>
        <w:rPr>
          <w:noProof/>
        </w:rPr>
        <w:t xml:space="preserve"> ba cheart, ar mhaithe le breis soiléireachta, an gníomh sin a aisghairm agus gníomh nua a chur ina ionad. Forléireofar tagairtí a dhéanfar don rialachán aisghairthe mar thagairtí don Rialachán seo.</w:t>
      </w:r>
    </w:p>
    <w:p w:rsidR="00526EFA" w:rsidRDefault="005C4D05">
      <w:pPr>
        <w:pStyle w:val="ManualConsidrant"/>
        <w:rPr>
          <w:noProof/>
        </w:rPr>
      </w:pPr>
      <w:r>
        <w:rPr>
          <w:noProof/>
        </w:rPr>
        <w:t>(28)</w:t>
      </w:r>
      <w:r>
        <w:rPr>
          <w:noProof/>
        </w:rPr>
        <w:tab/>
        <w:t>Bunaíodh Oifig BEREC le Rialachán (CE) Uimh. 1211/20</w:t>
      </w:r>
      <w:r>
        <w:rPr>
          <w:noProof/>
        </w:rPr>
        <w:t>09 mar chomhlacht Comhphobail ag a bhfuil pearsantacht dhlítheanach, agus tiocfaidh BEREC i gcomharbas uirthi maidir le húinéireacht, comhaontuithe, oibleagáidí dlíthiúla, conarthaí fostaíochta, gealltanais agus dliteanais airgeadais. Ba cheart BEREC an fh</w:t>
      </w:r>
      <w:r>
        <w:rPr>
          <w:noProof/>
        </w:rPr>
        <w:t>reagracht as baill foirne Oifig BEREC a ghlacadh air féin gan dochar dá gcearta agus dá n</w:t>
      </w:r>
      <w:r>
        <w:rPr>
          <w:noProof/>
        </w:rPr>
        <w:noBreakHyphen/>
        <w:t>oibleagáidí siúd.</w:t>
      </w:r>
    </w:p>
    <w:p w:rsidR="00526EFA" w:rsidRDefault="005C4D05">
      <w:pPr>
        <w:pStyle w:val="Formuledadoption"/>
        <w:rPr>
          <w:noProof/>
        </w:rPr>
      </w:pPr>
      <w:r>
        <w:rPr>
          <w:noProof/>
        </w:rPr>
        <w:t>TAR ÉIS AN RIALACHÁN SEO A GHLACADH:</w:t>
      </w:r>
    </w:p>
    <w:p w:rsidR="00526EFA" w:rsidRDefault="005C4D05">
      <w:pPr>
        <w:pStyle w:val="SectionTitle"/>
        <w:autoSpaceDE w:val="0"/>
        <w:autoSpaceDN w:val="0"/>
        <w:rPr>
          <w:rFonts w:eastAsiaTheme="minorEastAsia"/>
          <w:bCs/>
          <w:noProof/>
          <w:szCs w:val="28"/>
        </w:rPr>
      </w:pPr>
      <w:r>
        <w:rPr>
          <w:noProof/>
        </w:rPr>
        <w:t>Caibidil I</w:t>
      </w:r>
    </w:p>
    <w:p w:rsidR="00526EFA" w:rsidRDefault="005C4D05">
      <w:pPr>
        <w:pStyle w:val="SectionTitle"/>
        <w:autoSpaceDE w:val="0"/>
        <w:autoSpaceDN w:val="0"/>
        <w:rPr>
          <w:rFonts w:eastAsiaTheme="minorEastAsia"/>
          <w:bCs/>
          <w:noProof/>
          <w:szCs w:val="28"/>
        </w:rPr>
      </w:pPr>
      <w:r>
        <w:rPr>
          <w:noProof/>
        </w:rPr>
        <w:t>Cuspóirí agus cúraimí</w:t>
      </w:r>
    </w:p>
    <w:p w:rsidR="00526EFA" w:rsidRDefault="005C4D05">
      <w:pPr>
        <w:pStyle w:val="Titrearticle"/>
        <w:rPr>
          <w:noProof/>
        </w:rPr>
      </w:pPr>
      <w:r>
        <w:rPr>
          <w:noProof/>
        </w:rPr>
        <w:t>Airteagal 1</w:t>
      </w:r>
    </w:p>
    <w:p w:rsidR="00526EFA" w:rsidRDefault="005C4D05">
      <w:pPr>
        <w:pStyle w:val="NormalCentered"/>
        <w:autoSpaceDE w:val="0"/>
        <w:autoSpaceDN w:val="0"/>
        <w:rPr>
          <w:rFonts w:eastAsiaTheme="minorEastAsia"/>
          <w:b/>
          <w:bCs/>
          <w:noProof/>
          <w:szCs w:val="24"/>
        </w:rPr>
      </w:pPr>
      <w:r>
        <w:rPr>
          <w:b/>
          <w:noProof/>
        </w:rPr>
        <w:t>Bunú agus cuspóirí</w:t>
      </w:r>
    </w:p>
    <w:p w:rsidR="00526EFA" w:rsidRDefault="005C4D05">
      <w:pPr>
        <w:rPr>
          <w:noProof/>
        </w:rPr>
      </w:pPr>
      <w:r>
        <w:rPr>
          <w:noProof/>
        </w:rPr>
        <w:t xml:space="preserve">1. Leis seo bunaítear Comhlacht na Rialálaithe </w:t>
      </w:r>
      <w:r>
        <w:rPr>
          <w:noProof/>
        </w:rPr>
        <w:t>Eorpacha um Chumarsáid Leictreonach ("BEREC").</w:t>
      </w:r>
    </w:p>
    <w:p w:rsidR="00526EFA" w:rsidRDefault="005C4D05">
      <w:pPr>
        <w:rPr>
          <w:noProof/>
        </w:rPr>
      </w:pPr>
      <w:r>
        <w:rPr>
          <w:noProof/>
        </w:rPr>
        <w:t>2. Gníomhóidh BEREC laistigh de raon feidhme Threoir [...], Threoir 2002/58/CE, Rialachán (CE) Uimh. 531/2012, Rialachán (AE) 2015/2120 agus Chinneadh 243/2012/AE</w:t>
      </w:r>
      <w:r>
        <w:rPr>
          <w:rStyle w:val="FootnoteReference"/>
          <w:noProof/>
        </w:rPr>
        <w:footnoteReference w:id="36"/>
      </w:r>
      <w:r>
        <w:rPr>
          <w:noProof/>
        </w:rPr>
        <w:t xml:space="preserve"> (Clár Beartais Radaispeictrim).</w:t>
      </w:r>
    </w:p>
    <w:p w:rsidR="00526EFA" w:rsidRDefault="005C4D05">
      <w:pPr>
        <w:rPr>
          <w:noProof/>
        </w:rPr>
      </w:pPr>
      <w:r>
        <w:rPr>
          <w:noProof/>
        </w:rPr>
        <w:t xml:space="preserve">Beidh feidhm </w:t>
      </w:r>
      <w:r>
        <w:rPr>
          <w:noProof/>
        </w:rPr>
        <w:t>ag na sainmhínithe a leagtar síos sna Treoracha, sna Rialacháin agus sa Chinneadh sin chun críocha an Rialacháin seo.</w:t>
      </w:r>
    </w:p>
    <w:p w:rsidR="00526EFA" w:rsidRDefault="005C4D05">
      <w:pPr>
        <w:rPr>
          <w:noProof/>
        </w:rPr>
      </w:pPr>
      <w:r>
        <w:rPr>
          <w:noProof/>
        </w:rPr>
        <w:t>3. Saothróidh BEREC na cuspóirí céanna atá á saothrú ag na húdaráis náisiúnta rialála ("ÚNRanna") dá dtagraítear in Airteagal 3 den Treoir</w:t>
      </w:r>
      <w:r>
        <w:rPr>
          <w:noProof/>
        </w:rPr>
        <w:t>. Go háirithe, déanfaidh BEREC cur chun feidhme comhsheasmhach an chreata rialála do chumarsáid leictreonach a áirithiú laistigh den raon feidhme dá dtagraítear i mír 2 agus, ar an gcaoi sin, cuirfidh sé le forbairt an mhargaidh inmheánaigh. Cuirfidh sé na</w:t>
      </w:r>
      <w:r>
        <w:rPr>
          <w:noProof/>
        </w:rPr>
        <w:t xml:space="preserve"> nithe seo a leanas chun cinn freisin: rochtain ar nascacht sonraí an</w:t>
      </w:r>
      <w:r>
        <w:rPr>
          <w:noProof/>
        </w:rPr>
        <w:noBreakHyphen/>
        <w:t>ardtoillte agus glacadh na nascachta sin; iomaíocht i dtaca le líonraí cumarsáide leictreonaí, soláthar seirbhísí cumarsáide leictreonaí agus saoráidí gaolmhara a sholáthar; agus leasann</w:t>
      </w:r>
      <w:r>
        <w:rPr>
          <w:noProof/>
        </w:rPr>
        <w:t>a shaoránaigh an Aontais.</w:t>
      </w:r>
    </w:p>
    <w:p w:rsidR="00526EFA" w:rsidRDefault="005C4D05">
      <w:pPr>
        <w:pStyle w:val="Titrearticle"/>
        <w:rPr>
          <w:noProof/>
        </w:rPr>
      </w:pPr>
      <w:r>
        <w:rPr>
          <w:noProof/>
        </w:rPr>
        <w:t>Airteagal 2</w:t>
      </w:r>
    </w:p>
    <w:p w:rsidR="00526EFA" w:rsidRDefault="005C4D05">
      <w:pPr>
        <w:pStyle w:val="NormalCentered"/>
        <w:autoSpaceDE w:val="0"/>
        <w:autoSpaceDN w:val="0"/>
        <w:rPr>
          <w:rFonts w:eastAsiaTheme="minorEastAsia"/>
          <w:b/>
          <w:bCs/>
          <w:noProof/>
          <w:szCs w:val="24"/>
        </w:rPr>
      </w:pPr>
      <w:r>
        <w:rPr>
          <w:b/>
          <w:noProof/>
        </w:rPr>
        <w:t>Cúraimí</w:t>
      </w:r>
    </w:p>
    <w:p w:rsidR="00526EFA" w:rsidRDefault="005C4D05">
      <w:pPr>
        <w:rPr>
          <w:noProof/>
        </w:rPr>
      </w:pPr>
      <w:r>
        <w:rPr>
          <w:noProof/>
        </w:rPr>
        <w:t>1. Is iad seo a leanas na cúraimí a bheidh ar BEREC:</w:t>
      </w:r>
    </w:p>
    <w:p w:rsidR="00526EFA" w:rsidRDefault="005C4D05">
      <w:pPr>
        <w:pStyle w:val="Point0letter"/>
        <w:numPr>
          <w:ilvl w:val="1"/>
          <w:numId w:val="9"/>
        </w:numPr>
        <w:rPr>
          <w:noProof/>
        </w:rPr>
      </w:pPr>
      <w:r>
        <w:rPr>
          <w:noProof/>
        </w:rPr>
        <w:t xml:space="preserve">cuidiú leis an gCoimisiún agus le hÚNRanna, comhairle a thabhairt dóibh agus oibriú i gcomhar leo, arna iarraidh sin air nó ar a thionscnamh féin, maidir le </w:t>
      </w:r>
      <w:r>
        <w:rPr>
          <w:noProof/>
        </w:rPr>
        <w:t>haon ábhar teicniúil a thagann faoina shainordú, agus cuidiú le Parlaimint na hEorpa agus leis an gComhairle mar aon le comhairle a tabhairt dóibh, arna iarraidh sin air;</w:t>
      </w:r>
    </w:p>
    <w:p w:rsidR="00526EFA" w:rsidRDefault="005C4D05">
      <w:pPr>
        <w:pStyle w:val="Point0letter"/>
        <w:rPr>
          <w:noProof/>
        </w:rPr>
      </w:pPr>
      <w:r>
        <w:rPr>
          <w:noProof/>
        </w:rPr>
        <w:t>cinntí a eisiúint maidir leis na nithe seo a leanas:</w:t>
      </w:r>
    </w:p>
    <w:p w:rsidR="00526EFA" w:rsidRDefault="005C4D05">
      <w:pPr>
        <w:pStyle w:val="Tiret0"/>
        <w:numPr>
          <w:ilvl w:val="0"/>
          <w:numId w:val="19"/>
        </w:numPr>
        <w:rPr>
          <w:noProof/>
        </w:rPr>
      </w:pPr>
      <w:r>
        <w:rPr>
          <w:noProof/>
        </w:rPr>
        <w:t>margaí trasnáisiúnta a shainaith</w:t>
      </w:r>
      <w:r>
        <w:rPr>
          <w:noProof/>
        </w:rPr>
        <w:t>int i gcomhréir le hAirteagal 63 den Treoir;</w:t>
      </w:r>
    </w:p>
    <w:p w:rsidR="00526EFA" w:rsidRDefault="005C4D05">
      <w:pPr>
        <w:pStyle w:val="Tiret0"/>
        <w:rPr>
          <w:noProof/>
        </w:rPr>
      </w:pPr>
      <w:r>
        <w:rPr>
          <w:noProof/>
        </w:rPr>
        <w:t>teimpléad achoimre conartha i gcomhréir le hAirteagal 95 den Treoir;</w:t>
      </w:r>
    </w:p>
    <w:p w:rsidR="00526EFA" w:rsidRDefault="005C4D05">
      <w:pPr>
        <w:pStyle w:val="Point0letter"/>
        <w:rPr>
          <w:noProof/>
        </w:rPr>
      </w:pPr>
      <w:r>
        <w:rPr>
          <w:noProof/>
        </w:rPr>
        <w:t>samhail eacnamaíoch a fhorbairt chun cuidiú leis an gCoimisiún na huasrátaí foirceanta san Aontas a Chinneadh i gcomhréir le hAirteagal 73 den</w:t>
      </w:r>
      <w:r>
        <w:rPr>
          <w:noProof/>
        </w:rPr>
        <w:t xml:space="preserve"> Treoir; </w:t>
      </w:r>
    </w:p>
    <w:p w:rsidR="00526EFA" w:rsidRDefault="005C4D05">
      <w:pPr>
        <w:pStyle w:val="Point0letter"/>
        <w:rPr>
          <w:noProof/>
        </w:rPr>
      </w:pPr>
      <w:r>
        <w:rPr>
          <w:noProof/>
        </w:rPr>
        <w:t>cinntí dá dtagraítear sa Treoir agus i Rialachán (AE) Uimh. 531/2012 a eisiúint, go háirithe iad sin a bhaineann leis na nithe seo a leanas:</w:t>
      </w:r>
    </w:p>
    <w:p w:rsidR="00526EFA" w:rsidRDefault="005C4D05">
      <w:pPr>
        <w:pStyle w:val="Tiret0"/>
        <w:rPr>
          <w:noProof/>
        </w:rPr>
      </w:pPr>
      <w:r>
        <w:rPr>
          <w:noProof/>
        </w:rPr>
        <w:t>díospóidí trasteorann a réiteach i gcomhréir le hAirteagal 27 den Treoir;</w:t>
      </w:r>
    </w:p>
    <w:p w:rsidR="00526EFA" w:rsidRDefault="005C4D05">
      <w:pPr>
        <w:pStyle w:val="Tiret0"/>
        <w:rPr>
          <w:noProof/>
        </w:rPr>
      </w:pPr>
      <w:r>
        <w:rPr>
          <w:noProof/>
        </w:rPr>
        <w:t>dréachtbhearta náisiúnta a bhai</w:t>
      </w:r>
      <w:r>
        <w:rPr>
          <w:noProof/>
        </w:rPr>
        <w:t>neann le nósanna imeachta an mhargaidh inmheánaigh le haghaidh rialáil an mhargaidh i gcomhréir le hAirteagal 32, Airteagal 33 agus Airteagal 66 den Treoir;</w:t>
      </w:r>
    </w:p>
    <w:p w:rsidR="00526EFA" w:rsidRDefault="005C4D05">
      <w:pPr>
        <w:pStyle w:val="Tiret0"/>
        <w:rPr>
          <w:noProof/>
        </w:rPr>
      </w:pPr>
      <w:r>
        <w:rPr>
          <w:noProof/>
        </w:rPr>
        <w:t>dréachtbhearta náisiúnta a bhaineann le nósanna imeachta an mhargaidh inmheánaigh le haghaidh athbh</w:t>
      </w:r>
      <w:r>
        <w:rPr>
          <w:noProof/>
        </w:rPr>
        <w:t xml:space="preserve">reithniú piaraí ar radaispeictream i gcomhréir le hAirteagal 35 den Treoir; </w:t>
      </w:r>
    </w:p>
    <w:p w:rsidR="00526EFA" w:rsidRDefault="005C4D05">
      <w:pPr>
        <w:pStyle w:val="Tiret0"/>
        <w:rPr>
          <w:noProof/>
        </w:rPr>
      </w:pPr>
      <w:r>
        <w:rPr>
          <w:noProof/>
        </w:rPr>
        <w:t>dréachtchinntí agus dréachtmholtaí faoin gcomhchuibhiú i gcomhréir le hAirteagal 38 den Treoir;</w:t>
      </w:r>
    </w:p>
    <w:p w:rsidR="00526EFA" w:rsidRDefault="005C4D05">
      <w:pPr>
        <w:pStyle w:val="Point0letter"/>
        <w:rPr>
          <w:noProof/>
        </w:rPr>
      </w:pPr>
      <w:r>
        <w:rPr>
          <w:noProof/>
        </w:rPr>
        <w:t>cinntí dá dtagraítear sa Treoir, i Rialachán (AE) Uimh. 531/2012 agus i Rialachán (</w:t>
      </w:r>
      <w:r>
        <w:rPr>
          <w:noProof/>
        </w:rPr>
        <w:t>AE) 2015/2120 a eisiúint a bhaineann leis na nithe seo a leanas:</w:t>
      </w:r>
    </w:p>
    <w:p w:rsidR="00526EFA" w:rsidRDefault="005C4D05">
      <w:pPr>
        <w:pStyle w:val="Tiret0"/>
        <w:rPr>
          <w:noProof/>
        </w:rPr>
      </w:pPr>
      <w:r>
        <w:rPr>
          <w:noProof/>
        </w:rPr>
        <w:t>cur chun feidhme oibleagáidí ÚNRanna maidir le suirbhéanna geografacha i gcomhréir le hAirteagal 22 den Treoir;</w:t>
      </w:r>
    </w:p>
    <w:p w:rsidR="00526EFA" w:rsidRDefault="005C4D05">
      <w:pPr>
        <w:pStyle w:val="Tiret0"/>
        <w:rPr>
          <w:noProof/>
        </w:rPr>
      </w:pPr>
      <w:r>
        <w:rPr>
          <w:noProof/>
        </w:rPr>
        <w:t xml:space="preserve">cineálacha cur chuige coiteann i leith pointe foirceanta an líonra a shainaithint i dtoipeolaíochtaí líonra éagsúla i gcomhréir le hAirteagal 59 den Treoir; </w:t>
      </w:r>
    </w:p>
    <w:p w:rsidR="00526EFA" w:rsidRDefault="005C4D05">
      <w:pPr>
        <w:pStyle w:val="Tiret0"/>
        <w:rPr>
          <w:noProof/>
        </w:rPr>
      </w:pPr>
      <w:r>
        <w:rPr>
          <w:noProof/>
        </w:rPr>
        <w:t>cineálacha cur chuige coiteann i leith freastal a dhéanamh ar éileamh trasteorann na n</w:t>
      </w:r>
      <w:r>
        <w:rPr>
          <w:noProof/>
        </w:rPr>
        <w:noBreakHyphen/>
        <w:t xml:space="preserve">úsáideoirí </w:t>
      </w:r>
      <w:r>
        <w:rPr>
          <w:noProof/>
        </w:rPr>
        <w:t>deiridh i gcomhréir le hAirteagal 64 den Treoir;</w:t>
      </w:r>
    </w:p>
    <w:p w:rsidR="00526EFA" w:rsidRDefault="005C4D05">
      <w:pPr>
        <w:pStyle w:val="Tiret0"/>
        <w:rPr>
          <w:noProof/>
        </w:rPr>
      </w:pPr>
      <w:r>
        <w:rPr>
          <w:noProof/>
        </w:rPr>
        <w:t>na critéir íosta le haghaidh tairiscint tagartha i gcomhréir le hAirteagal 67 den Treoir;</w:t>
      </w:r>
    </w:p>
    <w:p w:rsidR="00526EFA" w:rsidRDefault="005C4D05">
      <w:pPr>
        <w:pStyle w:val="Tiret0"/>
        <w:rPr>
          <w:noProof/>
        </w:rPr>
      </w:pPr>
      <w:r>
        <w:rPr>
          <w:noProof/>
        </w:rPr>
        <w:t xml:space="preserve">sonraí teicniúla na samhla costais atá le cur i bhfeidhm ag ÚNRanna agus na huasrátaí foirceanta siméadracha á socrú </w:t>
      </w:r>
      <w:r>
        <w:rPr>
          <w:noProof/>
        </w:rPr>
        <w:t>acu i gcomhréir le hAirteagal 73 den Treoir;</w:t>
      </w:r>
    </w:p>
    <w:p w:rsidR="00526EFA" w:rsidRDefault="005C4D05">
      <w:pPr>
        <w:pStyle w:val="Tiret0"/>
        <w:rPr>
          <w:noProof/>
        </w:rPr>
      </w:pPr>
      <w:r>
        <w:rPr>
          <w:noProof/>
        </w:rPr>
        <w:t xml:space="preserve">critéir choiteanna maidir le measúnú a dhéanamh ar an gcumas acmhainní uimhriúcháin a bhainistiú agus ar an riosca atá ann na hacmhainní uimhriúcháin sin a ídiú i gcomhréir le hAirteagal 87 den Treoir; </w:t>
      </w:r>
    </w:p>
    <w:p w:rsidR="00526EFA" w:rsidRDefault="005C4D05">
      <w:pPr>
        <w:pStyle w:val="Tiret0"/>
        <w:rPr>
          <w:noProof/>
        </w:rPr>
      </w:pPr>
      <w:r>
        <w:rPr>
          <w:noProof/>
        </w:rPr>
        <w:t>paraiméa</w:t>
      </w:r>
      <w:r>
        <w:rPr>
          <w:noProof/>
        </w:rPr>
        <w:t xml:space="preserve">dair ábhartha i leith cáilíocht seirbhíse agus modhanna tomhais infheidhme i gcomhréir le hAirteagal 97 den Treoir; </w:t>
      </w:r>
    </w:p>
    <w:p w:rsidR="00526EFA" w:rsidRDefault="005C4D05">
      <w:pPr>
        <w:pStyle w:val="Tiret0"/>
        <w:rPr>
          <w:noProof/>
        </w:rPr>
      </w:pPr>
      <w:r>
        <w:rPr>
          <w:noProof/>
        </w:rPr>
        <w:t>cur chun feidhme oibleagáidí ÚNRanna maidir le rochtain oscailte ar an idirlíon i gcomhréir le hAirteagal 5 de Rialachán (AE) 2015/2120;</w:t>
      </w:r>
    </w:p>
    <w:p w:rsidR="00526EFA" w:rsidRDefault="005C4D05">
      <w:pPr>
        <w:pStyle w:val="Tiret0"/>
        <w:rPr>
          <w:noProof/>
        </w:rPr>
      </w:pPr>
      <w:r>
        <w:rPr>
          <w:noProof/>
        </w:rPr>
        <w:t>ro</w:t>
      </w:r>
      <w:r>
        <w:rPr>
          <w:noProof/>
        </w:rPr>
        <w:t>chtain fánaíochta mórdhíola i gcomhréir le hAirteagal 3 de Rialachán (AE) Uimh. 531/2012;</w:t>
      </w:r>
    </w:p>
    <w:p w:rsidR="00526EFA" w:rsidRDefault="00526EFA">
      <w:pPr>
        <w:rPr>
          <w:noProof/>
        </w:rPr>
      </w:pPr>
    </w:p>
    <w:p w:rsidR="00526EFA" w:rsidRDefault="005C4D05">
      <w:pPr>
        <w:rPr>
          <w:noProof/>
        </w:rPr>
      </w:pPr>
      <w:r>
        <w:rPr>
          <w:noProof/>
        </w:rPr>
        <w:t>2. Cuirfidh BEREC na cúraimí seo a leanas i gcrích freisin:</w:t>
      </w:r>
    </w:p>
    <w:p w:rsidR="00526EFA" w:rsidRDefault="005C4D05">
      <w:pPr>
        <w:pStyle w:val="Point0letter"/>
        <w:numPr>
          <w:ilvl w:val="1"/>
          <w:numId w:val="21"/>
        </w:numPr>
        <w:rPr>
          <w:noProof/>
        </w:rPr>
      </w:pPr>
      <w:r>
        <w:rPr>
          <w:noProof/>
        </w:rPr>
        <w:t>faireachán agus comhordú a dhéanamh ar ghníomhaíocht na nÚNRanna agus Rialachán (AE) Uimh. 531/2012 á chu</w:t>
      </w:r>
      <w:r>
        <w:rPr>
          <w:noProof/>
        </w:rPr>
        <w:t xml:space="preserve">r i bhfeidhm acu, go háirithe maidir le seirbhísí fánaíochta miondíola rialáilte a chur ar fáil ar phraghasanna intíre ar mhaithe leis na húsáideoirí deiridh; </w:t>
      </w:r>
    </w:p>
    <w:p w:rsidR="00526EFA" w:rsidRDefault="005C4D05">
      <w:pPr>
        <w:pStyle w:val="Point0letter"/>
        <w:rPr>
          <w:noProof/>
        </w:rPr>
      </w:pPr>
      <w:r>
        <w:rPr>
          <w:noProof/>
        </w:rPr>
        <w:t>tuairisc a thabhairt ar ábhair theicniúla a thagann faoi réim a inniúlachta, go háirithe ar na n</w:t>
      </w:r>
      <w:r>
        <w:rPr>
          <w:noProof/>
        </w:rPr>
        <w:t>ithe seo a leanas:</w:t>
      </w:r>
    </w:p>
    <w:p w:rsidR="00526EFA" w:rsidRDefault="005C4D05">
      <w:pPr>
        <w:pStyle w:val="Tiret0"/>
        <w:rPr>
          <w:noProof/>
        </w:rPr>
      </w:pPr>
      <w:r>
        <w:rPr>
          <w:noProof/>
        </w:rPr>
        <w:t>cur i bhfeidhm praiticiúil na dtuairimí agus na dtreoirlínte dá dtagraítear in Airteagal 2(1)(d) agus Airteagal 2(1)(e);</w:t>
      </w:r>
    </w:p>
    <w:p w:rsidR="00526EFA" w:rsidRDefault="005C4D05">
      <w:pPr>
        <w:pStyle w:val="Tiret0"/>
        <w:rPr>
          <w:noProof/>
        </w:rPr>
      </w:pPr>
      <w:r>
        <w:rPr>
          <w:noProof/>
        </w:rPr>
        <w:t>leibhéal na hidir</w:t>
      </w:r>
      <w:r>
        <w:rPr>
          <w:noProof/>
        </w:rPr>
        <w:noBreakHyphen/>
        <w:t>inoibritheachta idir seirbhísí cumarsáide idirphearsanta, an bhagairt ar rochtain éifeachtach ar s</w:t>
      </w:r>
      <w:r>
        <w:rPr>
          <w:noProof/>
        </w:rPr>
        <w:t>heirbhísí éigeandála nó ar nascacht ó cheann go ceann idir úsáideoirí deiridh i gcomhréir le hAirteagal 59 den Treoir;</w:t>
      </w:r>
    </w:p>
    <w:p w:rsidR="00526EFA" w:rsidRDefault="005C4D05">
      <w:pPr>
        <w:pStyle w:val="Tiret0"/>
        <w:rPr>
          <w:noProof/>
        </w:rPr>
      </w:pPr>
      <w:r>
        <w:rPr>
          <w:noProof/>
        </w:rPr>
        <w:t xml:space="preserve">teacht chun cinn na muirear miondíola agus mórdhíola a ghabhann le seirbhísí fánaíochta agus trédhearcacht agus inchomparáideacht na </w:t>
      </w:r>
      <w:r>
        <w:rPr>
          <w:noProof/>
        </w:rPr>
        <w:t>dtaraifí i gcomhréir le hAirteagal 19 de Rialachán (AE) Uimh. 531/2012;</w:t>
      </w:r>
    </w:p>
    <w:p w:rsidR="00526EFA" w:rsidRDefault="005C4D05">
      <w:pPr>
        <w:pStyle w:val="Tiret0"/>
        <w:autoSpaceDE w:val="0"/>
        <w:autoSpaceDN w:val="0"/>
        <w:rPr>
          <w:rFonts w:eastAsiaTheme="minorEastAsia"/>
          <w:noProof/>
          <w:szCs w:val="24"/>
        </w:rPr>
      </w:pPr>
      <w:r>
        <w:rPr>
          <w:noProof/>
        </w:rPr>
        <w:t>torthaí na dtuarascálacha bliantúla a chuirfidh na hÚNRanna ar fáil i gcomhréir le hAirteagal 5 de Rialachán (AE) 2015/2120 trí thuarascáil sintéise bhliantúil a fhoilsiú;</w:t>
      </w:r>
    </w:p>
    <w:p w:rsidR="00526EFA" w:rsidRDefault="005C4D05">
      <w:pPr>
        <w:pStyle w:val="Point0letter"/>
        <w:rPr>
          <w:noProof/>
        </w:rPr>
      </w:pPr>
      <w:r>
        <w:rPr>
          <w:noProof/>
        </w:rPr>
        <w:t xml:space="preserve">moltaí agus </w:t>
      </w:r>
      <w:r>
        <w:rPr>
          <w:noProof/>
        </w:rPr>
        <w:t>dea-chleachtais a eisiúint atá dírithe ar na hÚNRanna chun cur chun feidhme comhsheasmhach a spreagadh i dtaca le haon ábhar teicniúil a thagann faoina shainordú;</w:t>
      </w:r>
    </w:p>
    <w:p w:rsidR="00526EFA" w:rsidRDefault="005C4D05">
      <w:pPr>
        <w:pStyle w:val="Point0letter"/>
        <w:rPr>
          <w:noProof/>
        </w:rPr>
      </w:pPr>
      <w:r>
        <w:rPr>
          <w:noProof/>
        </w:rPr>
        <w:t>clár a choimeád orthu seo a leanas:</w:t>
      </w:r>
    </w:p>
    <w:p w:rsidR="00526EFA" w:rsidRDefault="005C4D05">
      <w:pPr>
        <w:pStyle w:val="Tiret0"/>
        <w:rPr>
          <w:noProof/>
        </w:rPr>
      </w:pPr>
      <w:r>
        <w:rPr>
          <w:noProof/>
        </w:rPr>
        <w:t>gnóthais a chuireann líonraí agus seirbhísí cumarsáide le</w:t>
      </w:r>
      <w:r>
        <w:rPr>
          <w:noProof/>
        </w:rPr>
        <w:t>ictreonaí ar fáil i gcomhréir le hAirteagal 12 den Treoir. Eiseoidh BEREC freisin dearbhuithe caighdeánaithe maidir le fógraí arna dtabhairt ag gnóthais i gcomhréir le hAirteagal 14 den Treoir;</w:t>
      </w:r>
    </w:p>
    <w:p w:rsidR="00526EFA" w:rsidRDefault="005C4D05">
      <w:pPr>
        <w:pStyle w:val="Tiret0"/>
        <w:rPr>
          <w:noProof/>
        </w:rPr>
      </w:pPr>
      <w:r>
        <w:rPr>
          <w:noProof/>
        </w:rPr>
        <w:t xml:space="preserve">uimhreacha ag a bhfuil ceart úsáide allchríche i gcomhréir le </w:t>
      </w:r>
      <w:r>
        <w:rPr>
          <w:noProof/>
        </w:rPr>
        <w:t>hAirteagal 87 den Treoir;</w:t>
      </w:r>
    </w:p>
    <w:p w:rsidR="00526EFA" w:rsidRDefault="005C4D05">
      <w:pPr>
        <w:pStyle w:val="Point0letter"/>
        <w:rPr>
          <w:noProof/>
        </w:rPr>
      </w:pPr>
      <w:r>
        <w:rPr>
          <w:noProof/>
        </w:rPr>
        <w:t>na cúraimí a dhéanamh a leagtar air le gníomhartha reachtacha an Aontais, go háirithe leis an Treoir, le Rialachán (CE) Uimh. 531/2012 agus le Rialachán (AE) 2015/2120.</w:t>
      </w:r>
    </w:p>
    <w:p w:rsidR="00526EFA" w:rsidRDefault="005C4D05">
      <w:pPr>
        <w:rPr>
          <w:noProof/>
        </w:rPr>
      </w:pPr>
      <w:r>
        <w:rPr>
          <w:noProof/>
        </w:rPr>
        <w:t>3. Gan dochar do chomhlíonadh dhlí ábhartha an Aontais, déanf</w:t>
      </w:r>
      <w:r>
        <w:rPr>
          <w:noProof/>
        </w:rPr>
        <w:t>aidh ÚNRanna aon Chinneadh a chomhlíonadh agus aon tuairim, aon mholadh, nó aon dea-chleachtas a ghlacfaidh BEREC a chur san áireamh go huile agus go hiomlán d'fhonn cur chun feidhme comhsheasmhach an chreata rialála do chumarsáid leictreonach a áirithiú l</w:t>
      </w:r>
      <w:r>
        <w:rPr>
          <w:noProof/>
        </w:rPr>
        <w:t>aistigh den raon feidhme dá dtagraítear in Airteagal 1(2).</w:t>
      </w:r>
    </w:p>
    <w:p w:rsidR="00526EFA" w:rsidRDefault="005C4D05">
      <w:pPr>
        <w:rPr>
          <w:noProof/>
        </w:rPr>
      </w:pPr>
      <w:r>
        <w:rPr>
          <w:noProof/>
        </w:rPr>
        <w:t>4. A mhéid is gá chun na cuspóirí a leagtar amach sa Rialachán seo a bhaint amach agus chun a chúraimí a dhéanamh, féadfaidh BEREC oibriú i gcomhar le comhlachtaí inniúla de chuid an Aontais, gníom</w:t>
      </w:r>
      <w:r>
        <w:rPr>
          <w:noProof/>
        </w:rPr>
        <w:t>haireachtaí, oifigí agus grúpaí comhairleacha, údaráis inniúla tríú tíortha agus/nó le heagraíochtaí idirnáisiúnta, i gcomhréir le hAirteagal 26.</w:t>
      </w:r>
    </w:p>
    <w:p w:rsidR="00526EFA" w:rsidRDefault="005C4D05">
      <w:pPr>
        <w:pStyle w:val="SectionTitle"/>
        <w:autoSpaceDE w:val="0"/>
        <w:autoSpaceDN w:val="0"/>
        <w:rPr>
          <w:rFonts w:eastAsiaTheme="minorEastAsia"/>
          <w:bCs/>
          <w:noProof/>
          <w:szCs w:val="28"/>
        </w:rPr>
      </w:pPr>
      <w:r>
        <w:rPr>
          <w:noProof/>
        </w:rPr>
        <w:t>Caibidil II</w:t>
      </w:r>
    </w:p>
    <w:p w:rsidR="00526EFA" w:rsidRDefault="005C4D05">
      <w:pPr>
        <w:pStyle w:val="SectionTitle"/>
        <w:autoSpaceDE w:val="0"/>
        <w:autoSpaceDN w:val="0"/>
        <w:rPr>
          <w:rFonts w:eastAsiaTheme="minorEastAsia"/>
          <w:bCs/>
          <w:noProof/>
          <w:szCs w:val="28"/>
        </w:rPr>
      </w:pPr>
      <w:r>
        <w:rPr>
          <w:noProof/>
        </w:rPr>
        <w:t>eagrúchán</w:t>
      </w:r>
    </w:p>
    <w:p w:rsidR="00526EFA" w:rsidRDefault="005C4D05">
      <w:pPr>
        <w:pStyle w:val="Titrearticle"/>
        <w:rPr>
          <w:noProof/>
        </w:rPr>
      </w:pPr>
      <w:r>
        <w:rPr>
          <w:noProof/>
        </w:rPr>
        <w:t>Airteagal 3</w:t>
      </w:r>
    </w:p>
    <w:p w:rsidR="00526EFA" w:rsidRDefault="005C4D05">
      <w:pPr>
        <w:pStyle w:val="NormalCentered"/>
        <w:autoSpaceDE w:val="0"/>
        <w:autoSpaceDN w:val="0"/>
        <w:rPr>
          <w:rFonts w:eastAsiaTheme="minorEastAsia"/>
          <w:b/>
          <w:bCs/>
          <w:noProof/>
          <w:szCs w:val="24"/>
        </w:rPr>
      </w:pPr>
      <w:r>
        <w:rPr>
          <w:b/>
          <w:noProof/>
        </w:rPr>
        <w:t>Struchtúr Riaracháin agus Bainistíochta</w:t>
      </w:r>
    </w:p>
    <w:p w:rsidR="00526EFA" w:rsidRDefault="005C4D05">
      <w:pPr>
        <w:rPr>
          <w:noProof/>
        </w:rPr>
      </w:pPr>
      <w:r>
        <w:rPr>
          <w:noProof/>
        </w:rPr>
        <w:t xml:space="preserve">1. Is mar seo a leanas a bheidh </w:t>
      </w:r>
      <w:r>
        <w:rPr>
          <w:noProof/>
        </w:rPr>
        <w:t>struchtúr riaracháin agus bainistíochta BEREC:</w:t>
      </w:r>
    </w:p>
    <w:p w:rsidR="00526EFA" w:rsidRDefault="005C4D05">
      <w:pPr>
        <w:pStyle w:val="Tiret0"/>
        <w:rPr>
          <w:noProof/>
        </w:rPr>
      </w:pPr>
      <w:r>
        <w:rPr>
          <w:noProof/>
        </w:rPr>
        <w:t>Bord Bainistíochta, a fheidhmeoidh na feidhmeanna a leagtar amach in Airteagal 5;</w:t>
      </w:r>
    </w:p>
    <w:p w:rsidR="00526EFA" w:rsidRDefault="005C4D05">
      <w:pPr>
        <w:pStyle w:val="Tiret0"/>
        <w:rPr>
          <w:noProof/>
        </w:rPr>
      </w:pPr>
      <w:r>
        <w:rPr>
          <w:noProof/>
        </w:rPr>
        <w:t>Stiúrthóir Feidhmiúcháin, a chomhlíonfaidh na freagrachtaí a leagtar amach in Airteagal 9;</w:t>
      </w:r>
    </w:p>
    <w:p w:rsidR="00526EFA" w:rsidRDefault="005C4D05">
      <w:pPr>
        <w:pStyle w:val="Tiret0"/>
        <w:rPr>
          <w:noProof/>
        </w:rPr>
      </w:pPr>
      <w:r>
        <w:rPr>
          <w:noProof/>
        </w:rPr>
        <w:t>Meithleacha;</w:t>
      </w:r>
    </w:p>
    <w:p w:rsidR="00526EFA" w:rsidRDefault="005C4D05">
      <w:pPr>
        <w:pStyle w:val="Tiret0"/>
        <w:rPr>
          <w:noProof/>
        </w:rPr>
      </w:pPr>
      <w:r>
        <w:rPr>
          <w:noProof/>
        </w:rPr>
        <w:t>Bord Achomhairc.</w:t>
      </w:r>
    </w:p>
    <w:p w:rsidR="00526EFA" w:rsidRDefault="005C4D05">
      <w:pPr>
        <w:pStyle w:val="SectionTitle"/>
        <w:autoSpaceDE w:val="0"/>
        <w:autoSpaceDN w:val="0"/>
        <w:rPr>
          <w:rFonts w:eastAsiaTheme="minorEastAsia"/>
          <w:bCs/>
          <w:noProof/>
          <w:szCs w:val="28"/>
        </w:rPr>
      </w:pPr>
      <w:r>
        <w:rPr>
          <w:noProof/>
        </w:rPr>
        <w:t>Roinn </w:t>
      </w:r>
      <w:r>
        <w:rPr>
          <w:noProof/>
        </w:rPr>
        <w:t>1</w:t>
      </w:r>
    </w:p>
    <w:p w:rsidR="00526EFA" w:rsidRDefault="005C4D05">
      <w:pPr>
        <w:pStyle w:val="SectionTitle"/>
        <w:autoSpaceDE w:val="0"/>
        <w:autoSpaceDN w:val="0"/>
        <w:rPr>
          <w:noProof/>
          <w:sz w:val="24"/>
          <w:szCs w:val="24"/>
        </w:rPr>
      </w:pPr>
      <w:r>
        <w:rPr>
          <w:noProof/>
          <w:sz w:val="24"/>
        </w:rPr>
        <w:t xml:space="preserve">bord bainistíochta </w:t>
      </w:r>
    </w:p>
    <w:p w:rsidR="00526EFA" w:rsidRDefault="005C4D05">
      <w:pPr>
        <w:pStyle w:val="Titrearticle"/>
        <w:rPr>
          <w:noProof/>
        </w:rPr>
      </w:pPr>
      <w:r>
        <w:rPr>
          <w:noProof/>
        </w:rPr>
        <w:t>Airteagal 4</w:t>
      </w:r>
    </w:p>
    <w:p w:rsidR="00526EFA" w:rsidRDefault="005C4D05">
      <w:pPr>
        <w:pStyle w:val="NormalCentered"/>
        <w:autoSpaceDE w:val="0"/>
        <w:autoSpaceDN w:val="0"/>
        <w:rPr>
          <w:b/>
          <w:bCs/>
          <w:noProof/>
          <w:szCs w:val="24"/>
        </w:rPr>
      </w:pPr>
      <w:r>
        <w:rPr>
          <w:b/>
          <w:noProof/>
        </w:rPr>
        <w:t>Comhdhéanamh an Bhoird Bainistíochta</w:t>
      </w:r>
    </w:p>
    <w:p w:rsidR="00526EFA" w:rsidRDefault="005C4D05">
      <w:pPr>
        <w:rPr>
          <w:noProof/>
        </w:rPr>
      </w:pPr>
      <w:r>
        <w:rPr>
          <w:noProof/>
        </w:rPr>
        <w:t>1. Ar an mBord Bainistíochta beidh ionadaí amháin ó gach Ballstát agus beirt ionadaithe ón gCoimisiún, agus cearta vótála acu go léir. Beidh gach ÚNR freagrach as a n</w:t>
      </w:r>
      <w:r>
        <w:rPr>
          <w:noProof/>
        </w:rPr>
        <w:noBreakHyphen/>
        <w:t xml:space="preserve">ionadaithe féin a </w:t>
      </w:r>
      <w:r>
        <w:rPr>
          <w:noProof/>
        </w:rPr>
        <w:t>ainmniú agus is é Ceann chomhlacht coláisteach an údaráis sin nó is ball de a roghnóidh sé.</w:t>
      </w:r>
    </w:p>
    <w:p w:rsidR="00526EFA" w:rsidRDefault="005C4D05">
      <w:pPr>
        <w:rPr>
          <w:noProof/>
        </w:rPr>
      </w:pPr>
      <w:r>
        <w:rPr>
          <w:noProof/>
        </w:rPr>
        <w:t>I gcás na mBallstát ina bhfuil níos mó ná ÚNR amháin freagrach de réir na Treorach, aontóidh na húdaráis sin ar ionadaí amháin a bheidh i gcoiteann acu go léir agus</w:t>
      </w:r>
      <w:r>
        <w:rPr>
          <w:noProof/>
        </w:rPr>
        <w:t xml:space="preserve"> déanfar an comhordú is gá idir na hÚNRanna a áirithiú.</w:t>
      </w:r>
    </w:p>
    <w:p w:rsidR="00526EFA" w:rsidRDefault="005C4D05">
      <w:pPr>
        <w:rPr>
          <w:noProof/>
        </w:rPr>
      </w:pPr>
      <w:r>
        <w:rPr>
          <w:noProof/>
        </w:rPr>
        <w:t xml:space="preserve">2. Beidh comhalta malartach ag gach comhalta den Bhord Bainistíochta. Déanfaidh an comhalta malartach ionadaíocht don chomhalta agus é as láthair. Beidh gach ÚNR freagrach as an gcomhalta malartach a </w:t>
      </w:r>
      <w:r>
        <w:rPr>
          <w:noProof/>
        </w:rPr>
        <w:t>ainmniú agus is duine de Chinn an ÚNR sin, duine de bhaill a chomhlachta choláistigh nó duine de bhaill foirne an ÚNR sin a roghnóidh sé.</w:t>
      </w:r>
    </w:p>
    <w:p w:rsidR="00526EFA" w:rsidRDefault="005C4D05">
      <w:pPr>
        <w:rPr>
          <w:noProof/>
        </w:rPr>
      </w:pPr>
      <w:r>
        <w:rPr>
          <w:noProof/>
        </w:rPr>
        <w:t>3. Ceapfar comhaltaí an Bhoird agus a gcomhaltaí malartacha ar bhonn a gcuid eolais i réimse na cumarsáide leictreonaí</w:t>
      </w:r>
      <w:r>
        <w:rPr>
          <w:noProof/>
        </w:rPr>
        <w:t>, agus na scileanna ábhartha bainistíochta, riaracháin agus buiséadacha á gcur san áireamh. Déanfaidh na páirtithe uile a mbeidh ionadaíocht acu ar an mBord Bainistíochta iarracht ráta athrúcháin a n</w:t>
      </w:r>
      <w:r>
        <w:rPr>
          <w:noProof/>
        </w:rPr>
        <w:noBreakHyphen/>
        <w:t>ionadaithe a theorannú, chun leanúnachas obair an bhoird</w:t>
      </w:r>
      <w:r>
        <w:rPr>
          <w:noProof/>
        </w:rPr>
        <w:t xml:space="preserve"> a áirithiú. Díreoidh na páirtithe uile ar ionadaíocht chothrom idir fir agus mná ar an mBord Bainistíochta a bhaint amach.</w:t>
      </w:r>
    </w:p>
    <w:p w:rsidR="00526EFA" w:rsidRDefault="005C4D05">
      <w:pPr>
        <w:rPr>
          <w:noProof/>
        </w:rPr>
      </w:pPr>
      <w:r>
        <w:rPr>
          <w:noProof/>
        </w:rPr>
        <w:t>4. Mairfidh téarma oifige chomhaltaí an Choiste agus a gcomhaltaí malartacha ceithre bliana. Féadfar síneadh a chur leis an tréimhse</w:t>
      </w:r>
      <w:r>
        <w:rPr>
          <w:noProof/>
        </w:rPr>
        <w:t xml:space="preserve"> sin.</w:t>
      </w:r>
    </w:p>
    <w:p w:rsidR="00526EFA" w:rsidRDefault="005C4D05">
      <w:pPr>
        <w:pStyle w:val="Titrearticle"/>
        <w:rPr>
          <w:noProof/>
        </w:rPr>
      </w:pPr>
      <w:r>
        <w:rPr>
          <w:noProof/>
        </w:rPr>
        <w:t>Airteagal 5</w:t>
      </w:r>
    </w:p>
    <w:p w:rsidR="00526EFA" w:rsidRDefault="005C4D05">
      <w:pPr>
        <w:pStyle w:val="NormalCentered"/>
        <w:autoSpaceDE w:val="0"/>
        <w:autoSpaceDN w:val="0"/>
        <w:rPr>
          <w:b/>
          <w:bCs/>
          <w:noProof/>
          <w:szCs w:val="24"/>
        </w:rPr>
      </w:pPr>
      <w:r>
        <w:rPr>
          <w:b/>
          <w:noProof/>
        </w:rPr>
        <w:t>Feidhmeanna an Bhoird Bainistíochta</w:t>
      </w:r>
    </w:p>
    <w:p w:rsidR="00526EFA" w:rsidRDefault="005C4D05">
      <w:pPr>
        <w:rPr>
          <w:noProof/>
        </w:rPr>
      </w:pPr>
      <w:r>
        <w:rPr>
          <w:noProof/>
        </w:rPr>
        <w:t>1. Déanfaidh an Bord Bainistíochta an méid seo a leanas:</w:t>
      </w:r>
    </w:p>
    <w:p w:rsidR="00526EFA" w:rsidRDefault="005C4D05">
      <w:pPr>
        <w:pStyle w:val="Point0letter"/>
        <w:numPr>
          <w:ilvl w:val="1"/>
          <w:numId w:val="22"/>
        </w:numPr>
        <w:rPr>
          <w:noProof/>
        </w:rPr>
      </w:pPr>
      <w:r>
        <w:rPr>
          <w:noProof/>
        </w:rPr>
        <w:t>treoracha ginearálta i dtaca le gníomhaíochtaí BEREC a thabhairt agus doiciméad aonair clársceidealaithe BEREC a ghlacadh gach bliain trí thromla</w:t>
      </w:r>
      <w:r>
        <w:rPr>
          <w:noProof/>
        </w:rPr>
        <w:t>ch dhá thrian de na comhaltaí a bhfuil ceart vótála acu, agus an tuairim ón gCoimisiún á cur san áireamh aige, agus i gcomhréir le hAirteagal 15;</w:t>
      </w:r>
    </w:p>
    <w:p w:rsidR="00526EFA" w:rsidRDefault="005C4D05">
      <w:pPr>
        <w:pStyle w:val="Point0letter"/>
        <w:rPr>
          <w:noProof/>
        </w:rPr>
      </w:pPr>
      <w:r>
        <w:rPr>
          <w:noProof/>
        </w:rPr>
        <w:t>buiséad bliantúil BEREC a ghlacadh trí thromlach dhá thrian de na comhaltaí a bhfuil ceart vótála acu agus fei</w:t>
      </w:r>
      <w:r>
        <w:rPr>
          <w:noProof/>
        </w:rPr>
        <w:t>dhmeanna eile a fheidhmiú i dtaobh bhuiséad BEREC de bhun Chaibidil III;</w:t>
      </w:r>
    </w:p>
    <w:p w:rsidR="00526EFA" w:rsidRDefault="005C4D05">
      <w:pPr>
        <w:pStyle w:val="Point0letter"/>
        <w:rPr>
          <w:noProof/>
        </w:rPr>
      </w:pPr>
      <w:r>
        <w:rPr>
          <w:noProof/>
        </w:rPr>
        <w:t xml:space="preserve">measúnú ar an tuarascáil ghníomhaíochta bhliantúil chomhdhlúite ar ghníomhaíochtaí BEREC a ghlacadh, dul ar aghaidh leis, agus an tuarascáil agus an measúnú araon a sheoladh, faoin 1 </w:t>
      </w:r>
      <w:r>
        <w:rPr>
          <w:noProof/>
        </w:rPr>
        <w:t>Iúil gach bliain, chuig Parlaimint na hEorpa, chuig an gComhairle, chuig an gCoimisiún agus chuig an gCúirt Iniúchóirí. Cuirfear an tuarascáil ghníomhaíochta bhliantúil chomhdhlúite ar fáil don phobal;</w:t>
      </w:r>
    </w:p>
    <w:p w:rsidR="00526EFA" w:rsidRDefault="005C4D05">
      <w:pPr>
        <w:pStyle w:val="Point0letter"/>
        <w:rPr>
          <w:noProof/>
        </w:rPr>
      </w:pPr>
      <w:r>
        <w:rPr>
          <w:noProof/>
        </w:rPr>
        <w:t>na rialacha airgeadais is infheidhme maidir le BEREC a</w:t>
      </w:r>
      <w:r>
        <w:rPr>
          <w:noProof/>
        </w:rPr>
        <w:t xml:space="preserve"> ghlacadh i gcomhréir le hAirteagal 20;</w:t>
      </w:r>
    </w:p>
    <w:p w:rsidR="00526EFA" w:rsidRDefault="005C4D05">
      <w:pPr>
        <w:pStyle w:val="Point0letter"/>
        <w:rPr>
          <w:noProof/>
        </w:rPr>
      </w:pPr>
      <w:r>
        <w:rPr>
          <w:noProof/>
        </w:rPr>
        <w:t>straitéis frithchalaoise a ghlacadh atá comhréireach leis na rioscaí calaoise agus costais agus tairbhí na mbeart atá le cur chun feidhme á gcur san áireamh;</w:t>
      </w:r>
    </w:p>
    <w:p w:rsidR="00526EFA" w:rsidRDefault="005C4D05">
      <w:pPr>
        <w:pStyle w:val="Point0letter"/>
        <w:rPr>
          <w:noProof/>
        </w:rPr>
      </w:pPr>
      <w:r>
        <w:rPr>
          <w:noProof/>
        </w:rPr>
        <w:t>obair leantach leordhóthanach a áirithiú i dtaca leis na t</w:t>
      </w:r>
      <w:r>
        <w:rPr>
          <w:noProof/>
        </w:rPr>
        <w:t>orthaí agus na moltaí a eascróidh as na tuarascálacha iniúchóireachta inmheánacha nó seachtracha agus as na meastóireachtaí inmheánacha nó seachtracha, agus as imscrúduithe de chuid na hOifige Eorpaí Frithchalaoise ("OLAF");</w:t>
      </w:r>
    </w:p>
    <w:p w:rsidR="00526EFA" w:rsidRDefault="005C4D05">
      <w:pPr>
        <w:pStyle w:val="Point0letter"/>
        <w:rPr>
          <w:noProof/>
        </w:rPr>
      </w:pPr>
      <w:r>
        <w:rPr>
          <w:noProof/>
        </w:rPr>
        <w:t>rialacha a ghlacadh chun na coi</w:t>
      </w:r>
      <w:r>
        <w:rPr>
          <w:noProof/>
        </w:rPr>
        <w:t>nbhleachtaí leasa dá dtagraítear in Airteagal 31 mar aon le coinbhleachtaí leasa i dtaca le comhaltaí an Bhoird Achomhairc a chosc agus a bhainistiú;</w:t>
      </w:r>
    </w:p>
    <w:p w:rsidR="00526EFA" w:rsidRDefault="005C4D05">
      <w:pPr>
        <w:pStyle w:val="Point0letter"/>
        <w:rPr>
          <w:noProof/>
        </w:rPr>
      </w:pPr>
      <w:r>
        <w:rPr>
          <w:noProof/>
        </w:rPr>
        <w:t>na pleananna cumarsáide agus scaipthe dá dtagraítear in Airteagal 27 a ghlacadh agus a thabhairt cothrom l</w:t>
      </w:r>
      <w:r>
        <w:rPr>
          <w:noProof/>
        </w:rPr>
        <w:t>e dáta ar bhonn rialta, bunaithe ar anailís ar na riachtanais;</w:t>
      </w:r>
    </w:p>
    <w:p w:rsidR="00526EFA" w:rsidRDefault="005C4D05">
      <w:pPr>
        <w:pStyle w:val="Point0letter"/>
        <w:rPr>
          <w:noProof/>
        </w:rPr>
      </w:pPr>
      <w:r>
        <w:rPr>
          <w:noProof/>
        </w:rPr>
        <w:t>a rialacha nós imeachta a ghlacadh;</w:t>
      </w:r>
    </w:p>
    <w:p w:rsidR="00526EFA" w:rsidRDefault="005C4D05">
      <w:pPr>
        <w:pStyle w:val="Point0letter"/>
        <w:rPr>
          <w:noProof/>
        </w:rPr>
      </w:pPr>
      <w:r>
        <w:rPr>
          <w:noProof/>
        </w:rPr>
        <w:t xml:space="preserve">na cumhachtaí a tugadh don Údarás Ceapacháin faoi na Rialacháin Foirne agus don Údarás atá Cumhachtaithe Conradh Fostaíochta a Thabhairt i gCrích faoi </w:t>
      </w:r>
      <w:r>
        <w:rPr>
          <w:noProof/>
        </w:rPr>
        <w:t>Choinníollacha Fostaíochta Seirbhíseach Eile</w:t>
      </w:r>
      <w:r>
        <w:rPr>
          <w:rStyle w:val="FootnoteReference"/>
          <w:noProof/>
        </w:rPr>
        <w:footnoteReference w:id="37"/>
      </w:r>
      <w:r>
        <w:rPr>
          <w:noProof/>
        </w:rPr>
        <w:t xml:space="preserve"> ("cumhachtaí an údaráis ceapacháin"), na cumhachtaí sin a fheidhmiú i leith bhaill foirne BEREC agus i gcomhréir le mír 2;</w:t>
      </w:r>
    </w:p>
    <w:p w:rsidR="00526EFA" w:rsidRDefault="005C4D05">
      <w:pPr>
        <w:pStyle w:val="Point0letter"/>
        <w:rPr>
          <w:noProof/>
        </w:rPr>
      </w:pPr>
      <w:r>
        <w:rPr>
          <w:noProof/>
        </w:rPr>
        <w:t>rialacha cur chun feidhme a ghlacadh chun feidhm a thabhairt do na Rialacháin Foirne ag</w:t>
      </w:r>
      <w:r>
        <w:rPr>
          <w:noProof/>
        </w:rPr>
        <w:t>us do Choinníollacha Fostaíochta Seirbhíseach Eile i gcomhréir le hAirteagal 110 de na Rialacháin Foirne;</w:t>
      </w:r>
    </w:p>
    <w:p w:rsidR="00526EFA" w:rsidRDefault="005C4D05">
      <w:pPr>
        <w:pStyle w:val="Point0letter"/>
        <w:rPr>
          <w:noProof/>
        </w:rPr>
      </w:pPr>
      <w:r>
        <w:rPr>
          <w:noProof/>
        </w:rPr>
        <w:t>tabhairt chun críche socruithe oibre le comhlachtaí inniúla de chuid an Aontais, gníomhaireachtaí, oifigí agus grúpaí comhairleacha; le húdaráis inniú</w:t>
      </w:r>
      <w:r>
        <w:rPr>
          <w:noProof/>
        </w:rPr>
        <w:t>la tríú tíortha agus/nó le heagraíochtaí idirnáisiúnta a údarú i gcomhréir le hAirteagal 26;</w:t>
      </w:r>
    </w:p>
    <w:p w:rsidR="00526EFA" w:rsidRDefault="005C4D05">
      <w:pPr>
        <w:pStyle w:val="Point0letter"/>
        <w:rPr>
          <w:noProof/>
        </w:rPr>
      </w:pPr>
      <w:r>
        <w:rPr>
          <w:noProof/>
        </w:rPr>
        <w:t>an Stiúrthóir Feidhmiúcháin a cheapadh agus, más iomchuí, síneadh a chur lena théarma oifige nó é a chur as oifig i gcomhréir le hAirteagal 22;</w:t>
      </w:r>
    </w:p>
    <w:p w:rsidR="00526EFA" w:rsidRDefault="005C4D05">
      <w:pPr>
        <w:pStyle w:val="Point0letter"/>
        <w:rPr>
          <w:noProof/>
        </w:rPr>
      </w:pPr>
      <w:r>
        <w:rPr>
          <w:noProof/>
        </w:rPr>
        <w:t>Oifigeach Cuntasaío</w:t>
      </w:r>
      <w:r>
        <w:rPr>
          <w:noProof/>
        </w:rPr>
        <w:t>chta a cheapadh, faoi réir na Rialachán Foirne agus Coinníollacha Fostaíochta Seirbhíseach Eile, a bheidh go hiomlán neamhspleách agus é ag comhlíonadh a chuid dualgas. Féadfaidh BEREC Oifigeach Cuntasaíochta an Choimisiún a cheapadh mar Oifigeach Cuntasaí</w:t>
      </w:r>
      <w:r>
        <w:rPr>
          <w:noProof/>
        </w:rPr>
        <w:t xml:space="preserve">ochta BEREC; </w:t>
      </w:r>
    </w:p>
    <w:p w:rsidR="00526EFA" w:rsidRDefault="005C4D05">
      <w:pPr>
        <w:pStyle w:val="Point0letter"/>
        <w:rPr>
          <w:noProof/>
        </w:rPr>
      </w:pPr>
      <w:r>
        <w:rPr>
          <w:noProof/>
        </w:rPr>
        <w:t>comhaltaí an Bhoird Achomhairc a cheapadh;</w:t>
      </w:r>
    </w:p>
    <w:p w:rsidR="00526EFA" w:rsidRDefault="005C4D05">
      <w:pPr>
        <w:pStyle w:val="Point0letter"/>
        <w:rPr>
          <w:noProof/>
        </w:rPr>
      </w:pPr>
      <w:r>
        <w:rPr>
          <w:noProof/>
        </w:rPr>
        <w:t xml:space="preserve">gach Cinneadh a dhéanamh maidir le bunú struchtúir inmheánacha BEREC agus, más gá, maidir le modhnú na struchtúr sin, agus riachtanais ghníomhaíochtaí BEREC á gcur san áireamh chomh maith le haird a </w:t>
      </w:r>
      <w:r>
        <w:rPr>
          <w:noProof/>
        </w:rPr>
        <w:t>thabhairt ar bhainistiú buiséadach fónta.</w:t>
      </w:r>
    </w:p>
    <w:p w:rsidR="00526EFA" w:rsidRDefault="005C4D05">
      <w:pPr>
        <w:keepLines/>
        <w:autoSpaceDE w:val="0"/>
        <w:autoSpaceDN w:val="0"/>
        <w:adjustRightInd w:val="0"/>
        <w:rPr>
          <w:noProof/>
        </w:rPr>
      </w:pPr>
      <w:r>
        <w:rPr>
          <w:noProof/>
        </w:rPr>
        <w:t xml:space="preserve">2. Glacfaidh an Bord Bainistíochta, i gcomhréir le hAirteagal 110 de na Rialacháin Foirne, Cinneadh bunaithe ar Airteagal 2(1) de na Rialacháin Foirne agus ar Airteagal 6 de Choinníollacha Fostaíochta Seirbhíseach </w:t>
      </w:r>
      <w:r>
        <w:rPr>
          <w:noProof/>
        </w:rPr>
        <w:t>Eile, lena ndéantar cumhachtaí ábhartha an údaráis ceapacháin a tharmligean chuig an Stiúrthóir Feidhmiúcháin agus lena sainítear na coinníollacha faoinar féidir an tarmligean cumhachtaí sin a chur ar fionraí. Údarófar don Stiúrthóir Feidhmiúcháin na cumha</w:t>
      </w:r>
      <w:r>
        <w:rPr>
          <w:noProof/>
        </w:rPr>
        <w:t>chtaí sin a fho-tharmligean.</w:t>
      </w:r>
    </w:p>
    <w:p w:rsidR="00526EFA" w:rsidRDefault="005C4D05">
      <w:pPr>
        <w:rPr>
          <w:noProof/>
        </w:rPr>
      </w:pPr>
      <w:r>
        <w:rPr>
          <w:noProof/>
        </w:rPr>
        <w:t>Más rud é gur gá sin de dheasca imthosca eisceachtúla, féadfaidh an Bord Bainistíochta, trí bhíthin cinneadh, tarmligean chumhachtaí an údaráis ceapacháin chuig an Stiúrthóir Feidhmiúcháin a chur ar fionraí go sealadach chomh m</w:t>
      </w:r>
      <w:r>
        <w:rPr>
          <w:noProof/>
        </w:rPr>
        <w:t>aith leis na cumhachtaí arna bhfo</w:t>
      </w:r>
      <w:r>
        <w:rPr>
          <w:noProof/>
        </w:rPr>
        <w:noBreakHyphen/>
        <w:t>tharmligean ag an Stiúrthóir Feidhmiúcháin a chur ar fionraí go sealadach agus iad a fheidhmiú é féin, nó iad a tharmligean chuig duine dá chomhaltaí nó chuig ball foirne eile seachas an Stiúrthóir Feidhmiúcháin.</w:t>
      </w:r>
    </w:p>
    <w:p w:rsidR="00526EFA" w:rsidRDefault="005C4D05">
      <w:pPr>
        <w:pStyle w:val="Titrearticle"/>
        <w:rPr>
          <w:noProof/>
        </w:rPr>
      </w:pPr>
      <w:r>
        <w:rPr>
          <w:noProof/>
        </w:rPr>
        <w:t>Airteagal</w:t>
      </w:r>
      <w:r>
        <w:rPr>
          <w:noProof/>
        </w:rPr>
        <w:t> 6</w:t>
      </w:r>
    </w:p>
    <w:p w:rsidR="00526EFA" w:rsidRDefault="005C4D05">
      <w:pPr>
        <w:pStyle w:val="NormalCentered"/>
        <w:autoSpaceDE w:val="0"/>
        <w:autoSpaceDN w:val="0"/>
        <w:rPr>
          <w:b/>
          <w:bCs/>
          <w:noProof/>
          <w:szCs w:val="24"/>
        </w:rPr>
      </w:pPr>
      <w:r>
        <w:rPr>
          <w:b/>
          <w:noProof/>
        </w:rPr>
        <w:t>Cathaoirleach agus Leaschathaoirleach an Bhoird Bainistíochta</w:t>
      </w:r>
    </w:p>
    <w:p w:rsidR="00526EFA" w:rsidRDefault="005C4D05">
      <w:pPr>
        <w:rPr>
          <w:noProof/>
        </w:rPr>
      </w:pPr>
      <w:r>
        <w:rPr>
          <w:noProof/>
        </w:rPr>
        <w:t>1. Toghfaidh an Bord Bainistíochta Cathaoirleach agus Leaschathaoirleach agus is comhalta a bhfuil cearta vótála aige thar ceann na mBallstát a roghnóidh siad. Toghfar an Cathaoirleach agus a</w:t>
      </w:r>
      <w:r>
        <w:rPr>
          <w:noProof/>
        </w:rPr>
        <w:t>n Leaschathaoirleach trí thromlach dhá thrian de chomhaltaí an Bhoird Bainistíochta a bhfuil cearta vótála acu.</w:t>
      </w:r>
    </w:p>
    <w:p w:rsidR="00526EFA" w:rsidRDefault="005C4D05">
      <w:pPr>
        <w:rPr>
          <w:rFonts w:eastAsia="Calibri"/>
          <w:noProof/>
        </w:rPr>
      </w:pPr>
      <w:r>
        <w:rPr>
          <w:noProof/>
        </w:rPr>
        <w:t>2. Rachaidh an Leaschathaoirleach uaidh féin in ionad an Chathaoirligh i gcás ina gcuirfear bac air a chuid dualgas a chomhlíonadh.</w:t>
      </w:r>
    </w:p>
    <w:p w:rsidR="00526EFA" w:rsidRDefault="005C4D05">
      <w:pPr>
        <w:keepLines/>
        <w:autoSpaceDE w:val="0"/>
        <w:autoSpaceDN w:val="0"/>
        <w:adjustRightInd w:val="0"/>
        <w:rPr>
          <w:noProof/>
        </w:rPr>
      </w:pPr>
      <w:r>
        <w:rPr>
          <w:noProof/>
        </w:rPr>
        <w:t>3. Ceithre b</w:t>
      </w:r>
      <w:r>
        <w:rPr>
          <w:noProof/>
        </w:rPr>
        <w:t>liana a bheidh i dtéarma oifige an Chathaoirligh agus an Leaschathaoirligh cé is moite de chéad téarma oifige an Leaschathaoirligh a thoghfar tar éis don Rialachán seo teacht i bhfeidhm, agus mairfidh an téarma sin dhá bhliain. Féadfar a dtéarma oifige a a</w:t>
      </w:r>
      <w:r>
        <w:rPr>
          <w:noProof/>
        </w:rPr>
        <w:t>thnuachan aon uair amháin.</w:t>
      </w:r>
    </w:p>
    <w:p w:rsidR="00526EFA" w:rsidRDefault="005C4D05">
      <w:pPr>
        <w:pStyle w:val="Titrearticle"/>
        <w:rPr>
          <w:noProof/>
        </w:rPr>
      </w:pPr>
      <w:r>
        <w:rPr>
          <w:noProof/>
        </w:rPr>
        <w:t>Airteagal 7</w:t>
      </w:r>
    </w:p>
    <w:p w:rsidR="00526EFA" w:rsidRDefault="005C4D05">
      <w:pPr>
        <w:pStyle w:val="NormalCentered"/>
        <w:autoSpaceDE w:val="0"/>
        <w:autoSpaceDN w:val="0"/>
        <w:rPr>
          <w:b/>
          <w:bCs/>
          <w:noProof/>
          <w:szCs w:val="24"/>
        </w:rPr>
      </w:pPr>
      <w:r>
        <w:rPr>
          <w:b/>
          <w:noProof/>
        </w:rPr>
        <w:t>Cruinnithe an Bhoird Bainistíochta</w:t>
      </w:r>
    </w:p>
    <w:p w:rsidR="00526EFA" w:rsidRDefault="005C4D05">
      <w:pPr>
        <w:rPr>
          <w:noProof/>
        </w:rPr>
      </w:pPr>
      <w:r>
        <w:rPr>
          <w:noProof/>
        </w:rPr>
        <w:t>1. Déanfaidh an Cathaoirleach cruinnithe an Bhoird Bainistíochta a thionól.</w:t>
      </w:r>
    </w:p>
    <w:p w:rsidR="00526EFA" w:rsidRDefault="005C4D05">
      <w:pPr>
        <w:rPr>
          <w:noProof/>
        </w:rPr>
      </w:pPr>
      <w:r>
        <w:rPr>
          <w:noProof/>
        </w:rPr>
        <w:t>2. Glacfaidh Stiúrthóir Feidhmiúcháin BEREC páirt sa phlé ach ní bheidh ceart vótála aige.</w:t>
      </w:r>
    </w:p>
    <w:p w:rsidR="00526EFA" w:rsidRDefault="005C4D05">
      <w:pPr>
        <w:rPr>
          <w:noProof/>
        </w:rPr>
      </w:pPr>
      <w:r>
        <w:rPr>
          <w:noProof/>
        </w:rPr>
        <w:t>3. Tionólfar ar</w:t>
      </w:r>
      <w:r>
        <w:rPr>
          <w:noProof/>
        </w:rPr>
        <w:t xml:space="preserve"> a laghad dhá ghnáthchruinniú de chuid an Bhoird Bainistíochta in aghaidh na bliana. Ina theannta sin, reáchtálfaidh sé cruinnithe ar thionscnamh a Chathaoirligh, arna iarraidh sin don Choimisiún nó do thrian dá chomhaltaí ar a laghad.</w:t>
      </w:r>
    </w:p>
    <w:p w:rsidR="00526EFA" w:rsidRDefault="005C4D05">
      <w:pPr>
        <w:rPr>
          <w:noProof/>
        </w:rPr>
      </w:pPr>
      <w:r>
        <w:rPr>
          <w:noProof/>
        </w:rPr>
        <w:t>4. Féadfaidh an Bord</w:t>
      </w:r>
      <w:r>
        <w:rPr>
          <w:noProof/>
        </w:rPr>
        <w:t xml:space="preserve"> Bainistíochta cuireadh a thabhairt d'aon duine ar féidir tuairimí ábhartha a bheith aige freastal ar chruinnithe an Bhoird mar bhreathnóir.</w:t>
      </w:r>
    </w:p>
    <w:p w:rsidR="00526EFA" w:rsidRDefault="005C4D05">
      <w:pPr>
        <w:rPr>
          <w:noProof/>
        </w:rPr>
      </w:pPr>
      <w:r>
        <w:rPr>
          <w:noProof/>
        </w:rPr>
        <w:t>5. Faoi réir a rialacha nós imeachta, féadfaidh comhairleoirí nó saineolaithe bheith de chúnamh ag comhaltaí agus c</w:t>
      </w:r>
      <w:r>
        <w:rPr>
          <w:noProof/>
        </w:rPr>
        <w:t>omhaltaí malartacha an Bhoird Bainistíochta ag na cruinnithe.</w:t>
      </w:r>
    </w:p>
    <w:p w:rsidR="00526EFA" w:rsidRDefault="005C4D05">
      <w:pPr>
        <w:rPr>
          <w:noProof/>
        </w:rPr>
      </w:pPr>
      <w:r>
        <w:rPr>
          <w:noProof/>
        </w:rPr>
        <w:t>6. Cuirfidh BEREC an rúnaíocht ar fáil don Bhord Bainistíochta.</w:t>
      </w:r>
    </w:p>
    <w:p w:rsidR="00526EFA" w:rsidRDefault="005C4D05">
      <w:pPr>
        <w:pStyle w:val="Titrearticle"/>
        <w:rPr>
          <w:noProof/>
        </w:rPr>
      </w:pPr>
      <w:r>
        <w:rPr>
          <w:noProof/>
        </w:rPr>
        <w:t>Airteagal 8</w:t>
      </w:r>
    </w:p>
    <w:p w:rsidR="00526EFA" w:rsidRDefault="005C4D05">
      <w:pPr>
        <w:pStyle w:val="NormalCentered"/>
        <w:autoSpaceDE w:val="0"/>
        <w:autoSpaceDN w:val="0"/>
        <w:rPr>
          <w:b/>
          <w:bCs/>
          <w:noProof/>
        </w:rPr>
      </w:pPr>
      <w:r>
        <w:rPr>
          <w:b/>
          <w:noProof/>
        </w:rPr>
        <w:t>Rialacha vótála an Bhoird Bainistíochta</w:t>
      </w:r>
    </w:p>
    <w:p w:rsidR="00526EFA" w:rsidRDefault="005C4D05">
      <w:pPr>
        <w:rPr>
          <w:noProof/>
        </w:rPr>
      </w:pPr>
      <w:r>
        <w:rPr>
          <w:noProof/>
        </w:rPr>
        <w:t>1. Gan dochar d’Airteagal 5(1)(a) agus (b) agus d’Airteagal 22(8), déanfaidh a</w:t>
      </w:r>
      <w:r>
        <w:rPr>
          <w:noProof/>
        </w:rPr>
        <w:t>n Bord Bainistíochta cinntí trí thromlach de na comhaltaí a bhfuil cearta vótála acu.</w:t>
      </w:r>
    </w:p>
    <w:p w:rsidR="00526EFA" w:rsidRDefault="005C4D05">
      <w:pPr>
        <w:rPr>
          <w:noProof/>
        </w:rPr>
      </w:pPr>
      <w:r>
        <w:rPr>
          <w:noProof/>
        </w:rPr>
        <w:t xml:space="preserve">2. Beidh aon vóta amháin ag gach comhalta a bhfuil ceart vótála aige. Mura mbeidh comhalta a bhfuil ceart vótála aige i láthair, beidh a chomhalta malartach i dteideal a </w:t>
      </w:r>
      <w:r>
        <w:rPr>
          <w:noProof/>
        </w:rPr>
        <w:t>cheart vótála a fheidhmiú.</w:t>
      </w:r>
    </w:p>
    <w:p w:rsidR="00526EFA" w:rsidRDefault="005C4D05">
      <w:pPr>
        <w:rPr>
          <w:noProof/>
        </w:rPr>
      </w:pPr>
      <w:r>
        <w:rPr>
          <w:noProof/>
        </w:rPr>
        <w:t>3. Glacfaidh an Cathaoirleach páirt sa vótáil.</w:t>
      </w:r>
    </w:p>
    <w:p w:rsidR="00526EFA" w:rsidRDefault="005C4D05">
      <w:pPr>
        <w:rPr>
          <w:noProof/>
        </w:rPr>
      </w:pPr>
      <w:r>
        <w:rPr>
          <w:noProof/>
        </w:rPr>
        <w:t>4. Ní ghlacfaidh an Stiúrthóir Feidhmiúcháin páirt sa vótáil.</w:t>
      </w:r>
    </w:p>
    <w:p w:rsidR="00526EFA" w:rsidRDefault="005C4D05">
      <w:pPr>
        <w:rPr>
          <w:noProof/>
        </w:rPr>
      </w:pPr>
      <w:r>
        <w:rPr>
          <w:noProof/>
        </w:rPr>
        <w:t xml:space="preserve">5. Le rialacha nós imeachta an Bhoird Bainistíochta, leagfar síos socruithe vótála níos mionsonraithe, go háirithe na </w:t>
      </w:r>
      <w:r>
        <w:rPr>
          <w:noProof/>
        </w:rPr>
        <w:t>cúinsí ina bhféadfadh comhalta gníomhú thar ceann comhalta eile.</w:t>
      </w:r>
    </w:p>
    <w:p w:rsidR="00526EFA" w:rsidRDefault="005C4D05">
      <w:pPr>
        <w:pStyle w:val="SectionTitle"/>
        <w:autoSpaceDE w:val="0"/>
        <w:autoSpaceDN w:val="0"/>
        <w:rPr>
          <w:rFonts w:eastAsiaTheme="minorEastAsia"/>
          <w:bCs/>
          <w:noProof/>
          <w:szCs w:val="28"/>
        </w:rPr>
      </w:pPr>
      <w:r>
        <w:rPr>
          <w:noProof/>
        </w:rPr>
        <w:t>Roinn 2</w:t>
      </w:r>
    </w:p>
    <w:p w:rsidR="00526EFA" w:rsidRDefault="005C4D05">
      <w:pPr>
        <w:pStyle w:val="SectionTitle"/>
        <w:autoSpaceDE w:val="0"/>
        <w:autoSpaceDN w:val="0"/>
        <w:rPr>
          <w:noProof/>
          <w:sz w:val="24"/>
          <w:szCs w:val="24"/>
        </w:rPr>
      </w:pPr>
      <w:r>
        <w:rPr>
          <w:noProof/>
          <w:sz w:val="24"/>
        </w:rPr>
        <w:t>stiúrthóir feidhmiúcháin</w:t>
      </w:r>
    </w:p>
    <w:p w:rsidR="00526EFA" w:rsidRDefault="005C4D05">
      <w:pPr>
        <w:pStyle w:val="Titrearticle"/>
        <w:rPr>
          <w:noProof/>
        </w:rPr>
      </w:pPr>
      <w:r>
        <w:rPr>
          <w:noProof/>
        </w:rPr>
        <w:t>Airteagal 9</w:t>
      </w:r>
    </w:p>
    <w:p w:rsidR="00526EFA" w:rsidRDefault="005C4D05">
      <w:pPr>
        <w:pStyle w:val="NormalCentered"/>
        <w:autoSpaceDE w:val="0"/>
        <w:autoSpaceDN w:val="0"/>
        <w:rPr>
          <w:b/>
          <w:bCs/>
          <w:noProof/>
          <w:szCs w:val="24"/>
        </w:rPr>
      </w:pPr>
      <w:r>
        <w:rPr>
          <w:b/>
          <w:noProof/>
        </w:rPr>
        <w:t>Freagrachtaí an Stiúrthóra Feidhmiúcháin</w:t>
      </w:r>
    </w:p>
    <w:p w:rsidR="00526EFA" w:rsidRDefault="005C4D05">
      <w:pPr>
        <w:rPr>
          <w:noProof/>
          <w:szCs w:val="24"/>
        </w:rPr>
      </w:pPr>
      <w:r>
        <w:rPr>
          <w:noProof/>
        </w:rPr>
        <w:t xml:space="preserve">1. Déanfaidh an Stiúrthóir Feidhmiúcháin BEREC a bhainistiú. Beidh an Stiúrthóir Feidhmiúcháin freagrach </w:t>
      </w:r>
      <w:r>
        <w:rPr>
          <w:noProof/>
        </w:rPr>
        <w:t>don Bhord Bainistíochta.</w:t>
      </w:r>
    </w:p>
    <w:p w:rsidR="00526EFA" w:rsidRDefault="005C4D05">
      <w:pPr>
        <w:rPr>
          <w:noProof/>
          <w:szCs w:val="24"/>
        </w:rPr>
      </w:pPr>
      <w:r>
        <w:rPr>
          <w:noProof/>
        </w:rPr>
        <w:t>2. Gan dochar do chumhachtaí an Choimisiúin agus an Bhoird Bainistíochta, beidh an Stiúrthóir Feidhmiúcháin neamhspleách i gcomhlíonadh a dhualgas agus ní iarrfaidh sé treoracha ar aon rialtas, institiúid, duine ná comhlacht eile n</w:t>
      </w:r>
      <w:r>
        <w:rPr>
          <w:noProof/>
        </w:rPr>
        <w:t>á ní ghlacfaidh treoracha uathu.</w:t>
      </w:r>
    </w:p>
    <w:p w:rsidR="00526EFA" w:rsidRDefault="005C4D05">
      <w:pPr>
        <w:rPr>
          <w:noProof/>
          <w:szCs w:val="24"/>
        </w:rPr>
      </w:pPr>
      <w:r>
        <w:rPr>
          <w:noProof/>
        </w:rPr>
        <w:t>3. Tabharfaidh an Stiúrthóir Feidhmiúcháin tuairisc do Pharlaimint na hEorpa maidir le comhlíonadh a dhualgas nuair a iarrfar sin air. Féadfaidh an Chomhairle iarraidh ar an Stiúrthóir Feidhmiúcháin tuairisc a thabhairt mai</w:t>
      </w:r>
      <w:r>
        <w:rPr>
          <w:noProof/>
        </w:rPr>
        <w:t>dir le comhlíonadh a dhualgas.</w:t>
      </w:r>
    </w:p>
    <w:p w:rsidR="00526EFA" w:rsidRDefault="005C4D05">
      <w:pPr>
        <w:rPr>
          <w:noProof/>
          <w:szCs w:val="24"/>
        </w:rPr>
      </w:pPr>
      <w:r>
        <w:rPr>
          <w:noProof/>
        </w:rPr>
        <w:t>4. Is é an Stiúrthóir Feidhmiúcháin a ghníomhóidh mar ionadaí dlíthiúil BEREC.</w:t>
      </w:r>
    </w:p>
    <w:p w:rsidR="00526EFA" w:rsidRDefault="005C4D05">
      <w:pPr>
        <w:rPr>
          <w:noProof/>
          <w:szCs w:val="24"/>
        </w:rPr>
      </w:pPr>
      <w:r>
        <w:rPr>
          <w:noProof/>
        </w:rPr>
        <w:t>5. Is é an Stiúrthóir Feidhmiúcháin a bheidh freagrach as cúraimí BEREC a chur chun feidhme. Beidh an Stiúrthóir Feidhmiúcháin freagrach go háirit</w:t>
      </w:r>
      <w:r>
        <w:rPr>
          <w:noProof/>
        </w:rPr>
        <w:t>he as na nithe seo a leanas:</w:t>
      </w:r>
    </w:p>
    <w:p w:rsidR="00526EFA" w:rsidRDefault="005C4D05">
      <w:pPr>
        <w:pStyle w:val="Point0letter"/>
        <w:numPr>
          <w:ilvl w:val="1"/>
          <w:numId w:val="23"/>
        </w:numPr>
        <w:rPr>
          <w:noProof/>
        </w:rPr>
      </w:pPr>
      <w:r>
        <w:rPr>
          <w:noProof/>
        </w:rPr>
        <w:t>riar laethúil BEREC;</w:t>
      </w:r>
    </w:p>
    <w:p w:rsidR="00526EFA" w:rsidRDefault="005C4D05">
      <w:pPr>
        <w:pStyle w:val="Point0letter"/>
        <w:rPr>
          <w:noProof/>
        </w:rPr>
      </w:pPr>
      <w:r>
        <w:rPr>
          <w:noProof/>
        </w:rPr>
        <w:t>cinntí arna nglacadh ag an mBord Bainistíochta a chur chun feidhme;</w:t>
      </w:r>
    </w:p>
    <w:p w:rsidR="00526EFA" w:rsidRDefault="005C4D05">
      <w:pPr>
        <w:pStyle w:val="Point0letter"/>
        <w:rPr>
          <w:noProof/>
        </w:rPr>
      </w:pPr>
      <w:r>
        <w:rPr>
          <w:noProof/>
        </w:rPr>
        <w:t>an doiciméad aonair clársceidealaithe a ullmhú agus é a chur faoi bhráid an Bhoird Bainistíochta;</w:t>
      </w:r>
    </w:p>
    <w:p w:rsidR="00526EFA" w:rsidRDefault="005C4D05">
      <w:pPr>
        <w:pStyle w:val="Point0letter"/>
        <w:rPr>
          <w:noProof/>
        </w:rPr>
      </w:pPr>
      <w:r>
        <w:rPr>
          <w:noProof/>
        </w:rPr>
        <w:t xml:space="preserve">an doiciméad aonair clársceidealaithe a </w:t>
      </w:r>
      <w:r>
        <w:rPr>
          <w:noProof/>
        </w:rPr>
        <w:t>chur chun feidhme agus tuairisc a thabhairt don Bhord Bainistíochta maidir lena chur chun feidhme;</w:t>
      </w:r>
    </w:p>
    <w:p w:rsidR="00526EFA" w:rsidRDefault="005C4D05">
      <w:pPr>
        <w:pStyle w:val="Point0letter"/>
        <w:rPr>
          <w:noProof/>
        </w:rPr>
      </w:pPr>
      <w:r>
        <w:rPr>
          <w:noProof/>
        </w:rPr>
        <w:t>an tuarascáil bhliantúil chomhdhlúite maidir le gníomhaíochtaí BEREC a ullmhú agus í a chur faoi bhráid an Bhoird Bainistíochta lena measúnú agus lena glacad</w:t>
      </w:r>
      <w:r>
        <w:rPr>
          <w:noProof/>
        </w:rPr>
        <w:t>h;</w:t>
      </w:r>
    </w:p>
    <w:p w:rsidR="00526EFA" w:rsidRDefault="005C4D05">
      <w:pPr>
        <w:pStyle w:val="Point0letter"/>
        <w:rPr>
          <w:noProof/>
        </w:rPr>
      </w:pPr>
      <w:r>
        <w:rPr>
          <w:noProof/>
        </w:rPr>
        <w:t>plean gníomhaíochta a ullmhú ag féachaint do chonclúidí na dtuarascálacha agus na meastóireachtaí iniúchóireachta inmheánacha nó seachtracha, agus d'imscrúduithe de chuid OLAF, mar aon le tuairisc ar dhul chun cinn a thabhairt dhá uair sa bhliain don Ch</w:t>
      </w:r>
      <w:r>
        <w:rPr>
          <w:noProof/>
        </w:rPr>
        <w:t>oimisiún, agus go tráthrialta don Bhord Bainistíochta;</w:t>
      </w:r>
    </w:p>
    <w:p w:rsidR="00526EFA" w:rsidRDefault="005C4D05">
      <w:pPr>
        <w:pStyle w:val="Point0letter"/>
        <w:rPr>
          <w:noProof/>
        </w:rPr>
      </w:pPr>
      <w:r>
        <w:rPr>
          <w:noProof/>
        </w:rPr>
        <w:t>leasanna airgeadais an Aontais a chosaint trí bhearta coisctheacha in aghaidh calaoise, éilliú agus aon ghníomhaíochtaí mídhleathacha eile a chur i bhfeidhm, trí sheiceálacha éifeachtacha a dhéanamh ag</w:t>
      </w:r>
      <w:r>
        <w:rPr>
          <w:noProof/>
        </w:rPr>
        <w:t>us, má aimsítear neamhrialtachtaí, trí mhéideanna a íocadh go mícheart a aisghabháil agus, más iomchuí, trí bhearta riaracháin a bheidh éifeachtach, comhréireach agus athchomhairleach a chur i bhfeidhm, lena n</w:t>
      </w:r>
      <w:r>
        <w:rPr>
          <w:noProof/>
        </w:rPr>
        <w:noBreakHyphen/>
        <w:t>áirítear pionóis airgeadais;</w:t>
      </w:r>
    </w:p>
    <w:p w:rsidR="00526EFA" w:rsidRDefault="005C4D05">
      <w:pPr>
        <w:pStyle w:val="Point0letter"/>
        <w:rPr>
          <w:noProof/>
        </w:rPr>
      </w:pPr>
      <w:r>
        <w:rPr>
          <w:noProof/>
        </w:rPr>
        <w:t>straitéis frithch</w:t>
      </w:r>
      <w:r>
        <w:rPr>
          <w:noProof/>
        </w:rPr>
        <w:t>alaoise le haghaidh BEREC a ullmhú agus í a chur faoi bhráid an Bhoird Bainistíochta lena faomhadh;</w:t>
      </w:r>
    </w:p>
    <w:p w:rsidR="00526EFA" w:rsidRDefault="005C4D05">
      <w:pPr>
        <w:pStyle w:val="Point0letter"/>
        <w:rPr>
          <w:noProof/>
        </w:rPr>
      </w:pPr>
      <w:r>
        <w:rPr>
          <w:noProof/>
        </w:rPr>
        <w:t>dréachtrialacha airgeadais is infheidhme maidir le BEREC a ullmhú;</w:t>
      </w:r>
    </w:p>
    <w:p w:rsidR="00526EFA" w:rsidRDefault="005C4D05">
      <w:pPr>
        <w:pStyle w:val="Point0letter"/>
        <w:rPr>
          <w:noProof/>
        </w:rPr>
      </w:pPr>
      <w:r>
        <w:rPr>
          <w:noProof/>
        </w:rPr>
        <w:t>dréachtráiteas BEREC faoi mheastacháin ar ioncam agus caiteachas a ullmhú agus a bhuiséad</w:t>
      </w:r>
      <w:r>
        <w:rPr>
          <w:noProof/>
        </w:rPr>
        <w:t xml:space="preserve"> a chur chun feidhme.</w:t>
      </w:r>
    </w:p>
    <w:p w:rsidR="00526EFA" w:rsidRDefault="005C4D05">
      <w:pPr>
        <w:rPr>
          <w:noProof/>
          <w:szCs w:val="24"/>
        </w:rPr>
      </w:pPr>
      <w:r>
        <w:rPr>
          <w:noProof/>
        </w:rPr>
        <w:t xml:space="preserve">6. Beidh an Stiúrthóir Feidhmiúcháin freagrach freisin as Cinneadh a dhéanamh an gá, chun cúraimí BEREC a dhéanamh ar dhóigh éifeachtúil agus éifeachtach, ball foirne amháin nó níos mó a lonnú i mBallstát amháin nó níos mó ná sin. Má </w:t>
      </w:r>
      <w:r>
        <w:rPr>
          <w:noProof/>
        </w:rPr>
        <w:t>chinntear oifig áitiúil a bhunú, ní mór réamhthoiliú a fháil ón gCoimisiún, ón mBord Bainistíochta agus ón mBallstát/ó na Ballstáit ina mbunófar an oifig sin. Leis an gCinneadh sin sonrófar raon feidhme na ngníomhaíochtaí a dhéanfar san oifig áitiúil sin a</w:t>
      </w:r>
      <w:r>
        <w:rPr>
          <w:noProof/>
        </w:rPr>
        <w:t xml:space="preserve">r dhóigh a sheachnóidh costais neamhriachtanacha agus a sheachnóidh feidhmeanna riaracháin BEREC a dhéanamh faoi dhó. </w:t>
      </w:r>
    </w:p>
    <w:p w:rsidR="00526EFA" w:rsidRDefault="005C4D05">
      <w:pPr>
        <w:pStyle w:val="SectionTitle"/>
        <w:autoSpaceDE w:val="0"/>
        <w:autoSpaceDN w:val="0"/>
        <w:rPr>
          <w:rFonts w:eastAsiaTheme="minorEastAsia"/>
          <w:bCs/>
          <w:noProof/>
          <w:szCs w:val="28"/>
        </w:rPr>
      </w:pPr>
      <w:r>
        <w:rPr>
          <w:noProof/>
        </w:rPr>
        <w:t>Roinn 3</w:t>
      </w:r>
    </w:p>
    <w:p w:rsidR="00526EFA" w:rsidRDefault="005C4D05">
      <w:pPr>
        <w:pStyle w:val="SectionTitle"/>
        <w:autoSpaceDE w:val="0"/>
        <w:autoSpaceDN w:val="0"/>
        <w:rPr>
          <w:noProof/>
          <w:sz w:val="24"/>
          <w:szCs w:val="24"/>
        </w:rPr>
      </w:pPr>
      <w:r>
        <w:rPr>
          <w:noProof/>
          <w:sz w:val="24"/>
        </w:rPr>
        <w:t>meithleacha oibre</w:t>
      </w:r>
    </w:p>
    <w:p w:rsidR="00526EFA" w:rsidRDefault="005C4D05">
      <w:pPr>
        <w:pStyle w:val="Titrearticle"/>
        <w:rPr>
          <w:noProof/>
        </w:rPr>
      </w:pPr>
      <w:r>
        <w:rPr>
          <w:noProof/>
        </w:rPr>
        <w:t>Airteagal 10</w:t>
      </w:r>
    </w:p>
    <w:p w:rsidR="00526EFA" w:rsidRDefault="005C4D05">
      <w:pPr>
        <w:pStyle w:val="NormalCentered"/>
        <w:autoSpaceDE w:val="0"/>
        <w:autoSpaceDN w:val="0"/>
        <w:rPr>
          <w:b/>
          <w:bCs/>
          <w:noProof/>
        </w:rPr>
      </w:pPr>
      <w:r>
        <w:rPr>
          <w:b/>
          <w:noProof/>
        </w:rPr>
        <w:t>Feidhmiú na meithleacha oibre</w:t>
      </w:r>
    </w:p>
    <w:p w:rsidR="00526EFA" w:rsidRDefault="005C4D05">
      <w:pPr>
        <w:rPr>
          <w:noProof/>
        </w:rPr>
      </w:pPr>
      <w:r>
        <w:rPr>
          <w:noProof/>
        </w:rPr>
        <w:t>1. I gcás ina bhfuil údar cuí leis agus go háirithe i gcás inar gá s</w:t>
      </w:r>
      <w:r>
        <w:rPr>
          <w:noProof/>
        </w:rPr>
        <w:t>in chun clár oibre BEREC a chur chun feidhme, féadfaidh an Bord Bainistíochta na meithleacha is gá a bhunú.</w:t>
      </w:r>
    </w:p>
    <w:p w:rsidR="00526EFA" w:rsidRDefault="005C4D05">
      <w:pPr>
        <w:rPr>
          <w:noProof/>
        </w:rPr>
      </w:pPr>
      <w:r>
        <w:rPr>
          <w:noProof/>
        </w:rPr>
        <w:t xml:space="preserve">2. Ceapfaidh an Bord Bainistíochta comhaltaí na meithleacha agus féadfaidh saineolaithe ó na hÚNRanna, ón gCoimisiún, ó bhaill foirne BEREC agus ó </w:t>
      </w:r>
      <w:r>
        <w:rPr>
          <w:noProof/>
        </w:rPr>
        <w:t>ÚNRanna tríú tíortha atá rannpháirteach in obair BEREC bheith rannpháirteach sna meithleacha sin.</w:t>
      </w:r>
    </w:p>
    <w:p w:rsidR="00526EFA" w:rsidRDefault="005C4D05">
      <w:pPr>
        <w:rPr>
          <w:noProof/>
        </w:rPr>
      </w:pPr>
      <w:r>
        <w:rPr>
          <w:noProof/>
        </w:rPr>
        <w:t xml:space="preserve">I gcás na meithleacha sin arna gcur ar bun chun na cúraimí dá dtagraítear sa tríú fleasc d'Airteagal 2(1)(d) a dhéanamh, roghnófar a gcomhaltaí as liostaí de </w:t>
      </w:r>
      <w:r>
        <w:rPr>
          <w:noProof/>
        </w:rPr>
        <w:t>shaineolaithe cáilithe arna soláthar ag na hÚNRanna, ag an gCoimisiún agus ag an Stiúrthóir Feidhmiúcháin.</w:t>
      </w:r>
    </w:p>
    <w:p w:rsidR="00526EFA" w:rsidRDefault="005C4D05">
      <w:pPr>
        <w:rPr>
          <w:noProof/>
        </w:rPr>
      </w:pPr>
      <w:r>
        <w:rPr>
          <w:noProof/>
        </w:rPr>
        <w:t>I gcás na meithleacha sin arna gcur ar bun chun na cúraimí dá dtagraítear sa dara fleasc d'Airteagal 2(1)(d) a dhéanamh, roghnófar a gcomhaltaí as li</w:t>
      </w:r>
      <w:r>
        <w:rPr>
          <w:noProof/>
        </w:rPr>
        <w:t>ostaí de shaineolaithe cáilithe arna soláthar ag na hÚNRanna agus ag an Stiúrthóir Feidhmiúcháin.</w:t>
      </w:r>
    </w:p>
    <w:p w:rsidR="00526EFA" w:rsidRDefault="005C4D05">
      <w:pPr>
        <w:rPr>
          <w:noProof/>
        </w:rPr>
      </w:pPr>
      <w:r>
        <w:rPr>
          <w:noProof/>
        </w:rPr>
        <w:t>De réir an cháis, féadfaidh an Bord Bainistíochta cuireadh a thabhairt do shaineolaithe aonair, atá aitheanta mar shaineolaithe atá inniúil sa réimse ábhartha</w:t>
      </w:r>
      <w:r>
        <w:rPr>
          <w:noProof/>
        </w:rPr>
        <w:t>, páirt a ghlacadh in imeachtaí na meithleacha, más gá sin.</w:t>
      </w:r>
    </w:p>
    <w:p w:rsidR="00526EFA" w:rsidRDefault="005C4D05">
      <w:pPr>
        <w:rPr>
          <w:noProof/>
        </w:rPr>
      </w:pPr>
      <w:r>
        <w:rPr>
          <w:noProof/>
        </w:rPr>
        <w:t>3. Déanfaidh ball foirne BEREC, a ainmneofar de réir na rialacha nós imeachta inmheánacha, na meithleacha a chomhordú agus a stiúradh.</w:t>
      </w:r>
    </w:p>
    <w:p w:rsidR="00526EFA" w:rsidRDefault="005C4D05">
      <w:pPr>
        <w:rPr>
          <w:noProof/>
        </w:rPr>
      </w:pPr>
      <w:r>
        <w:rPr>
          <w:noProof/>
        </w:rPr>
        <w:t>4. Glacfaidh an Bord Bainistíochta rialacha nós imeachta inmh</w:t>
      </w:r>
      <w:r>
        <w:rPr>
          <w:noProof/>
        </w:rPr>
        <w:t>eánacha lena leagfar síos na socruithe praiticiúla maidir le feidhmiú na meithleacha.</w:t>
      </w:r>
    </w:p>
    <w:p w:rsidR="00526EFA" w:rsidRDefault="005C4D05">
      <w:pPr>
        <w:rPr>
          <w:noProof/>
        </w:rPr>
      </w:pPr>
      <w:r>
        <w:rPr>
          <w:noProof/>
        </w:rPr>
        <w:t>5. Cuirfidh BEREC tacaíocht ar fáil do na meithleacha.</w:t>
      </w:r>
    </w:p>
    <w:p w:rsidR="00526EFA" w:rsidRDefault="005C4D05">
      <w:pPr>
        <w:pStyle w:val="SectionTitle"/>
        <w:autoSpaceDE w:val="0"/>
        <w:autoSpaceDN w:val="0"/>
        <w:rPr>
          <w:rFonts w:eastAsiaTheme="minorEastAsia"/>
          <w:bCs/>
          <w:noProof/>
          <w:szCs w:val="28"/>
        </w:rPr>
      </w:pPr>
      <w:r>
        <w:rPr>
          <w:noProof/>
        </w:rPr>
        <w:t>Roinn 4</w:t>
      </w:r>
    </w:p>
    <w:p w:rsidR="00526EFA" w:rsidRDefault="005C4D05">
      <w:pPr>
        <w:pStyle w:val="SectionTitle"/>
        <w:autoSpaceDE w:val="0"/>
        <w:autoSpaceDN w:val="0"/>
        <w:rPr>
          <w:noProof/>
          <w:sz w:val="24"/>
          <w:szCs w:val="24"/>
        </w:rPr>
      </w:pPr>
      <w:r>
        <w:rPr>
          <w:noProof/>
          <w:sz w:val="24"/>
        </w:rPr>
        <w:t>bord achomhairc</w:t>
      </w:r>
    </w:p>
    <w:p w:rsidR="00526EFA" w:rsidRDefault="005C4D05">
      <w:pPr>
        <w:pStyle w:val="Titrearticle"/>
        <w:rPr>
          <w:noProof/>
        </w:rPr>
      </w:pPr>
      <w:r>
        <w:rPr>
          <w:noProof/>
        </w:rPr>
        <w:t>Airteagal 11</w:t>
      </w:r>
    </w:p>
    <w:p w:rsidR="00526EFA" w:rsidRDefault="005C4D05">
      <w:pPr>
        <w:pStyle w:val="NormalCentered"/>
        <w:autoSpaceDE w:val="0"/>
        <w:autoSpaceDN w:val="0"/>
        <w:rPr>
          <w:b/>
          <w:bCs/>
          <w:noProof/>
        </w:rPr>
      </w:pPr>
      <w:r>
        <w:rPr>
          <w:b/>
          <w:noProof/>
        </w:rPr>
        <w:t>Bunú agus comhdhéanamh an Bhoird Achomhairc</w:t>
      </w:r>
    </w:p>
    <w:p w:rsidR="00526EFA" w:rsidRDefault="005C4D05">
      <w:pPr>
        <w:rPr>
          <w:noProof/>
          <w:szCs w:val="24"/>
        </w:rPr>
      </w:pPr>
      <w:r>
        <w:rPr>
          <w:noProof/>
        </w:rPr>
        <w:t xml:space="preserve">1. Bunóidh BEREC aon Bhord </w:t>
      </w:r>
      <w:r>
        <w:rPr>
          <w:noProof/>
        </w:rPr>
        <w:t>Achomhairc amháin.</w:t>
      </w:r>
    </w:p>
    <w:p w:rsidR="00526EFA" w:rsidRDefault="005C4D05">
      <w:pPr>
        <w:rPr>
          <w:noProof/>
          <w:szCs w:val="24"/>
        </w:rPr>
      </w:pPr>
      <w:r>
        <w:rPr>
          <w:noProof/>
        </w:rPr>
        <w:t>2. Ar an mBord Achomhairc beidh Cathaoirleach agus beirt chomhaltaí eile. Beidh comhalta malartach ag gach comhalta den Bhord Achomhairc. Déanfaidh an comhalta malartach ionadaíocht don chomhalta agus é as láthair.</w:t>
      </w:r>
    </w:p>
    <w:p w:rsidR="00526EFA" w:rsidRDefault="005C4D05">
      <w:pPr>
        <w:rPr>
          <w:noProof/>
          <w:szCs w:val="24"/>
        </w:rPr>
      </w:pPr>
      <w:r>
        <w:rPr>
          <w:noProof/>
        </w:rPr>
        <w:t>3. Roghnóidh an Bord B</w:t>
      </w:r>
      <w:r>
        <w:rPr>
          <w:noProof/>
        </w:rPr>
        <w:t>ainistíochta an Cathaoirleach, na comhaltaí eile agus a gcomhaltaí malartacha as liosta d’iarrthóirí incháilithe arna bhunú ag an gCoimisiún.</w:t>
      </w:r>
    </w:p>
    <w:p w:rsidR="00526EFA" w:rsidRDefault="005C4D05">
      <w:pPr>
        <w:rPr>
          <w:noProof/>
          <w:szCs w:val="24"/>
        </w:rPr>
      </w:pPr>
      <w:r>
        <w:rPr>
          <w:noProof/>
        </w:rPr>
        <w:t>4. I gcás ina measann an Bord Achomhairc go bhfuil gá leis de bharr chineál an achomhairc, féadfaidh sé a iarraidh</w:t>
      </w:r>
      <w:r>
        <w:rPr>
          <w:noProof/>
        </w:rPr>
        <w:t xml:space="preserve"> ar an mBord Bainistíochta beirt chomhaltaí bhreise agus a gcomhaltaí malartacha siúd a roghnú as an liosta dá dtagraítear i mír 3.</w:t>
      </w:r>
    </w:p>
    <w:p w:rsidR="00526EFA" w:rsidRDefault="005C4D05">
      <w:pPr>
        <w:rPr>
          <w:noProof/>
          <w:szCs w:val="24"/>
        </w:rPr>
      </w:pPr>
      <w:r>
        <w:rPr>
          <w:noProof/>
        </w:rPr>
        <w:t>5. Ar mholadh ó BEREC, bunóidh an Coimisiún rialacha nós imeachta an Bhoird Achomhairc, tar éis dul i gcomhairle leis an mBo</w:t>
      </w:r>
      <w:r>
        <w:rPr>
          <w:noProof/>
        </w:rPr>
        <w:t>rd Bainistíochta agus i gcomhréir leis an nós imeachta dá dtagraítear in Airteagal 36(2).</w:t>
      </w:r>
    </w:p>
    <w:p w:rsidR="00526EFA" w:rsidRDefault="005C4D05">
      <w:pPr>
        <w:pStyle w:val="Titrearticle"/>
        <w:rPr>
          <w:noProof/>
        </w:rPr>
      </w:pPr>
      <w:r>
        <w:rPr>
          <w:noProof/>
        </w:rPr>
        <w:t>Airteagal 12</w:t>
      </w:r>
    </w:p>
    <w:p w:rsidR="00526EFA" w:rsidRDefault="005C4D05">
      <w:pPr>
        <w:pStyle w:val="NormalCentered"/>
        <w:autoSpaceDE w:val="0"/>
        <w:autoSpaceDN w:val="0"/>
        <w:rPr>
          <w:b/>
          <w:bCs/>
          <w:noProof/>
        </w:rPr>
      </w:pPr>
      <w:r>
        <w:rPr>
          <w:b/>
          <w:noProof/>
        </w:rPr>
        <w:t>Comhaltaí an Bhoird Achomhairc</w:t>
      </w:r>
    </w:p>
    <w:p w:rsidR="00526EFA" w:rsidRDefault="005C4D05">
      <w:pPr>
        <w:rPr>
          <w:noProof/>
          <w:szCs w:val="24"/>
        </w:rPr>
      </w:pPr>
      <w:r>
        <w:rPr>
          <w:noProof/>
        </w:rPr>
        <w:t>1. Mairfidh téarma oifige chomhaltaí an Bhoird Achomhairc agus a gcomhaltaí malartacha ceithre bliana. Féadfaidh an Bord B</w:t>
      </w:r>
      <w:r>
        <w:rPr>
          <w:noProof/>
        </w:rPr>
        <w:t>ainistíochta síntí breise ceithre bliana a chur lena dtéarma oifige, ag gníomhú dó ar thogra ón gCoimisiún.</w:t>
      </w:r>
    </w:p>
    <w:p w:rsidR="00526EFA" w:rsidRDefault="005C4D05">
      <w:pPr>
        <w:rPr>
          <w:noProof/>
          <w:szCs w:val="24"/>
        </w:rPr>
      </w:pPr>
      <w:r>
        <w:rPr>
          <w:noProof/>
        </w:rPr>
        <w:t>2. Beidh comhaltaí an Bhoird Achomhairc neamhspleách agus ní chomhlíonfaidh siad aon dualgais eile laistigh de BEREC. Agus iad i mbun cinnteoireacht</w:t>
      </w:r>
      <w:r>
        <w:rPr>
          <w:noProof/>
        </w:rPr>
        <w:t>a, ní iarrfaidh siad treoracha ar aon rialtas ná ar aon chomhlacht eile ná ní ghlacfaidh treoracha uathu.</w:t>
      </w:r>
    </w:p>
    <w:p w:rsidR="00526EFA" w:rsidRDefault="005C4D05">
      <w:pPr>
        <w:rPr>
          <w:noProof/>
          <w:szCs w:val="24"/>
        </w:rPr>
      </w:pPr>
      <w:r>
        <w:rPr>
          <w:noProof/>
        </w:rPr>
        <w:t>3. Ní chuirfear comhaltaí an Bhoird Achomhairc as oifig ná ní bhainfear de liosta na n</w:t>
      </w:r>
      <w:r>
        <w:rPr>
          <w:noProof/>
        </w:rPr>
        <w:noBreakHyphen/>
        <w:t>iarrthóirí incháilithe iad le linn a dtéarma oifige, mura mbeid</w:t>
      </w:r>
      <w:r>
        <w:rPr>
          <w:noProof/>
        </w:rPr>
        <w:t>h cúiseanna tromchúiseacha lena dhéanamh agus mura ndéanfaidh an Bord Bainistíochta Cinneadh chuige sin, ag gníomhú dó ar thogra ón gCoimisiún.</w:t>
      </w:r>
    </w:p>
    <w:p w:rsidR="00526EFA" w:rsidRDefault="005C4D05">
      <w:pPr>
        <w:pStyle w:val="Titrearticle"/>
        <w:rPr>
          <w:noProof/>
        </w:rPr>
      </w:pPr>
      <w:r>
        <w:rPr>
          <w:noProof/>
        </w:rPr>
        <w:t>Airteagal 13</w:t>
      </w:r>
    </w:p>
    <w:p w:rsidR="00526EFA" w:rsidRDefault="005C4D05">
      <w:pPr>
        <w:pStyle w:val="NormalCentered"/>
        <w:autoSpaceDE w:val="0"/>
        <w:autoSpaceDN w:val="0"/>
        <w:rPr>
          <w:b/>
          <w:bCs/>
          <w:noProof/>
        </w:rPr>
      </w:pPr>
      <w:r>
        <w:rPr>
          <w:b/>
          <w:noProof/>
        </w:rPr>
        <w:t>Eisiamh agus agóid</w:t>
      </w:r>
    </w:p>
    <w:p w:rsidR="00526EFA" w:rsidRDefault="005C4D05">
      <w:pPr>
        <w:rPr>
          <w:noProof/>
          <w:szCs w:val="24"/>
        </w:rPr>
      </w:pPr>
      <w:r>
        <w:rPr>
          <w:noProof/>
        </w:rPr>
        <w:t>1. Ní ghlacfaidh comhaltaí an Bhoird Achomhairc páirt in aon imeachtaí achomhair</w:t>
      </w:r>
      <w:r>
        <w:rPr>
          <w:noProof/>
        </w:rPr>
        <w:t>c má bhíonn leas pearsanta acu iontu, má bhí baint acu cheana leis na himeachtaí mar ionadaithe do dhuine de na páirtithe iontu, nó má bhí siad rannpháirteach i nglacadh an chinnidh a bhfuil achomharc á dhéanamh ina aghaidh.</w:t>
      </w:r>
    </w:p>
    <w:p w:rsidR="00526EFA" w:rsidRDefault="005C4D05">
      <w:pPr>
        <w:rPr>
          <w:noProof/>
          <w:szCs w:val="24"/>
        </w:rPr>
      </w:pPr>
      <w:r>
        <w:rPr>
          <w:noProof/>
        </w:rPr>
        <w:t xml:space="preserve">2. Má tharlaíonn sé, ar cheann </w:t>
      </w:r>
      <w:r>
        <w:rPr>
          <w:noProof/>
        </w:rPr>
        <w:t>de na cúiseanna a liostaítear i mír 1 nó ar aon chúis eile, go measann comhalta de Bhord Achomhairc nár cheart dó páirt a ghlacadh in aon imeacht achomhairc, cuirfidh sé sin in iúl don Bhord Achomhairc.</w:t>
      </w:r>
    </w:p>
    <w:p w:rsidR="00526EFA" w:rsidRDefault="005C4D05">
      <w:pPr>
        <w:rPr>
          <w:noProof/>
          <w:szCs w:val="24"/>
        </w:rPr>
      </w:pPr>
      <w:r>
        <w:rPr>
          <w:noProof/>
        </w:rPr>
        <w:t>3. Féadfaidh aon pháirtí sna himeachtaí achomhairc ag</w:t>
      </w:r>
      <w:r>
        <w:rPr>
          <w:noProof/>
        </w:rPr>
        <w:t>óid a dhéanamh in aghaidh aon chomhalta de Bhord Achomhairc ar aon cheann de na cúiseanna a luaitear i mír 1, nó má tá amhras ann go bhfuil an comhalta sin claonta. Ní bheidh agóid den sórt sin inghlactha, má bhíonn céim den nós imeachta glactha ag an bpái</w:t>
      </w:r>
      <w:r>
        <w:rPr>
          <w:noProof/>
        </w:rPr>
        <w:t>rtí sna himeachtaí achomhairc agus fios aige go raibh cúis achomhairc ann. Ní féidir agóid ar bith a dhéanamh bunaithe ar náisiúntacht na gcomhaltaí.</w:t>
      </w:r>
    </w:p>
    <w:p w:rsidR="00526EFA" w:rsidRDefault="005C4D05">
      <w:pPr>
        <w:rPr>
          <w:noProof/>
          <w:szCs w:val="24"/>
        </w:rPr>
      </w:pPr>
      <w:r>
        <w:rPr>
          <w:noProof/>
        </w:rPr>
        <w:t xml:space="preserve">4. Cinnfidh an Bord Achomhairc an gníomh a dhéanfar sna cásanna a shonraítear i mír 2 agus i mír 3 gan an </w:t>
      </w:r>
      <w:r>
        <w:rPr>
          <w:noProof/>
        </w:rPr>
        <w:t>comhalta lena mbaineann a bheith rannpháirteach. Chun críocha an Cinneadh sin a dhéanamh, gabhfaidh a mhalartach ionad an chomhalta lena mbaineann ar an mBord Achomhairc.</w:t>
      </w:r>
    </w:p>
    <w:p w:rsidR="00526EFA" w:rsidRDefault="005C4D05">
      <w:pPr>
        <w:pStyle w:val="Titrearticle"/>
        <w:rPr>
          <w:noProof/>
        </w:rPr>
      </w:pPr>
      <w:r>
        <w:rPr>
          <w:noProof/>
        </w:rPr>
        <w:t>Airteagal 14</w:t>
      </w:r>
    </w:p>
    <w:p w:rsidR="00526EFA" w:rsidRDefault="005C4D05">
      <w:pPr>
        <w:pStyle w:val="NormalCentered"/>
        <w:autoSpaceDE w:val="0"/>
        <w:autoSpaceDN w:val="0"/>
        <w:rPr>
          <w:b/>
          <w:bCs/>
          <w:noProof/>
        </w:rPr>
      </w:pPr>
      <w:r>
        <w:rPr>
          <w:b/>
          <w:noProof/>
        </w:rPr>
        <w:t>Cinntí atá faoi réir achomhairc</w:t>
      </w:r>
    </w:p>
    <w:p w:rsidR="00526EFA" w:rsidRDefault="005C4D05">
      <w:pPr>
        <w:rPr>
          <w:noProof/>
          <w:szCs w:val="24"/>
        </w:rPr>
      </w:pPr>
      <w:r>
        <w:rPr>
          <w:noProof/>
        </w:rPr>
        <w:t xml:space="preserve">1. Féadfar achomharc a thabhairt os </w:t>
      </w:r>
      <w:r>
        <w:rPr>
          <w:noProof/>
        </w:rPr>
        <w:t>comhair an Bhoird Achomhairc in aghaidh cinntí a dhéanfaidh BEREC de bhun Airteagal 2(1)(b).</w:t>
      </w:r>
    </w:p>
    <w:p w:rsidR="00526EFA" w:rsidRDefault="005C4D05">
      <w:pPr>
        <w:rPr>
          <w:noProof/>
          <w:szCs w:val="24"/>
        </w:rPr>
      </w:pPr>
      <w:r>
        <w:rPr>
          <w:noProof/>
        </w:rPr>
        <w:t>Féadfaidh duine nádúrtha nó duine dlítheanach ar bith, lena n</w:t>
      </w:r>
      <w:r>
        <w:rPr>
          <w:noProof/>
        </w:rPr>
        <w:noBreakHyphen/>
        <w:t>áirítear ÚNRanna, achomharc a dhéanamh in aghaidh Cinneadh dá dtagraítear sa mhír seo agus atá dírith</w:t>
      </w:r>
      <w:r>
        <w:rPr>
          <w:noProof/>
        </w:rPr>
        <w:t>e ar an duine sin, nó in aghaidh Cinneadh a bhfuil baint dhíreach phearsanta aige leis an duine sin, bíodh is go bhfuil sé i bhfoirm cinnidh atá dírithe ar dhuine eile.</w:t>
      </w:r>
    </w:p>
    <w:p w:rsidR="00526EFA" w:rsidRDefault="005C4D05">
      <w:pPr>
        <w:rPr>
          <w:noProof/>
          <w:szCs w:val="24"/>
        </w:rPr>
      </w:pPr>
      <w:r>
        <w:rPr>
          <w:noProof/>
        </w:rPr>
        <w:t xml:space="preserve">2. Ní bheidh éifeacht fionraíochta ag achomharc a thaiscfear de bhun mhír 1. Féadfaidh </w:t>
      </w:r>
      <w:r>
        <w:rPr>
          <w:noProof/>
        </w:rPr>
        <w:t>an Bord Achomhairc feidhm an chinnidh, a ndearnadh an t</w:t>
      </w:r>
      <w:r>
        <w:rPr>
          <w:noProof/>
        </w:rPr>
        <w:noBreakHyphen/>
        <w:t>achomharc ina aghaidh, a chur ar fionraí, áfach.</w:t>
      </w:r>
    </w:p>
    <w:p w:rsidR="00526EFA" w:rsidRDefault="005C4D05">
      <w:pPr>
        <w:pStyle w:val="SectionTitle"/>
        <w:autoSpaceDE w:val="0"/>
        <w:autoSpaceDN w:val="0"/>
        <w:rPr>
          <w:rFonts w:eastAsiaTheme="minorEastAsia"/>
          <w:bCs/>
          <w:noProof/>
          <w:szCs w:val="28"/>
        </w:rPr>
      </w:pPr>
      <w:r>
        <w:rPr>
          <w:noProof/>
        </w:rPr>
        <w:t>Caibidil III</w:t>
      </w:r>
    </w:p>
    <w:p w:rsidR="00526EFA" w:rsidRDefault="005C4D05">
      <w:pPr>
        <w:pStyle w:val="SectionTitle"/>
        <w:autoSpaceDE w:val="0"/>
        <w:autoSpaceDN w:val="0"/>
        <w:rPr>
          <w:rFonts w:eastAsiaTheme="minorEastAsia"/>
          <w:bCs/>
          <w:noProof/>
          <w:szCs w:val="28"/>
        </w:rPr>
      </w:pPr>
      <w:r>
        <w:rPr>
          <w:noProof/>
          <w:sz w:val="22"/>
        </w:rPr>
        <w:t>BUNÚ AGUS STRUCHTÚR AN BHUISÉID</w:t>
      </w:r>
    </w:p>
    <w:p w:rsidR="00526EFA" w:rsidRDefault="005C4D05">
      <w:pPr>
        <w:pStyle w:val="SectionTitle"/>
        <w:autoSpaceDE w:val="0"/>
        <w:autoSpaceDN w:val="0"/>
        <w:rPr>
          <w:rFonts w:eastAsiaTheme="minorEastAsia"/>
          <w:bCs/>
          <w:noProof/>
          <w:szCs w:val="28"/>
        </w:rPr>
      </w:pPr>
      <w:r>
        <w:rPr>
          <w:noProof/>
        </w:rPr>
        <w:t>Roinn 1</w:t>
      </w:r>
    </w:p>
    <w:p w:rsidR="00526EFA" w:rsidRDefault="005C4D05">
      <w:pPr>
        <w:pStyle w:val="SectionTitle"/>
        <w:autoSpaceDE w:val="0"/>
        <w:autoSpaceDN w:val="0"/>
        <w:rPr>
          <w:noProof/>
          <w:sz w:val="24"/>
          <w:szCs w:val="24"/>
        </w:rPr>
      </w:pPr>
      <w:r>
        <w:rPr>
          <w:noProof/>
          <w:sz w:val="24"/>
        </w:rPr>
        <w:t>DOICIMÉAD AONAIR CLÁRSCEIDEALAITHE</w:t>
      </w:r>
    </w:p>
    <w:p w:rsidR="00526EFA" w:rsidRDefault="005C4D05">
      <w:pPr>
        <w:pStyle w:val="Titrearticle"/>
        <w:rPr>
          <w:noProof/>
        </w:rPr>
      </w:pPr>
      <w:r>
        <w:rPr>
          <w:noProof/>
        </w:rPr>
        <w:t>Airteagal 15</w:t>
      </w:r>
    </w:p>
    <w:p w:rsidR="00526EFA" w:rsidRDefault="005C4D05">
      <w:pPr>
        <w:pStyle w:val="NormalCentered"/>
        <w:autoSpaceDE w:val="0"/>
        <w:autoSpaceDN w:val="0"/>
        <w:rPr>
          <w:b/>
          <w:bCs/>
          <w:noProof/>
        </w:rPr>
      </w:pPr>
      <w:r>
        <w:rPr>
          <w:b/>
          <w:noProof/>
        </w:rPr>
        <w:t>Clársceidealú bliantúil agus ilbhliantúil</w:t>
      </w:r>
    </w:p>
    <w:p w:rsidR="00526EFA" w:rsidRDefault="005C4D05">
      <w:pPr>
        <w:keepLines/>
        <w:autoSpaceDE w:val="0"/>
        <w:autoSpaceDN w:val="0"/>
        <w:adjustRightInd w:val="0"/>
        <w:rPr>
          <w:noProof/>
        </w:rPr>
      </w:pPr>
      <w:r>
        <w:rPr>
          <w:noProof/>
        </w:rPr>
        <w:t xml:space="preserve">1. Gach </w:t>
      </w:r>
      <w:r>
        <w:rPr>
          <w:noProof/>
        </w:rPr>
        <w:t>bliain, déanfaidh an Stiúrthóir Feidhmiúcháin dréachtdhoiciméad clársceidealaithe a tharraingt suas ina mbeidh clársceidealú bliantúil agus ilbhliantúil ("doiciméad aonair clársceidealaithe") i gcomhréir le hAirteagal 32 de Rialachán Tarmligthe (AE) Uimh. </w:t>
      </w:r>
      <w:r>
        <w:rPr>
          <w:noProof/>
        </w:rPr>
        <w:t>1271/2013 ón gCoimisiún agus treoirlínte a shocróidh an Coimisiún á gcur san áireamh</w:t>
      </w:r>
      <w:r>
        <w:rPr>
          <w:rStyle w:val="FootnoteReference"/>
          <w:noProof/>
        </w:rPr>
        <w:footnoteReference w:id="38"/>
      </w:r>
      <w:r>
        <w:rPr>
          <w:noProof/>
        </w:rPr>
        <w:t>.</w:t>
      </w:r>
    </w:p>
    <w:p w:rsidR="00526EFA" w:rsidRDefault="005C4D05">
      <w:pPr>
        <w:rPr>
          <w:noProof/>
        </w:rPr>
      </w:pPr>
      <w:r>
        <w:rPr>
          <w:noProof/>
        </w:rPr>
        <w:t>Faoin 31 Eanáir, glacfaidh an Bord Bainistíochta an dréachtdhoiciméad aonair clársceidealaithe agus seolfaidh chuig an gCoimisiún é chun go dtabharfaidh an Coimisiún a t</w:t>
      </w:r>
      <w:r>
        <w:rPr>
          <w:noProof/>
        </w:rPr>
        <w:t>huairim ina leith. Seolfar an dréachtdhoiciméad aonair clársceidealaithe freisin chuig Parlaimint na hEorpa agus chuig an gComhairle.</w:t>
      </w:r>
    </w:p>
    <w:p w:rsidR="00526EFA" w:rsidRDefault="005C4D05">
      <w:pPr>
        <w:keepLines/>
        <w:autoSpaceDE w:val="0"/>
        <w:autoSpaceDN w:val="0"/>
        <w:adjustRightInd w:val="0"/>
        <w:rPr>
          <w:noProof/>
        </w:rPr>
      </w:pPr>
      <w:r>
        <w:rPr>
          <w:noProof/>
        </w:rPr>
        <w:t>Glacfaidh an Bord Bainistíochta an dréachtdhoiciméad aonair clársceidealaithe ina dhiaidh sin agus an tuairim ón gCoimisiú</w:t>
      </w:r>
      <w:r>
        <w:rPr>
          <w:noProof/>
        </w:rPr>
        <w:t>n á cur san áireamh aige. Seolfaidh sé é chuig Parlaimint na hEorpa, chuig an gComhairle agus chuig an gCoimisiún chomh maith le haon leagan den doiciméad sin a tugadh cothrom le dáta tráth níos déanaí ná sin.</w:t>
      </w:r>
    </w:p>
    <w:p w:rsidR="00526EFA" w:rsidRDefault="005C4D05">
      <w:pPr>
        <w:rPr>
          <w:noProof/>
        </w:rPr>
      </w:pPr>
      <w:r>
        <w:rPr>
          <w:noProof/>
        </w:rPr>
        <w:t>Tiocfaidh an doiciméad aonair clársceidealaith</w:t>
      </w:r>
      <w:r>
        <w:rPr>
          <w:noProof/>
        </w:rPr>
        <w:t>e chun bheith críochnaitheach tar éis ghlacadh deiridh an bhuiséid ghinearálta agus déanfar coigeartú air dá réir, más gá sin.</w:t>
      </w:r>
    </w:p>
    <w:p w:rsidR="00526EFA" w:rsidRDefault="005C4D05">
      <w:pPr>
        <w:rPr>
          <w:noProof/>
        </w:rPr>
      </w:pPr>
      <w:r>
        <w:rPr>
          <w:noProof/>
        </w:rPr>
        <w:t>2. Cuimseofar sa chlár oibre bliantúil cuspóirí sonracha agus torthaí ionchais lena n</w:t>
      </w:r>
      <w:r>
        <w:rPr>
          <w:noProof/>
        </w:rPr>
        <w:noBreakHyphen/>
        <w:t>áirítear táscairí feidhmíochta. Beidh tuair</w:t>
      </w:r>
      <w:r>
        <w:rPr>
          <w:noProof/>
        </w:rPr>
        <w:t>isc ann freisin ar na gníomhaíochtaí atá le maoiniú agus léiriú ar na hacmhainní airgeadais agus daonna a bheidh sannta do gach gníomhaíocht, i gcomhréir le prionsabail an bhuiséadaithe agus an bhainistithe de réir gníomhaíochtaí. Beidh an clár oibre blian</w:t>
      </w:r>
      <w:r>
        <w:rPr>
          <w:noProof/>
        </w:rPr>
        <w:t>túil ar aon dul leis an gclár oibre ilbhliantúil dá dtagraítear i mír 4. Sonrófar go soiléir ann na cúraimí a cuireadh leis, a athraíodh nó a scriosadh i gcomparáid leis an mbliain airgeadais roimhe sin.</w:t>
      </w:r>
    </w:p>
    <w:p w:rsidR="00526EFA" w:rsidRDefault="005C4D05">
      <w:pPr>
        <w:keepLines/>
        <w:autoSpaceDE w:val="0"/>
        <w:autoSpaceDN w:val="0"/>
        <w:adjustRightInd w:val="0"/>
        <w:rPr>
          <w:noProof/>
        </w:rPr>
      </w:pPr>
      <w:r>
        <w:rPr>
          <w:noProof/>
        </w:rPr>
        <w:t xml:space="preserve">3. Leasóidh an Bord Bainistíochta an clár oibre a </w:t>
      </w:r>
      <w:r>
        <w:rPr>
          <w:noProof/>
        </w:rPr>
        <w:t>glacadh nuair a leagfar cúram nua ar BEREC.</w:t>
      </w:r>
    </w:p>
    <w:p w:rsidR="00526EFA" w:rsidRDefault="005C4D05">
      <w:pPr>
        <w:rPr>
          <w:noProof/>
        </w:rPr>
      </w:pPr>
      <w:r>
        <w:rPr>
          <w:noProof/>
        </w:rPr>
        <w:t>Glacfar le haon leasú mór ar an gclár oibre bliantúil leis an nós imeachta céanna lenar glacadh an clár oibre bliantúil tosaigh. Féadfaidh an Bord Bainistíochta an chumhacht leasuithe neamhshubstainteacha a dhéan</w:t>
      </w:r>
      <w:r>
        <w:rPr>
          <w:noProof/>
        </w:rPr>
        <w:t>amh ar an gclár oibre bliantúil a tharmligean chuig an Stiúrthóir Feidhmiúcháin.</w:t>
      </w:r>
    </w:p>
    <w:p w:rsidR="00526EFA" w:rsidRDefault="005C4D05">
      <w:pPr>
        <w:keepLines/>
        <w:autoSpaceDE w:val="0"/>
        <w:autoSpaceDN w:val="0"/>
        <w:adjustRightInd w:val="0"/>
        <w:rPr>
          <w:noProof/>
        </w:rPr>
      </w:pPr>
      <w:r>
        <w:rPr>
          <w:noProof/>
        </w:rPr>
        <w:t>4. Leagfar amach sa chlár oibre ilbhliantúil an clársceidealú straitéiseach foriomlán lena n</w:t>
      </w:r>
      <w:r>
        <w:rPr>
          <w:noProof/>
        </w:rPr>
        <w:noBreakHyphen/>
        <w:t>áirítear cuspóirí, torthaí ionchais agus táscairí feidhmíochta. Leagfar amach clár</w:t>
      </w:r>
      <w:r>
        <w:rPr>
          <w:noProof/>
        </w:rPr>
        <w:t>sceidealú acmhainní ann freisin, lena n</w:t>
      </w:r>
      <w:r>
        <w:rPr>
          <w:noProof/>
        </w:rPr>
        <w:noBreakHyphen/>
        <w:t>áirítear an buiséad ilbhliantúil agus an fhoireann.</w:t>
      </w:r>
    </w:p>
    <w:p w:rsidR="00526EFA" w:rsidRDefault="005C4D05">
      <w:pPr>
        <w:rPr>
          <w:noProof/>
        </w:rPr>
      </w:pPr>
      <w:r>
        <w:rPr>
          <w:noProof/>
        </w:rPr>
        <w:t xml:space="preserve">Tabharfar an clársceidealú acmhainní cothrom le dáta go bliantúil. Tabharfar an clársceidealú straitéiseach cothrom le dáta nuair is iomchuí, agus go háirithe chun </w:t>
      </w:r>
      <w:r>
        <w:rPr>
          <w:noProof/>
        </w:rPr>
        <w:t>dul i ngleic le toradh na meastóireachta dá dtagraítear in Airteagal 38.</w:t>
      </w:r>
    </w:p>
    <w:p w:rsidR="00526EFA" w:rsidRDefault="005C4D05">
      <w:pPr>
        <w:rPr>
          <w:noProof/>
        </w:rPr>
      </w:pPr>
      <w:r>
        <w:rPr>
          <w:noProof/>
        </w:rPr>
        <w:t>5. Áireofar sa chlársceidealú bliantúil nó ilbhliantúil an straitéis maidir le caidreamh le comhlachtaí inniúla de chuid an Aontais, gníomhaireachtaí, oifigí agus grúpaí comhairleacha</w:t>
      </w:r>
      <w:r>
        <w:rPr>
          <w:noProof/>
        </w:rPr>
        <w:t>; le húdaráis inniúla tríú tíortha agus/nó le heagraíochtaí idirnáisiúnta dá dtagraítear in Airteagal 26, na gníomhaíochtaí a bhaineann leis an straitéis sin, agus sonrú na n</w:t>
      </w:r>
      <w:r>
        <w:rPr>
          <w:noProof/>
        </w:rPr>
        <w:noBreakHyphen/>
        <w:t>acmhainní gaolmhara.</w:t>
      </w:r>
    </w:p>
    <w:p w:rsidR="00526EFA" w:rsidRDefault="005C4D05">
      <w:pPr>
        <w:pStyle w:val="Titrearticle"/>
        <w:rPr>
          <w:noProof/>
        </w:rPr>
      </w:pPr>
      <w:r>
        <w:rPr>
          <w:noProof/>
        </w:rPr>
        <w:t>Airteagal 16</w:t>
      </w:r>
    </w:p>
    <w:p w:rsidR="00526EFA" w:rsidRDefault="005C4D05">
      <w:pPr>
        <w:pStyle w:val="NormalCentered"/>
        <w:autoSpaceDE w:val="0"/>
        <w:autoSpaceDN w:val="0"/>
        <w:rPr>
          <w:b/>
          <w:bCs/>
          <w:noProof/>
        </w:rPr>
      </w:pPr>
      <w:r>
        <w:rPr>
          <w:b/>
          <w:noProof/>
        </w:rPr>
        <w:t>An buiséad a bhunú</w:t>
      </w:r>
    </w:p>
    <w:p w:rsidR="00526EFA" w:rsidRDefault="005C4D05">
      <w:pPr>
        <w:rPr>
          <w:noProof/>
        </w:rPr>
      </w:pPr>
      <w:r>
        <w:rPr>
          <w:noProof/>
        </w:rPr>
        <w:t>1. Gach bliain, tarraingeoid</w:t>
      </w:r>
      <w:r>
        <w:rPr>
          <w:noProof/>
        </w:rPr>
        <w:t>h an Stiúrthóir Feidhmiúcháin suas dréachtmheastachán sealadach ar ioncam agus caiteachas BEREC don bhliain airgeadais dár gcionn, lena n</w:t>
      </w:r>
      <w:r>
        <w:rPr>
          <w:noProof/>
        </w:rPr>
        <w:noBreakHyphen/>
        <w:t>áirítear an plean bunaíochta, agus cuirfidh sé chuig an mBord Bainistíochta é.</w:t>
      </w:r>
    </w:p>
    <w:p w:rsidR="00526EFA" w:rsidRDefault="005C4D05">
      <w:pPr>
        <w:rPr>
          <w:noProof/>
        </w:rPr>
      </w:pPr>
      <w:r>
        <w:rPr>
          <w:noProof/>
        </w:rPr>
        <w:t>2. Ar bhonn an dréachta shealadaigh sin</w:t>
      </w:r>
      <w:r>
        <w:rPr>
          <w:noProof/>
        </w:rPr>
        <w:t>, glacfaidh an Bord Bainistíochta dréachtmheastachán ar ioncam agus caiteachas BEREC don bhliain airgeadais dár gcionn.</w:t>
      </w:r>
    </w:p>
    <w:p w:rsidR="00526EFA" w:rsidRDefault="005C4D05">
      <w:pPr>
        <w:rPr>
          <w:noProof/>
        </w:rPr>
      </w:pPr>
      <w:r>
        <w:rPr>
          <w:noProof/>
        </w:rPr>
        <w:t>3. Cuirfidh an Stiúrthóir Feidhmiúcháin an dréachtmheastachán ar ioncam agus caiteachas BEREC chuig an gCoimisiún faoin 31 Eanáir gach b</w:t>
      </w:r>
      <w:r>
        <w:rPr>
          <w:noProof/>
        </w:rPr>
        <w:t>liain. Beidh an fhaisnéis sa dréachtmheastachán ar ioncam agus caiteachas BEREC agus an fhaisnéis sa dréachtdhoiciméad aonair clársceidealaithe dá dtagraítear in Airteagal 15(1) ag teacht le chéile.</w:t>
      </w:r>
    </w:p>
    <w:p w:rsidR="00526EFA" w:rsidRDefault="005C4D05">
      <w:pPr>
        <w:rPr>
          <w:noProof/>
        </w:rPr>
      </w:pPr>
      <w:r>
        <w:rPr>
          <w:noProof/>
        </w:rPr>
        <w:t>4. Cuirfidh an Coimisiún an dréachtmheastachán mar aon le</w:t>
      </w:r>
      <w:r>
        <w:rPr>
          <w:noProof/>
        </w:rPr>
        <w:t xml:space="preserve"> dréachtbhuiséad ginearálta an Aontais chuig an údarás buiséadach.</w:t>
      </w:r>
    </w:p>
    <w:p w:rsidR="00526EFA" w:rsidRDefault="005C4D05">
      <w:pPr>
        <w:rPr>
          <w:noProof/>
        </w:rPr>
      </w:pPr>
      <w:r>
        <w:rPr>
          <w:noProof/>
        </w:rPr>
        <w:t xml:space="preserve">5. Ar bhonn an dréachtmheastacháin sin, cuirfidh an Coimisiún i ndréachtbhuiséad ginearálta an Aontais na meastacháin sin a mheasfaidh sé a bheith riachtanach don phlean bunaíochta agus do </w:t>
      </w:r>
      <w:r>
        <w:rPr>
          <w:noProof/>
        </w:rPr>
        <w:t>mhéid an fhóirdheontais a dhéanfar a mhuirearú ar an mbuiséad ginearálta, agus cuirfidh sé faoi bhráid an údaráis bhuiséadaigh é i gcomhréir le hAirteagal 313 agus le hAirteagal 314 den Chonradh.</w:t>
      </w:r>
    </w:p>
    <w:p w:rsidR="00526EFA" w:rsidRDefault="005C4D05">
      <w:pPr>
        <w:rPr>
          <w:noProof/>
        </w:rPr>
      </w:pPr>
      <w:r>
        <w:rPr>
          <w:noProof/>
        </w:rPr>
        <w:t>6. Údaróidh an t</w:t>
      </w:r>
      <w:r>
        <w:rPr>
          <w:noProof/>
        </w:rPr>
        <w:noBreakHyphen/>
        <w:t xml:space="preserve">údarás buiséadach na leithreasuithe don </w:t>
      </w:r>
      <w:r>
        <w:rPr>
          <w:noProof/>
        </w:rPr>
        <w:t>ranníocaíocht a dhéanfar le BEREC.</w:t>
      </w:r>
    </w:p>
    <w:p w:rsidR="00526EFA" w:rsidRDefault="005C4D05">
      <w:pPr>
        <w:rPr>
          <w:noProof/>
        </w:rPr>
      </w:pPr>
      <w:r>
        <w:rPr>
          <w:noProof/>
        </w:rPr>
        <w:t>7. Glacfaidh an t</w:t>
      </w:r>
      <w:r>
        <w:rPr>
          <w:noProof/>
        </w:rPr>
        <w:noBreakHyphen/>
        <w:t>údarás buiséadach plean bunaíochta BEREC.</w:t>
      </w:r>
    </w:p>
    <w:p w:rsidR="00526EFA" w:rsidRDefault="005C4D05">
      <w:pPr>
        <w:rPr>
          <w:noProof/>
        </w:rPr>
      </w:pPr>
      <w:r>
        <w:rPr>
          <w:noProof/>
        </w:rPr>
        <w:t xml:space="preserve">8. Is é an Bord Bainistíochta a ghlacfaidh buiséad BEREC. Beidh sé críochnaitheach tar éis ghlacadh deiridh bhuiséad ginearálta an Aontais Eorpaigh. I gcás inar </w:t>
      </w:r>
      <w:r>
        <w:rPr>
          <w:noProof/>
        </w:rPr>
        <w:t>gá, coigeartófar é dá réir.</w:t>
      </w:r>
    </w:p>
    <w:p w:rsidR="00526EFA" w:rsidRDefault="005C4D05">
      <w:pPr>
        <w:rPr>
          <w:noProof/>
        </w:rPr>
      </w:pPr>
      <w:r>
        <w:rPr>
          <w:noProof/>
        </w:rPr>
        <w:t>9. I dtaca le haon tionscadal tógála ar cosúil go mbeidh impleachtaí móra aige ar bhuiséad BEREC, beidh feidhm ag forálacha Rialachán Tarmligthe (AE) Uimh. 1271/2013 ón gCoimisiún.</w:t>
      </w:r>
    </w:p>
    <w:p w:rsidR="00526EFA" w:rsidRDefault="00526EFA">
      <w:pPr>
        <w:rPr>
          <w:noProof/>
        </w:rPr>
      </w:pPr>
    </w:p>
    <w:p w:rsidR="00526EFA" w:rsidRDefault="005C4D05">
      <w:pPr>
        <w:pStyle w:val="SectionTitle"/>
        <w:autoSpaceDE w:val="0"/>
        <w:autoSpaceDN w:val="0"/>
        <w:rPr>
          <w:rFonts w:eastAsiaTheme="minorEastAsia"/>
          <w:bCs/>
          <w:noProof/>
          <w:szCs w:val="28"/>
        </w:rPr>
      </w:pPr>
      <w:r>
        <w:rPr>
          <w:noProof/>
        </w:rPr>
        <w:t>Roinn 2</w:t>
      </w:r>
    </w:p>
    <w:p w:rsidR="00526EFA" w:rsidRDefault="005C4D05">
      <w:pPr>
        <w:pStyle w:val="SectionTitle"/>
        <w:autoSpaceDE w:val="0"/>
        <w:autoSpaceDN w:val="0"/>
        <w:rPr>
          <w:noProof/>
          <w:sz w:val="24"/>
          <w:szCs w:val="24"/>
        </w:rPr>
      </w:pPr>
      <w:r>
        <w:rPr>
          <w:noProof/>
          <w:sz w:val="22"/>
        </w:rPr>
        <w:t>CUR CHUN FEIDHME, TÍOLACADH AGUS RIALÚ</w:t>
      </w:r>
      <w:r>
        <w:rPr>
          <w:noProof/>
          <w:sz w:val="22"/>
        </w:rPr>
        <w:t xml:space="preserve"> AN BHUISÉID</w:t>
      </w:r>
    </w:p>
    <w:p w:rsidR="00526EFA" w:rsidRDefault="005C4D05">
      <w:pPr>
        <w:pStyle w:val="Titrearticle"/>
        <w:rPr>
          <w:noProof/>
        </w:rPr>
      </w:pPr>
      <w:r>
        <w:rPr>
          <w:noProof/>
        </w:rPr>
        <w:t>Airteagal 17</w:t>
      </w:r>
    </w:p>
    <w:p w:rsidR="00526EFA" w:rsidRDefault="005C4D05">
      <w:pPr>
        <w:pStyle w:val="NormalCentered"/>
        <w:autoSpaceDE w:val="0"/>
        <w:autoSpaceDN w:val="0"/>
        <w:rPr>
          <w:b/>
          <w:bCs/>
          <w:noProof/>
          <w:szCs w:val="24"/>
        </w:rPr>
      </w:pPr>
      <w:r>
        <w:rPr>
          <w:b/>
          <w:noProof/>
        </w:rPr>
        <w:t>Struchtúr an bhuiséid</w:t>
      </w:r>
    </w:p>
    <w:p w:rsidR="00526EFA" w:rsidRDefault="005C4D05">
      <w:pPr>
        <w:rPr>
          <w:noProof/>
        </w:rPr>
      </w:pPr>
      <w:r>
        <w:rPr>
          <w:noProof/>
        </w:rPr>
        <w:t>1. Ullmhófar meastacháin ar ioncam agus caiteachas uile BEREC gach bliain airgeadais, de réir na bliana féilire, agus léireofar i mbuiséad BEREC iad.</w:t>
      </w:r>
    </w:p>
    <w:p w:rsidR="00526EFA" w:rsidRDefault="005C4D05">
      <w:pPr>
        <w:rPr>
          <w:noProof/>
        </w:rPr>
      </w:pPr>
      <w:r>
        <w:rPr>
          <w:noProof/>
        </w:rPr>
        <w:t xml:space="preserve">2. Beidh buiséad BEREC comhordaithe ó thaobh ioncaim agus </w:t>
      </w:r>
      <w:r>
        <w:rPr>
          <w:noProof/>
        </w:rPr>
        <w:t>caiteachais de.</w:t>
      </w:r>
    </w:p>
    <w:p w:rsidR="00526EFA" w:rsidRDefault="005C4D05">
      <w:pPr>
        <w:rPr>
          <w:noProof/>
        </w:rPr>
      </w:pPr>
      <w:r>
        <w:rPr>
          <w:noProof/>
        </w:rPr>
        <w:t>3. Gan dochar d’acmhainní eile, beidh na nithe seo leanas ar áireamh in ioncam BEREC:</w:t>
      </w:r>
    </w:p>
    <w:p w:rsidR="00526EFA" w:rsidRDefault="005C4D05">
      <w:pPr>
        <w:pStyle w:val="Point0letter"/>
        <w:numPr>
          <w:ilvl w:val="1"/>
          <w:numId w:val="24"/>
        </w:numPr>
        <w:rPr>
          <w:noProof/>
        </w:rPr>
      </w:pPr>
      <w:r>
        <w:rPr>
          <w:noProof/>
        </w:rPr>
        <w:t>ranníocaíocht ón Aontas;</w:t>
      </w:r>
    </w:p>
    <w:p w:rsidR="00526EFA" w:rsidRDefault="005C4D05">
      <w:pPr>
        <w:pStyle w:val="Point0letter"/>
        <w:rPr>
          <w:noProof/>
        </w:rPr>
      </w:pPr>
      <w:r>
        <w:rPr>
          <w:noProof/>
        </w:rPr>
        <w:t>aon ranníocaíocht dheonach airgeadais ó na Ballstáit nó ó na hÚNRanna;</w:t>
      </w:r>
    </w:p>
    <w:p w:rsidR="00526EFA" w:rsidRDefault="005C4D05">
      <w:pPr>
        <w:pStyle w:val="Point0letter"/>
        <w:rPr>
          <w:noProof/>
        </w:rPr>
      </w:pPr>
      <w:r>
        <w:rPr>
          <w:noProof/>
        </w:rPr>
        <w:t>táillí ar fhoilseacháin agus ar aon seirbhísí eile a sholá</w:t>
      </w:r>
      <w:r>
        <w:rPr>
          <w:noProof/>
        </w:rPr>
        <w:t>thraíonn BEREC;</w:t>
      </w:r>
    </w:p>
    <w:p w:rsidR="00526EFA" w:rsidRDefault="005C4D05">
      <w:pPr>
        <w:pStyle w:val="Point0letter"/>
        <w:rPr>
          <w:noProof/>
        </w:rPr>
      </w:pPr>
      <w:r>
        <w:rPr>
          <w:noProof/>
        </w:rPr>
        <w:t>aon ranníocaíocht ó thríú tíortha nó ó údaráis rialála tríú tíortha atá inniúil i réimse na cumarsáide leictreonaí agus atá rannpháirteach in obair BEREC, dá bhforáiltear in Airteagal 26.</w:t>
      </w:r>
    </w:p>
    <w:p w:rsidR="00526EFA" w:rsidRDefault="005C4D05">
      <w:pPr>
        <w:rPr>
          <w:noProof/>
        </w:rPr>
      </w:pPr>
      <w:r>
        <w:rPr>
          <w:noProof/>
        </w:rPr>
        <w:t>4. Cuirfear pá foirne, costais riaracháin agus bonne</w:t>
      </w:r>
      <w:r>
        <w:rPr>
          <w:noProof/>
        </w:rPr>
        <w:t>agair, agus caiteachas oibríochtúil san áireamh i gcaiteachas BEREC.</w:t>
      </w:r>
    </w:p>
    <w:p w:rsidR="00526EFA" w:rsidRDefault="005C4D05">
      <w:pPr>
        <w:pStyle w:val="Titrearticle"/>
        <w:rPr>
          <w:noProof/>
        </w:rPr>
      </w:pPr>
      <w:r>
        <w:rPr>
          <w:noProof/>
        </w:rPr>
        <w:t>Airteagal 18</w:t>
      </w:r>
    </w:p>
    <w:p w:rsidR="00526EFA" w:rsidRDefault="005C4D05">
      <w:pPr>
        <w:pStyle w:val="NormalCentered"/>
        <w:autoSpaceDE w:val="0"/>
        <w:autoSpaceDN w:val="0"/>
        <w:rPr>
          <w:b/>
          <w:bCs/>
          <w:noProof/>
          <w:szCs w:val="24"/>
        </w:rPr>
      </w:pPr>
      <w:r>
        <w:rPr>
          <w:b/>
          <w:noProof/>
        </w:rPr>
        <w:t>An buiséad a chur chun feidhme</w:t>
      </w:r>
    </w:p>
    <w:p w:rsidR="00526EFA" w:rsidRDefault="005C4D05">
      <w:pPr>
        <w:rPr>
          <w:noProof/>
        </w:rPr>
      </w:pPr>
      <w:r>
        <w:rPr>
          <w:noProof/>
        </w:rPr>
        <w:t>1. Cuirfidh an Stiúrthóir Feidhmiúcháin buiséad BEREC chun feidhme.</w:t>
      </w:r>
    </w:p>
    <w:p w:rsidR="00526EFA" w:rsidRDefault="005C4D05">
      <w:pPr>
        <w:rPr>
          <w:noProof/>
        </w:rPr>
      </w:pPr>
      <w:r>
        <w:rPr>
          <w:noProof/>
        </w:rPr>
        <w:t>2. Gach bliain, déanfaidh an Stiúrthóir Feidhmiúcháin gach faisnéis ábharth</w:t>
      </w:r>
      <w:r>
        <w:rPr>
          <w:noProof/>
        </w:rPr>
        <w:t>a a bhaineann le torthaí na nósanna imeachta meastóireachta a chur chuig an údarás buiséadach.</w:t>
      </w:r>
    </w:p>
    <w:p w:rsidR="00526EFA" w:rsidRDefault="005C4D05">
      <w:pPr>
        <w:pStyle w:val="Titrearticle"/>
        <w:rPr>
          <w:noProof/>
        </w:rPr>
      </w:pPr>
      <w:r>
        <w:rPr>
          <w:noProof/>
        </w:rPr>
        <w:t>Airteagal 19</w:t>
      </w:r>
    </w:p>
    <w:p w:rsidR="00526EFA" w:rsidRDefault="005C4D05">
      <w:pPr>
        <w:pStyle w:val="NormalCentered"/>
        <w:autoSpaceDE w:val="0"/>
        <w:autoSpaceDN w:val="0"/>
        <w:rPr>
          <w:b/>
          <w:bCs/>
          <w:noProof/>
        </w:rPr>
      </w:pPr>
      <w:r>
        <w:rPr>
          <w:b/>
          <w:noProof/>
        </w:rPr>
        <w:t>Na cuntais a thíolacadh agus a urscaoileadh</w:t>
      </w:r>
    </w:p>
    <w:p w:rsidR="00526EFA" w:rsidRDefault="005C4D05">
      <w:pPr>
        <w:rPr>
          <w:noProof/>
        </w:rPr>
      </w:pPr>
      <w:r>
        <w:rPr>
          <w:noProof/>
        </w:rPr>
        <w:t>1. Faoin 1 Márta den bhliain airgeadais dár gcionn, cuirfidh Oifigeach Cuntasaíochta BEREC na cuntais sh</w:t>
      </w:r>
      <w:r>
        <w:rPr>
          <w:noProof/>
        </w:rPr>
        <w:t>ealadacha chuig Oifigeach Cuntasaíochta an Choimisiúin agus chuig an gCúirt Iniúchóirí.</w:t>
      </w:r>
    </w:p>
    <w:p w:rsidR="00526EFA" w:rsidRDefault="005C4D05">
      <w:pPr>
        <w:rPr>
          <w:noProof/>
        </w:rPr>
      </w:pPr>
      <w:r>
        <w:rPr>
          <w:noProof/>
        </w:rPr>
        <w:t xml:space="preserve">2. Faoin 31 Márta den bhliain airgeadais dár gcionn, cuirfidh BEREC an tuarascáil ar an mbainistiú buiséadach agus airgeadais chuig Parlaimint na hEorpa, chuig an </w:t>
      </w:r>
      <w:r>
        <w:rPr>
          <w:noProof/>
        </w:rPr>
        <w:t>gComhairle agus chuig an gCúirt Iniúchóirí.</w:t>
      </w:r>
    </w:p>
    <w:p w:rsidR="00526EFA" w:rsidRDefault="005C4D05">
      <w:pPr>
        <w:rPr>
          <w:noProof/>
        </w:rPr>
      </w:pPr>
      <w:r>
        <w:rPr>
          <w:noProof/>
        </w:rPr>
        <w:t>3. Nuair a gheobhaidh sé na barúlacha ón gCúirt Iniúchóirí maidir le cuntais shealadacha BEREC tarraingeoidh Oifigeach Cuntasaíochta BEREC suas cuntais chríochnaitheacha BEREC a bhfuil sé freagrach astu. Cuirfidh</w:t>
      </w:r>
      <w:r>
        <w:rPr>
          <w:noProof/>
        </w:rPr>
        <w:t xml:space="preserve"> an Stiúrthóir Feidhmiúcháin na cuntais chríochnaitheacha faoi bhráid an Bhoird Bainistíochta chun tuairim a fháil.</w:t>
      </w:r>
    </w:p>
    <w:p w:rsidR="00526EFA" w:rsidRDefault="005C4D05">
      <w:pPr>
        <w:rPr>
          <w:noProof/>
        </w:rPr>
      </w:pPr>
      <w:r>
        <w:rPr>
          <w:noProof/>
        </w:rPr>
        <w:t>4. Tabharfaidh an Bord Bainistíochta tuairim uaidh maidir le cuntais chríochnaitheacha BEREC.</w:t>
      </w:r>
    </w:p>
    <w:p w:rsidR="00526EFA" w:rsidRDefault="005C4D05">
      <w:pPr>
        <w:rPr>
          <w:noProof/>
        </w:rPr>
      </w:pPr>
      <w:r>
        <w:rPr>
          <w:noProof/>
        </w:rPr>
        <w:t xml:space="preserve">5. Faoin 1 Iúil tar éis gach bliana </w:t>
      </w:r>
      <w:r>
        <w:rPr>
          <w:noProof/>
        </w:rPr>
        <w:t>airgeadais, déanfaidh an Stiúrthóir Feidhmiúcháin na cuntais chríochnaitheacha sin, in éineacht le tuairim an Bhoird Bainistíochta, a chur faoi bhráid Pharlaimint na hEorpa, na Comhairle, an Choimisiúin agus na Cúirte Iniúchóirí.</w:t>
      </w:r>
    </w:p>
    <w:p w:rsidR="00526EFA" w:rsidRDefault="005C4D05">
      <w:pPr>
        <w:rPr>
          <w:noProof/>
        </w:rPr>
      </w:pPr>
      <w:r>
        <w:rPr>
          <w:noProof/>
        </w:rPr>
        <w:t>6. Foilseoidh BEREC na cun</w:t>
      </w:r>
      <w:r>
        <w:rPr>
          <w:noProof/>
        </w:rPr>
        <w:t xml:space="preserve">tais chríochnaitheacha in </w:t>
      </w:r>
      <w:r>
        <w:rPr>
          <w:i/>
          <w:noProof/>
        </w:rPr>
        <w:t>Iris Oifigiúil an Aontais Eorpaigh</w:t>
      </w:r>
      <w:r>
        <w:rPr>
          <w:noProof/>
        </w:rPr>
        <w:t xml:space="preserve"> faoin 15 Samhain an bhliain dár gcionn.</w:t>
      </w:r>
    </w:p>
    <w:p w:rsidR="00526EFA" w:rsidRDefault="005C4D05">
      <w:pPr>
        <w:rPr>
          <w:noProof/>
        </w:rPr>
      </w:pPr>
      <w:r>
        <w:rPr>
          <w:noProof/>
        </w:rPr>
        <w:t>7. Faoin 30 Meán Fómhair cuirfidh an Stiúrthóir Feidhmiúcháin freagra chuig an gCúirt Iniúchóirí maidir lena barúlacha. Cuirfidh an Stiúrthóir Feidhmiúchái</w:t>
      </w:r>
      <w:r>
        <w:rPr>
          <w:noProof/>
        </w:rPr>
        <w:t>n an freagra sin ar aghaidh chuig an mBord Bainistíochta freisin.</w:t>
      </w:r>
    </w:p>
    <w:p w:rsidR="00526EFA" w:rsidRDefault="005C4D05">
      <w:pPr>
        <w:rPr>
          <w:noProof/>
        </w:rPr>
      </w:pPr>
      <w:r>
        <w:rPr>
          <w:noProof/>
        </w:rPr>
        <w:t>8. Cuirfidh an Stiúrthóir Feidhmiúcháin aon fhaisnéis is gá faoi bhráid Pharlaimint na hEorpa, arna iarraidh sin di, chun an nós imeachta um urscaoileadh a chur i bhfeidhm go rianúil don bhl</w:t>
      </w:r>
      <w:r>
        <w:rPr>
          <w:noProof/>
        </w:rPr>
        <w:t>iain airgeadais i dtrácht, i gcomhréir le hAirteagal 165(3) den Rialachán Airgeadais</w:t>
      </w:r>
      <w:r>
        <w:rPr>
          <w:rStyle w:val="FootnoteReference"/>
          <w:noProof/>
        </w:rPr>
        <w:t xml:space="preserve"> </w:t>
      </w:r>
      <w:r>
        <w:rPr>
          <w:rStyle w:val="FootnoteReference"/>
          <w:noProof/>
        </w:rPr>
        <w:footnoteReference w:id="39"/>
      </w:r>
      <w:r>
        <w:rPr>
          <w:noProof/>
        </w:rPr>
        <w:t>.</w:t>
      </w:r>
    </w:p>
    <w:p w:rsidR="00526EFA" w:rsidRDefault="005C4D05">
      <w:pPr>
        <w:rPr>
          <w:noProof/>
        </w:rPr>
      </w:pPr>
      <w:r>
        <w:rPr>
          <w:noProof/>
        </w:rPr>
        <w:t>9. Déanfaidh Parlaimint na hEorpa, ar mholadh ón gComhairle ag gníomhú di trí thromlach cáilithe, urscaoileadh a dheonú don Stiúrthóir Feidhmiúcháin roimh an 15 Bealtai</w:t>
      </w:r>
      <w:r>
        <w:rPr>
          <w:noProof/>
        </w:rPr>
        <w:t>ne den bhliain N + 2, i dtaca le cur chun feidhme an bhuiséid don bhliain N.</w:t>
      </w:r>
    </w:p>
    <w:p w:rsidR="00526EFA" w:rsidRDefault="005C4D05">
      <w:pPr>
        <w:pStyle w:val="Titrearticle"/>
        <w:rPr>
          <w:noProof/>
        </w:rPr>
      </w:pPr>
      <w:r>
        <w:rPr>
          <w:noProof/>
        </w:rPr>
        <w:t>Airteagal 20</w:t>
      </w:r>
    </w:p>
    <w:p w:rsidR="00526EFA" w:rsidRDefault="005C4D05">
      <w:pPr>
        <w:pStyle w:val="NormalCentered"/>
        <w:autoSpaceDE w:val="0"/>
        <w:autoSpaceDN w:val="0"/>
        <w:rPr>
          <w:b/>
          <w:bCs/>
          <w:noProof/>
          <w:szCs w:val="24"/>
        </w:rPr>
      </w:pPr>
      <w:r>
        <w:rPr>
          <w:b/>
          <w:noProof/>
        </w:rPr>
        <w:t>Rialacha airgeadais</w:t>
      </w:r>
    </w:p>
    <w:p w:rsidR="00526EFA" w:rsidRDefault="005C4D05">
      <w:pPr>
        <w:rPr>
          <w:noProof/>
        </w:rPr>
      </w:pPr>
      <w:r>
        <w:rPr>
          <w:noProof/>
        </w:rPr>
        <w:t>Déanfaidh an Bord Bainistíochta na rialacha airgeadais is infheidhme maidir le BEREC a ghlacadh tar éis dó dul i gcomhairle leis an gCoimisiún. Ní</w:t>
      </w:r>
      <w:r>
        <w:rPr>
          <w:noProof/>
        </w:rPr>
        <w:t xml:space="preserve"> imeoidh siad ó Rialachán (AE) Uimh. 1271/2013 mura mbeidh gá sonrach leis an imeacht sin chun go bhfeidhmeoidh BEREC mar is ceart agus mura mbeidh toiliú tugtha ag an gCoimisiún roimh ré.</w:t>
      </w:r>
    </w:p>
    <w:p w:rsidR="00526EFA" w:rsidRDefault="005C4D05">
      <w:pPr>
        <w:pStyle w:val="SectionTitle"/>
        <w:autoSpaceDE w:val="0"/>
        <w:autoSpaceDN w:val="0"/>
        <w:rPr>
          <w:rFonts w:eastAsiaTheme="minorEastAsia"/>
          <w:bCs/>
          <w:noProof/>
          <w:szCs w:val="28"/>
        </w:rPr>
      </w:pPr>
      <w:r>
        <w:rPr>
          <w:noProof/>
        </w:rPr>
        <w:t>Caibidil IV</w:t>
      </w:r>
    </w:p>
    <w:p w:rsidR="00526EFA" w:rsidRDefault="005C4D05">
      <w:pPr>
        <w:pStyle w:val="SectionTitle"/>
        <w:autoSpaceDE w:val="0"/>
        <w:autoSpaceDN w:val="0"/>
        <w:rPr>
          <w:noProof/>
          <w:sz w:val="22"/>
        </w:rPr>
      </w:pPr>
      <w:r>
        <w:rPr>
          <w:noProof/>
          <w:sz w:val="22"/>
        </w:rPr>
        <w:t>foireann</w:t>
      </w:r>
    </w:p>
    <w:p w:rsidR="00526EFA" w:rsidRDefault="005C4D05">
      <w:pPr>
        <w:pStyle w:val="Titrearticle"/>
        <w:rPr>
          <w:noProof/>
        </w:rPr>
      </w:pPr>
      <w:r>
        <w:rPr>
          <w:noProof/>
        </w:rPr>
        <w:t>Airteagal 21</w:t>
      </w:r>
    </w:p>
    <w:p w:rsidR="00526EFA" w:rsidRDefault="005C4D05">
      <w:pPr>
        <w:pStyle w:val="NormalCentered"/>
        <w:autoSpaceDE w:val="0"/>
        <w:autoSpaceDN w:val="0"/>
        <w:rPr>
          <w:b/>
          <w:bCs/>
          <w:noProof/>
          <w:szCs w:val="24"/>
        </w:rPr>
      </w:pPr>
      <w:r>
        <w:rPr>
          <w:b/>
          <w:noProof/>
        </w:rPr>
        <w:t>Forálacha ginearálta</w:t>
      </w:r>
    </w:p>
    <w:p w:rsidR="00526EFA" w:rsidRDefault="005C4D05">
      <w:pPr>
        <w:rPr>
          <w:noProof/>
        </w:rPr>
      </w:pPr>
      <w:r>
        <w:rPr>
          <w:noProof/>
        </w:rPr>
        <w:t>Beidh feidhm</w:t>
      </w:r>
      <w:r>
        <w:rPr>
          <w:noProof/>
        </w:rPr>
        <w:t xml:space="preserve"> maidir le foireann BEREC ag na Rialacháin Foirne agus ag Coinníollacha Fostaíochta Seirbhíseach Eile agus ag na rialacha arna nglacadh trí chomhaontú idir institiúidí an Aontais chun éifeacht a thabhairt do na Rialacháin Foirne sin agus do Choinníollacha </w:t>
      </w:r>
      <w:r>
        <w:rPr>
          <w:noProof/>
        </w:rPr>
        <w:t>Fostaíochta Seirbhíseach Eile.</w:t>
      </w:r>
    </w:p>
    <w:p w:rsidR="00526EFA" w:rsidRDefault="005C4D05">
      <w:pPr>
        <w:pStyle w:val="Titrearticle"/>
        <w:rPr>
          <w:noProof/>
        </w:rPr>
      </w:pPr>
      <w:r>
        <w:rPr>
          <w:noProof/>
        </w:rPr>
        <w:t>Airteagal 22</w:t>
      </w:r>
    </w:p>
    <w:p w:rsidR="00526EFA" w:rsidRDefault="005C4D05">
      <w:pPr>
        <w:pStyle w:val="NormalCentered"/>
        <w:autoSpaceDE w:val="0"/>
        <w:autoSpaceDN w:val="0"/>
        <w:rPr>
          <w:b/>
          <w:bCs/>
          <w:noProof/>
          <w:szCs w:val="24"/>
        </w:rPr>
      </w:pPr>
      <w:r>
        <w:rPr>
          <w:b/>
          <w:noProof/>
        </w:rPr>
        <w:t>An Stiúrthóir Feidhmiúcháin a cheapadh</w:t>
      </w:r>
    </w:p>
    <w:p w:rsidR="00526EFA" w:rsidRDefault="005C4D05">
      <w:pPr>
        <w:rPr>
          <w:noProof/>
        </w:rPr>
      </w:pPr>
      <w:r>
        <w:rPr>
          <w:noProof/>
        </w:rPr>
        <w:t>1. Ceapfar an Stiúrthóir Feidhmiúcháin mar ghníomhaire sealadach de chuid BEREC faoi Airteagal 2(a) de Choinníollacha Fostaíochta Seirbhíseach Eile.</w:t>
      </w:r>
    </w:p>
    <w:p w:rsidR="00526EFA" w:rsidRDefault="005C4D05">
      <w:pPr>
        <w:keepLines/>
        <w:rPr>
          <w:noProof/>
        </w:rPr>
      </w:pPr>
      <w:r>
        <w:rPr>
          <w:noProof/>
        </w:rPr>
        <w:t>2. Roghnóidh an Bord Bai</w:t>
      </w:r>
      <w:r>
        <w:rPr>
          <w:noProof/>
        </w:rPr>
        <w:t>nistíochta an Stiúrthóir Feidhmiúcháin as liosta iarrthóirí a mholfaidh an Coimisiún tar éis nós imeachta roghnúcháin oscailte agus trédhearcach.</w:t>
      </w:r>
    </w:p>
    <w:p w:rsidR="00526EFA" w:rsidRDefault="005C4D05">
      <w:pPr>
        <w:keepLines/>
        <w:rPr>
          <w:noProof/>
        </w:rPr>
      </w:pPr>
      <w:r>
        <w:rPr>
          <w:noProof/>
        </w:rPr>
        <w:t>Chun an conradh a thabhairt chun críche leis an Stiúrthóir Feidhmiúcháin, déanfaidh Cathaoirleach an Bhoird Ba</w:t>
      </w:r>
      <w:r>
        <w:rPr>
          <w:noProof/>
        </w:rPr>
        <w:t>inistíochta ionadaíocht do BEREC.</w:t>
      </w:r>
    </w:p>
    <w:p w:rsidR="00526EFA" w:rsidRDefault="005C4D05">
      <w:pPr>
        <w:rPr>
          <w:rFonts w:eastAsia="Calibri"/>
          <w:noProof/>
        </w:rPr>
      </w:pPr>
      <w:r>
        <w:rPr>
          <w:noProof/>
        </w:rPr>
        <w:t>Sula ndéanfar an ceapachán, féadfar a iarraidh ar an iarrthóir a roghnaigh an Bord Bainistíochta ráiteas a dhéanamh os comhair choiste inniúil Pharlaimint na hEorpa agus ceisteanna ó chomhaltaí an choiste sin a fhreagairt.</w:t>
      </w:r>
    </w:p>
    <w:p w:rsidR="00526EFA" w:rsidRDefault="005C4D05">
      <w:pPr>
        <w:rPr>
          <w:rFonts w:eastAsia="Calibri"/>
          <w:noProof/>
        </w:rPr>
      </w:pPr>
      <w:r>
        <w:rPr>
          <w:noProof/>
        </w:rPr>
        <w:t>3. Mairfidh téarma oifige an Stiúrthóra Feidhmiúcháin cúig bliana. Roimh dheireadh na tréimhse sin, tabharfaidh an Coimisiún faoi mheasúnú ina mbeidh meastóireacht ar fheidhmíocht an Stiúrthóra Feidhmiúcháin agus ar chúraimí agus dúshláin BEREC amach anse</w:t>
      </w:r>
      <w:r>
        <w:rPr>
          <w:noProof/>
        </w:rPr>
        <w:t>o.</w:t>
      </w:r>
    </w:p>
    <w:p w:rsidR="00526EFA" w:rsidRDefault="005C4D05">
      <w:pPr>
        <w:rPr>
          <w:rFonts w:eastAsia="Calibri"/>
          <w:noProof/>
        </w:rPr>
      </w:pPr>
      <w:r>
        <w:rPr>
          <w:noProof/>
        </w:rPr>
        <w:t>4. Féadfaidh an Bord Bainistíochta, ag gníomhú dó ar thogra ón gCoimisiún lena gcuirtear san áireamh an measúnú a dtagraítear dó i mír 3, féadfaidh sé síneadh a chur le téarma oifige an Stiúrthóra Feidhmiúcháin uair amháin, ar feadh cúig bliana ar a mhé</w:t>
      </w:r>
      <w:r>
        <w:rPr>
          <w:noProof/>
        </w:rPr>
        <w:t>ad.</w:t>
      </w:r>
    </w:p>
    <w:p w:rsidR="00526EFA" w:rsidRDefault="005C4D05">
      <w:pPr>
        <w:rPr>
          <w:rFonts w:eastAsia="Calibri"/>
          <w:noProof/>
        </w:rPr>
      </w:pPr>
      <w:r>
        <w:rPr>
          <w:noProof/>
        </w:rPr>
        <w:t>5. Cuirfidh an Bord Bainistíochta in iúl do Pharlaimint na hEorpa má tá sé ar intinn aige síneadh a chur le téarma oifige an Stiúrthóra Feidhmiúcháin. Sa mhí sula gcuirfear síneadh lena théarma oifige, féadfar cuireadh a thabhairt don Stiúrthóir Feidhm</w:t>
      </w:r>
      <w:r>
        <w:rPr>
          <w:noProof/>
        </w:rPr>
        <w:t>iúcháin ráiteas a dhéanamh os comhair choiste inniúil na Parlaiminte agus ceisteanna ó chomhaltaí an choiste a fhreagairt.</w:t>
      </w:r>
    </w:p>
    <w:p w:rsidR="00526EFA" w:rsidRDefault="005C4D05">
      <w:pPr>
        <w:rPr>
          <w:rFonts w:eastAsia="Calibri"/>
          <w:noProof/>
        </w:rPr>
      </w:pPr>
      <w:r>
        <w:rPr>
          <w:noProof/>
        </w:rPr>
        <w:t xml:space="preserve">6. Ní fhéadfaidh Stiúrthóir Feidhmiúcháin, ar cuireadh síneadh lena théarma oifige, bheith rannpháirteach i nós imeachta roghnúcháin </w:t>
      </w:r>
      <w:r>
        <w:rPr>
          <w:noProof/>
        </w:rPr>
        <w:t>eile don phost céanna ag deireadh na tréimhse foriomláine.</w:t>
      </w:r>
    </w:p>
    <w:p w:rsidR="00526EFA" w:rsidRDefault="005C4D05">
      <w:pPr>
        <w:rPr>
          <w:rFonts w:eastAsia="Calibri"/>
          <w:noProof/>
        </w:rPr>
      </w:pPr>
      <w:r>
        <w:rPr>
          <w:noProof/>
        </w:rPr>
        <w:t>7. Ní fhéadfar an Stiúrthóir Feidhmiúcháin a chur as oifig ach amháin ar Chinneadh ón mBord Bainistíochta ag gníomhú dó ar thogra ón gCoimisiún.</w:t>
      </w:r>
    </w:p>
    <w:p w:rsidR="00526EFA" w:rsidRDefault="005C4D05">
      <w:pPr>
        <w:rPr>
          <w:noProof/>
        </w:rPr>
      </w:pPr>
      <w:r>
        <w:rPr>
          <w:noProof/>
        </w:rPr>
        <w:t>8. Tiocfaidh an Bord Bainistíochta ar chinntí faoi c</w:t>
      </w:r>
      <w:r>
        <w:rPr>
          <w:noProof/>
        </w:rPr>
        <w:t>heapachán, faoi shíneadh téarma oifige agus faoi chur as oifig an Stiúrthóra Feidhmiúcháin ar bhonn tromlach dhá thrian de na comhaltaí a bhfuil ceart vótála acu.</w:t>
      </w:r>
    </w:p>
    <w:p w:rsidR="00526EFA" w:rsidRDefault="005C4D05">
      <w:pPr>
        <w:pStyle w:val="Titrearticle"/>
        <w:rPr>
          <w:noProof/>
        </w:rPr>
      </w:pPr>
      <w:r>
        <w:rPr>
          <w:noProof/>
        </w:rPr>
        <w:t>Airteagal 23</w:t>
      </w:r>
    </w:p>
    <w:p w:rsidR="00526EFA" w:rsidRDefault="005C4D05">
      <w:pPr>
        <w:pStyle w:val="NormalCentered"/>
        <w:autoSpaceDE w:val="0"/>
        <w:autoSpaceDN w:val="0"/>
        <w:rPr>
          <w:b/>
          <w:bCs/>
          <w:noProof/>
          <w:szCs w:val="24"/>
        </w:rPr>
      </w:pPr>
      <w:r>
        <w:rPr>
          <w:b/>
          <w:noProof/>
        </w:rPr>
        <w:t>Saineolaithe náisiúnta ar iasacht agus baill foirne eile</w:t>
      </w:r>
    </w:p>
    <w:p w:rsidR="00526EFA" w:rsidRDefault="005C4D05">
      <w:pPr>
        <w:rPr>
          <w:rFonts w:eastAsia="Calibri"/>
          <w:noProof/>
        </w:rPr>
      </w:pPr>
      <w:r>
        <w:rPr>
          <w:noProof/>
        </w:rPr>
        <w:t>1. Féadfaidh BEREC leas</w:t>
      </w:r>
      <w:r>
        <w:rPr>
          <w:noProof/>
        </w:rPr>
        <w:t xml:space="preserve"> a bhaint as saineolaithe náisiúnta ar iasacht nó as baill foirne eile nach fostaithe de chuid BEREC iad. Ní bheidh feidhm ag na Rialacháin Foirne agus Coinníollacha Fostaíochta Seirbhíseach Eile maidir leis an bhfoireann sin.</w:t>
      </w:r>
    </w:p>
    <w:p w:rsidR="00526EFA" w:rsidRDefault="005C4D05">
      <w:pPr>
        <w:rPr>
          <w:noProof/>
        </w:rPr>
      </w:pPr>
      <w:r>
        <w:rPr>
          <w:noProof/>
        </w:rPr>
        <w:t xml:space="preserve">2. Glacfaidh an Bord </w:t>
      </w:r>
      <w:r>
        <w:rPr>
          <w:noProof/>
        </w:rPr>
        <w:t>Bainistíochta Cinneadh lena leagfar síos rialacha maidir le saineolaithe náisiúnta a thabhairt ar iasacht do BEREC.</w:t>
      </w:r>
    </w:p>
    <w:p w:rsidR="00526EFA" w:rsidRDefault="005C4D05">
      <w:pPr>
        <w:pStyle w:val="SectionTitle"/>
        <w:autoSpaceDE w:val="0"/>
        <w:autoSpaceDN w:val="0"/>
        <w:rPr>
          <w:rFonts w:eastAsiaTheme="minorEastAsia"/>
          <w:bCs/>
          <w:noProof/>
          <w:szCs w:val="28"/>
        </w:rPr>
      </w:pPr>
      <w:r>
        <w:rPr>
          <w:noProof/>
        </w:rPr>
        <w:t>Caibidil V</w:t>
      </w:r>
    </w:p>
    <w:p w:rsidR="00526EFA" w:rsidRDefault="005C4D05">
      <w:pPr>
        <w:pStyle w:val="SectionTitle"/>
        <w:autoSpaceDE w:val="0"/>
        <w:autoSpaceDN w:val="0"/>
        <w:rPr>
          <w:noProof/>
          <w:sz w:val="22"/>
        </w:rPr>
      </w:pPr>
      <w:r>
        <w:rPr>
          <w:noProof/>
          <w:sz w:val="22"/>
        </w:rPr>
        <w:t>FORÁLACHA GINEARÁLTA</w:t>
      </w:r>
    </w:p>
    <w:p w:rsidR="00526EFA" w:rsidRDefault="005C4D05">
      <w:pPr>
        <w:pStyle w:val="Titrearticle"/>
        <w:rPr>
          <w:noProof/>
        </w:rPr>
      </w:pPr>
      <w:r>
        <w:rPr>
          <w:noProof/>
        </w:rPr>
        <w:t>Airteagal 24</w:t>
      </w:r>
    </w:p>
    <w:p w:rsidR="00526EFA" w:rsidRDefault="005C4D05">
      <w:pPr>
        <w:pStyle w:val="NormalCentered"/>
        <w:autoSpaceDE w:val="0"/>
        <w:autoSpaceDN w:val="0"/>
        <w:rPr>
          <w:b/>
          <w:bCs/>
          <w:noProof/>
          <w:szCs w:val="24"/>
        </w:rPr>
      </w:pPr>
      <w:r>
        <w:rPr>
          <w:b/>
          <w:noProof/>
        </w:rPr>
        <w:t>Stádas dlíthiúil</w:t>
      </w:r>
    </w:p>
    <w:p w:rsidR="00526EFA" w:rsidRDefault="005C4D05">
      <w:pPr>
        <w:rPr>
          <w:rFonts w:eastAsia="Calibri"/>
          <w:noProof/>
        </w:rPr>
      </w:pPr>
      <w:r>
        <w:rPr>
          <w:noProof/>
        </w:rPr>
        <w:t>1. Comhlacht de chuid an Aontais a bheidh in BEREC. Beidh pearsantacht dhlíthe</w:t>
      </w:r>
      <w:r>
        <w:rPr>
          <w:noProof/>
        </w:rPr>
        <w:t>anach aige.</w:t>
      </w:r>
    </w:p>
    <w:p w:rsidR="00526EFA" w:rsidRDefault="005C4D05">
      <w:pPr>
        <w:rPr>
          <w:rFonts w:eastAsia="Calibri"/>
          <w:noProof/>
        </w:rPr>
      </w:pPr>
      <w:r>
        <w:rPr>
          <w:noProof/>
        </w:rPr>
        <w:t>2. I ngach ceann de na Ballstáit, beidh an inniúlacht dhlíthiúil is fairsinge dá dtugtar do dhaoine dlítheanacha faoi dhlíthe na mBallstát sin ag BEREC. Féadfaidh sé, go háirithe, maoin shochorraithe agus maoin dhochorraithe a fháil agus a dhiú</w:t>
      </w:r>
      <w:r>
        <w:rPr>
          <w:noProof/>
        </w:rPr>
        <w:t>scairt agus féadfaidh sé bheith ina pháirtí in imeachtaí dlíthiúla.</w:t>
      </w:r>
    </w:p>
    <w:p w:rsidR="00526EFA" w:rsidRDefault="005C4D05">
      <w:pPr>
        <w:rPr>
          <w:rFonts w:eastAsia="Calibri"/>
          <w:noProof/>
        </w:rPr>
      </w:pPr>
      <w:r>
        <w:rPr>
          <w:noProof/>
        </w:rPr>
        <w:t>3. Déanfaidh an Stiúrthóir Feidhmiúcháin ionadaíocht do BEREC.</w:t>
      </w:r>
    </w:p>
    <w:p w:rsidR="00526EFA" w:rsidRDefault="005C4D05">
      <w:pPr>
        <w:rPr>
          <w:rFonts w:eastAsia="Calibri"/>
          <w:noProof/>
        </w:rPr>
      </w:pPr>
      <w:r>
        <w:rPr>
          <w:noProof/>
        </w:rPr>
        <w:t>4. Is é BEREC, agus BEREC amháin, a bheidh freagrach as na feidhmeanna agus na cumhachtaí a shannfar dó.</w:t>
      </w:r>
    </w:p>
    <w:p w:rsidR="00526EFA" w:rsidRDefault="005C4D05">
      <w:pPr>
        <w:pStyle w:val="Titrearticle"/>
        <w:rPr>
          <w:noProof/>
        </w:rPr>
      </w:pPr>
      <w:r>
        <w:rPr>
          <w:noProof/>
        </w:rPr>
        <w:t>Airteagal 25</w:t>
      </w:r>
    </w:p>
    <w:p w:rsidR="00526EFA" w:rsidRDefault="005C4D05">
      <w:pPr>
        <w:pStyle w:val="NormalCentered"/>
        <w:autoSpaceDE w:val="0"/>
        <w:autoSpaceDN w:val="0"/>
        <w:rPr>
          <w:b/>
          <w:bCs/>
          <w:noProof/>
        </w:rPr>
      </w:pPr>
      <w:r>
        <w:rPr>
          <w:b/>
          <w:noProof/>
        </w:rPr>
        <w:t>Pribhlé</w:t>
      </w:r>
      <w:r>
        <w:rPr>
          <w:b/>
          <w:noProof/>
        </w:rPr>
        <w:t>idí agus díolúintí</w:t>
      </w:r>
    </w:p>
    <w:p w:rsidR="00526EFA" w:rsidRDefault="005C4D05">
      <w:pPr>
        <w:rPr>
          <w:rFonts w:eastAsia="Calibri"/>
          <w:noProof/>
        </w:rPr>
      </w:pPr>
      <w:r>
        <w:rPr>
          <w:noProof/>
        </w:rPr>
        <w:t>Beidh feidhm ag an bPrótacal ar Phribhléidí agus Díolúintí an Aontais Eorpaigh maidir le BEREC agus maidir lena foireann.</w:t>
      </w:r>
    </w:p>
    <w:p w:rsidR="00526EFA" w:rsidRDefault="005C4D05">
      <w:pPr>
        <w:pStyle w:val="Titrearticle"/>
        <w:rPr>
          <w:noProof/>
        </w:rPr>
      </w:pPr>
      <w:r>
        <w:rPr>
          <w:noProof/>
        </w:rPr>
        <w:t>Airteagal 26</w:t>
      </w:r>
    </w:p>
    <w:p w:rsidR="00526EFA" w:rsidRDefault="005C4D05">
      <w:pPr>
        <w:pStyle w:val="NormalCentered"/>
        <w:autoSpaceDE w:val="0"/>
        <w:autoSpaceDN w:val="0"/>
        <w:rPr>
          <w:b/>
          <w:bCs/>
          <w:noProof/>
        </w:rPr>
      </w:pPr>
      <w:r>
        <w:rPr>
          <w:b/>
          <w:noProof/>
        </w:rPr>
        <w:t>Comhar le comhlachtaí de chuid an Aontais, le tríú tíortha agus le heagraíochtaí idirnáisiúnta</w:t>
      </w:r>
    </w:p>
    <w:p w:rsidR="00526EFA" w:rsidRDefault="005C4D05">
      <w:pPr>
        <w:rPr>
          <w:rFonts w:eastAsia="Calibri"/>
          <w:noProof/>
        </w:rPr>
      </w:pPr>
      <w:r>
        <w:rPr>
          <w:noProof/>
        </w:rPr>
        <w:t>1. A mh</w:t>
      </w:r>
      <w:r>
        <w:rPr>
          <w:noProof/>
        </w:rPr>
        <w:t>éid is gá chun na cuspóirí a leagtar amach sa Rialachán seo a bhaint amach agus chun a chúraimí a dhéanamh, agus gan dochar d'inniúlachtaí na mBallstát agus institiúidí an Aontais, féadfaidh BEREC oibriú i gcomhar le comhlachtaí inniúla de chuid an Aontais</w:t>
      </w:r>
      <w:r>
        <w:rPr>
          <w:noProof/>
        </w:rPr>
        <w:t>, gníomhaireachtaí, oifigí agus grúpaí comhairleacha, údaráis inniúla tríú tíortha agus/nó le heagraíochtaí idirnáisiúnta.</w:t>
      </w:r>
    </w:p>
    <w:p w:rsidR="00526EFA" w:rsidRDefault="005C4D05">
      <w:pPr>
        <w:rPr>
          <w:rFonts w:eastAsia="Calibri"/>
          <w:noProof/>
        </w:rPr>
      </w:pPr>
      <w:r>
        <w:rPr>
          <w:noProof/>
        </w:rPr>
        <w:t>Chuige sin, féadfaidh BEREC, tar éis dó réamhúdarú a fháil ón gCoimisiún, socruithe oibre a bhunú. Ní chruthófar leis na socruithe si</w:t>
      </w:r>
      <w:r>
        <w:rPr>
          <w:noProof/>
        </w:rPr>
        <w:t>n oibleagáidí dlíthiúla ar an Aontas ná ar na Ballstáit.</w:t>
      </w:r>
    </w:p>
    <w:p w:rsidR="00526EFA" w:rsidRDefault="005C4D05">
      <w:pPr>
        <w:rPr>
          <w:noProof/>
        </w:rPr>
      </w:pPr>
      <w:r>
        <w:rPr>
          <w:noProof/>
        </w:rPr>
        <w:t>2. Féadfaidh údaráis rialála tríú tíortha atá inniúil i réimse na cumarsáide leictreonaí bheith rannpháirteach in BEREC má tá comhaontuithe déanta acu leis an Aontas chuige sin.</w:t>
      </w:r>
    </w:p>
    <w:p w:rsidR="00526EFA" w:rsidRDefault="005C4D05">
      <w:pPr>
        <w:rPr>
          <w:noProof/>
        </w:rPr>
      </w:pPr>
      <w:r>
        <w:rPr>
          <w:noProof/>
        </w:rPr>
        <w:t>Faoi fhorálacha ábhar</w:t>
      </w:r>
      <w:r>
        <w:rPr>
          <w:noProof/>
        </w:rPr>
        <w:t>tha na gcomhaontuithe sin, forbrófar socruithe lena sonrófar, go háirithe, cineál, méid agus modh rannpháirtíochta údaráis rialála na dtríú tíortha sin lena mbaineann in obair BEREC, lena n</w:t>
      </w:r>
      <w:r>
        <w:rPr>
          <w:noProof/>
        </w:rPr>
        <w:noBreakHyphen/>
        <w:t>áirítear forálacha a bhaineann lena rannpháirtíocht i dtionscnaimh</w:t>
      </w:r>
      <w:r>
        <w:rPr>
          <w:noProof/>
        </w:rPr>
        <w:t xml:space="preserve"> a dtugann BEREC fúthu, le ranníocaíochtaí airgeadais agus le cúrsaí foirne. I dtaca le cúrsaí foirne, comhlíonfaidh na socruithe sin na Rialacháin Foirne ar aon nós.</w:t>
      </w:r>
    </w:p>
    <w:p w:rsidR="00526EFA" w:rsidRDefault="005C4D05">
      <w:pPr>
        <w:rPr>
          <w:noProof/>
        </w:rPr>
      </w:pPr>
      <w:r>
        <w:rPr>
          <w:noProof/>
        </w:rPr>
        <w:t>3. Mar chuid den doiciméad aonair clársceidealaithe, glacfaidh an Bord Bainistíochta stra</w:t>
      </w:r>
      <w:r>
        <w:rPr>
          <w:noProof/>
        </w:rPr>
        <w:t>itéis i gcomhair caidreamh le comhlachtaí inniúla de chuid an Aontais, gníomhaireachtaí, oifigí agus grúpaí comhairleacha, údaráis inniúla tríú tíortha agus/nó le heagraíochtaí idirnáisiúnta a bhaineann le cúrsaí a mbeidh inniúlacht ag an nGníomhaireacht i</w:t>
      </w:r>
      <w:r>
        <w:rPr>
          <w:noProof/>
        </w:rPr>
        <w:t>na leith. Tabharfaidh an Coimisiún agus an ghníomhaireacht chun críche socrú oibre iomchuí arb é is aidhm dó a áirithiú go bhfeidhmíonn BEREC laistigh dá shainordú agus den chreat institiúideach atá ann faoi láthair.</w:t>
      </w:r>
    </w:p>
    <w:p w:rsidR="00526EFA" w:rsidRDefault="005C4D05">
      <w:pPr>
        <w:pStyle w:val="Titrearticle"/>
        <w:rPr>
          <w:noProof/>
        </w:rPr>
      </w:pPr>
      <w:r>
        <w:rPr>
          <w:noProof/>
        </w:rPr>
        <w:t>Airteagal 27</w:t>
      </w:r>
    </w:p>
    <w:p w:rsidR="00526EFA" w:rsidRDefault="005C4D05">
      <w:pPr>
        <w:pStyle w:val="NormalCentered"/>
        <w:autoSpaceDE w:val="0"/>
        <w:autoSpaceDN w:val="0"/>
        <w:rPr>
          <w:b/>
          <w:bCs/>
          <w:noProof/>
        </w:rPr>
      </w:pPr>
      <w:r>
        <w:rPr>
          <w:b/>
          <w:noProof/>
        </w:rPr>
        <w:t>Trédhearcacht agus cumarsá</w:t>
      </w:r>
      <w:r>
        <w:rPr>
          <w:b/>
          <w:noProof/>
        </w:rPr>
        <w:t>id</w:t>
      </w:r>
    </w:p>
    <w:p w:rsidR="00526EFA" w:rsidRDefault="005C4D05">
      <w:pPr>
        <w:rPr>
          <w:noProof/>
        </w:rPr>
      </w:pPr>
      <w:r>
        <w:rPr>
          <w:noProof/>
        </w:rPr>
        <w:t>1. Beidh feidhm ag Rialachán (CE) Uimh. 1049/2001 ó Pharlaimint na hEorpa agus ón gComhairle</w:t>
      </w:r>
      <w:r>
        <w:rPr>
          <w:rStyle w:val="FootnoteReference"/>
          <w:noProof/>
        </w:rPr>
        <w:footnoteReference w:id="40"/>
      </w:r>
      <w:r>
        <w:rPr>
          <w:noProof/>
        </w:rPr>
        <w:t xml:space="preserve"> maidir le doiciméid i seilbh BEREC. Faoi cheann sé mhí tar éis dháta a chéad chruinnithe, glacfaidh an Bord Bainistíochta na rialacha mionsonraithe chun Rialac</w:t>
      </w:r>
      <w:r>
        <w:rPr>
          <w:noProof/>
        </w:rPr>
        <w:t>hán (CE) Uimh. 1049/2001 a chur i bhfeidhm.</w:t>
      </w:r>
    </w:p>
    <w:p w:rsidR="00526EFA" w:rsidRDefault="005C4D05">
      <w:pPr>
        <w:rPr>
          <w:noProof/>
        </w:rPr>
      </w:pPr>
      <w:r>
        <w:rPr>
          <w:noProof/>
        </w:rPr>
        <w:t>2. Déanfaidh BEREC sonraí pearsanta a phróiseáil faoi réir Rialachán (CE) Uimh. 45/2001 ó Pharlaimint na hEorpa agus ón gComhairle</w:t>
      </w:r>
      <w:r>
        <w:rPr>
          <w:rStyle w:val="FootnoteReference"/>
          <w:noProof/>
        </w:rPr>
        <w:footnoteReference w:id="41"/>
      </w:r>
      <w:r>
        <w:rPr>
          <w:noProof/>
        </w:rPr>
        <w:t>. Faoi cheann sé mhí tar éis dháta a chéad chruinnithe, leagfaidh an Bord Bainist</w:t>
      </w:r>
      <w:r>
        <w:rPr>
          <w:noProof/>
        </w:rPr>
        <w:t>íochta síos bearta maidir le BEREC Rialachán (CE) Uimh. 45/2001 a chur i bhfeidhm, lena n</w:t>
      </w:r>
      <w:r>
        <w:rPr>
          <w:noProof/>
        </w:rPr>
        <w:noBreakHyphen/>
        <w:t>áirítear bearta a bhaineann le hOifigeach um Chosaint Sonraí a cheapadh do BEREC. Déanfar na bearta sin a leagan síos tar éis don Bhord Bainistíochta dul i gcomhairle</w:t>
      </w:r>
      <w:r>
        <w:rPr>
          <w:noProof/>
        </w:rPr>
        <w:t xml:space="preserve"> leis an Maoirseoir Eorpach ar Chosaint Sonraí.</w:t>
      </w:r>
    </w:p>
    <w:p w:rsidR="00526EFA" w:rsidRDefault="005C4D05">
      <w:pPr>
        <w:rPr>
          <w:noProof/>
        </w:rPr>
      </w:pPr>
      <w:r>
        <w:rPr>
          <w:noProof/>
        </w:rPr>
        <w:t xml:space="preserve">3. Féadfaidh BEREC tabhairt faoi ghníomhaíochtaí cumarsáide ar a thionscnamh féin laistigh dá réimse inniúlachta féin. Ní dhéanfaidh leithdháileadh a cuid acmhainní ar ghníomhaíochtaí cumarsáide aon díobháil </w:t>
      </w:r>
      <w:r>
        <w:rPr>
          <w:noProof/>
        </w:rPr>
        <w:t xml:space="preserve">d'fheidhmiú éifeachtach na gcúraimí dá dtagraítear in Airteagal 2(1) agus in Airteagal 2(2) den Rialachán seo. Déanfar gníomhaíochtaí cumarsáide i gcomhréir le pleananna ábhartha cumarsáide agus scaipthe arna nglacadh ag an mBord Bainistíochta. </w:t>
      </w:r>
    </w:p>
    <w:p w:rsidR="00526EFA" w:rsidRDefault="005C4D05">
      <w:pPr>
        <w:pStyle w:val="Titrearticle"/>
        <w:rPr>
          <w:noProof/>
        </w:rPr>
      </w:pPr>
      <w:r>
        <w:rPr>
          <w:noProof/>
        </w:rPr>
        <w:t>Airteagal </w:t>
      </w:r>
      <w:r>
        <w:rPr>
          <w:noProof/>
        </w:rPr>
        <w:t>28</w:t>
      </w:r>
    </w:p>
    <w:p w:rsidR="00526EFA" w:rsidRDefault="005C4D05">
      <w:pPr>
        <w:pStyle w:val="NormalCentered"/>
        <w:autoSpaceDE w:val="0"/>
        <w:autoSpaceDN w:val="0"/>
        <w:rPr>
          <w:b/>
          <w:bCs/>
          <w:noProof/>
        </w:rPr>
      </w:pPr>
      <w:r>
        <w:rPr>
          <w:b/>
          <w:noProof/>
        </w:rPr>
        <w:t>Rúndacht</w:t>
      </w:r>
    </w:p>
    <w:p w:rsidR="00526EFA" w:rsidRDefault="005C4D05">
      <w:pPr>
        <w:rPr>
          <w:noProof/>
        </w:rPr>
      </w:pPr>
      <w:r>
        <w:rPr>
          <w:noProof/>
        </w:rPr>
        <w:t>1. Gan dochar d’Airteagal 27(1), ní sceithfidh BEREC le tríú páirtithe aon fhaisnéis arna próiseáil aige ná arna tabhairt dó a ndearnadh ina leith iarraidh réasúnaithe ar rúndacht iomlán nó pháirteach.</w:t>
      </w:r>
    </w:p>
    <w:p w:rsidR="00526EFA" w:rsidRDefault="005C4D05">
      <w:pPr>
        <w:rPr>
          <w:noProof/>
        </w:rPr>
      </w:pPr>
      <w:r>
        <w:rPr>
          <w:noProof/>
        </w:rPr>
        <w:t xml:space="preserve">2. Comhaltaí an Bhoird Bainistíochta, an </w:t>
      </w:r>
      <w:r>
        <w:rPr>
          <w:noProof/>
        </w:rPr>
        <w:t xml:space="preserve">Stiúrthóir Feidhmiúcháin, comhaltaí an Bhoird Achomhairc, saineolaithe náisiúnta ar iasacht, baill foirne eile nach bhfuil fostaithe ag BEREC, agus saineolaithe atá rannpháirteach i meithleacha, comhlíonfaidh siad na ceanglais rúndachta faoi Airteagal 339 </w:t>
      </w:r>
      <w:r>
        <w:rPr>
          <w:noProof/>
        </w:rPr>
        <w:t>den Chonradh, fiú amháin nuair a bheidh deireadh lena gcuid dualgas.</w:t>
      </w:r>
    </w:p>
    <w:p w:rsidR="00526EFA" w:rsidRDefault="005C4D05">
      <w:pPr>
        <w:rPr>
          <w:rFonts w:eastAsia="Calibri"/>
          <w:noProof/>
        </w:rPr>
      </w:pPr>
      <w:r>
        <w:rPr>
          <w:noProof/>
        </w:rPr>
        <w:t>3. Leagfaidh an Bord Bainistíochta síos na socruithe praiticiúla d’fhonn na rialacha rúndachta dá dtagraítear i mír 1 agus mír 2 a chur chun feidhme.</w:t>
      </w:r>
    </w:p>
    <w:p w:rsidR="00526EFA" w:rsidRDefault="005C4D05">
      <w:pPr>
        <w:pStyle w:val="Titrearticle"/>
        <w:rPr>
          <w:noProof/>
        </w:rPr>
      </w:pPr>
      <w:r>
        <w:rPr>
          <w:noProof/>
        </w:rPr>
        <w:t>Airteagal 29</w:t>
      </w:r>
    </w:p>
    <w:p w:rsidR="00526EFA" w:rsidRDefault="005C4D05">
      <w:pPr>
        <w:pStyle w:val="NormalCentered"/>
        <w:autoSpaceDE w:val="0"/>
        <w:autoSpaceDN w:val="0"/>
        <w:rPr>
          <w:b/>
          <w:bCs/>
          <w:noProof/>
        </w:rPr>
      </w:pPr>
      <w:r>
        <w:rPr>
          <w:b/>
          <w:noProof/>
        </w:rPr>
        <w:t>Rialacha slándála maidir</w:t>
      </w:r>
      <w:r>
        <w:rPr>
          <w:b/>
          <w:noProof/>
        </w:rPr>
        <w:t xml:space="preserve"> le faisnéis rúnaicmithe agus faisnéis íogair neamh</w:t>
      </w:r>
      <w:r>
        <w:rPr>
          <w:b/>
          <w:noProof/>
        </w:rPr>
        <w:noBreakHyphen/>
        <w:t>rúnaicmithe a chosaint</w:t>
      </w:r>
    </w:p>
    <w:p w:rsidR="00526EFA" w:rsidRDefault="005C4D05">
      <w:pPr>
        <w:rPr>
          <w:rFonts w:eastAsia="Calibri"/>
          <w:noProof/>
        </w:rPr>
      </w:pPr>
      <w:r>
        <w:rPr>
          <w:noProof/>
        </w:rPr>
        <w:t>Glacfaidh BEREC a rialacha slándála féin a bheidh coibhéiseach le rialacha slándála an Choimisiúin chun Faisnéis Rúnaicmithe an Aontais Eorpaigh ("FRAE") agus faisnéis íogair neamh</w:t>
      </w:r>
      <w:r>
        <w:rPr>
          <w:noProof/>
        </w:rPr>
        <w:noBreakHyphen/>
      </w:r>
      <w:r>
        <w:rPr>
          <w:noProof/>
        </w:rPr>
        <w:t xml:space="preserve">rúnaicmithe a chosaint, </w:t>
      </w:r>
      <w:r>
        <w:rPr>
          <w:i/>
          <w:noProof/>
        </w:rPr>
        <w:t>inter alia</w:t>
      </w:r>
      <w:r>
        <w:rPr>
          <w:noProof/>
        </w:rPr>
        <w:t xml:space="preserve"> na forálacha maidir leis an bhfaisnéis sin a mhalartú, a phróiseáil agus a stóráil, mar a leagtar amach i gCinneadh (AE, Euratom) 2015/443 ón gCoimisiún</w:t>
      </w:r>
      <w:r>
        <w:rPr>
          <w:rStyle w:val="FootnoteReference"/>
          <w:noProof/>
        </w:rPr>
        <w:footnoteReference w:id="42"/>
      </w:r>
      <w:r>
        <w:rPr>
          <w:noProof/>
        </w:rPr>
        <w:t xml:space="preserve"> agus i gCinneadh 2015/444 ón gCoimisiún</w:t>
      </w:r>
      <w:r>
        <w:rPr>
          <w:rStyle w:val="FootnoteReference"/>
          <w:noProof/>
        </w:rPr>
        <w:footnoteReference w:id="43"/>
      </w:r>
      <w:r>
        <w:rPr>
          <w:noProof/>
        </w:rPr>
        <w:t>. De rogha air sin, féadfai</w:t>
      </w:r>
      <w:r>
        <w:rPr>
          <w:noProof/>
        </w:rPr>
        <w:t xml:space="preserve">dh BEREC Cinneadh a ghlacadh chun rialacha an Choimisiúin a chur i bhfeidhm </w:t>
      </w:r>
      <w:r>
        <w:rPr>
          <w:i/>
          <w:noProof/>
        </w:rPr>
        <w:t>mutatis mutandis</w:t>
      </w:r>
      <w:r>
        <w:rPr>
          <w:noProof/>
        </w:rPr>
        <w:t>.</w:t>
      </w:r>
    </w:p>
    <w:p w:rsidR="00526EFA" w:rsidRDefault="005C4D05">
      <w:pPr>
        <w:pStyle w:val="Titrearticle"/>
        <w:rPr>
          <w:noProof/>
        </w:rPr>
      </w:pPr>
      <w:r>
        <w:rPr>
          <w:noProof/>
        </w:rPr>
        <w:t>Airteagal 30</w:t>
      </w:r>
    </w:p>
    <w:p w:rsidR="00526EFA" w:rsidRDefault="005C4D05">
      <w:pPr>
        <w:pStyle w:val="NormalCentered"/>
        <w:autoSpaceDE w:val="0"/>
        <w:autoSpaceDN w:val="0"/>
        <w:rPr>
          <w:b/>
          <w:bCs/>
          <w:noProof/>
        </w:rPr>
      </w:pPr>
      <w:r>
        <w:rPr>
          <w:b/>
          <w:noProof/>
        </w:rPr>
        <w:t>Malartú faisnéise</w:t>
      </w:r>
    </w:p>
    <w:p w:rsidR="00526EFA" w:rsidRDefault="005C4D05">
      <w:pPr>
        <w:rPr>
          <w:rFonts w:eastAsia="PMingLiU"/>
          <w:noProof/>
        </w:rPr>
      </w:pPr>
      <w:r>
        <w:rPr>
          <w:noProof/>
        </w:rPr>
        <w:t>1. Tar éis dó iarraidh chuí-réasúnaithe a fháil ó BEREC, cuirfidh an Coimisiún agus na hÚNRanna ar fáil do BEREC go tráthúil beacht</w:t>
      </w:r>
      <w:r>
        <w:rPr>
          <w:noProof/>
        </w:rPr>
        <w:t xml:space="preserve"> an fhaisnéis uile is gá chun a chúraimí a dhéanamh, ar choinníoll go bhfuil rochtain dhlíthiúil acu ar an bhfaisnéis ábhartha agus go bhfuil an iarraidh ar fhaisnéis riachtanach don chineál cúraim atá i gceist.</w:t>
      </w:r>
    </w:p>
    <w:p w:rsidR="00526EFA" w:rsidRDefault="005C4D05">
      <w:pPr>
        <w:rPr>
          <w:rFonts w:eastAsia="PMingLiU"/>
          <w:noProof/>
        </w:rPr>
      </w:pPr>
      <w:r>
        <w:rPr>
          <w:noProof/>
        </w:rPr>
        <w:t>Féadfaidh BEREC freisin a iarraidh ar na hÚN</w:t>
      </w:r>
      <w:r>
        <w:rPr>
          <w:noProof/>
        </w:rPr>
        <w:t>Ranna faisnéis a sholáthar ag eatraimh athfhillteacha agus i bhformáidí sonraithe. Más féidir, déanfar na hiarrataí sin trí úsáid a bhaint as formáidí coiteanna tuairiscithe.</w:t>
      </w:r>
    </w:p>
    <w:p w:rsidR="00526EFA" w:rsidRDefault="005C4D05">
      <w:pPr>
        <w:rPr>
          <w:rFonts w:eastAsia="PMingLiU"/>
          <w:noProof/>
        </w:rPr>
      </w:pPr>
      <w:r>
        <w:rPr>
          <w:noProof/>
        </w:rPr>
        <w:t xml:space="preserve">2. Tar éis dó iarraidh chuí-réasúnaithe a fháil ón gCoimisiún nó ó ÚNR, cuirfidh </w:t>
      </w:r>
      <w:r>
        <w:rPr>
          <w:noProof/>
        </w:rPr>
        <w:t>BEREC ar fáil dóibh go tráthúil beacht an fhaisnéis uile is gá chun a chur ar a chumas don Choimisiún nó d'ÚNR a chuid cúraimí a dhéanamh, bunaithe ar phrionsabal an chomhair dhílis.</w:t>
      </w:r>
    </w:p>
    <w:p w:rsidR="00526EFA" w:rsidRDefault="005C4D05">
      <w:pPr>
        <w:rPr>
          <w:rFonts w:eastAsia="PMingLiU"/>
          <w:noProof/>
        </w:rPr>
      </w:pPr>
      <w:r>
        <w:rPr>
          <w:noProof/>
        </w:rPr>
        <w:t>3. Sula n</w:t>
      </w:r>
      <w:r>
        <w:rPr>
          <w:noProof/>
        </w:rPr>
        <w:noBreakHyphen/>
        <w:t>iarrfaidh BEREC faisnéis i gcomhréir leis an Airteagal seo agus</w:t>
      </w:r>
      <w:r>
        <w:rPr>
          <w:noProof/>
        </w:rPr>
        <w:t xml:space="preserve"> chun dúbailt ar na hoibleagáidí tuairiscithe a sheachaint, cuirfidh sé san áireamh aon fhaisnéis ábhartha atá ar fáil don phobal cheana.</w:t>
      </w:r>
    </w:p>
    <w:p w:rsidR="00526EFA" w:rsidRDefault="005C4D05">
      <w:pPr>
        <w:rPr>
          <w:rFonts w:eastAsia="PMingLiU"/>
          <w:noProof/>
        </w:rPr>
      </w:pPr>
      <w:r>
        <w:rPr>
          <w:noProof/>
        </w:rPr>
        <w:t>4. I gcás nach mbeidh faisnéis ar fáil nó nach gcuirfidh na hÚNRanna faisnéis ar fáil go tráthúil, nó i gcásanna ina m</w:t>
      </w:r>
      <w:r>
        <w:rPr>
          <w:noProof/>
        </w:rPr>
        <w:t>beadh iarraidh dhíreach ó BEREC ní b'éifeachtúla, agus inar lú an t</w:t>
      </w:r>
      <w:r>
        <w:rPr>
          <w:noProof/>
        </w:rPr>
        <w:noBreakHyphen/>
        <w:t>ualach a ghabhfadh leis sin, féadfaidh BEREC iarraidh a bhfuil údar maith léi agus í réasúnaithe go cuí a dhíriú chuig údaráis eile nó go díreach chuig na gnóthais ábhartha a sholáthraíonn</w:t>
      </w:r>
      <w:r>
        <w:rPr>
          <w:noProof/>
        </w:rPr>
        <w:t xml:space="preserve"> líonraí cumarsáide leictreonaí, seirbhísí agus na saoráidí a ghabhann leo.</w:t>
      </w:r>
    </w:p>
    <w:p w:rsidR="00526EFA" w:rsidRDefault="005C4D05">
      <w:pPr>
        <w:rPr>
          <w:rFonts w:eastAsia="PMingLiU"/>
          <w:noProof/>
        </w:rPr>
      </w:pPr>
      <w:r>
        <w:rPr>
          <w:noProof/>
        </w:rPr>
        <w:t>Cuirfidh BEREC na hÚNRanna ábhartha ar an eolas faoi iarrataí i gcomhréir leis an mír seo.</w:t>
      </w:r>
    </w:p>
    <w:p w:rsidR="00526EFA" w:rsidRDefault="005C4D05">
      <w:pPr>
        <w:rPr>
          <w:rFonts w:eastAsia="PMingLiU"/>
          <w:noProof/>
        </w:rPr>
      </w:pPr>
      <w:r>
        <w:rPr>
          <w:noProof/>
        </w:rPr>
        <w:t>Arna iarraidh sin do BEREC, tabharfaidh na hÚNRanna cúnamh do BEREC chun an fhaisnéis a b</w:t>
      </w:r>
      <w:r>
        <w:rPr>
          <w:noProof/>
        </w:rPr>
        <w:t>hailiú.</w:t>
      </w:r>
    </w:p>
    <w:p w:rsidR="00526EFA" w:rsidRDefault="005C4D05">
      <w:pPr>
        <w:pStyle w:val="Titrearticle"/>
        <w:rPr>
          <w:noProof/>
        </w:rPr>
      </w:pPr>
      <w:r>
        <w:rPr>
          <w:noProof/>
        </w:rPr>
        <w:t>Airteagal 31</w:t>
      </w:r>
    </w:p>
    <w:p w:rsidR="00526EFA" w:rsidRDefault="005C4D05">
      <w:pPr>
        <w:pStyle w:val="NormalCentered"/>
        <w:autoSpaceDE w:val="0"/>
        <w:autoSpaceDN w:val="0"/>
        <w:rPr>
          <w:b/>
          <w:bCs/>
          <w:noProof/>
        </w:rPr>
      </w:pPr>
      <w:r>
        <w:rPr>
          <w:b/>
          <w:noProof/>
        </w:rPr>
        <w:t>Dearbhú leasa</w:t>
      </w:r>
    </w:p>
    <w:p w:rsidR="00526EFA" w:rsidRDefault="005C4D05">
      <w:pPr>
        <w:pStyle w:val="LegislativeText"/>
        <w:jc w:val="both"/>
        <w:rPr>
          <w:rFonts w:eastAsia="PMingLiU" w:cs="Times New Roman"/>
          <w:noProof/>
          <w:sz w:val="24"/>
          <w:lang w:val="ga-IE"/>
        </w:rPr>
      </w:pPr>
      <w:r>
        <w:rPr>
          <w:noProof/>
          <w:sz w:val="24"/>
          <w:lang w:val="ga-IE"/>
        </w:rPr>
        <w:t>1. Maidir le comhaltaí an Bhoird Bainistíochta, an Stiúrthóir Feidhmiúcháin, saineolaithe náisiúnta ar iasacht, agus baill foirne eile nach bhfuil fostaithe ag BEREC, déanfaidh gach duine acu dearbhú ina léirítear a dtiom</w:t>
      </w:r>
      <w:r>
        <w:rPr>
          <w:noProof/>
          <w:sz w:val="24"/>
          <w:lang w:val="ga-IE"/>
        </w:rPr>
        <w:t>antas agus ina léirítear nach ann nó gurb ann d’aon leas díreach nó indíreach a d’fhéadfaí a mheas gur bhain sé dá neamhspleáchas.</w:t>
      </w:r>
    </w:p>
    <w:p w:rsidR="00526EFA" w:rsidRDefault="005C4D05">
      <w:pPr>
        <w:rPr>
          <w:rFonts w:eastAsia="PMingLiU"/>
          <w:noProof/>
        </w:rPr>
      </w:pPr>
      <w:r>
        <w:rPr>
          <w:noProof/>
        </w:rPr>
        <w:t>Maidir leis na dearbhuithe, beidh siad beacht agus iomlán, déanfar i scríbhinn iad agus tabharfar cothrom le dáta iad cibé ua</w:t>
      </w:r>
      <w:r>
        <w:rPr>
          <w:noProof/>
        </w:rPr>
        <w:t>ir is gá sin. Cuirfear ar fáil don phobal na dearbhuithe leasa a dhéanfaidh comhaltaí an Bhoird Bainistíochta agus an Stiúrthóir Feidhmiúcháin.</w:t>
      </w:r>
    </w:p>
    <w:p w:rsidR="00526EFA" w:rsidRDefault="005C4D05">
      <w:pPr>
        <w:rPr>
          <w:rFonts w:eastAsia="PMingLiU"/>
          <w:noProof/>
        </w:rPr>
      </w:pPr>
      <w:r>
        <w:rPr>
          <w:noProof/>
        </w:rPr>
        <w:t xml:space="preserve">2. Maidir le comhaltaí an Bhoird Bainistíochta, an Stiúrthóir Feidhmiúcháin, saineolaithe náisiúnta ar iasacht, </w:t>
      </w:r>
      <w:r>
        <w:rPr>
          <w:noProof/>
        </w:rPr>
        <w:t>baill foirne eile nach bhfuil fostaithe ag BEREC, agus saineolaithe a ghlacann páirt i meithleacha, déanfaidh gach duine acu dearbhú go beacht agus go hiomlán ag tús gach cruinnithe ar a dhéanaí, ar dearbhú é ina léireofar aon leas a d’fhéadfaí a mheas gur</w:t>
      </w:r>
      <w:r>
        <w:rPr>
          <w:noProof/>
        </w:rPr>
        <w:t xml:space="preserve"> bhain sé dá neamhspleáchas i ndáil leis na hítimí atá ar an gclár agus staonfaidh siad ó pháirt a ghlacadh sa phlé ar na pointí sin agus ó vótáil ar na pointí sin.</w:t>
      </w:r>
    </w:p>
    <w:p w:rsidR="00526EFA" w:rsidRDefault="005C4D05">
      <w:pPr>
        <w:rPr>
          <w:rFonts w:eastAsia="PMingLiU"/>
          <w:noProof/>
        </w:rPr>
      </w:pPr>
      <w:r>
        <w:rPr>
          <w:noProof/>
        </w:rPr>
        <w:t xml:space="preserve">3. Leagfaidh an Bord Bainistíochta síos na rialacha chun coinbhleachtaí leasa a chosc agus </w:t>
      </w:r>
      <w:r>
        <w:rPr>
          <w:noProof/>
        </w:rPr>
        <w:t>a bhainistiú agus, go háirithe, maidir leis na socruithe praiticiúla le haghaidh na bhforálacha dá dtagraítear i mír 1 agus i mír 2.</w:t>
      </w:r>
    </w:p>
    <w:p w:rsidR="00526EFA" w:rsidRDefault="005C4D05">
      <w:pPr>
        <w:pStyle w:val="Titrearticle"/>
        <w:rPr>
          <w:noProof/>
        </w:rPr>
      </w:pPr>
      <w:r>
        <w:rPr>
          <w:noProof/>
        </w:rPr>
        <w:t>Airteagal 32</w:t>
      </w:r>
    </w:p>
    <w:p w:rsidR="00526EFA" w:rsidRDefault="005C4D05">
      <w:pPr>
        <w:pStyle w:val="NormalCentered"/>
        <w:autoSpaceDE w:val="0"/>
        <w:autoSpaceDN w:val="0"/>
        <w:rPr>
          <w:b/>
          <w:bCs/>
          <w:noProof/>
        </w:rPr>
      </w:pPr>
      <w:r>
        <w:rPr>
          <w:b/>
          <w:noProof/>
        </w:rPr>
        <w:t>Calaois a chomhrac</w:t>
      </w:r>
    </w:p>
    <w:p w:rsidR="00526EFA" w:rsidRDefault="005C4D05">
      <w:pPr>
        <w:rPr>
          <w:rFonts w:eastAsia="PMingLiU"/>
          <w:noProof/>
        </w:rPr>
      </w:pPr>
      <w:r>
        <w:rPr>
          <w:noProof/>
        </w:rPr>
        <w:t xml:space="preserve">1. Chun gur fusa calaois, éilliú agus gníomhaíochtaí neamhdhleathacha eile a chomhrac faoi </w:t>
      </w:r>
      <w:r>
        <w:rPr>
          <w:noProof/>
        </w:rPr>
        <w:t>Rialachán (AE, Euratom) Uimh. 883/2013 ó Pharlaimint na hEorpa agus ón gComhairle</w:t>
      </w:r>
      <w:r>
        <w:rPr>
          <w:rStyle w:val="FootnoteReference"/>
          <w:noProof/>
        </w:rPr>
        <w:footnoteReference w:id="44"/>
      </w:r>
      <w:r>
        <w:rPr>
          <w:noProof/>
        </w:rPr>
        <w:t>, faoi cheann sé mhí ó theacht i bhfeidhm an Rialacháin seo, aontóidh sé don Chomhaontú Idirinstitiúideach an 25 Bealtaine 1999 maidir le himscrúduithe inmheánacha a bheith á</w:t>
      </w:r>
      <w:r>
        <w:rPr>
          <w:noProof/>
        </w:rPr>
        <w:t xml:space="preserve"> ndéanamh ag OLAF, agus glacfaidh sé na forálacha iomchuí is infheidhme d’fhostaithe uile BEREC agus an teimpléad a leagtar amach san Iarscríbhinn a ghabhann leis an gComhaontú á úsáid aige.</w:t>
      </w:r>
    </w:p>
    <w:p w:rsidR="00526EFA" w:rsidRDefault="005C4D05">
      <w:pPr>
        <w:rPr>
          <w:rFonts w:eastAsia="PMingLiU"/>
          <w:noProof/>
        </w:rPr>
      </w:pPr>
      <w:r>
        <w:rPr>
          <w:noProof/>
        </w:rPr>
        <w:t xml:space="preserve">2. Beidh cumhacht iniúchóireachta ag Cúirt Iniúchóirí na hEorpa, </w:t>
      </w:r>
      <w:r>
        <w:rPr>
          <w:noProof/>
        </w:rPr>
        <w:t>ar bhonn doiciméad agus ar an láthair, ar gach tairbhí de dheontais, gach conraitheoir agus gach fochonraitheoir a fuair cistí de chuid an Aontais ó BEREC.</w:t>
      </w:r>
    </w:p>
    <w:p w:rsidR="00526EFA" w:rsidRDefault="005C4D05">
      <w:pPr>
        <w:rPr>
          <w:rFonts w:eastAsia="PMingLiU"/>
          <w:noProof/>
        </w:rPr>
      </w:pPr>
      <w:r>
        <w:rPr>
          <w:noProof/>
        </w:rPr>
        <w:t>3. Féadfaidh OLAF imscrúduithe a dhéanamh, lena n</w:t>
      </w:r>
      <w:r>
        <w:rPr>
          <w:noProof/>
        </w:rPr>
        <w:noBreakHyphen/>
        <w:t>áirítear seiceálacha agus cigireachtaí ar an látha</w:t>
      </w:r>
      <w:r>
        <w:rPr>
          <w:noProof/>
        </w:rPr>
        <w:t>ir d’fhonn a shuí ar tharla calaois, éilliú nó aon ghníomhaíocht neamhdhleathach eile a d'fhéadfadh difear a dhéanamh do leasanna airgeadais an Aontais i ndáil le deontas nó conradh arna mhaoiniú ag BEREC i gcomhréir le forálacha agus nósanna imeachta a le</w:t>
      </w:r>
      <w:r>
        <w:rPr>
          <w:noProof/>
        </w:rPr>
        <w:t>agtar síos i Rialachán (AE, Euratom) Uimh. 883/2013 ón gComhairle agus Rialachán (CE, Euratom) Uimh. 2185/96EC</w:t>
      </w:r>
      <w:r>
        <w:rPr>
          <w:rStyle w:val="FootnoteReference"/>
          <w:noProof/>
        </w:rPr>
        <w:footnoteReference w:id="45"/>
      </w:r>
      <w:r>
        <w:rPr>
          <w:noProof/>
        </w:rPr>
        <w:t>.</w:t>
      </w:r>
    </w:p>
    <w:p w:rsidR="00526EFA" w:rsidRDefault="005C4D05">
      <w:pPr>
        <w:rPr>
          <w:rFonts w:eastAsia="PMingLiU"/>
          <w:noProof/>
        </w:rPr>
      </w:pPr>
      <w:r>
        <w:rPr>
          <w:noProof/>
        </w:rPr>
        <w:t>4. Gan dochar do mhír 1, do mhír 2 agus do mhír 3, beidh i gcomhaontuithe comhair le húdaráis inniúla tríú tíortha nó eagraíochtaí idirnáisiúnt</w:t>
      </w:r>
      <w:r>
        <w:rPr>
          <w:noProof/>
        </w:rPr>
        <w:t>a, i gconarthaí, i gcomhaontuithe deontais agus i gcinntí deontais BEREC forálacha a thugann de chumhacht go sainráite do Chúirt Iniúchóirí na hEorpa agus do OLAF na hiniúchtaí agus na himscrúduithe sin a dhéanamh, de réir a gcuid inniúlachtaí féin.</w:t>
      </w:r>
    </w:p>
    <w:p w:rsidR="00526EFA" w:rsidRDefault="005C4D05">
      <w:pPr>
        <w:pStyle w:val="Titrearticle"/>
        <w:rPr>
          <w:noProof/>
        </w:rPr>
      </w:pPr>
      <w:r>
        <w:rPr>
          <w:noProof/>
        </w:rPr>
        <w:t>Airtea</w:t>
      </w:r>
      <w:r>
        <w:rPr>
          <w:noProof/>
        </w:rPr>
        <w:t>gal 33</w:t>
      </w:r>
    </w:p>
    <w:p w:rsidR="00526EFA" w:rsidRDefault="005C4D05">
      <w:pPr>
        <w:pStyle w:val="NormalCentered"/>
        <w:autoSpaceDE w:val="0"/>
        <w:autoSpaceDN w:val="0"/>
        <w:rPr>
          <w:b/>
          <w:bCs/>
          <w:noProof/>
        </w:rPr>
      </w:pPr>
      <w:r>
        <w:rPr>
          <w:b/>
          <w:noProof/>
        </w:rPr>
        <w:t>Dliteanas</w:t>
      </w:r>
    </w:p>
    <w:p w:rsidR="00526EFA" w:rsidRDefault="005C4D05">
      <w:pPr>
        <w:rPr>
          <w:rFonts w:eastAsia="PMingLiU"/>
          <w:noProof/>
        </w:rPr>
      </w:pPr>
      <w:r>
        <w:rPr>
          <w:noProof/>
        </w:rPr>
        <w:t>1. Beidh dliteanas conarthach BEREC faoi rialú ag an dlí is infheidhme maidir leis an gconradh i dtrácht.</w:t>
      </w:r>
    </w:p>
    <w:p w:rsidR="00526EFA" w:rsidRDefault="005C4D05">
      <w:pPr>
        <w:rPr>
          <w:rFonts w:eastAsia="PMingLiU"/>
          <w:noProof/>
        </w:rPr>
      </w:pPr>
      <w:r>
        <w:rPr>
          <w:noProof/>
        </w:rPr>
        <w:t xml:space="preserve">2. Beidh dlínse ag Cúirt Bhreithiúnais an Aontais Eorpaigh breith a thabhairt de bhun aon chlásail eadrána a bheidh i gconradh arna </w:t>
      </w:r>
      <w:r>
        <w:rPr>
          <w:noProof/>
        </w:rPr>
        <w:t>thabhairt i gcrích ag BEREC.</w:t>
      </w:r>
    </w:p>
    <w:p w:rsidR="00526EFA" w:rsidRDefault="005C4D05">
      <w:pPr>
        <w:rPr>
          <w:rFonts w:eastAsia="PMingLiU"/>
          <w:noProof/>
        </w:rPr>
      </w:pPr>
      <w:r>
        <w:rPr>
          <w:noProof/>
        </w:rPr>
        <w:t>3. I gcás dliteanas neamhchonarthach, slánóidh BEREC, i gcomhréir leis na prionsabail ghinearálta is coiteann do dhlíthe na mBallstát, aon damáiste arbh iad a ranna nó a bhaill foirne féin ba chúis leis agus a ndualgais á gcomh</w:t>
      </w:r>
      <w:r>
        <w:rPr>
          <w:noProof/>
        </w:rPr>
        <w:t>líonadh acu.</w:t>
      </w:r>
    </w:p>
    <w:p w:rsidR="00526EFA" w:rsidRDefault="005C4D05">
      <w:pPr>
        <w:rPr>
          <w:rFonts w:eastAsia="PMingLiU"/>
          <w:noProof/>
        </w:rPr>
      </w:pPr>
      <w:r>
        <w:rPr>
          <w:noProof/>
        </w:rPr>
        <w:t>4. Beidh dlínse ag Cúirt Bhreithiúnais an Aontais Eorpaigh i ndíospóidí a bhaineann leis an gcúiteamh as damáiste dá dtagraítear i mír 3.</w:t>
      </w:r>
    </w:p>
    <w:p w:rsidR="00526EFA" w:rsidRDefault="005C4D05">
      <w:pPr>
        <w:rPr>
          <w:rFonts w:eastAsia="PMingLiU"/>
          <w:noProof/>
        </w:rPr>
      </w:pPr>
      <w:r>
        <w:rPr>
          <w:noProof/>
        </w:rPr>
        <w:t xml:space="preserve">5. Beidh dliteanas pearsanta na mball foirne i leith BEREC faoi rialú ag na forálacha a leagtar síos sna </w:t>
      </w:r>
      <w:r>
        <w:rPr>
          <w:noProof/>
        </w:rPr>
        <w:t>Rialacháin Foirne nó sna Coinníollacha Fostaíochta is infheidhme maidir leo.</w:t>
      </w:r>
    </w:p>
    <w:p w:rsidR="00526EFA" w:rsidRDefault="005C4D05">
      <w:pPr>
        <w:pStyle w:val="Titrearticle"/>
        <w:rPr>
          <w:noProof/>
        </w:rPr>
      </w:pPr>
      <w:r>
        <w:rPr>
          <w:noProof/>
        </w:rPr>
        <w:t>Airteagal 34</w:t>
      </w:r>
    </w:p>
    <w:p w:rsidR="00526EFA" w:rsidRDefault="005C4D05">
      <w:pPr>
        <w:pStyle w:val="NormalCentered"/>
        <w:autoSpaceDE w:val="0"/>
        <w:autoSpaceDN w:val="0"/>
        <w:rPr>
          <w:b/>
          <w:bCs/>
          <w:noProof/>
        </w:rPr>
      </w:pPr>
      <w:r>
        <w:rPr>
          <w:b/>
          <w:noProof/>
        </w:rPr>
        <w:t>Imscrúduithe riaracháin</w:t>
      </w:r>
    </w:p>
    <w:p w:rsidR="00526EFA" w:rsidRDefault="005C4D05">
      <w:pPr>
        <w:rPr>
          <w:rFonts w:eastAsia="Calibri"/>
          <w:noProof/>
        </w:rPr>
      </w:pPr>
      <w:r>
        <w:rPr>
          <w:noProof/>
        </w:rPr>
        <w:t>Beidh gníomhaíochtaí BEREC faoi réir fhiosrúcháin an Ombudsman Eorpaigh i gcomhréir le hAirteagal 228 den Chonradh.</w:t>
      </w:r>
    </w:p>
    <w:p w:rsidR="00526EFA" w:rsidRDefault="005C4D05">
      <w:pPr>
        <w:pStyle w:val="Titrearticle"/>
        <w:rPr>
          <w:noProof/>
        </w:rPr>
      </w:pPr>
      <w:r>
        <w:rPr>
          <w:noProof/>
        </w:rPr>
        <w:t>Airteagal 35</w:t>
      </w:r>
    </w:p>
    <w:p w:rsidR="00526EFA" w:rsidRDefault="005C4D05">
      <w:pPr>
        <w:pStyle w:val="NormalCentered"/>
        <w:autoSpaceDE w:val="0"/>
        <w:autoSpaceDN w:val="0"/>
        <w:rPr>
          <w:b/>
          <w:bCs/>
          <w:noProof/>
        </w:rPr>
      </w:pPr>
      <w:r>
        <w:rPr>
          <w:b/>
          <w:noProof/>
        </w:rPr>
        <w:t>Socruithe tea</w:t>
      </w:r>
      <w:r>
        <w:rPr>
          <w:b/>
          <w:noProof/>
        </w:rPr>
        <w:t>nga</w:t>
      </w:r>
    </w:p>
    <w:p w:rsidR="00526EFA" w:rsidRDefault="005C4D05">
      <w:pPr>
        <w:rPr>
          <w:rFonts w:eastAsia="PMingLiU"/>
          <w:noProof/>
        </w:rPr>
      </w:pPr>
      <w:r>
        <w:rPr>
          <w:noProof/>
        </w:rPr>
        <w:t>1. Beidh feidhm maidir le BEREC ag na forálacha a leagtar síos i Rialachán Uimh. 1/58</w:t>
      </w:r>
      <w:r>
        <w:rPr>
          <w:rStyle w:val="FootnoteReference"/>
          <w:noProof/>
        </w:rPr>
        <w:footnoteReference w:id="46"/>
      </w:r>
      <w:r>
        <w:rPr>
          <w:noProof/>
        </w:rPr>
        <w:t>.</w:t>
      </w:r>
    </w:p>
    <w:p w:rsidR="00526EFA" w:rsidRDefault="005C4D05">
      <w:pPr>
        <w:rPr>
          <w:rFonts w:eastAsia="PMingLiU"/>
          <w:noProof/>
        </w:rPr>
      </w:pPr>
      <w:r>
        <w:rPr>
          <w:noProof/>
        </w:rPr>
        <w:t>2. Soláthróidh Ionad Aistriúcháin chomhlachtaí an Aontais Eorpaigh na seirbhísí aistriúcháin is gá chun go bhfeidhmeoidh BEREC.</w:t>
      </w:r>
    </w:p>
    <w:p w:rsidR="00526EFA" w:rsidRDefault="00526EFA">
      <w:pPr>
        <w:rPr>
          <w:rFonts w:eastAsia="PMingLiU"/>
          <w:noProof/>
        </w:rPr>
      </w:pPr>
    </w:p>
    <w:p w:rsidR="00526EFA" w:rsidRDefault="005C4D05">
      <w:pPr>
        <w:pStyle w:val="Titrearticle"/>
        <w:rPr>
          <w:noProof/>
        </w:rPr>
      </w:pPr>
      <w:r>
        <w:rPr>
          <w:noProof/>
        </w:rPr>
        <w:t>Airteagal 36</w:t>
      </w:r>
    </w:p>
    <w:p w:rsidR="00526EFA" w:rsidRDefault="005C4D05">
      <w:pPr>
        <w:pStyle w:val="NormalCentered"/>
        <w:autoSpaceDE w:val="0"/>
        <w:autoSpaceDN w:val="0"/>
        <w:rPr>
          <w:b/>
          <w:bCs/>
          <w:noProof/>
        </w:rPr>
      </w:pPr>
      <w:r>
        <w:rPr>
          <w:b/>
          <w:noProof/>
        </w:rPr>
        <w:t>An Coiste</w:t>
      </w:r>
    </w:p>
    <w:p w:rsidR="00526EFA" w:rsidRDefault="005C4D05">
      <w:pPr>
        <w:rPr>
          <w:noProof/>
        </w:rPr>
      </w:pPr>
      <w:r>
        <w:rPr>
          <w:noProof/>
        </w:rPr>
        <w:t>1. Tabharfai</w:t>
      </w:r>
      <w:r>
        <w:rPr>
          <w:noProof/>
        </w:rPr>
        <w:t>dh coiste ("an Coiste Víosaí") cúnamh don Choimisiún. Beidh an coiste sin ina choiste de réir bhrí Rialachán (AE) Uimh. 182/2011.</w:t>
      </w:r>
    </w:p>
    <w:p w:rsidR="00526EFA" w:rsidRDefault="005C4D05">
      <w:pPr>
        <w:rPr>
          <w:noProof/>
        </w:rPr>
      </w:pPr>
      <w:r>
        <w:rPr>
          <w:noProof/>
        </w:rPr>
        <w:t xml:space="preserve">2. I gcás ina ndéanfar tagairt don mhír seo, beidh feidhm ag Airteagal 4 de Rialachán (AE) Uimh. 182/2011. </w:t>
      </w:r>
    </w:p>
    <w:p w:rsidR="00526EFA" w:rsidRDefault="005C4D05">
      <w:pPr>
        <w:rPr>
          <w:noProof/>
        </w:rPr>
      </w:pPr>
      <w:r>
        <w:rPr>
          <w:noProof/>
        </w:rPr>
        <w:t>3. I gcás ina mbei</w:t>
      </w:r>
      <w:r>
        <w:rPr>
          <w:noProof/>
        </w:rPr>
        <w:t>dh tuairim an choiste le fáil trí nós imeachta i scríbhinn, déanfar an nós imeachta sin a fhoirceannadh gan toradh más rud é go gcinnfidh cathaoirleach an choiste amhlaidh laistigh den teorainn ama a bheidh ann leis an tuairim sin a thabhairt.</w:t>
      </w:r>
    </w:p>
    <w:p w:rsidR="00526EFA" w:rsidRDefault="00526EFA">
      <w:pPr>
        <w:rPr>
          <w:rFonts w:eastAsia="PMingLiU"/>
          <w:noProof/>
        </w:rPr>
      </w:pPr>
    </w:p>
    <w:p w:rsidR="00526EFA" w:rsidRDefault="005C4D05">
      <w:pPr>
        <w:pStyle w:val="SectionTitle"/>
        <w:autoSpaceDE w:val="0"/>
        <w:autoSpaceDN w:val="0"/>
        <w:rPr>
          <w:rFonts w:eastAsiaTheme="minorEastAsia"/>
          <w:bCs/>
          <w:noProof/>
          <w:szCs w:val="28"/>
        </w:rPr>
      </w:pPr>
      <w:r>
        <w:rPr>
          <w:noProof/>
        </w:rPr>
        <w:t>Caibidil VI</w:t>
      </w:r>
    </w:p>
    <w:p w:rsidR="00526EFA" w:rsidRDefault="005C4D05">
      <w:pPr>
        <w:pStyle w:val="SectionTitle"/>
        <w:autoSpaceDE w:val="0"/>
        <w:autoSpaceDN w:val="0"/>
        <w:rPr>
          <w:noProof/>
        </w:rPr>
      </w:pPr>
      <w:r>
        <w:rPr>
          <w:noProof/>
          <w:sz w:val="22"/>
        </w:rPr>
        <w:t>FORÁLACHA IDIRTHRÉIMHSEACHA AGUS CRÍOCHNAITHEACHA</w:t>
      </w:r>
    </w:p>
    <w:p w:rsidR="00526EFA" w:rsidRDefault="005C4D05">
      <w:pPr>
        <w:pStyle w:val="Titrearticle"/>
        <w:rPr>
          <w:noProof/>
        </w:rPr>
      </w:pPr>
      <w:r>
        <w:rPr>
          <w:noProof/>
        </w:rPr>
        <w:t>Airteagal 37</w:t>
      </w:r>
    </w:p>
    <w:p w:rsidR="00526EFA" w:rsidRDefault="005C4D05">
      <w:pPr>
        <w:pStyle w:val="NormalCentered"/>
        <w:autoSpaceDE w:val="0"/>
        <w:autoSpaceDN w:val="0"/>
        <w:rPr>
          <w:b/>
          <w:bCs/>
          <w:noProof/>
        </w:rPr>
      </w:pPr>
      <w:r>
        <w:rPr>
          <w:b/>
          <w:noProof/>
          <w:sz w:val="22"/>
        </w:rPr>
        <w:t>Comhaontú maidir le Ceanncheathrú agus coinníollacha oibriúcháin</w:t>
      </w:r>
    </w:p>
    <w:p w:rsidR="00526EFA" w:rsidRDefault="005C4D05">
      <w:pPr>
        <w:rPr>
          <w:rFonts w:eastAsia="PMingLiU"/>
          <w:noProof/>
        </w:rPr>
      </w:pPr>
      <w:r>
        <w:rPr>
          <w:noProof/>
        </w:rPr>
        <w:t>1. Maidir leis na socruithe riachtanacha a bhaineann leis an gcóiríocht atá le cur ar fáil do BEREC sa Bhallstát aíochta agus n</w:t>
      </w:r>
      <w:r>
        <w:rPr>
          <w:noProof/>
        </w:rPr>
        <w:t>a saoráidí atá le cur ar fáil ag an mBallstát sin mar aon leis na rialacha sonracha is infheidhme sa Bhallstát aíochta maidir leis an Stiúrthóir Feidhmiúcháin, le comhaltaí den Bhord Bainistíochta, le baill foirne BEREC agus le baill dá dteaghlaigh, leagfa</w:t>
      </w:r>
      <w:r>
        <w:rPr>
          <w:noProof/>
        </w:rPr>
        <w:t>r síos iad i gComhaontú Ceanncheathrún idir BEREC agus an Ballstát ina bhfuil an oifig lonnaithe, tar éis faomhadh an Bhoird Bainistíochta a fháil agus faoi cheann dhá bhliain tar éis theacht i bhfeidhm an Rialacháin seo ar a dhéanaí.</w:t>
      </w:r>
    </w:p>
    <w:p w:rsidR="00526EFA" w:rsidRDefault="005C4D05">
      <w:pPr>
        <w:rPr>
          <w:rFonts w:eastAsia="PMingLiU"/>
          <w:noProof/>
        </w:rPr>
      </w:pPr>
      <w:r>
        <w:rPr>
          <w:noProof/>
        </w:rPr>
        <w:t xml:space="preserve">2. Cuirfidh Ballstát </w:t>
      </w:r>
      <w:r>
        <w:rPr>
          <w:noProof/>
        </w:rPr>
        <w:t>aíochta BEREC na dálaí is gá ar fáil chun a áirithiú go bhfeidhmeoidh BEREC go rianúil éifeachtúil, lena n</w:t>
      </w:r>
      <w:r>
        <w:rPr>
          <w:noProof/>
        </w:rPr>
        <w:noBreakHyphen/>
        <w:t>áirítear scolaíocht ilteangach a bhfuil béim ar an ngné Eorpach inti agus naisc iomchuí iompair.</w:t>
      </w:r>
    </w:p>
    <w:p w:rsidR="00526EFA" w:rsidRDefault="005C4D05">
      <w:pPr>
        <w:pStyle w:val="Titrearticle"/>
        <w:rPr>
          <w:noProof/>
        </w:rPr>
      </w:pPr>
      <w:r>
        <w:rPr>
          <w:noProof/>
        </w:rPr>
        <w:t>Airteagal 38</w:t>
      </w:r>
    </w:p>
    <w:p w:rsidR="00526EFA" w:rsidRDefault="005C4D05">
      <w:pPr>
        <w:pStyle w:val="NormalCentered"/>
        <w:autoSpaceDE w:val="0"/>
        <w:autoSpaceDN w:val="0"/>
        <w:rPr>
          <w:b/>
          <w:bCs/>
          <w:noProof/>
          <w:szCs w:val="24"/>
        </w:rPr>
      </w:pPr>
      <w:r>
        <w:rPr>
          <w:b/>
          <w:noProof/>
        </w:rPr>
        <w:t>Meastóireacht</w:t>
      </w:r>
    </w:p>
    <w:p w:rsidR="00526EFA" w:rsidRDefault="005C4D05">
      <w:pPr>
        <w:rPr>
          <w:rFonts w:eastAsia="PMingLiU"/>
          <w:noProof/>
        </w:rPr>
      </w:pPr>
      <w:r>
        <w:rPr>
          <w:noProof/>
        </w:rPr>
        <w:t>1. Tráth nach déanaí ná c</w:t>
      </w:r>
      <w:r>
        <w:rPr>
          <w:noProof/>
        </w:rPr>
        <w:t>úig bliana ón lá a thiocfaidh an Rialachán seo i bhfeidhm, agus gach cúig bliana ina dhiaidh sin, déanfaidh an Coimisiún, i gcomhréir le treoirlínte an Choimisiúin, meastóireacht chun feidhmíocht BEREC a mheasúnú ó thaobh a chuspóirí, a shainordú, a chúrai</w:t>
      </w:r>
      <w:r>
        <w:rPr>
          <w:noProof/>
        </w:rPr>
        <w:t>mí agus a láithreacha de. Tabharfar aghaidh sa mheastóireacht sin, go háirithe, ar an ngá a d'fhéadfadh bheith ann sainordú BEREC a athrú agus ar na himpleachtaí airgeadais a d'fhéadfadh a bheith ag aon mhodhnú den sórt sin.</w:t>
      </w:r>
    </w:p>
    <w:p w:rsidR="00526EFA" w:rsidRDefault="005C4D05">
      <w:pPr>
        <w:rPr>
          <w:rFonts w:eastAsia="PMingLiU"/>
          <w:noProof/>
        </w:rPr>
      </w:pPr>
      <w:r>
        <w:rPr>
          <w:noProof/>
        </w:rPr>
        <w:t xml:space="preserve">2. I gcás ina measann an </w:t>
      </w:r>
      <w:r>
        <w:rPr>
          <w:noProof/>
        </w:rPr>
        <w:t>Coimisiún nach bhfuil bonn cirt a thuilleadh le BEREC a choinneáil ar bun ag féachaint dá chuspóirí, dá shainordú agus dá chúraimí sannta, féadfaidh sé a mholadh go ndéanfaí an Rialachán seo a leasú dá réir nó a aisghairm.</w:t>
      </w:r>
    </w:p>
    <w:p w:rsidR="00526EFA" w:rsidRDefault="005C4D05">
      <w:pPr>
        <w:rPr>
          <w:rFonts w:eastAsia="PMingLiU"/>
          <w:noProof/>
        </w:rPr>
      </w:pPr>
      <w:r>
        <w:rPr>
          <w:noProof/>
        </w:rPr>
        <w:t>3. Déanfaidh an Coimisiún torthaí</w:t>
      </w:r>
      <w:r>
        <w:rPr>
          <w:noProof/>
        </w:rPr>
        <w:t xml:space="preserve"> na meastóireachta a thuairisciú do Pharlaimint na hEorpa, don Chomhairle agus don Bhord Bainistíochta. Cuirfear torthaí na meastóireachta sin ar fáil don phobal.</w:t>
      </w:r>
    </w:p>
    <w:p w:rsidR="00526EFA" w:rsidRDefault="005C4D05">
      <w:pPr>
        <w:pStyle w:val="Titrearticle"/>
        <w:rPr>
          <w:noProof/>
        </w:rPr>
      </w:pPr>
      <w:r>
        <w:rPr>
          <w:noProof/>
        </w:rPr>
        <w:t>Airteagal 39</w:t>
      </w:r>
    </w:p>
    <w:p w:rsidR="00526EFA" w:rsidRDefault="005C4D05">
      <w:pPr>
        <w:pStyle w:val="NormalCentered"/>
        <w:rPr>
          <w:b/>
          <w:bCs/>
          <w:noProof/>
          <w:szCs w:val="24"/>
        </w:rPr>
      </w:pPr>
      <w:r>
        <w:rPr>
          <w:b/>
          <w:noProof/>
        </w:rPr>
        <w:t>Comharbas ar an Oifig a bunaíodh le Rialachán (CE) Uimh. 1211/2009</w:t>
      </w:r>
    </w:p>
    <w:p w:rsidR="00526EFA" w:rsidRDefault="005C4D05">
      <w:pPr>
        <w:rPr>
          <w:rFonts w:eastAsia="PMingLiU"/>
          <w:noProof/>
        </w:rPr>
      </w:pPr>
      <w:r>
        <w:rPr>
          <w:noProof/>
        </w:rPr>
        <w:t>1. Gan dochar</w:t>
      </w:r>
      <w:r>
        <w:rPr>
          <w:noProof/>
        </w:rPr>
        <w:t xml:space="preserve"> do mhír 2, tiocfaidh BEREC i gcomharbas ar an Oifig a bunaíodh le Rialachán (CE) Uimh. 1211/2009 ("Oifig BEREC") i ndáil le gach úinéireacht, comhaontú, oibleagáid dhlíthiúil, conradh fostaíochta, ceangaltas airgeadais agus dliteanas.</w:t>
      </w:r>
    </w:p>
    <w:p w:rsidR="00526EFA" w:rsidRDefault="005C4D05">
      <w:pPr>
        <w:rPr>
          <w:rFonts w:eastAsia="PMingLiU"/>
          <w:noProof/>
        </w:rPr>
      </w:pPr>
      <w:r>
        <w:rPr>
          <w:noProof/>
        </w:rPr>
        <w:t>Go háirithe, ní dhéa</w:t>
      </w:r>
      <w:r>
        <w:rPr>
          <w:noProof/>
        </w:rPr>
        <w:t xml:space="preserve">nfaidh an Rialachán seo difear do chearta ná d'oibleagáidí bhaill foirne na hOifige a bunaíodh le Rialachán (CE) Uimh. 1211/2009. Féadfar a gconarthaí a athnuachan faoin Rialachán seo i gcomhréir leis na Rialacháin Foirne agus na Coinníollacha Fostaíochta </w:t>
      </w:r>
      <w:r>
        <w:rPr>
          <w:noProof/>
        </w:rPr>
        <w:t>agus i gcomhréir le srianta buiséadacha BEREC.</w:t>
      </w:r>
    </w:p>
    <w:p w:rsidR="00526EFA" w:rsidRDefault="005C4D05">
      <w:pPr>
        <w:rPr>
          <w:rFonts w:eastAsia="PMingLiU"/>
          <w:noProof/>
        </w:rPr>
      </w:pPr>
      <w:r>
        <w:rPr>
          <w:noProof/>
        </w:rPr>
        <w:t>2. Le héifeacht ó [dháta theacht i bhfeidhm an Rialacháin seo] agus go dtí go rachaidh an Stiúrthóir Feidhmiúcháin i mbun a chuid dualgas tar éis don Bhord Bainistíochta é a cheapadh i gcomhréir le hAirteagal </w:t>
      </w:r>
      <w:r>
        <w:rPr>
          <w:noProof/>
        </w:rPr>
        <w:t>22, feidhmeoidh an Bainisteoir Riaracháin a ceapadh ar bhonn Rialachán (CE) Uimh. 1211/2009, ar feadh na tréimhse a bheidh fágtha dá théarma oifige, feidhmeoidh sé mar Stiúrthóir Feidhmiúcháin eatramhach ag a mbeidh na feidhmeanna dá bhforáiltear sa Rialac</w:t>
      </w:r>
      <w:r>
        <w:rPr>
          <w:noProof/>
        </w:rPr>
        <w:t>hán seo. Ní athrófar coinníollacha eile chonradh an Bhainisteora Riaracháin.</w:t>
      </w:r>
    </w:p>
    <w:p w:rsidR="00526EFA" w:rsidRDefault="005C4D05">
      <w:pPr>
        <w:rPr>
          <w:rFonts w:eastAsia="PMingLiU"/>
          <w:noProof/>
        </w:rPr>
      </w:pPr>
      <w:r>
        <w:rPr>
          <w:noProof/>
        </w:rPr>
        <w:t>Ina cháil mar Stiúrthóir Feidhmiúcháin eatramhach, feidhmeoidh sé cumhachtaí an údaráis ceapacháin. Féadfaidh sé na híocaíochtaí uile arna gcumhdach ag leithreasuithe arna n</w:t>
      </w:r>
      <w:r>
        <w:rPr>
          <w:noProof/>
        </w:rPr>
        <w:noBreakHyphen/>
        <w:t>iontr</w:t>
      </w:r>
      <w:r>
        <w:rPr>
          <w:noProof/>
        </w:rPr>
        <w:t>áil i mbuiséad BEREC a údarú tar éis cead a fháil ón mBord Bainistíochta agus féadfaidh sé conarthaí a thabhairt i gcrích, lena n</w:t>
      </w:r>
      <w:r>
        <w:rPr>
          <w:noProof/>
        </w:rPr>
        <w:noBreakHyphen/>
        <w:t>áirítear conarthaí foirne, tar éis dó plean bunaíochta BEREC a ghlacadh.</w:t>
      </w:r>
    </w:p>
    <w:p w:rsidR="00526EFA" w:rsidRDefault="005C4D05">
      <w:pPr>
        <w:rPr>
          <w:rFonts w:eastAsia="PMingLiU"/>
          <w:noProof/>
        </w:rPr>
      </w:pPr>
      <w:r>
        <w:rPr>
          <w:noProof/>
        </w:rPr>
        <w:t xml:space="preserve">3. Déanfar conradh fostaíochta an Bhainisteora </w:t>
      </w:r>
      <w:r>
        <w:rPr>
          <w:noProof/>
        </w:rPr>
        <w:t>Riaracháin a ceapadh ar bhonn Rialachán (CE) Uimh. 1211/2009 a fhoirceannadh ag deireadh a théarma oifige nó an lá a rachaidh an Stiúrthóir Feidhmiúcháin i mbun a chuid dualgas tar éis don Bhord Bainistíochta é a cheapadh i gcomhréir le hAirteagal 22, cibé</w:t>
      </w:r>
      <w:r>
        <w:rPr>
          <w:noProof/>
        </w:rPr>
        <w:t xml:space="preserve"> acu is túisce a tharlóidh.</w:t>
      </w:r>
    </w:p>
    <w:p w:rsidR="00526EFA" w:rsidRDefault="005C4D05">
      <w:pPr>
        <w:rPr>
          <w:rFonts w:eastAsia="PMingLiU"/>
          <w:noProof/>
        </w:rPr>
      </w:pPr>
      <w:r>
        <w:rPr>
          <w:noProof/>
        </w:rPr>
        <w:t xml:space="preserve">Maidir le Bainisteoir Riaracháin a ceapadh ar bhonn Rialachán (CE) Uimh. 1211/2009, ar cuireadh síneadh lena théarma oifige, ní ghlacfaidh sé páirt sa nós imeachta roghnúcháin do phost an Stiúrthóra Feidhmiúcháin dá dtagraítear </w:t>
      </w:r>
      <w:r>
        <w:rPr>
          <w:noProof/>
        </w:rPr>
        <w:t>in Airteagal 22.</w:t>
      </w:r>
    </w:p>
    <w:p w:rsidR="00526EFA" w:rsidRDefault="005C4D05">
      <w:pPr>
        <w:rPr>
          <w:rFonts w:eastAsia="PMingLiU"/>
          <w:noProof/>
        </w:rPr>
      </w:pPr>
      <w:r>
        <w:rPr>
          <w:noProof/>
        </w:rPr>
        <w:t>4. An Bord Bainistíochta dá dtagraítear in Airteagal 4, is iad a bheidh air comhaltaí an Choiste Bainistíochta dá dtagraítear in Airteagal 7 de Rialachán (CE) Uimh. 1211/2009 go dtí go n</w:t>
      </w:r>
      <w:r>
        <w:rPr>
          <w:noProof/>
        </w:rPr>
        <w:noBreakHyphen/>
        <w:t>ainmneofar ionadaithe nua.</w:t>
      </w:r>
    </w:p>
    <w:p w:rsidR="00526EFA" w:rsidRDefault="005C4D05">
      <w:pPr>
        <w:rPr>
          <w:rFonts w:eastAsia="PMingLiU"/>
          <w:noProof/>
        </w:rPr>
      </w:pPr>
      <w:r>
        <w:rPr>
          <w:noProof/>
        </w:rPr>
        <w:t>5. Is i gcomhréir leis na</w:t>
      </w:r>
      <w:r>
        <w:rPr>
          <w:noProof/>
        </w:rPr>
        <w:t xml:space="preserve"> rialacha a leagtar síos i Rialachán (CE) Uimh. 1211/2009 a chuirfear an nós imeachta urscaoilte maidir leis an mbuiséad arna fhaomhadh ar bhonn Airteagal 11 de Rialachán (CE) Uimh. 1211/2009 i gcrích.</w:t>
      </w:r>
    </w:p>
    <w:p w:rsidR="00526EFA" w:rsidRDefault="005C4D05">
      <w:pPr>
        <w:pStyle w:val="Titrearticle"/>
        <w:rPr>
          <w:noProof/>
        </w:rPr>
      </w:pPr>
      <w:r>
        <w:rPr>
          <w:noProof/>
        </w:rPr>
        <w:t>Airteagal 40</w:t>
      </w:r>
    </w:p>
    <w:p w:rsidR="00526EFA" w:rsidRDefault="005C4D05">
      <w:pPr>
        <w:pStyle w:val="NormalCentered"/>
        <w:rPr>
          <w:b/>
          <w:bCs/>
          <w:noProof/>
          <w:szCs w:val="24"/>
        </w:rPr>
      </w:pPr>
      <w:r>
        <w:rPr>
          <w:b/>
          <w:noProof/>
        </w:rPr>
        <w:t>Teacht i bhfeidhm</w:t>
      </w:r>
    </w:p>
    <w:p w:rsidR="00526EFA" w:rsidRDefault="005C4D05">
      <w:pPr>
        <w:rPr>
          <w:rFonts w:eastAsia="PMingLiU"/>
          <w:noProof/>
        </w:rPr>
      </w:pPr>
      <w:r>
        <w:rPr>
          <w:noProof/>
        </w:rPr>
        <w:t xml:space="preserve">Aisghairtear Rialachán </w:t>
      </w:r>
      <w:r>
        <w:rPr>
          <w:noProof/>
        </w:rPr>
        <w:t xml:space="preserve">(CE) Uimh. 1211/2009. </w:t>
      </w:r>
    </w:p>
    <w:p w:rsidR="00526EFA" w:rsidRDefault="005C4D05">
      <w:pPr>
        <w:rPr>
          <w:i/>
          <w:noProof/>
        </w:rPr>
      </w:pPr>
      <w:r>
        <w:rPr>
          <w:noProof/>
        </w:rPr>
        <w:t>Déanfar tagairtí do Rialachán (CE) Uimh. 1211/2009 agus d'Oifig BEREC a fhorléiriú mar thagairtí don Rialachán seo agus do BEREC.</w:t>
      </w:r>
    </w:p>
    <w:p w:rsidR="00526EFA" w:rsidRDefault="005C4D05">
      <w:pPr>
        <w:pStyle w:val="Titrearticle"/>
        <w:rPr>
          <w:noProof/>
        </w:rPr>
      </w:pPr>
      <w:r>
        <w:rPr>
          <w:noProof/>
        </w:rPr>
        <w:t>Airteagal 41</w:t>
      </w:r>
    </w:p>
    <w:p w:rsidR="00526EFA" w:rsidRDefault="005C4D05">
      <w:pPr>
        <w:pStyle w:val="NormalCentered"/>
        <w:rPr>
          <w:b/>
          <w:bCs/>
          <w:noProof/>
          <w:szCs w:val="24"/>
        </w:rPr>
      </w:pPr>
      <w:r>
        <w:rPr>
          <w:b/>
          <w:noProof/>
        </w:rPr>
        <w:t>Teacht i bhfeidhm</w:t>
      </w:r>
    </w:p>
    <w:p w:rsidR="00526EFA" w:rsidRDefault="005C4D05">
      <w:pPr>
        <w:rPr>
          <w:noProof/>
        </w:rPr>
      </w:pPr>
      <w:r>
        <w:rPr>
          <w:noProof/>
        </w:rPr>
        <w:t>Tiocfaidh an Rialachán seo i bhfeidhm an fichiú lá tar éis lá a fhoilsit</w:t>
      </w:r>
      <w:r>
        <w:rPr>
          <w:noProof/>
        </w:rPr>
        <w:t xml:space="preserve">he in </w:t>
      </w:r>
      <w:r>
        <w:rPr>
          <w:i/>
          <w:noProof/>
        </w:rPr>
        <w:t>Iris Oifigiúil an Aontais Eorpaigh</w:t>
      </w:r>
      <w:r>
        <w:rPr>
          <w:noProof/>
        </w:rPr>
        <w:t>.</w:t>
      </w:r>
    </w:p>
    <w:p w:rsidR="00526EFA" w:rsidRDefault="005C4D05">
      <w:pPr>
        <w:rPr>
          <w:noProof/>
        </w:rPr>
      </w:pPr>
      <w:r>
        <w:rPr>
          <w:noProof/>
        </w:rPr>
        <w:t>Beidh feidhm aige ón […].</w:t>
      </w:r>
    </w:p>
    <w:p w:rsidR="00526EFA" w:rsidRDefault="005C4D05">
      <w:pPr>
        <w:pStyle w:val="Applicationdirecte"/>
        <w:keepNext/>
        <w:keepLines/>
        <w:rPr>
          <w:noProof/>
        </w:rPr>
      </w:pPr>
      <w:r>
        <w:rPr>
          <w:noProof/>
        </w:rPr>
        <w:t>Beidh an Rialachán seo ina cheangal go huile agus infheidhme go díreach i ngach Ballstát.</w:t>
      </w:r>
    </w:p>
    <w:p w:rsidR="00526EFA" w:rsidRDefault="005C4D05" w:rsidP="005C4D05">
      <w:pPr>
        <w:pStyle w:val="Fait"/>
        <w:rPr>
          <w:noProof/>
        </w:rPr>
      </w:pPr>
      <w:r w:rsidRPr="005C4D05">
        <w:t>Arna dhéanamh sa Bhruiséil,</w:t>
      </w:r>
    </w:p>
    <w:p w:rsidR="00526EFA" w:rsidRDefault="005C4D05">
      <w:pPr>
        <w:pStyle w:val="Institutionquisigne"/>
        <w:rPr>
          <w:noProof/>
        </w:rPr>
      </w:pPr>
      <w:r>
        <w:rPr>
          <w:noProof/>
        </w:rPr>
        <w:t>Thar ceann Pharlaimint na hEorpa</w:t>
      </w:r>
      <w:r>
        <w:rPr>
          <w:noProof/>
        </w:rPr>
        <w:tab/>
        <w:t>Thar ceann na Comhairle</w:t>
      </w:r>
    </w:p>
    <w:p w:rsidR="00526EFA" w:rsidRDefault="005C4D05">
      <w:pPr>
        <w:pStyle w:val="Personnequisigne"/>
        <w:rPr>
          <w:noProof/>
        </w:rPr>
      </w:pPr>
      <w:r>
        <w:rPr>
          <w:noProof/>
        </w:rPr>
        <w:t>An tUachtarán</w:t>
      </w:r>
      <w:r>
        <w:rPr>
          <w:noProof/>
        </w:rPr>
        <w:tab/>
        <w:t>An tUachtarán</w:t>
      </w:r>
    </w:p>
    <w:p w:rsidR="00526EFA" w:rsidRDefault="00526EFA">
      <w:pPr>
        <w:rPr>
          <w:noProof/>
        </w:rPr>
        <w:sectPr w:rsidR="00526EFA" w:rsidSect="005C4D05">
          <w:pgSz w:w="11907" w:h="16839"/>
          <w:pgMar w:top="1134" w:right="1417" w:bottom="1134" w:left="1417" w:header="709" w:footer="709" w:gutter="0"/>
          <w:cols w:space="708"/>
          <w:docGrid w:linePitch="360"/>
        </w:sectPr>
      </w:pPr>
    </w:p>
    <w:p w:rsidR="00526EFA" w:rsidRDefault="005C4D05">
      <w:pPr>
        <w:pStyle w:val="Fichefinanciretitre"/>
        <w:rPr>
          <w:noProof/>
        </w:rPr>
      </w:pPr>
      <w:r>
        <w:rPr>
          <w:noProof/>
        </w:rPr>
        <w:t>RÁITEAS AIRGEADAIS REACHTACH</w:t>
      </w:r>
    </w:p>
    <w:p w:rsidR="00526EFA" w:rsidRDefault="005C4D05">
      <w:pPr>
        <w:pStyle w:val="ManualHeading1"/>
        <w:rPr>
          <w:noProof/>
        </w:rPr>
      </w:pPr>
      <w:r>
        <w:rPr>
          <w:noProof/>
        </w:rPr>
        <w:t>1.</w:t>
      </w:r>
      <w:r>
        <w:rPr>
          <w:noProof/>
        </w:rPr>
        <w:tab/>
        <w:t>LEAGAN AMACH AN TOGRA/TIONSCNAIMH</w:t>
      </w:r>
    </w:p>
    <w:p w:rsidR="00526EFA" w:rsidRDefault="005C4D05">
      <w:pPr>
        <w:pStyle w:val="ManualHeading2"/>
        <w:rPr>
          <w:b w:val="0"/>
          <w:noProof/>
        </w:rPr>
      </w:pPr>
      <w:r>
        <w:rPr>
          <w:noProof/>
        </w:rPr>
        <w:tab/>
      </w:r>
      <w:r>
        <w:rPr>
          <w:b w:val="0"/>
          <w:noProof/>
        </w:rPr>
        <w:t>1.1.</w:t>
      </w:r>
      <w:r>
        <w:rPr>
          <w:noProof/>
        </w:rPr>
        <w:tab/>
      </w:r>
      <w:r>
        <w:rPr>
          <w:b w:val="0"/>
          <w:noProof/>
        </w:rPr>
        <w:t>Teideal an togra/tionscnaimh</w:t>
      </w:r>
    </w:p>
    <w:p w:rsidR="00526EFA" w:rsidRDefault="005C4D05">
      <w:pPr>
        <w:pStyle w:val="ManualHeading2"/>
        <w:rPr>
          <w:b w:val="0"/>
          <w:noProof/>
        </w:rPr>
      </w:pPr>
      <w:r>
        <w:rPr>
          <w:noProof/>
        </w:rPr>
        <w:tab/>
      </w:r>
      <w:r>
        <w:rPr>
          <w:b w:val="0"/>
          <w:noProof/>
        </w:rPr>
        <w:t>1.2.</w:t>
      </w:r>
      <w:r>
        <w:rPr>
          <w:noProof/>
        </w:rPr>
        <w:tab/>
      </w:r>
      <w:r>
        <w:rPr>
          <w:b w:val="0"/>
          <w:noProof/>
        </w:rPr>
        <w:t>Réimsí beartais lena mbaineann i gcreat ABM/ABB</w:t>
      </w:r>
    </w:p>
    <w:p w:rsidR="00526EFA" w:rsidRDefault="005C4D05">
      <w:pPr>
        <w:pStyle w:val="ManualHeading2"/>
        <w:rPr>
          <w:b w:val="0"/>
          <w:noProof/>
        </w:rPr>
      </w:pPr>
      <w:r>
        <w:rPr>
          <w:noProof/>
        </w:rPr>
        <w:tab/>
      </w:r>
      <w:r>
        <w:rPr>
          <w:b w:val="0"/>
          <w:noProof/>
        </w:rPr>
        <w:t>1.3.</w:t>
      </w:r>
      <w:r>
        <w:rPr>
          <w:noProof/>
        </w:rPr>
        <w:tab/>
      </w:r>
      <w:r>
        <w:rPr>
          <w:b w:val="0"/>
          <w:noProof/>
        </w:rPr>
        <w:t>An cineál togra/tionscnaimh</w:t>
      </w:r>
    </w:p>
    <w:p w:rsidR="00526EFA" w:rsidRDefault="005C4D05">
      <w:pPr>
        <w:pStyle w:val="ManualHeading2"/>
        <w:rPr>
          <w:b w:val="0"/>
          <w:noProof/>
        </w:rPr>
      </w:pPr>
      <w:r>
        <w:rPr>
          <w:noProof/>
        </w:rPr>
        <w:tab/>
      </w:r>
      <w:r>
        <w:rPr>
          <w:b w:val="0"/>
          <w:noProof/>
        </w:rPr>
        <w:t>1.4.</w:t>
      </w:r>
      <w:r>
        <w:rPr>
          <w:noProof/>
        </w:rPr>
        <w:tab/>
      </w:r>
      <w:r>
        <w:rPr>
          <w:b w:val="0"/>
          <w:noProof/>
        </w:rPr>
        <w:t>Cuspóirí</w:t>
      </w:r>
    </w:p>
    <w:p w:rsidR="00526EFA" w:rsidRDefault="005C4D05">
      <w:pPr>
        <w:pStyle w:val="ManualHeading2"/>
        <w:rPr>
          <w:b w:val="0"/>
          <w:noProof/>
        </w:rPr>
      </w:pPr>
      <w:r>
        <w:rPr>
          <w:noProof/>
        </w:rPr>
        <w:tab/>
      </w:r>
      <w:r>
        <w:rPr>
          <w:b w:val="0"/>
          <w:noProof/>
        </w:rPr>
        <w:t>1.5.</w:t>
      </w:r>
      <w:r>
        <w:rPr>
          <w:noProof/>
        </w:rPr>
        <w:tab/>
      </w:r>
      <w:r>
        <w:rPr>
          <w:b w:val="0"/>
          <w:noProof/>
        </w:rPr>
        <w:t xml:space="preserve">Foras an </w:t>
      </w:r>
      <w:r>
        <w:rPr>
          <w:b w:val="0"/>
          <w:noProof/>
        </w:rPr>
        <w:t>togra/tionscnaimh</w:t>
      </w:r>
    </w:p>
    <w:p w:rsidR="00526EFA" w:rsidRDefault="005C4D05">
      <w:pPr>
        <w:pStyle w:val="ManualHeading2"/>
        <w:rPr>
          <w:b w:val="0"/>
          <w:noProof/>
        </w:rPr>
      </w:pPr>
      <w:r>
        <w:rPr>
          <w:noProof/>
        </w:rPr>
        <w:tab/>
      </w:r>
      <w:r>
        <w:rPr>
          <w:b w:val="0"/>
          <w:noProof/>
        </w:rPr>
        <w:t>1.6.</w:t>
      </w:r>
      <w:r>
        <w:rPr>
          <w:noProof/>
        </w:rPr>
        <w:tab/>
      </w:r>
      <w:r>
        <w:rPr>
          <w:b w:val="0"/>
          <w:noProof/>
        </w:rPr>
        <w:t>Fad agus tionchar airgeadais</w:t>
      </w:r>
    </w:p>
    <w:p w:rsidR="00526EFA" w:rsidRDefault="005C4D05">
      <w:pPr>
        <w:pStyle w:val="ManualHeading2"/>
        <w:rPr>
          <w:b w:val="0"/>
          <w:noProof/>
        </w:rPr>
      </w:pPr>
      <w:r>
        <w:rPr>
          <w:noProof/>
        </w:rPr>
        <w:tab/>
      </w:r>
      <w:r>
        <w:rPr>
          <w:b w:val="0"/>
          <w:noProof/>
        </w:rPr>
        <w:t>1.7.</w:t>
      </w:r>
      <w:r>
        <w:rPr>
          <w:noProof/>
        </w:rPr>
        <w:tab/>
      </w:r>
      <w:r>
        <w:rPr>
          <w:b w:val="0"/>
          <w:noProof/>
        </w:rPr>
        <w:t>Modhanna bainistíochta atá beartaithe</w:t>
      </w:r>
    </w:p>
    <w:p w:rsidR="00526EFA" w:rsidRDefault="005C4D05">
      <w:pPr>
        <w:pStyle w:val="ManualHeading1"/>
        <w:rPr>
          <w:noProof/>
        </w:rPr>
      </w:pPr>
      <w:r>
        <w:rPr>
          <w:noProof/>
        </w:rPr>
        <w:t>2.</w:t>
      </w:r>
      <w:r>
        <w:rPr>
          <w:noProof/>
        </w:rPr>
        <w:tab/>
        <w:t>BEARTA BAINISTÍOCHTA</w:t>
      </w:r>
    </w:p>
    <w:p w:rsidR="00526EFA" w:rsidRDefault="005C4D05">
      <w:pPr>
        <w:pStyle w:val="ManualHeading2"/>
        <w:rPr>
          <w:b w:val="0"/>
          <w:noProof/>
        </w:rPr>
      </w:pPr>
      <w:r>
        <w:rPr>
          <w:noProof/>
        </w:rPr>
        <w:tab/>
      </w:r>
      <w:r>
        <w:rPr>
          <w:b w:val="0"/>
          <w:noProof/>
        </w:rPr>
        <w:t>2.1.</w:t>
      </w:r>
      <w:r>
        <w:rPr>
          <w:noProof/>
        </w:rPr>
        <w:tab/>
      </w:r>
      <w:r>
        <w:rPr>
          <w:b w:val="0"/>
          <w:noProof/>
        </w:rPr>
        <w:t>Rialacha faireacháin agus tuairiscithe</w:t>
      </w:r>
    </w:p>
    <w:p w:rsidR="00526EFA" w:rsidRDefault="005C4D05">
      <w:pPr>
        <w:pStyle w:val="ManualHeading2"/>
        <w:rPr>
          <w:b w:val="0"/>
          <w:noProof/>
        </w:rPr>
      </w:pPr>
      <w:r>
        <w:rPr>
          <w:noProof/>
        </w:rPr>
        <w:tab/>
      </w:r>
      <w:r>
        <w:rPr>
          <w:b w:val="0"/>
          <w:noProof/>
        </w:rPr>
        <w:t>2.2.</w:t>
      </w:r>
      <w:r>
        <w:rPr>
          <w:noProof/>
        </w:rPr>
        <w:tab/>
      </w:r>
      <w:r>
        <w:rPr>
          <w:b w:val="0"/>
          <w:noProof/>
        </w:rPr>
        <w:t>Córas bainistíochta agus rialaithe</w:t>
      </w:r>
    </w:p>
    <w:p w:rsidR="00526EFA" w:rsidRDefault="005C4D05">
      <w:pPr>
        <w:pStyle w:val="ManualHeading2"/>
        <w:rPr>
          <w:b w:val="0"/>
          <w:noProof/>
        </w:rPr>
      </w:pPr>
      <w:r>
        <w:rPr>
          <w:noProof/>
        </w:rPr>
        <w:tab/>
      </w:r>
      <w:r>
        <w:rPr>
          <w:b w:val="0"/>
          <w:noProof/>
        </w:rPr>
        <w:t>2.3.</w:t>
      </w:r>
      <w:r>
        <w:rPr>
          <w:noProof/>
        </w:rPr>
        <w:tab/>
      </w:r>
      <w:r>
        <w:rPr>
          <w:b w:val="0"/>
          <w:noProof/>
        </w:rPr>
        <w:t>Bearta chun calaois agus neamhrialtachtaí a</w:t>
      </w:r>
      <w:r>
        <w:rPr>
          <w:b w:val="0"/>
          <w:noProof/>
        </w:rPr>
        <w:t xml:space="preserve"> chosc</w:t>
      </w:r>
    </w:p>
    <w:p w:rsidR="00526EFA" w:rsidRDefault="005C4D05">
      <w:pPr>
        <w:pStyle w:val="ManualHeading1"/>
        <w:rPr>
          <w:noProof/>
        </w:rPr>
      </w:pPr>
      <w:r>
        <w:rPr>
          <w:noProof/>
        </w:rPr>
        <w:t>3.</w:t>
      </w:r>
      <w:r>
        <w:rPr>
          <w:noProof/>
        </w:rPr>
        <w:tab/>
        <w:t>AN TIONCHAR AIRGEADAIS A MHEASTAR A BHEIDH AG AN TOGRA/TIONSCNAMH</w:t>
      </w:r>
    </w:p>
    <w:p w:rsidR="00526EFA" w:rsidRDefault="005C4D05">
      <w:pPr>
        <w:pStyle w:val="ManualHeading2"/>
        <w:rPr>
          <w:b w:val="0"/>
          <w:noProof/>
        </w:rPr>
      </w:pPr>
      <w:r>
        <w:rPr>
          <w:noProof/>
        </w:rPr>
        <w:tab/>
      </w:r>
      <w:r>
        <w:rPr>
          <w:b w:val="0"/>
          <w:noProof/>
        </w:rPr>
        <w:t>3.1.</w:t>
      </w:r>
      <w:r>
        <w:rPr>
          <w:noProof/>
        </w:rPr>
        <w:tab/>
      </w:r>
      <w:r>
        <w:rPr>
          <w:b w:val="0"/>
          <w:noProof/>
        </w:rPr>
        <w:t>Ceannteidil an chreata airgeadais ilbhliantúil agus na línte buiséid ar a n</w:t>
      </w:r>
      <w:r>
        <w:rPr>
          <w:b w:val="0"/>
          <w:noProof/>
        </w:rPr>
        <w:noBreakHyphen/>
        <w:t>imreofar tionchar</w:t>
      </w:r>
    </w:p>
    <w:p w:rsidR="00526EFA" w:rsidRDefault="005C4D05">
      <w:pPr>
        <w:pStyle w:val="ManualHeading2"/>
        <w:rPr>
          <w:noProof/>
        </w:rPr>
      </w:pPr>
      <w:r>
        <w:rPr>
          <w:noProof/>
        </w:rPr>
        <w:tab/>
      </w:r>
      <w:r>
        <w:rPr>
          <w:b w:val="0"/>
          <w:noProof/>
        </w:rPr>
        <w:t>3.2.</w:t>
      </w:r>
      <w:r>
        <w:rPr>
          <w:noProof/>
        </w:rPr>
        <w:tab/>
      </w:r>
      <w:r>
        <w:rPr>
          <w:b w:val="0"/>
          <w:noProof/>
        </w:rPr>
        <w:t>An tionchar a mheastar a bheidh ag an togra/tionscnamh ar chaiteachas</w:t>
      </w:r>
    </w:p>
    <w:p w:rsidR="00526EFA" w:rsidRDefault="005C4D05">
      <w:pPr>
        <w:pStyle w:val="ManualHeading3"/>
        <w:rPr>
          <w:noProof/>
        </w:rPr>
      </w:pPr>
      <w:r>
        <w:rPr>
          <w:noProof/>
        </w:rPr>
        <w:tab/>
        <w:t>3.2</w:t>
      </w:r>
      <w:r>
        <w:rPr>
          <w:noProof/>
        </w:rPr>
        <w:t>.1.</w:t>
      </w:r>
      <w:r>
        <w:rPr>
          <w:noProof/>
        </w:rPr>
        <w:tab/>
        <w:t>Achoimre ar an tionchar a mheastar a bheidh ar chaiteachas</w:t>
      </w:r>
    </w:p>
    <w:p w:rsidR="00526EFA" w:rsidRDefault="005C4D05">
      <w:pPr>
        <w:pStyle w:val="ManualHeading3"/>
        <w:rPr>
          <w:noProof/>
        </w:rPr>
      </w:pPr>
      <w:r>
        <w:rPr>
          <w:noProof/>
        </w:rPr>
        <w:tab/>
        <w:t>3.2.2.</w:t>
      </w:r>
      <w:r>
        <w:rPr>
          <w:noProof/>
        </w:rPr>
        <w:tab/>
        <w:t>An tionchar a mheastar a bheidh ag an togra/tionscnamh ar leithreasuithe faoi chomhair oibríochtaí</w:t>
      </w:r>
    </w:p>
    <w:p w:rsidR="00526EFA" w:rsidRDefault="005C4D05">
      <w:pPr>
        <w:pStyle w:val="ManualHeading3"/>
        <w:rPr>
          <w:noProof/>
        </w:rPr>
      </w:pPr>
      <w:r>
        <w:rPr>
          <w:noProof/>
        </w:rPr>
        <w:tab/>
        <w:t>3.2.3.</w:t>
      </w:r>
      <w:r>
        <w:rPr>
          <w:noProof/>
        </w:rPr>
        <w:tab/>
        <w:t>An tionchar a mheastar a bheidh ag an togra/tionscnamh ar leithreasuithe de ch</w:t>
      </w:r>
      <w:r>
        <w:rPr>
          <w:noProof/>
        </w:rPr>
        <w:t>ineál riaracháin</w:t>
      </w:r>
    </w:p>
    <w:p w:rsidR="00526EFA" w:rsidRDefault="005C4D05">
      <w:pPr>
        <w:pStyle w:val="ManualHeading3"/>
        <w:rPr>
          <w:noProof/>
        </w:rPr>
      </w:pPr>
      <w:r>
        <w:rPr>
          <w:noProof/>
        </w:rPr>
        <w:tab/>
        <w:t>3.2.4.</w:t>
      </w:r>
      <w:r>
        <w:rPr>
          <w:noProof/>
        </w:rPr>
        <w:tab/>
        <w:t>Comhoiriúnacht don chreat airgeadais ilbhliantúil reatha</w:t>
      </w:r>
    </w:p>
    <w:p w:rsidR="00526EFA" w:rsidRDefault="005C4D05">
      <w:pPr>
        <w:pStyle w:val="ManualHeading3"/>
        <w:rPr>
          <w:noProof/>
        </w:rPr>
      </w:pPr>
      <w:r>
        <w:rPr>
          <w:noProof/>
        </w:rPr>
        <w:tab/>
        <w:t>3.2.5.</w:t>
      </w:r>
      <w:r>
        <w:rPr>
          <w:noProof/>
        </w:rPr>
        <w:tab/>
        <w:t>Ranníocaíochtaí ó thríú páirtithe</w:t>
      </w:r>
    </w:p>
    <w:p w:rsidR="00526EFA" w:rsidRDefault="005C4D05">
      <w:pPr>
        <w:pStyle w:val="ManualHeading2"/>
        <w:jc w:val="left"/>
        <w:rPr>
          <w:b w:val="0"/>
          <w:noProof/>
        </w:rPr>
        <w:sectPr w:rsidR="00526EFA" w:rsidSect="005C4D05">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An tionchar a mheastar a bheidh ar ioncam</w:t>
      </w:r>
    </w:p>
    <w:p w:rsidR="00526EFA" w:rsidRDefault="005C4D05">
      <w:pPr>
        <w:jc w:val="center"/>
        <w:rPr>
          <w:noProof/>
        </w:rPr>
      </w:pPr>
      <w:r>
        <w:rPr>
          <w:b/>
          <w:noProof/>
          <w:u w:val="single"/>
        </w:rPr>
        <w:t>RÁITEAS AIRGEADAIS REACHTACH</w:t>
      </w:r>
    </w:p>
    <w:p w:rsidR="00526EFA" w:rsidRDefault="005C4D05">
      <w:pPr>
        <w:pStyle w:val="ManualHeading1"/>
        <w:rPr>
          <w:bCs/>
          <w:noProof/>
        </w:rPr>
      </w:pPr>
      <w:r>
        <w:rPr>
          <w:noProof/>
        </w:rPr>
        <w:t>1.</w:t>
      </w:r>
      <w:r>
        <w:rPr>
          <w:noProof/>
        </w:rPr>
        <w:tab/>
        <w:t>LEAGAN AMACH AN TOGRA/TIONSCN</w:t>
      </w:r>
      <w:r>
        <w:rPr>
          <w:noProof/>
        </w:rPr>
        <w:t>AIMH</w:t>
      </w:r>
    </w:p>
    <w:p w:rsidR="00526EFA" w:rsidRDefault="005C4D05">
      <w:pPr>
        <w:pStyle w:val="ManualHeading2"/>
        <w:rPr>
          <w:bCs/>
          <w:noProof/>
        </w:rPr>
      </w:pPr>
      <w:r>
        <w:rPr>
          <w:noProof/>
        </w:rPr>
        <w:t>1.1.</w:t>
      </w:r>
      <w:r>
        <w:rPr>
          <w:noProof/>
        </w:rPr>
        <w:tab/>
        <w:t>Teideal an togra/tionscnaimh</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7"/>
      </w:tblGrid>
      <w:tr w:rsidR="00526EFA">
        <w:tc>
          <w:tcPr>
            <w:tcW w:w="10188" w:type="dxa"/>
            <w:shd w:val="clear" w:color="auto" w:fill="auto"/>
          </w:tcPr>
          <w:p w:rsidR="00526EFA" w:rsidRDefault="005C4D05">
            <w:pPr>
              <w:pStyle w:val="Text1"/>
              <w:rPr>
                <w:noProof/>
              </w:rPr>
            </w:pPr>
            <w:r>
              <w:rPr>
                <w:b/>
                <w:noProof/>
              </w:rPr>
              <w:t>Togra le haghaidh Rialachán ó Pharlaimint na hEorpa agus ón gComhairle Rialachán lena mbunaítear Comhlacht na Rialálaithe Eorpacha um Chumarsáid Leictreonach (BEREC) agus lena n</w:t>
            </w:r>
            <w:r>
              <w:rPr>
                <w:b/>
                <w:noProof/>
              </w:rPr>
              <w:noBreakHyphen/>
              <w:t>aisghairtear Rialachán (CE) Uimh. 1211/</w:t>
            </w:r>
            <w:r>
              <w:rPr>
                <w:b/>
                <w:noProof/>
              </w:rPr>
              <w:t>2009</w:t>
            </w:r>
          </w:p>
        </w:tc>
      </w:tr>
    </w:tbl>
    <w:p w:rsidR="00526EFA" w:rsidRDefault="005C4D05">
      <w:pPr>
        <w:pStyle w:val="ManualHeading2"/>
        <w:rPr>
          <w:bCs/>
          <w:noProof/>
        </w:rPr>
      </w:pPr>
      <w:r>
        <w:rPr>
          <w:noProof/>
        </w:rPr>
        <w:t>1.2.</w:t>
      </w:r>
      <w:r>
        <w:rPr>
          <w:noProof/>
        </w:rPr>
        <w:tab/>
        <w:t>Réimsí beartais lena mbaineann i gcreat ABM/ABB</w:t>
      </w:r>
      <w:r>
        <w:rPr>
          <w:rStyle w:val="FootnoteReference"/>
          <w:noProof/>
        </w:rPr>
        <w:footnoteReference w:id="47"/>
      </w:r>
    </w:p>
    <w:p w:rsidR="00526EFA" w:rsidRDefault="005C4D05">
      <w:pPr>
        <w:pStyle w:val="Text1"/>
        <w:pBdr>
          <w:top w:val="single" w:sz="4" w:space="1" w:color="auto"/>
          <w:left w:val="single" w:sz="4" w:space="4" w:color="auto"/>
          <w:bottom w:val="single" w:sz="4" w:space="1" w:color="auto"/>
          <w:right w:val="single" w:sz="4" w:space="4" w:color="auto"/>
        </w:pBdr>
        <w:rPr>
          <w:noProof/>
        </w:rPr>
      </w:pPr>
      <w:r>
        <w:rPr>
          <w:noProof/>
        </w:rPr>
        <w:t>Réimse beartais: Líonraí Cumarsáide, Inneachar agus Teicneolaíocht</w:t>
      </w:r>
    </w:p>
    <w:p w:rsidR="00526EFA" w:rsidRDefault="005C4D05">
      <w:pPr>
        <w:pStyle w:val="Text1"/>
        <w:pBdr>
          <w:top w:val="single" w:sz="4" w:space="1" w:color="auto"/>
          <w:left w:val="single" w:sz="4" w:space="4" w:color="auto"/>
          <w:bottom w:val="single" w:sz="4" w:space="1" w:color="auto"/>
          <w:right w:val="single" w:sz="4" w:space="4" w:color="auto"/>
        </w:pBdr>
        <w:rPr>
          <w:noProof/>
        </w:rPr>
      </w:pPr>
      <w:r>
        <w:rPr>
          <w:noProof/>
        </w:rPr>
        <w:t xml:space="preserve">Gníomhaíocht: </w:t>
      </w:r>
      <w:bookmarkStart w:id="107" w:name="_Toc341951246"/>
      <w:r>
        <w:rPr>
          <w:b/>
          <w:noProof/>
        </w:rPr>
        <w:t>Creat Rialála don Chlár Oibre Digiteach don Eoraip</w:t>
      </w:r>
      <w:bookmarkEnd w:id="107"/>
    </w:p>
    <w:p w:rsidR="00526EFA" w:rsidRDefault="005C4D05">
      <w:pPr>
        <w:pStyle w:val="ManualHeading2"/>
        <w:rPr>
          <w:bCs/>
          <w:noProof/>
        </w:rPr>
      </w:pPr>
      <w:r>
        <w:rPr>
          <w:noProof/>
        </w:rPr>
        <w:t>1.3.</w:t>
      </w:r>
      <w:r>
        <w:rPr>
          <w:noProof/>
        </w:rPr>
        <w:tab/>
        <w:t>An cineál togra/tionscnaimh</w:t>
      </w:r>
    </w:p>
    <w:p w:rsidR="00526EFA" w:rsidRDefault="005C4D05">
      <w:pPr>
        <w:pStyle w:val="Text1"/>
        <w:rPr>
          <w:noProof/>
        </w:rPr>
      </w:pPr>
      <w:r>
        <w:rPr>
          <w:noProof/>
          <w:sz w:val="22"/>
        </w:rPr>
        <w:sym w:font="Wingdings" w:char="F0A8"/>
      </w:r>
      <w:r>
        <w:rPr>
          <w:noProof/>
          <w:sz w:val="22"/>
        </w:rPr>
        <w:t xml:space="preserve"> </w:t>
      </w:r>
      <w:r>
        <w:rPr>
          <w:noProof/>
        </w:rPr>
        <w:t xml:space="preserve">Baineann an togra/tionscnamh le </w:t>
      </w:r>
      <w:r>
        <w:rPr>
          <w:b/>
          <w:noProof/>
        </w:rPr>
        <w:t>beart nua</w:t>
      </w:r>
    </w:p>
    <w:p w:rsidR="00526EFA" w:rsidRDefault="005C4D05">
      <w:pPr>
        <w:pStyle w:val="Text1"/>
        <w:rPr>
          <w:noProof/>
        </w:rPr>
      </w:pPr>
      <w:r>
        <w:rPr>
          <w:noProof/>
        </w:rPr>
        <w:sym w:font="Wingdings" w:char="F0A8"/>
      </w:r>
      <w:r>
        <w:rPr>
          <w:i/>
          <w:noProof/>
        </w:rPr>
        <w:t xml:space="preserve"> </w:t>
      </w:r>
      <w:r>
        <w:rPr>
          <w:noProof/>
        </w:rPr>
        <w:t xml:space="preserve">Baineann an togra/tionscnamh le </w:t>
      </w:r>
      <w:r>
        <w:rPr>
          <w:b/>
          <w:noProof/>
        </w:rPr>
        <w:t>beart nua a leanann treoirthionscadal/réamhbheart</w:t>
      </w:r>
      <w:r>
        <w:rPr>
          <w:rStyle w:val="FootnoteReference"/>
          <w:b/>
          <w:noProof/>
        </w:rPr>
        <w:footnoteReference w:id="48"/>
      </w:r>
    </w:p>
    <w:p w:rsidR="00526EFA" w:rsidRDefault="005C4D05">
      <w:pPr>
        <w:pStyle w:val="Text1"/>
        <w:rPr>
          <w:noProof/>
        </w:rPr>
      </w:pPr>
      <w:r>
        <w:rPr>
          <w:noProof/>
        </w:rPr>
        <w:sym w:font="Wingdings" w:char="F0A8"/>
      </w:r>
      <w:r>
        <w:rPr>
          <w:i/>
          <w:noProof/>
        </w:rPr>
        <w:t xml:space="preserve"> </w:t>
      </w:r>
      <w:r>
        <w:rPr>
          <w:noProof/>
        </w:rPr>
        <w:t xml:space="preserve">Baineann an togra/tionscnamh le </w:t>
      </w:r>
      <w:r>
        <w:rPr>
          <w:b/>
          <w:noProof/>
        </w:rPr>
        <w:t>síneadh ar bheart atá ann cheana</w:t>
      </w:r>
    </w:p>
    <w:p w:rsidR="00526EFA" w:rsidRDefault="005C4D05">
      <w:pPr>
        <w:pStyle w:val="Text1"/>
        <w:rPr>
          <w:noProof/>
        </w:rPr>
      </w:pPr>
      <w:r>
        <w:rPr>
          <w:noProof/>
        </w:rPr>
        <w:sym w:font="Wingdings" w:char="F0FE"/>
      </w:r>
      <w:r>
        <w:rPr>
          <w:noProof/>
        </w:rPr>
        <w:t xml:space="preserve"> Baineann an togra/tionscnamh le </w:t>
      </w:r>
      <w:r>
        <w:rPr>
          <w:b/>
          <w:noProof/>
        </w:rPr>
        <w:t xml:space="preserve">beart a atreoraíodh i dtreo </w:t>
      </w:r>
      <w:r>
        <w:rPr>
          <w:b/>
          <w:noProof/>
        </w:rPr>
        <w:t>beart nua</w:t>
      </w:r>
    </w:p>
    <w:p w:rsidR="00526EFA" w:rsidRDefault="005C4D05">
      <w:pPr>
        <w:pStyle w:val="ManualHeading2"/>
        <w:rPr>
          <w:bCs/>
          <w:noProof/>
        </w:rPr>
      </w:pPr>
      <w:r>
        <w:rPr>
          <w:noProof/>
        </w:rPr>
        <w:t>1.4.</w:t>
      </w:r>
      <w:r>
        <w:rPr>
          <w:noProof/>
        </w:rPr>
        <w:tab/>
        <w:t>Cuspóirí</w:t>
      </w:r>
    </w:p>
    <w:p w:rsidR="00526EFA" w:rsidRDefault="005C4D05">
      <w:pPr>
        <w:pStyle w:val="ManualHeading3"/>
        <w:rPr>
          <w:bCs/>
          <w:noProof/>
        </w:rPr>
      </w:pPr>
      <w:r>
        <w:rPr>
          <w:noProof/>
        </w:rPr>
        <w:t>1.4.1.</w:t>
      </w:r>
      <w:r>
        <w:rPr>
          <w:noProof/>
        </w:rPr>
        <w:tab/>
        <w:t>Cuspóirí straitéiseacha ilbhliantúla an Choimisiúin ar a bhfuil an togra/tionscnamh dírithe</w:t>
      </w:r>
    </w:p>
    <w:p w:rsidR="00526EFA" w:rsidRDefault="005C4D05">
      <w:pPr>
        <w:pStyle w:val="Text1"/>
        <w:pBdr>
          <w:top w:val="single" w:sz="4" w:space="1" w:color="auto"/>
          <w:left w:val="single" w:sz="4" w:space="0" w:color="auto"/>
          <w:bottom w:val="single" w:sz="4" w:space="1" w:color="auto"/>
          <w:right w:val="single" w:sz="4" w:space="1" w:color="auto"/>
        </w:pBdr>
        <w:rPr>
          <w:noProof/>
        </w:rPr>
      </w:pPr>
      <w:r>
        <w:rPr>
          <w:noProof/>
        </w:rPr>
        <w:t xml:space="preserve">Tá na bearta dá bhforáiltear sa Rialachán seo ag comhlánú an athbhreithnithe ar an gcreat rialála do chumarsáid leictreonach atá ann </w:t>
      </w:r>
      <w:r>
        <w:rPr>
          <w:noProof/>
        </w:rPr>
        <w:t>cheana ar bunchuid é den straitéis maidir le margadh aonair digiteach a seoladh i mBealtaine 2015</w:t>
      </w:r>
      <w:r>
        <w:rPr>
          <w:rStyle w:val="FootnoteReference"/>
          <w:noProof/>
        </w:rPr>
        <w:footnoteReference w:id="49"/>
      </w:r>
      <w:r>
        <w:rPr>
          <w:noProof/>
        </w:rPr>
        <w:t>.</w:t>
      </w:r>
    </w:p>
    <w:p w:rsidR="00526EFA" w:rsidRDefault="005C4D05">
      <w:pPr>
        <w:pStyle w:val="Text1"/>
        <w:pBdr>
          <w:top w:val="single" w:sz="4" w:space="1" w:color="auto"/>
          <w:left w:val="single" w:sz="4" w:space="0" w:color="auto"/>
          <w:bottom w:val="single" w:sz="4" w:space="1" w:color="auto"/>
          <w:right w:val="single" w:sz="4" w:space="1" w:color="auto"/>
        </w:pBdr>
        <w:rPr>
          <w:rFonts w:eastAsia="Calibri"/>
          <w:noProof/>
        </w:rPr>
      </w:pPr>
      <w:r>
        <w:rPr>
          <w:noProof/>
        </w:rPr>
        <w:t>Tá sé beartaithe ann go n</w:t>
      </w:r>
      <w:r>
        <w:rPr>
          <w:noProof/>
        </w:rPr>
        <w:noBreakHyphen/>
        <w:t xml:space="preserve">athbreithneofar an creat rialála atá ann faoi láthair chun é a nuashonrú agus a chur in oiriúint d'fhorbairt teicneolaíochta agus </w:t>
      </w:r>
      <w:r>
        <w:rPr>
          <w:noProof/>
        </w:rPr>
        <w:t>margaidh agus chun a áirithiú gur mó an cóineasú a bheidh ann idir an rialáil naisiúnta agus an rialáil ar leibhéal an Aontais, go gcuirfear rialacha an Aontais chun feidhme go comhsheasmhach, go mbeidh rochtain níos leithne ann ar nascacht sonraí an</w:t>
      </w:r>
      <w:r>
        <w:rPr>
          <w:noProof/>
        </w:rPr>
        <w:noBreakHyphen/>
        <w:t>ardto</w:t>
      </w:r>
      <w:r>
        <w:rPr>
          <w:noProof/>
        </w:rPr>
        <w:t>illte agus go nglacfar an nascacht sin go forleathan.</w:t>
      </w:r>
    </w:p>
    <w:p w:rsidR="00526EFA" w:rsidRDefault="005C4D05">
      <w:pPr>
        <w:pStyle w:val="Text1"/>
        <w:pBdr>
          <w:top w:val="single" w:sz="4" w:space="1" w:color="auto"/>
          <w:left w:val="single" w:sz="4" w:space="0" w:color="auto"/>
          <w:bottom w:val="single" w:sz="4" w:space="1" w:color="auto"/>
          <w:right w:val="single" w:sz="4" w:space="1" w:color="auto"/>
        </w:pBdr>
        <w:rPr>
          <w:rFonts w:eastAsia="Calibri"/>
          <w:noProof/>
        </w:rPr>
      </w:pPr>
      <w:r>
        <w:rPr>
          <w:noProof/>
        </w:rPr>
        <w:t xml:space="preserve">Cé gur éirigh go maith leis an gcreat rialála an earnáil a dhéanamh iomaíoch ar an iomlán agus sochair mhóra a thabhairt don úsáideoir deiridh, ní rómhaith a d'éirigh leis cuspóir an mhargaidh aonair a </w:t>
      </w:r>
      <w:r>
        <w:rPr>
          <w:noProof/>
        </w:rPr>
        <w:t>bhaint amach. Níor baineadh comhsheasmhacht rialála amach ach go pointe áirithe, rud a rinne difear d'oibríochtaí soláthraithe trasteorann agus a laghdaigh an intuarthacht do na hoibreoirí agus na hinfheisteoirí uile.</w:t>
      </w:r>
    </w:p>
    <w:p w:rsidR="00526EFA" w:rsidRDefault="005C4D05">
      <w:pPr>
        <w:pStyle w:val="Text1"/>
        <w:pBdr>
          <w:top w:val="single" w:sz="4" w:space="1" w:color="auto"/>
          <w:left w:val="single" w:sz="4" w:space="0" w:color="auto"/>
          <w:bottom w:val="single" w:sz="4" w:space="1" w:color="auto"/>
          <w:right w:val="single" w:sz="4" w:space="1" w:color="auto"/>
        </w:pBdr>
        <w:rPr>
          <w:rFonts w:eastAsia="Calibri"/>
          <w:noProof/>
        </w:rPr>
      </w:pPr>
      <w:r>
        <w:rPr>
          <w:noProof/>
        </w:rPr>
        <w:t>Tá na bearta atá molta dírithe ar fhor</w:t>
      </w:r>
      <w:r>
        <w:rPr>
          <w:noProof/>
        </w:rPr>
        <w:t>bairt fíormhargaidh aonair le haghaidh cumarsáid leictreonach san Aontas a chothú, go háirithe trí chomhordú níos mó ar réitigh rialála agus comhsheasmhacht i dtaca le rialáil agus dearadh na dtáirgí rochtana is gá chun tacaíocht a thabhairt d'fhíormhargad</w:t>
      </w:r>
      <w:r>
        <w:rPr>
          <w:noProof/>
        </w:rPr>
        <w:t>h il-Eorpach teileachumarsáide, rud a bhaineann go sonrach le húsáideoirí deiridh gnó. Lena chois sin, tá bearta molta chun iomaíocht a spreagadh i leith infheistiú i nascacht sonraí an</w:t>
      </w:r>
      <w:r>
        <w:rPr>
          <w:noProof/>
        </w:rPr>
        <w:noBreakHyphen/>
        <w:t>ardtoillte ar fud an Aontais agus chun a áirithiú go ndéanfar imscarad</w:t>
      </w:r>
      <w:r>
        <w:rPr>
          <w:noProof/>
        </w:rPr>
        <w:t>h líonraí sna limistéir gheografacha uile sa chaoi go gcealófar na deighiltí digiteacha. Lena chois sin, tabharfar aghaidh ar na dálaí a bhaineann le cothrom iomaíochta idir oibreoirí teileachumarsáide traidisiúnta agus seirbhísí cumarsáide atá bunaithe ar</w:t>
      </w:r>
      <w:r>
        <w:rPr>
          <w:noProof/>
        </w:rPr>
        <w:t xml:space="preserve"> an idirlíon agus tá roinnt forálacha nua beartaithe chun úsáideoirí deiridh a chosaint ar rioscaí áirithe a bhaineann go sonrach leis an gcumarsáid ach rialacha maidir le cosaint tomhaltóirí atá iomaíoch, nó forluí sna rialacha sin, a chur ar ceal.</w:t>
      </w:r>
    </w:p>
    <w:p w:rsidR="00526EFA" w:rsidRDefault="005C4D05">
      <w:pPr>
        <w:pStyle w:val="Text1"/>
        <w:pBdr>
          <w:top w:val="single" w:sz="4" w:space="1" w:color="auto"/>
          <w:left w:val="single" w:sz="4" w:space="0" w:color="auto"/>
          <w:bottom w:val="single" w:sz="4" w:space="1" w:color="auto"/>
          <w:right w:val="single" w:sz="4" w:space="1" w:color="auto"/>
        </w:pBdr>
        <w:rPr>
          <w:noProof/>
        </w:rPr>
      </w:pPr>
      <w:r>
        <w:rPr>
          <w:noProof/>
        </w:rPr>
        <w:t>Is str</w:t>
      </w:r>
      <w:r>
        <w:rPr>
          <w:noProof/>
        </w:rPr>
        <w:t>uchtúr institiúideach leordhóthanacha éifeachtúla a áiritheofar go mbeidh toradh dearfach leanúnach ar an gcreat rialála teileachumarsáide ina iomláine agus teastaíonn sin ón margadh aonair digiteach. Neartófar agus comhchuibheofar inniúlachtaí na n</w:t>
      </w:r>
      <w:r>
        <w:rPr>
          <w:noProof/>
        </w:rPr>
        <w:noBreakHyphen/>
        <w:t>údarás</w:t>
      </w:r>
      <w:r>
        <w:rPr>
          <w:noProof/>
        </w:rPr>
        <w:t xml:space="preserve"> náisiúnta rialála (na nÚNRanna) agus is ar leibhéal an Aontais a dhéanfar cúraimí áirithe feasta, rud a fhágfaidh gur fearr a dhéanfar iad. Léiríodh sa straitéis maidir le margadh aonair digiteach gur gá, mar gheall ar an hathruithe atá ag teacht ar an ma</w:t>
      </w:r>
      <w:r>
        <w:rPr>
          <w:noProof/>
        </w:rPr>
        <w:t>rgadh agus ar an timpeallacht theicneolaíoch, an creat institiúideach a neartú agus gur gá freisin ról Chomhlacht na Rialálaithe Eorpacha um Chumarsáid Leictreonach (BEREC) a mhéadú.</w:t>
      </w:r>
    </w:p>
    <w:p w:rsidR="00526EFA" w:rsidRDefault="005C4D05">
      <w:pPr>
        <w:pStyle w:val="Text1"/>
        <w:pBdr>
          <w:top w:val="single" w:sz="4" w:space="1" w:color="auto"/>
          <w:left w:val="single" w:sz="4" w:space="0" w:color="auto"/>
          <w:bottom w:val="single" w:sz="4" w:space="1" w:color="auto"/>
          <w:right w:val="single" w:sz="4" w:space="1" w:color="auto"/>
        </w:pBdr>
        <w:rPr>
          <w:noProof/>
        </w:rPr>
      </w:pPr>
      <w:r>
        <w:rPr>
          <w:noProof/>
        </w:rPr>
        <w:t>Beidh ról neartaithe tábhachtach ag BEREC maidir lena áirithiú go gcuirfe</w:t>
      </w:r>
      <w:r>
        <w:rPr>
          <w:noProof/>
        </w:rPr>
        <w:t>ar an pacáiste reachtaíochta atá beartaithe chun feidhme maille le roinnt cúraimí breise, lena n</w:t>
      </w:r>
      <w:r>
        <w:rPr>
          <w:noProof/>
        </w:rPr>
        <w:noBreakHyphen/>
        <w:t>áirítear roinnt "cúraimí réamhnormatacha" agus cumhachtaí ceangailteacha, treoirlínte agus tuarascálacha a chur ar fáil agus cláir a choimeád.</w:t>
      </w:r>
    </w:p>
    <w:p w:rsidR="00526EFA" w:rsidRDefault="005C4D05">
      <w:pPr>
        <w:pStyle w:val="Text1"/>
        <w:pBdr>
          <w:top w:val="single" w:sz="4" w:space="1" w:color="auto"/>
          <w:left w:val="single" w:sz="4" w:space="0" w:color="auto"/>
          <w:bottom w:val="single" w:sz="4" w:space="1" w:color="auto"/>
          <w:right w:val="single" w:sz="4" w:space="1" w:color="auto"/>
        </w:pBdr>
        <w:rPr>
          <w:noProof/>
        </w:rPr>
      </w:pPr>
      <w:r>
        <w:rPr>
          <w:noProof/>
        </w:rPr>
        <w:t>Ós rud é go mbei</w:t>
      </w:r>
      <w:r>
        <w:rPr>
          <w:noProof/>
        </w:rPr>
        <w:t>dh BEREC ina ghníomhaireacht chríochnaithe, bheadh sé ina phríomhghníomhaí i leith margadh inmheánach teileachumarsáide a bhaint amach san Aontas. Is mó an t</w:t>
      </w:r>
      <w:r>
        <w:rPr>
          <w:noProof/>
        </w:rPr>
        <w:noBreakHyphen/>
        <w:t>éileamh a bheidh ar BEREC cur le múnlú treoshuíomhanna teicniúla agus treoshuíomhanna beartais. Dá</w:t>
      </w:r>
      <w:r>
        <w:rPr>
          <w:noProof/>
        </w:rPr>
        <w:t xml:space="preserve"> bharr sin, neartóidh na bearta atá molta struchtúr BEREC, lena n</w:t>
      </w:r>
      <w:r>
        <w:rPr>
          <w:noProof/>
        </w:rPr>
        <w:noBreakHyphen/>
        <w:t>áirítear pearsantacht dhlíthiúil a thabhairt dó agus cobhsaíocht bhreise a chur ar fáil le haghaidh a bhainistithe straitéisigh. Lena chois sin, thabharfaí an chumhacht de BEREC faisnéis a i</w:t>
      </w:r>
      <w:r>
        <w:rPr>
          <w:noProof/>
        </w:rPr>
        <w:t>arraidh go díreach ar na hoibreoirí.</w:t>
      </w:r>
    </w:p>
    <w:p w:rsidR="00526EFA" w:rsidRDefault="005C4D05">
      <w:pPr>
        <w:pStyle w:val="ManualHeading3"/>
        <w:rPr>
          <w:bCs/>
          <w:noProof/>
        </w:rPr>
      </w:pPr>
      <w:r>
        <w:rPr>
          <w:noProof/>
        </w:rPr>
        <w:t>1.4.2.</w:t>
      </w:r>
      <w:r>
        <w:rPr>
          <w:noProof/>
        </w:rPr>
        <w:tab/>
        <w:t>Cuspóirí sonracha agus na gníomhaíochtaí ABM/ABB lena mbaineann</w:t>
      </w:r>
    </w:p>
    <w:p w:rsidR="00526EFA" w:rsidRDefault="005C4D05">
      <w:pPr>
        <w:pStyle w:val="Text1"/>
        <w:keepNext/>
        <w:keepLines/>
        <w:pBdr>
          <w:top w:val="single" w:sz="4" w:space="0" w:color="auto"/>
          <w:left w:val="single" w:sz="4" w:space="1" w:color="auto"/>
          <w:bottom w:val="single" w:sz="4" w:space="0" w:color="auto"/>
          <w:right w:val="single" w:sz="4" w:space="1" w:color="auto"/>
        </w:pBdr>
        <w:ind w:left="851"/>
        <w:rPr>
          <w:noProof/>
          <w:u w:val="single"/>
        </w:rPr>
      </w:pPr>
      <w:r>
        <w:rPr>
          <w:noProof/>
          <w:u w:val="single"/>
        </w:rPr>
        <w:t xml:space="preserve">Cuspóir sonrach. </w:t>
      </w:r>
    </w:p>
    <w:p w:rsidR="00526EFA" w:rsidRDefault="005C4D05">
      <w:pPr>
        <w:pStyle w:val="Text1"/>
        <w:keepLines/>
        <w:pBdr>
          <w:top w:val="single" w:sz="4" w:space="0" w:color="auto"/>
          <w:left w:val="single" w:sz="4" w:space="1" w:color="auto"/>
          <w:bottom w:val="single" w:sz="4" w:space="0" w:color="auto"/>
          <w:right w:val="single" w:sz="4" w:space="1" w:color="auto"/>
        </w:pBdr>
        <w:ind w:left="851"/>
        <w:rPr>
          <w:noProof/>
        </w:rPr>
      </w:pPr>
      <w:r>
        <w:rPr>
          <w:noProof/>
        </w:rPr>
        <w:t>Tá BEREC ag cur leis an bhfeabhsú ar fheidhmiú an mhargaidh inmheánaigh, rud atá le leas na dtomhaltóirí agus na tionsclaíochta. A</w:t>
      </w:r>
      <w:r>
        <w:rPr>
          <w:noProof/>
        </w:rPr>
        <w:t>n beart atá molta, a chuireann an ghníomhaireacht nua i gcomhréir i bhfad níos fearr leis an gCur Chuige Coiteann</w:t>
      </w:r>
      <w:r>
        <w:rPr>
          <w:rStyle w:val="FootnoteReference"/>
          <w:noProof/>
        </w:rPr>
        <w:footnoteReference w:id="50"/>
      </w:r>
      <w:r>
        <w:rPr>
          <w:noProof/>
        </w:rPr>
        <w:t>, neartaíonn sé struchtúr BEREC agus déanann sé cloch choirnéil de BEREC i gcóras údaráis rialála an Aontais. Lena chois sin, tugann sé ról co</w:t>
      </w:r>
      <w:r>
        <w:rPr>
          <w:noProof/>
        </w:rPr>
        <w:t>mhordúcháin do BEREC i réimsí inniúlachta uile na n</w:t>
      </w:r>
      <w:r>
        <w:rPr>
          <w:noProof/>
        </w:rPr>
        <w:noBreakHyphen/>
        <w:t>údarás náisiúnta rialála, rud a neartaíonn a ról sa mhargadh inmheánach agus a áirithíonn gur éifeachtach an cur chun feidhme agus an obair leantach a dhéanfar maidir lena spriocanna insoláthraithe.</w:t>
      </w:r>
    </w:p>
    <w:p w:rsidR="00526EFA" w:rsidRDefault="005C4D05">
      <w:pPr>
        <w:pStyle w:val="Text1"/>
        <w:pBdr>
          <w:top w:val="single" w:sz="4" w:space="0" w:color="auto"/>
          <w:left w:val="single" w:sz="4" w:space="1" w:color="auto"/>
          <w:bottom w:val="single" w:sz="4" w:space="1" w:color="auto"/>
          <w:right w:val="single" w:sz="4" w:space="1" w:color="auto"/>
        </w:pBdr>
        <w:rPr>
          <w:noProof/>
          <w:u w:val="single"/>
        </w:rPr>
      </w:pPr>
      <w:r>
        <w:rPr>
          <w:noProof/>
          <w:u w:val="single"/>
        </w:rPr>
        <w:t>Gníom</w:t>
      </w:r>
      <w:r>
        <w:rPr>
          <w:noProof/>
          <w:u w:val="single"/>
        </w:rPr>
        <w:t>haíochtaí ABM/ABB lena mbaineann</w:t>
      </w:r>
    </w:p>
    <w:p w:rsidR="00526EFA" w:rsidRDefault="005C4D05">
      <w:pPr>
        <w:pStyle w:val="Text1"/>
        <w:pBdr>
          <w:top w:val="single" w:sz="4" w:space="0" w:color="auto"/>
          <w:left w:val="single" w:sz="4" w:space="1" w:color="auto"/>
          <w:bottom w:val="single" w:sz="4" w:space="1" w:color="auto"/>
          <w:right w:val="single" w:sz="4" w:space="1" w:color="auto"/>
        </w:pBdr>
        <w:rPr>
          <w:noProof/>
        </w:rPr>
      </w:pPr>
      <w:r>
        <w:rPr>
          <w:noProof/>
        </w:rPr>
        <w:t>Creat rialála do chumarsáid leictreonach</w:t>
      </w:r>
    </w:p>
    <w:p w:rsidR="00526EFA" w:rsidRDefault="00526EFA">
      <w:pPr>
        <w:pStyle w:val="Text1"/>
        <w:pBdr>
          <w:top w:val="single" w:sz="4" w:space="0" w:color="auto"/>
          <w:left w:val="single" w:sz="4" w:space="1" w:color="auto"/>
          <w:bottom w:val="single" w:sz="4" w:space="1" w:color="auto"/>
          <w:right w:val="single" w:sz="4" w:space="1" w:color="auto"/>
        </w:pBdr>
        <w:rPr>
          <w:noProof/>
        </w:rPr>
      </w:pPr>
    </w:p>
    <w:p w:rsidR="00526EFA" w:rsidRDefault="005C4D05">
      <w:pPr>
        <w:pStyle w:val="ManualHeading3"/>
        <w:rPr>
          <w:bCs/>
          <w:noProof/>
        </w:rPr>
      </w:pPr>
      <w:r>
        <w:rPr>
          <w:noProof/>
        </w:rPr>
        <w:t>1.4.3.</w:t>
      </w:r>
      <w:r>
        <w:rPr>
          <w:noProof/>
        </w:rPr>
        <w:tab/>
        <w:t>An toradh agus an tionchar a bhfuil súil leo</w:t>
      </w:r>
    </w:p>
    <w:p w:rsidR="00526EFA" w:rsidRDefault="005C4D05">
      <w:pPr>
        <w:pStyle w:val="Text1"/>
        <w:rPr>
          <w:i/>
          <w:noProof/>
          <w:sz w:val="20"/>
        </w:rPr>
      </w:pPr>
      <w:r>
        <w:rPr>
          <w:i/>
          <w:noProof/>
          <w:sz w:val="20"/>
        </w:rPr>
        <w:t>Sonraigh an tionchar a bheadh ag an togra/tionscnamh ar na tairbhithe/grúpaí ar a bhfuil sé dírithe.</w:t>
      </w:r>
    </w:p>
    <w:p w:rsidR="00526EFA" w:rsidRDefault="005C4D05">
      <w:pPr>
        <w:pBdr>
          <w:top w:val="single" w:sz="4" w:space="1" w:color="auto"/>
          <w:left w:val="single" w:sz="4" w:space="0" w:color="auto"/>
          <w:bottom w:val="single" w:sz="4" w:space="1" w:color="auto"/>
          <w:right w:val="single" w:sz="4" w:space="4" w:color="auto"/>
        </w:pBdr>
        <w:autoSpaceDE w:val="0"/>
        <w:autoSpaceDN w:val="0"/>
        <w:adjustRightInd w:val="0"/>
        <w:spacing w:after="240"/>
        <w:ind w:left="851"/>
        <w:rPr>
          <w:noProof/>
        </w:rPr>
      </w:pPr>
      <w:r>
        <w:rPr>
          <w:noProof/>
        </w:rPr>
        <w:t xml:space="preserve">Táthar ag súil go mbeidh an </w:t>
      </w:r>
      <w:r>
        <w:rPr>
          <w:noProof/>
        </w:rPr>
        <w:t>tionchar seo a leanas ag an tionscnamh:</w:t>
      </w:r>
    </w:p>
    <w:p w:rsidR="00526EFA" w:rsidRDefault="005C4D05">
      <w:pPr>
        <w:pBdr>
          <w:top w:val="single" w:sz="4" w:space="1" w:color="auto"/>
          <w:left w:val="single" w:sz="4" w:space="0" w:color="auto"/>
          <w:bottom w:val="single" w:sz="4" w:space="1" w:color="auto"/>
          <w:right w:val="single" w:sz="4" w:space="4" w:color="auto"/>
        </w:pBdr>
        <w:autoSpaceDE w:val="0"/>
        <w:autoSpaceDN w:val="0"/>
        <w:adjustRightInd w:val="0"/>
        <w:spacing w:after="240"/>
        <w:ind w:left="851"/>
        <w:rPr>
          <w:noProof/>
        </w:rPr>
      </w:pPr>
      <w:r>
        <w:rPr>
          <w:noProof/>
        </w:rPr>
        <w:t>Is é an aidhm atá ag an togra gníomhaireacht chríochnaithe a dhéanamh de BEREC ( i gcomhréir leis an gCur Chuige Coitianta) ar féidir léi cur leis an bhfeabhsú ar fheidhmiú an mhargaidh aonair do líonraí cumarsáide l</w:t>
      </w:r>
      <w:r>
        <w:rPr>
          <w:noProof/>
        </w:rPr>
        <w:t>eictreonaí, lena n</w:t>
      </w:r>
      <w:r>
        <w:rPr>
          <w:noProof/>
        </w:rPr>
        <w:noBreakHyphen/>
        <w:t>áirítear seirbhísí cumarsáide leictreonaí trasteorann a fhorbairt agus na cúraimí a shannfar dó a dhéanamh go héifeachtach.</w:t>
      </w:r>
    </w:p>
    <w:p w:rsidR="00526EFA" w:rsidRDefault="005C4D05">
      <w:pPr>
        <w:pBdr>
          <w:top w:val="single" w:sz="4" w:space="1" w:color="auto"/>
          <w:left w:val="single" w:sz="4" w:space="0" w:color="auto"/>
          <w:bottom w:val="single" w:sz="4" w:space="1" w:color="auto"/>
          <w:right w:val="single" w:sz="4" w:space="4" w:color="auto"/>
        </w:pBdr>
        <w:autoSpaceDE w:val="0"/>
        <w:autoSpaceDN w:val="0"/>
        <w:adjustRightInd w:val="0"/>
        <w:spacing w:after="240"/>
        <w:ind w:left="851"/>
        <w:rPr>
          <w:noProof/>
        </w:rPr>
      </w:pPr>
      <w:r>
        <w:rPr>
          <w:noProof/>
        </w:rPr>
        <w:t>Tuilleadh sonraí sa Mheasúnú Tionchair.</w:t>
      </w:r>
    </w:p>
    <w:p w:rsidR="00526EFA" w:rsidRDefault="005C4D05">
      <w:pPr>
        <w:pStyle w:val="ManualHeading3"/>
        <w:rPr>
          <w:bCs/>
          <w:noProof/>
        </w:rPr>
      </w:pPr>
      <w:r>
        <w:rPr>
          <w:noProof/>
        </w:rPr>
        <w:t>1.4.4.</w:t>
      </w:r>
      <w:r>
        <w:rPr>
          <w:noProof/>
        </w:rPr>
        <w:tab/>
        <w:t>Táscairí lena léireofar toradh agus tionchar</w:t>
      </w:r>
    </w:p>
    <w:p w:rsidR="00526EFA" w:rsidRDefault="005C4D05">
      <w:pPr>
        <w:pStyle w:val="Text1"/>
        <w:rPr>
          <w:i/>
          <w:noProof/>
          <w:sz w:val="20"/>
        </w:rPr>
      </w:pPr>
      <w:r>
        <w:rPr>
          <w:i/>
          <w:noProof/>
          <w:sz w:val="20"/>
        </w:rPr>
        <w:t xml:space="preserve">Sonraigh na táscairí </w:t>
      </w:r>
      <w:r>
        <w:rPr>
          <w:i/>
          <w:noProof/>
          <w:sz w:val="20"/>
        </w:rPr>
        <w:t>lena léireofar an faireachán ar chur chun feidhme an togra/tionscnaimh.</w:t>
      </w:r>
    </w:p>
    <w:p w:rsidR="00526EFA" w:rsidRDefault="00526EFA">
      <w:pPr>
        <w:autoSpaceDE w:val="0"/>
        <w:autoSpaceDN w:val="0"/>
        <w:adjustRightInd w:val="0"/>
        <w:spacing w:before="0" w:after="0"/>
        <w:jc w:val="left"/>
        <w:rPr>
          <w:i/>
          <w:noProof/>
          <w:sz w:val="20"/>
        </w:rPr>
      </w:pPr>
    </w:p>
    <w:p w:rsidR="00526EFA" w:rsidRDefault="005C4D05">
      <w:pPr>
        <w:pStyle w:val="Text1"/>
        <w:pBdr>
          <w:top w:val="single" w:sz="4" w:space="1" w:color="auto"/>
          <w:left w:val="single" w:sz="4" w:space="4" w:color="auto"/>
          <w:bottom w:val="single" w:sz="4" w:space="1" w:color="auto"/>
          <w:right w:val="single" w:sz="4" w:space="4" w:color="auto"/>
        </w:pBdr>
        <w:spacing w:before="0"/>
        <w:ind w:left="851"/>
        <w:rPr>
          <w:noProof/>
        </w:rPr>
      </w:pPr>
      <w:r>
        <w:rPr>
          <w:noProof/>
        </w:rPr>
        <w:t>Is iad seo a leanas na táscairí monatóireachta de réir cuspóra:</w:t>
      </w:r>
    </w:p>
    <w:p w:rsidR="00526EFA" w:rsidRDefault="005C4D05">
      <w:pPr>
        <w:pStyle w:val="Text1"/>
        <w:pBdr>
          <w:top w:val="single" w:sz="4" w:space="1" w:color="auto"/>
          <w:left w:val="single" w:sz="4" w:space="4" w:color="auto"/>
          <w:bottom w:val="single" w:sz="4" w:space="1" w:color="auto"/>
          <w:right w:val="single" w:sz="4" w:space="4" w:color="auto"/>
        </w:pBdr>
        <w:spacing w:before="0"/>
        <w:ind w:left="851"/>
        <w:rPr>
          <w:noProof/>
        </w:rPr>
      </w:pPr>
      <w:r>
        <w:rPr>
          <w:noProof/>
        </w:rPr>
        <w:t>- an méid uaireanta a thabharfaidh BEREC cúnamh don Choimisiún, arna iarraidh sin nó ar a thionscnamh féin</w:t>
      </w:r>
    </w:p>
    <w:p w:rsidR="00526EFA" w:rsidRDefault="005C4D05">
      <w:pPr>
        <w:pStyle w:val="Text1"/>
        <w:pBdr>
          <w:top w:val="single" w:sz="4" w:space="1" w:color="auto"/>
          <w:left w:val="single" w:sz="4" w:space="4" w:color="auto"/>
          <w:bottom w:val="single" w:sz="4" w:space="1" w:color="auto"/>
          <w:right w:val="single" w:sz="4" w:space="4" w:color="auto"/>
        </w:pBdr>
        <w:spacing w:before="0"/>
        <w:ind w:left="851"/>
        <w:rPr>
          <w:noProof/>
        </w:rPr>
      </w:pPr>
      <w:r>
        <w:rPr>
          <w:noProof/>
        </w:rPr>
        <w:t xml:space="preserve">- an méid </w:t>
      </w:r>
      <w:r>
        <w:rPr>
          <w:noProof/>
        </w:rPr>
        <w:t>uaireanta a thabharfaidh BEREC cúnamh do na hÚNRanna, arna iarraidh sin nó ar a thionscnamh féin</w:t>
      </w:r>
    </w:p>
    <w:p w:rsidR="00526EFA" w:rsidRDefault="005C4D05">
      <w:pPr>
        <w:pStyle w:val="Text1"/>
        <w:pBdr>
          <w:top w:val="single" w:sz="4" w:space="1" w:color="auto"/>
          <w:left w:val="single" w:sz="4" w:space="4" w:color="auto"/>
          <w:bottom w:val="single" w:sz="4" w:space="1" w:color="auto"/>
          <w:right w:val="single" w:sz="4" w:space="4" w:color="auto"/>
        </w:pBdr>
        <w:spacing w:before="0"/>
        <w:ind w:left="851"/>
        <w:rPr>
          <w:noProof/>
        </w:rPr>
      </w:pPr>
      <w:r>
        <w:rPr>
          <w:noProof/>
        </w:rPr>
        <w:t xml:space="preserve">- an méid cinntí ceangailteacha ábhartha a ghlacfaidh BEREC sna réimsí ábhartha </w:t>
      </w:r>
    </w:p>
    <w:p w:rsidR="00526EFA" w:rsidRDefault="005C4D05">
      <w:pPr>
        <w:pStyle w:val="Text1"/>
        <w:pBdr>
          <w:top w:val="single" w:sz="4" w:space="1" w:color="auto"/>
          <w:left w:val="single" w:sz="4" w:space="4" w:color="auto"/>
          <w:bottom w:val="single" w:sz="4" w:space="1" w:color="auto"/>
          <w:right w:val="single" w:sz="4" w:space="4" w:color="auto"/>
        </w:pBdr>
        <w:spacing w:before="0"/>
        <w:ind w:left="851"/>
        <w:rPr>
          <w:noProof/>
        </w:rPr>
      </w:pPr>
      <w:r>
        <w:rPr>
          <w:noProof/>
        </w:rPr>
        <w:t xml:space="preserve">- an méid tuairimí a eiseoidh BEREC, go háirithe cinntí i leith nósanna </w:t>
      </w:r>
      <w:r>
        <w:rPr>
          <w:noProof/>
        </w:rPr>
        <w:t>imeachta an margaidh inmheánaigh le haghaidh rialáil margaidh agus athbhreithniú piaraí ar radaispeictream</w:t>
      </w:r>
    </w:p>
    <w:p w:rsidR="00526EFA" w:rsidRDefault="005C4D05">
      <w:pPr>
        <w:pStyle w:val="Text1"/>
        <w:pBdr>
          <w:top w:val="single" w:sz="4" w:space="1" w:color="auto"/>
          <w:left w:val="single" w:sz="4" w:space="4" w:color="auto"/>
          <w:bottom w:val="single" w:sz="4" w:space="1" w:color="auto"/>
          <w:right w:val="single" w:sz="4" w:space="4" w:color="auto"/>
        </w:pBdr>
        <w:spacing w:before="0"/>
        <w:ind w:left="851"/>
        <w:rPr>
          <w:noProof/>
        </w:rPr>
      </w:pPr>
      <w:r>
        <w:rPr>
          <w:noProof/>
        </w:rPr>
        <w:t>- an méid cinntí treoirlínte a eiseoidh BEREC sna réimsí ábhartha</w:t>
      </w:r>
    </w:p>
    <w:p w:rsidR="00526EFA" w:rsidRDefault="005C4D05">
      <w:pPr>
        <w:pStyle w:val="Text1"/>
        <w:pBdr>
          <w:top w:val="single" w:sz="4" w:space="1" w:color="auto"/>
          <w:left w:val="single" w:sz="4" w:space="4" w:color="auto"/>
          <w:bottom w:val="single" w:sz="4" w:space="1" w:color="auto"/>
          <w:right w:val="single" w:sz="4" w:space="4" w:color="auto"/>
        </w:pBdr>
        <w:spacing w:before="0"/>
        <w:ind w:left="851"/>
        <w:rPr>
          <w:noProof/>
        </w:rPr>
      </w:pPr>
      <w:r>
        <w:rPr>
          <w:noProof/>
        </w:rPr>
        <w:t>- an méid tuarascálacha a eiseoidh BEREC sna réimsí ábhartha</w:t>
      </w:r>
    </w:p>
    <w:p w:rsidR="00526EFA" w:rsidRDefault="005C4D05">
      <w:pPr>
        <w:pStyle w:val="Text1"/>
        <w:pBdr>
          <w:top w:val="single" w:sz="4" w:space="1" w:color="auto"/>
          <w:left w:val="single" w:sz="4" w:space="4" w:color="auto"/>
          <w:bottom w:val="single" w:sz="4" w:space="1" w:color="auto"/>
          <w:right w:val="single" w:sz="4" w:space="4" w:color="auto"/>
        </w:pBdr>
        <w:spacing w:before="0"/>
        <w:ind w:left="851"/>
        <w:rPr>
          <w:noProof/>
        </w:rPr>
      </w:pPr>
      <w:r>
        <w:rPr>
          <w:noProof/>
        </w:rPr>
        <w:t xml:space="preserve">- an méid moltaí agus </w:t>
      </w:r>
      <w:r>
        <w:rPr>
          <w:noProof/>
        </w:rPr>
        <w:t>dea-chleachtas a eiseoidh BEREC le haghaidh ÚNRanna</w:t>
      </w:r>
    </w:p>
    <w:p w:rsidR="00526EFA" w:rsidRDefault="005C4D05">
      <w:pPr>
        <w:pStyle w:val="Text1"/>
        <w:pBdr>
          <w:top w:val="single" w:sz="4" w:space="1" w:color="auto"/>
          <w:left w:val="single" w:sz="4" w:space="4" w:color="auto"/>
          <w:bottom w:val="single" w:sz="4" w:space="1" w:color="auto"/>
          <w:right w:val="single" w:sz="4" w:space="4" w:color="auto"/>
        </w:pBdr>
        <w:spacing w:before="0"/>
        <w:ind w:left="851"/>
        <w:rPr>
          <w:noProof/>
        </w:rPr>
      </w:pPr>
      <w:r>
        <w:rPr>
          <w:noProof/>
        </w:rPr>
        <w:t>- an méid gníomhaíochtaí le páirtithe agus geallsealbhóirí</w:t>
      </w:r>
    </w:p>
    <w:p w:rsidR="00526EFA" w:rsidRDefault="005C4D05">
      <w:pPr>
        <w:pStyle w:val="ManualHeading2"/>
        <w:rPr>
          <w:bCs/>
          <w:noProof/>
        </w:rPr>
      </w:pPr>
      <w:r>
        <w:rPr>
          <w:noProof/>
        </w:rPr>
        <w:t>1.5.</w:t>
      </w:r>
      <w:r>
        <w:rPr>
          <w:noProof/>
        </w:rPr>
        <w:tab/>
        <w:t>Foras an togra/tionscnaimh</w:t>
      </w:r>
    </w:p>
    <w:p w:rsidR="00526EFA" w:rsidRDefault="005C4D05">
      <w:pPr>
        <w:pStyle w:val="ManualHeading3"/>
        <w:rPr>
          <w:bCs/>
          <w:noProof/>
        </w:rPr>
      </w:pPr>
      <w:r>
        <w:rPr>
          <w:noProof/>
        </w:rPr>
        <w:t>1.5.1.</w:t>
      </w:r>
      <w:r>
        <w:rPr>
          <w:noProof/>
        </w:rPr>
        <w:tab/>
        <w:t>Na ceanglais is gá a chomhlíonadh sa ghearrthéarma nó san fhadtéarma</w:t>
      </w:r>
    </w:p>
    <w:p w:rsidR="00526EFA" w:rsidRDefault="005C4D05">
      <w:pPr>
        <w:pBdr>
          <w:top w:val="single" w:sz="4" w:space="1" w:color="auto"/>
          <w:left w:val="single" w:sz="4" w:space="4" w:color="auto"/>
          <w:bottom w:val="single" w:sz="4" w:space="1" w:color="auto"/>
          <w:right w:val="single" w:sz="4" w:space="4" w:color="auto"/>
        </w:pBdr>
        <w:autoSpaceDE w:val="0"/>
        <w:autoSpaceDN w:val="0"/>
        <w:adjustRightInd w:val="0"/>
        <w:ind w:left="851"/>
        <w:rPr>
          <w:noProof/>
        </w:rPr>
      </w:pPr>
      <w:r>
        <w:rPr>
          <w:noProof/>
        </w:rPr>
        <w:t>Gan dochar do shainiúlachtaí na hearn</w:t>
      </w:r>
      <w:r>
        <w:rPr>
          <w:noProof/>
        </w:rPr>
        <w:t>ála, is gá BEREC a chur i gcomhréir leis an gCur Chuige Coitianta. Chun an cuspóir foriomlán a bhaint amach go bhforbrófar cleachtas rialála comhsheasmhach ar fud an Aontais, is gá go gcumhdóidh a chuid cúraimí na réimsí uile a imríonn tionchar ar an marga</w:t>
      </w:r>
      <w:r>
        <w:rPr>
          <w:noProof/>
        </w:rPr>
        <w:t>dh inmheánach, amhail gnéithe de na nósanna imeachta maidir le sannadh radaispeictrim a mhúnlaíonn an margadh nó údarú ginearálta; agus go mbeidh a chuid cúraimí ag teacht leis na cúraimí atá sannta d'údaráis náisiúnta rialála ós rud é go mbeidh na cúraimí</w:t>
      </w:r>
      <w:r>
        <w:rPr>
          <w:noProof/>
        </w:rPr>
        <w:t xml:space="preserve"> sin comhchuibhithe as seo amach. Is gá a acmhainn riaracháin a mhéadú chun go mbeidh sí inchurtha leis an uaillmhian atá laistiar de na cúraimí nua a bheidh sannta dó.</w:t>
      </w:r>
    </w:p>
    <w:p w:rsidR="00526EFA" w:rsidRDefault="005C4D05">
      <w:pPr>
        <w:pStyle w:val="ManualHeading3"/>
        <w:rPr>
          <w:bCs/>
          <w:noProof/>
        </w:rPr>
      </w:pPr>
      <w:r>
        <w:rPr>
          <w:noProof/>
        </w:rPr>
        <w:t>1.5.2.</w:t>
      </w:r>
      <w:r>
        <w:rPr>
          <w:noProof/>
        </w:rPr>
        <w:tab/>
        <w:t>Luach breise a bhaineann le rannpháirteachas an AE:</w:t>
      </w:r>
    </w:p>
    <w:p w:rsidR="00526EFA" w:rsidRDefault="005C4D05">
      <w:pPr>
        <w:pStyle w:val="Text1"/>
        <w:pBdr>
          <w:top w:val="single" w:sz="4" w:space="1" w:color="auto"/>
          <w:left w:val="single" w:sz="4" w:space="0" w:color="auto"/>
          <w:bottom w:val="single" w:sz="4" w:space="1" w:color="auto"/>
          <w:right w:val="single" w:sz="4" w:space="1" w:color="auto"/>
        </w:pBdr>
        <w:rPr>
          <w:noProof/>
        </w:rPr>
      </w:pPr>
      <w:r>
        <w:rPr>
          <w:noProof/>
        </w:rPr>
        <w:t>Cuireann BEREC le forbairt c</w:t>
      </w:r>
      <w:r>
        <w:rPr>
          <w:noProof/>
        </w:rPr>
        <w:t xml:space="preserve">leachtais rialála chomhsheasmhaigh agus cur chun feidhme seasmhach an chreata rialála do chumarsáid leictreonach. Dá ainneoin sin, is minic a bhíonn struchtúr institiúideach BEREC, mar atá faoi láthair, dírithe ar sholúbthacht níos mó nó ar an leibhéal is </w:t>
      </w:r>
      <w:r>
        <w:rPr>
          <w:noProof/>
        </w:rPr>
        <w:t>ísle in ionad bheith dírithe ar chur chuige comhchuibhithe i leith an mhargaidh inmheánaigh. Cuirfidh na bearta nua leis an méid uaireanta a éileofar ar BEREC cur le múnlú treoshuíomhanna teicniúla agus treoshuíomhanna beartais. Beidh ról ríthábhachtach ag</w:t>
      </w:r>
      <w:r>
        <w:rPr>
          <w:noProof/>
        </w:rPr>
        <w:t xml:space="preserve"> BEREC, sna blianta amach romhainn, i gcur chun cinn an mhargaidh aonair dhigitigh; dá bhrí sin, tá an beart atá molta dírithe ar struchtúr BEREC a neartú, ar a inniúlacht agus a acmhainn rialála a mhéadú agus ar leanúnachas a ghníomhaíochta a áirithiú. Os</w:t>
      </w:r>
      <w:r>
        <w:rPr>
          <w:noProof/>
        </w:rPr>
        <w:t xml:space="preserve"> a choinne sin, beidh obair BEREC bunaithe fós ar shaineolas ionadaithe na nÚNRanna i meithleacha éagsúla agus leanfaidh Cinn Ú</w:t>
      </w:r>
      <w:r>
        <w:rPr>
          <w:noProof/>
          <w:szCs w:val="24"/>
          <w:rtl/>
        </w:rPr>
        <w:t>‏</w:t>
      </w:r>
      <w:r>
        <w:rPr>
          <w:noProof/>
        </w:rPr>
        <w:t>NRanna de chinntí a dhéanamh ar leibhéal an Bhoird. Is gá BEREC a bheith fréamhaithe mar sin sna hÚNRanna ós rud é gur cinntí te</w:t>
      </w:r>
      <w:r>
        <w:rPr>
          <w:noProof/>
        </w:rPr>
        <w:t>icniúla a bheidh air a dhéanamh agus mar gheall ar na srianta acmhainne atá ar ghníomhaireachtaí faoi láthair.</w:t>
      </w:r>
    </w:p>
    <w:p w:rsidR="00526EFA" w:rsidRDefault="005C4D05">
      <w:pPr>
        <w:pStyle w:val="ManualHeading3"/>
        <w:rPr>
          <w:bCs/>
          <w:noProof/>
        </w:rPr>
      </w:pPr>
      <w:r>
        <w:rPr>
          <w:noProof/>
        </w:rPr>
        <w:t>1.5.3.</w:t>
      </w:r>
      <w:r>
        <w:rPr>
          <w:noProof/>
        </w:rPr>
        <w:tab/>
        <w:t>Ceachtanna a foghlaimíodh ó thaithí eile den sórt sin san am a chuaigh thart</w:t>
      </w:r>
    </w:p>
    <w:p w:rsidR="00526EFA" w:rsidRDefault="005C4D05">
      <w:pPr>
        <w:pBdr>
          <w:top w:val="single" w:sz="4" w:space="1" w:color="auto"/>
          <w:left w:val="single" w:sz="4" w:space="0" w:color="auto"/>
          <w:bottom w:val="single" w:sz="4" w:space="1" w:color="auto"/>
          <w:right w:val="single" w:sz="4" w:space="4" w:color="auto"/>
        </w:pBdr>
        <w:ind w:left="851"/>
        <w:rPr>
          <w:noProof/>
        </w:rPr>
      </w:pPr>
      <w:r>
        <w:rPr>
          <w:noProof/>
        </w:rPr>
        <w:t>An struchtúr atá ann faoi láthair, tá sé déanta de chomhlacht</w:t>
      </w:r>
      <w:r>
        <w:rPr>
          <w:noProof/>
        </w:rPr>
        <w:t xml:space="preserve"> ag a bhfuil pearsantacht dhlíthiúil (Oifig BEREC), arb í an ghníomhaireacht is lú san Aontas í, agus de Bhord Rialálaithe BEREC, nach bhfuil pearsantacht dhlíthiúil aige ach a ghlacann tuairimí laistigh dá réimse féin. Tá na teorainneacha atá ag an struch</w:t>
      </w:r>
      <w:r>
        <w:rPr>
          <w:noProof/>
        </w:rPr>
        <w:t>túr sin léirithe faoi seo.</w:t>
      </w:r>
    </w:p>
    <w:p w:rsidR="00526EFA" w:rsidRDefault="005C4D05">
      <w:pPr>
        <w:pBdr>
          <w:top w:val="single" w:sz="4" w:space="1" w:color="auto"/>
          <w:left w:val="single" w:sz="4" w:space="0" w:color="auto"/>
          <w:bottom w:val="single" w:sz="4" w:space="1" w:color="auto"/>
          <w:right w:val="single" w:sz="4" w:space="4" w:color="auto"/>
        </w:pBdr>
        <w:ind w:left="851"/>
        <w:rPr>
          <w:noProof/>
        </w:rPr>
      </w:pPr>
      <w:r>
        <w:rPr>
          <w:noProof/>
        </w:rPr>
        <w:t>Níor choisc an struchtúr sin débhrí i gcur chun feidhme rialacha an Aontais agus níor éirigh leis an t</w:t>
      </w:r>
      <w:r>
        <w:rPr>
          <w:noProof/>
        </w:rPr>
        <w:noBreakHyphen/>
        <w:t xml:space="preserve">ualach riaracháin a bhíonn ar aon ghníomhaireacht, dá laghad nó dá mhéad í, a shárú. A mhalairt atá fíor, an struchtúr sin ba </w:t>
      </w:r>
      <w:r>
        <w:rPr>
          <w:noProof/>
        </w:rPr>
        <w:t>chúis le hualach riaracháin nach raibh aon ghá leis (e.g. dúbailt ar na próisis chlárúcháin agus tuairiscithe do BEREC agus d'Oifig BEREC, bronnadh chumhachtaí an údaráis ceapacháin ar Leas-Chathaoirleach an Choiste Bainistíochta gan an deis a bheith ann t</w:t>
      </w:r>
      <w:r>
        <w:rPr>
          <w:noProof/>
        </w:rPr>
        <w:t>armligean don Bhainisteoir Riaracháin ná fo</w:t>
      </w:r>
      <w:r>
        <w:rPr>
          <w:noProof/>
        </w:rPr>
        <w:noBreakHyphen/>
        <w:t>tharmligean sa bhreis air sin a dhéanamh. Ar a bharr sin, níl an acmhainn rialála is gá chun a phríomhchuspóirí a bhaint amach forbartha go hiomlán aige.</w:t>
      </w:r>
    </w:p>
    <w:p w:rsidR="00526EFA" w:rsidRDefault="005C4D05">
      <w:pPr>
        <w:pBdr>
          <w:top w:val="single" w:sz="4" w:space="1" w:color="auto"/>
          <w:left w:val="single" w:sz="4" w:space="0" w:color="auto"/>
          <w:bottom w:val="single" w:sz="4" w:space="1" w:color="auto"/>
          <w:right w:val="single" w:sz="4" w:space="4" w:color="auto"/>
        </w:pBdr>
        <w:ind w:left="851"/>
        <w:rPr>
          <w:noProof/>
        </w:rPr>
      </w:pPr>
      <w:r>
        <w:rPr>
          <w:noProof/>
        </w:rPr>
        <w:t>Dá dtabharfaí BEREC agus Oifig BEREC le chéile, chealófaí,</w:t>
      </w:r>
      <w:r>
        <w:rPr>
          <w:noProof/>
        </w:rPr>
        <w:t xml:space="preserve"> ar thaobh amháin, na cásanna neamhéifeachtúlachta thuasluaite agus, ar an taobh eile, thabharfaí acmhainní breise don ghníomhaireacht nua a chuideodh léi feidhmiú mar ba cheart.</w:t>
      </w:r>
    </w:p>
    <w:p w:rsidR="00526EFA" w:rsidRDefault="005C4D05">
      <w:pPr>
        <w:pStyle w:val="ManualHeading3"/>
        <w:rPr>
          <w:bCs/>
          <w:noProof/>
        </w:rPr>
      </w:pPr>
      <w:r>
        <w:rPr>
          <w:noProof/>
        </w:rPr>
        <w:t>1.5.4.</w:t>
      </w:r>
      <w:r>
        <w:rPr>
          <w:noProof/>
        </w:rPr>
        <w:tab/>
        <w:t>Comhoiriúnacht d'ionstraimí iomchuí eile agus sineirgíocht a d'fhéadfa</w:t>
      </w:r>
      <w:r>
        <w:rPr>
          <w:noProof/>
        </w:rPr>
        <w:t>dh a bheith ann:</w:t>
      </w:r>
    </w:p>
    <w:p w:rsidR="00526EFA" w:rsidRDefault="005C4D05">
      <w:pPr>
        <w:pBdr>
          <w:top w:val="single" w:sz="4" w:space="1" w:color="auto"/>
          <w:left w:val="single" w:sz="4" w:space="4" w:color="auto"/>
          <w:bottom w:val="single" w:sz="4" w:space="1" w:color="auto"/>
          <w:right w:val="single" w:sz="4" w:space="4" w:color="auto"/>
        </w:pBdr>
        <w:autoSpaceDE w:val="0"/>
        <w:autoSpaceDN w:val="0"/>
        <w:adjustRightInd w:val="0"/>
        <w:ind w:left="851"/>
        <w:rPr>
          <w:noProof/>
        </w:rPr>
      </w:pPr>
      <w:r>
        <w:rPr>
          <w:noProof/>
        </w:rPr>
        <w:t>Tá an togra ina chuid den athbhreithniú ar an gcreat rialála do chumarsáid leictreonach, a chuireann le ceann de cholún na straitéise maidir le margadh aonair digiteach a seoladh i mBealtaine 2015 agus tá sé comhsheasmhach: tá sé ar cheann</w:t>
      </w:r>
      <w:r>
        <w:rPr>
          <w:noProof/>
        </w:rPr>
        <w:t xml:space="preserve"> de phríomhchodanna pacáiste atá ina chloch choirnéil ag an reachtaíocht de chuid an Aontais atá dírithe ar an iomaíocht, an margadh inmheánach, leas na n</w:t>
      </w:r>
      <w:r>
        <w:rPr>
          <w:noProof/>
        </w:rPr>
        <w:noBreakHyphen/>
        <w:t>úsáideoirí deiridh a chur chun cinn chomh maith le rochtain níos leithne ar nascacht sonraí an</w:t>
      </w:r>
      <w:r>
        <w:rPr>
          <w:noProof/>
        </w:rPr>
        <w:noBreakHyphen/>
        <w:t>ardtoi</w:t>
      </w:r>
      <w:r>
        <w:rPr>
          <w:noProof/>
        </w:rPr>
        <w:t>llte agus glacadh forleathan na nascachta sin a chur chun cinn. Tá sé comhsheasmhach le beartais an Aontais maidir le hiomaíocht agus leis an margadh aonair.</w:t>
      </w:r>
    </w:p>
    <w:p w:rsidR="00526EFA" w:rsidRDefault="005C4D05">
      <w:pPr>
        <w:pBdr>
          <w:top w:val="single" w:sz="4" w:space="1" w:color="auto"/>
          <w:left w:val="single" w:sz="4" w:space="4" w:color="auto"/>
          <w:bottom w:val="single" w:sz="4" w:space="1" w:color="auto"/>
          <w:right w:val="single" w:sz="4" w:space="4" w:color="auto"/>
        </w:pBdr>
        <w:autoSpaceDE w:val="0"/>
        <w:autoSpaceDN w:val="0"/>
        <w:adjustRightInd w:val="0"/>
        <w:ind w:left="851"/>
        <w:rPr>
          <w:noProof/>
        </w:rPr>
      </w:pPr>
      <w:r>
        <w:rPr>
          <w:noProof/>
        </w:rPr>
        <w:t>I gcomhthéacs an togra, anailísíodh gnóthachain éifeachtúlachta agus sinéirgíochtaí le gníomhairea</w:t>
      </w:r>
      <w:r>
        <w:rPr>
          <w:noProof/>
        </w:rPr>
        <w:t>chtaí eile de chuid an Aontais atá ann faoi láthair, ach cuireadh i leataobh iad (tuilleadh sonraí sa Mheasúnú Tionchair).</w:t>
      </w:r>
    </w:p>
    <w:p w:rsidR="00526EFA" w:rsidRDefault="00526EFA">
      <w:pPr>
        <w:spacing w:before="0" w:after="200" w:line="276" w:lineRule="auto"/>
        <w:jc w:val="left"/>
        <w:rPr>
          <w:rFonts w:eastAsiaTheme="majorEastAsia"/>
          <w:b/>
          <w:iCs/>
          <w:noProof/>
          <w:szCs w:val="24"/>
        </w:rPr>
      </w:pPr>
    </w:p>
    <w:p w:rsidR="00526EFA" w:rsidRDefault="005C4D05">
      <w:pPr>
        <w:pStyle w:val="ManualHeading2"/>
        <w:rPr>
          <w:bCs/>
          <w:noProof/>
        </w:rPr>
      </w:pPr>
      <w:r>
        <w:rPr>
          <w:noProof/>
        </w:rPr>
        <w:t>1.6.</w:t>
      </w:r>
      <w:r>
        <w:rPr>
          <w:noProof/>
        </w:rPr>
        <w:tab/>
        <w:t>Fad agus tionchar airgeadais</w:t>
      </w:r>
    </w:p>
    <w:p w:rsidR="00526EFA" w:rsidRDefault="005C4D05">
      <w:pPr>
        <w:pStyle w:val="Text1"/>
        <w:rPr>
          <w:noProof/>
        </w:rPr>
      </w:pPr>
      <w:r>
        <w:rPr>
          <w:noProof/>
        </w:rPr>
        <w:sym w:font="Wingdings" w:char="F0A8"/>
      </w:r>
      <w:r>
        <w:rPr>
          <w:b/>
          <w:i/>
          <w:noProof/>
        </w:rPr>
        <w:t xml:space="preserve"> </w:t>
      </w:r>
      <w:r>
        <w:rPr>
          <w:noProof/>
        </w:rPr>
        <w:t>Togra/tionscnamh a bheidh i bhfeidhm ar feadh tréimhse theoranta</w:t>
      </w:r>
    </w:p>
    <w:p w:rsidR="00526EFA" w:rsidRDefault="005C4D05">
      <w:pPr>
        <w:pStyle w:val="ListDash2"/>
        <w:rPr>
          <w:noProof/>
        </w:rPr>
      </w:pPr>
      <w:r>
        <w:rPr>
          <w:noProof/>
        </w:rPr>
        <w:sym w:font="Wingdings" w:char="F0A8"/>
      </w:r>
      <w:r>
        <w:rPr>
          <w:noProof/>
        </w:rPr>
        <w:tab/>
        <w:t>Togra/tionscnamh a bheidh i b</w:t>
      </w:r>
      <w:r>
        <w:rPr>
          <w:noProof/>
        </w:rPr>
        <w:t>hfeidhm ón [LL/MM]BBBB go dtí an [LL/MM]BBBB</w:t>
      </w:r>
    </w:p>
    <w:p w:rsidR="00526EFA" w:rsidRDefault="005C4D05">
      <w:pPr>
        <w:pStyle w:val="ListDash2"/>
        <w:rPr>
          <w:noProof/>
        </w:rPr>
      </w:pPr>
      <w:r>
        <w:rPr>
          <w:noProof/>
        </w:rPr>
        <w:sym w:font="Wingdings" w:char="F0A8"/>
      </w:r>
      <w:r>
        <w:rPr>
          <w:noProof/>
        </w:rPr>
        <w:tab/>
        <w:t>Tionchar airgeadais ó BBBB go BBBB</w:t>
      </w:r>
    </w:p>
    <w:p w:rsidR="00526EFA" w:rsidRDefault="005C4D05">
      <w:pPr>
        <w:pStyle w:val="Text1"/>
        <w:rPr>
          <w:noProof/>
        </w:rPr>
      </w:pPr>
      <w:r>
        <w:rPr>
          <w:noProof/>
        </w:rPr>
        <w:sym w:font="Wingdings" w:char="F0FE"/>
      </w:r>
      <w:r>
        <w:rPr>
          <w:b/>
          <w:i/>
          <w:noProof/>
        </w:rPr>
        <w:t xml:space="preserve"> </w:t>
      </w:r>
      <w:r>
        <w:rPr>
          <w:noProof/>
        </w:rPr>
        <w:t>Togra/tionscnamh a bheidh i bhfeidhm ar feadh tréimhse theoranta</w:t>
      </w:r>
    </w:p>
    <w:p w:rsidR="00526EFA" w:rsidRDefault="005C4D05">
      <w:pPr>
        <w:pStyle w:val="ListDash1"/>
        <w:rPr>
          <w:noProof/>
        </w:rPr>
      </w:pPr>
      <w:r>
        <w:rPr>
          <w:noProof/>
        </w:rPr>
        <w:t>Cuirfear chun feidhme é le linn na tréimhse tosaigh ó 2019 go 2022</w:t>
      </w:r>
      <w:r>
        <w:rPr>
          <w:rStyle w:val="FootnoteReference"/>
          <w:noProof/>
        </w:rPr>
        <w:footnoteReference w:id="51"/>
      </w:r>
    </w:p>
    <w:p w:rsidR="00526EFA" w:rsidRDefault="005C4D05">
      <w:pPr>
        <w:pStyle w:val="ListDash1"/>
        <w:rPr>
          <w:noProof/>
        </w:rPr>
      </w:pPr>
      <w:r>
        <w:rPr>
          <w:noProof/>
        </w:rPr>
        <w:t>Oibríocht ina dhiaidh sin ar luas cúrsá</w:t>
      </w:r>
      <w:r>
        <w:rPr>
          <w:noProof/>
        </w:rPr>
        <w:t>la.</w:t>
      </w:r>
    </w:p>
    <w:p w:rsidR="00526EFA" w:rsidRDefault="00526EFA">
      <w:pPr>
        <w:rPr>
          <w:noProof/>
        </w:rPr>
      </w:pPr>
    </w:p>
    <w:p w:rsidR="00526EFA" w:rsidRDefault="005C4D05">
      <w:pPr>
        <w:pStyle w:val="ManualHeading2"/>
        <w:rPr>
          <w:bCs/>
          <w:noProof/>
        </w:rPr>
      </w:pPr>
      <w:r>
        <w:rPr>
          <w:noProof/>
        </w:rPr>
        <w:t>1.7.</w:t>
      </w:r>
      <w:r>
        <w:rPr>
          <w:noProof/>
        </w:rPr>
        <w:tab/>
        <w:t>Modhanna bainistíochta atá beartaithe</w:t>
      </w:r>
      <w:r>
        <w:rPr>
          <w:rStyle w:val="FootnoteReference"/>
          <w:noProof/>
        </w:rPr>
        <w:footnoteReference w:id="52"/>
      </w:r>
    </w:p>
    <w:p w:rsidR="00526EFA" w:rsidRDefault="005C4D05">
      <w:pPr>
        <w:pStyle w:val="Text1"/>
        <w:ind w:left="1570"/>
        <w:rPr>
          <w:noProof/>
        </w:rPr>
      </w:pPr>
      <w:r>
        <w:rPr>
          <w:noProof/>
          <w:szCs w:val="24"/>
        </w:rPr>
        <w:sym w:font="Wingdings" w:char="F0A8"/>
      </w:r>
      <w:r>
        <w:rPr>
          <w:b/>
          <w:i/>
          <w:noProof/>
        </w:rPr>
        <w:t xml:space="preserve"> </w:t>
      </w:r>
      <w:r>
        <w:rPr>
          <w:b/>
          <w:noProof/>
        </w:rPr>
        <w:t>Bainistíocht dhíreach</w:t>
      </w:r>
      <w:r>
        <w:rPr>
          <w:noProof/>
        </w:rPr>
        <w:t xml:space="preserve"> a dhéanfaidh an Coimisiún </w:t>
      </w:r>
    </w:p>
    <w:p w:rsidR="00526EFA" w:rsidRDefault="005C4D05">
      <w:pPr>
        <w:pStyle w:val="ListDash2"/>
        <w:tabs>
          <w:tab w:val="clear" w:pos="1134"/>
          <w:tab w:val="num" w:pos="1854"/>
        </w:tabs>
        <w:ind w:left="1854"/>
        <w:rPr>
          <w:noProof/>
        </w:rPr>
      </w:pPr>
      <w:r>
        <w:rPr>
          <w:noProof/>
        </w:rPr>
        <w:sym w:font="Wingdings" w:char="F0A8"/>
      </w:r>
      <w:r>
        <w:rPr>
          <w:noProof/>
        </w:rPr>
        <w:tab/>
        <w:t>ina ranna, lena n</w:t>
      </w:r>
      <w:r>
        <w:rPr>
          <w:noProof/>
        </w:rPr>
        <w:noBreakHyphen/>
        <w:t xml:space="preserve">áirítear an chuid sin den fhoireann atá i dtoscaireachtaí an Aontais; </w:t>
      </w:r>
    </w:p>
    <w:p w:rsidR="00526EFA" w:rsidRDefault="005C4D05">
      <w:pPr>
        <w:pStyle w:val="ListDash2"/>
        <w:tabs>
          <w:tab w:val="clear" w:pos="1134"/>
          <w:tab w:val="num" w:pos="1854"/>
        </w:tabs>
        <w:ind w:left="1854"/>
        <w:rPr>
          <w:noProof/>
        </w:rPr>
      </w:pPr>
      <w:r>
        <w:rPr>
          <w:noProof/>
        </w:rPr>
        <w:sym w:font="Wingdings" w:char="F0A8"/>
      </w:r>
      <w:r>
        <w:rPr>
          <w:noProof/>
        </w:rPr>
        <w:tab/>
        <w:t xml:space="preserve">trí na gníomhaireachtaí feidhmiúcháin; </w:t>
      </w:r>
    </w:p>
    <w:p w:rsidR="00526EFA" w:rsidRDefault="005C4D05">
      <w:pPr>
        <w:pStyle w:val="Text1"/>
        <w:ind w:left="1570"/>
        <w:rPr>
          <w:noProof/>
        </w:rPr>
      </w:pPr>
      <w:r>
        <w:rPr>
          <w:noProof/>
          <w:szCs w:val="24"/>
        </w:rPr>
        <w:sym w:font="Wingdings" w:char="F0A8"/>
      </w:r>
      <w:r>
        <w:rPr>
          <w:b/>
          <w:i/>
          <w:noProof/>
        </w:rPr>
        <w:t xml:space="preserve"> </w:t>
      </w:r>
      <w:r>
        <w:rPr>
          <w:b/>
          <w:noProof/>
        </w:rPr>
        <w:t xml:space="preserve">Bainistíocht atá </w:t>
      </w:r>
      <w:r>
        <w:rPr>
          <w:b/>
          <w:noProof/>
        </w:rPr>
        <w:t>comhroinnte</w:t>
      </w:r>
      <w:r>
        <w:rPr>
          <w:noProof/>
        </w:rPr>
        <w:t xml:space="preserve"> leis na Ballstáit </w:t>
      </w:r>
    </w:p>
    <w:p w:rsidR="00526EFA" w:rsidRDefault="005C4D05">
      <w:pPr>
        <w:pStyle w:val="Text1"/>
        <w:ind w:left="1570"/>
        <w:rPr>
          <w:noProof/>
        </w:rPr>
      </w:pPr>
      <w:r>
        <w:rPr>
          <w:noProof/>
          <w:szCs w:val="24"/>
        </w:rPr>
        <w:sym w:font="Wingdings" w:char="F0FE"/>
      </w:r>
      <w:r>
        <w:rPr>
          <w:noProof/>
        </w:rPr>
        <w:t xml:space="preserve"> </w:t>
      </w:r>
      <w:r>
        <w:rPr>
          <w:b/>
          <w:noProof/>
        </w:rPr>
        <w:t>Bainistíocht indíreach</w:t>
      </w:r>
      <w:r>
        <w:rPr>
          <w:noProof/>
        </w:rPr>
        <w:t xml:space="preserve"> trí chúraimí a bhaineann le cur chun feidhme an bhuiséid a shannadh dóibh seo a leanas:</w:t>
      </w:r>
    </w:p>
    <w:p w:rsidR="00526EFA" w:rsidRDefault="005C4D05">
      <w:pPr>
        <w:pStyle w:val="ListDash2"/>
        <w:tabs>
          <w:tab w:val="clear" w:pos="1134"/>
          <w:tab w:val="num" w:pos="1854"/>
        </w:tabs>
        <w:ind w:left="1854"/>
        <w:rPr>
          <w:noProof/>
        </w:rPr>
      </w:pPr>
      <w:r>
        <w:rPr>
          <w:noProof/>
        </w:rPr>
        <w:sym w:font="Wingdings" w:char="F0A8"/>
      </w:r>
      <w:r>
        <w:rPr>
          <w:noProof/>
        </w:rPr>
        <w:t xml:space="preserve"> tríú tíortha nó na comhlachtaí a d'ainmnigh siad;</w:t>
      </w:r>
    </w:p>
    <w:p w:rsidR="00526EFA" w:rsidRDefault="005C4D05">
      <w:pPr>
        <w:pStyle w:val="ListDash2"/>
        <w:tabs>
          <w:tab w:val="clear" w:pos="1134"/>
          <w:tab w:val="num" w:pos="1854"/>
        </w:tabs>
        <w:ind w:left="1854"/>
        <w:rPr>
          <w:noProof/>
        </w:rPr>
      </w:pPr>
      <w:r>
        <w:rPr>
          <w:noProof/>
        </w:rPr>
        <w:sym w:font="Wingdings" w:char="F0A8"/>
      </w:r>
      <w:r>
        <w:rPr>
          <w:noProof/>
        </w:rPr>
        <w:t xml:space="preserve"> eagraíochtaí idirnáisiúnta agus a ngníomhaireachtaí (tabha</w:t>
      </w:r>
      <w:r>
        <w:rPr>
          <w:noProof/>
        </w:rPr>
        <w:t>ir sonraí);</w:t>
      </w:r>
    </w:p>
    <w:p w:rsidR="00526EFA" w:rsidRDefault="005C4D05">
      <w:pPr>
        <w:pStyle w:val="ListDash2"/>
        <w:tabs>
          <w:tab w:val="clear" w:pos="1134"/>
          <w:tab w:val="num" w:pos="1854"/>
        </w:tabs>
        <w:ind w:left="1854"/>
        <w:rPr>
          <w:noProof/>
        </w:rPr>
      </w:pPr>
      <w:r>
        <w:rPr>
          <w:noProof/>
        </w:rPr>
        <w:sym w:font="Wingdings" w:char="F0A8"/>
      </w:r>
      <w:r>
        <w:rPr>
          <w:noProof/>
        </w:rPr>
        <w:t xml:space="preserve"> BEI agus an Ciste Eorpach Infheistíochta;</w:t>
      </w:r>
    </w:p>
    <w:p w:rsidR="00526EFA" w:rsidRDefault="005C4D05">
      <w:pPr>
        <w:pStyle w:val="ListDash2"/>
        <w:tabs>
          <w:tab w:val="clear" w:pos="1134"/>
          <w:tab w:val="num" w:pos="1854"/>
        </w:tabs>
        <w:ind w:left="1854"/>
        <w:rPr>
          <w:noProof/>
        </w:rPr>
      </w:pPr>
      <w:r>
        <w:rPr>
          <w:noProof/>
        </w:rPr>
        <w:sym w:font="Wingdings" w:char="F0FE"/>
      </w:r>
      <w:r>
        <w:rPr>
          <w:noProof/>
        </w:rPr>
        <w:t xml:space="preserve"> comhlachtaí dá dtagraítear in Airteagal 208 agus Airteagal 209 den Rialachán Airgeadais;</w:t>
      </w:r>
    </w:p>
    <w:p w:rsidR="00526EFA" w:rsidRDefault="005C4D05">
      <w:pPr>
        <w:pStyle w:val="ListDash2"/>
        <w:tabs>
          <w:tab w:val="clear" w:pos="1134"/>
          <w:tab w:val="num" w:pos="1854"/>
        </w:tabs>
        <w:ind w:left="1854"/>
        <w:rPr>
          <w:noProof/>
        </w:rPr>
      </w:pPr>
      <w:r>
        <w:rPr>
          <w:noProof/>
        </w:rPr>
        <w:sym w:font="Wingdings" w:char="F0A8"/>
      </w:r>
      <w:r>
        <w:rPr>
          <w:noProof/>
        </w:rPr>
        <w:t xml:space="preserve"> comhlachtaí dlí poiblí;</w:t>
      </w:r>
    </w:p>
    <w:p w:rsidR="00526EFA" w:rsidRDefault="005C4D05">
      <w:pPr>
        <w:pStyle w:val="ListDash2"/>
        <w:tabs>
          <w:tab w:val="clear" w:pos="1134"/>
          <w:tab w:val="num" w:pos="1854"/>
        </w:tabs>
        <w:ind w:left="1854"/>
        <w:rPr>
          <w:noProof/>
        </w:rPr>
      </w:pPr>
      <w:r>
        <w:rPr>
          <w:noProof/>
        </w:rPr>
        <w:sym w:font="Wingdings" w:char="F0A8"/>
      </w:r>
      <w:r>
        <w:rPr>
          <w:noProof/>
        </w:rPr>
        <w:t xml:space="preserve"> comhlachtaí atá faoi réir an dlí phríobháidigh agus a bhfuil misean seirbhíse poi</w:t>
      </w:r>
      <w:r>
        <w:rPr>
          <w:noProof/>
        </w:rPr>
        <w:t>blí acu sa mhéid go gcuireann siad ráthaíochtaí leordhóthanacha airgeadais ar fáil;</w:t>
      </w:r>
    </w:p>
    <w:p w:rsidR="00526EFA" w:rsidRDefault="005C4D05">
      <w:pPr>
        <w:pStyle w:val="ListDash2"/>
        <w:tabs>
          <w:tab w:val="clear" w:pos="1134"/>
          <w:tab w:val="num" w:pos="1854"/>
        </w:tabs>
        <w:ind w:left="1854"/>
        <w:rPr>
          <w:noProof/>
        </w:rPr>
      </w:pPr>
      <w:r>
        <w:rPr>
          <w:noProof/>
        </w:rPr>
        <w:sym w:font="Wingdings" w:char="F0A8"/>
      </w:r>
      <w:r>
        <w:rPr>
          <w:noProof/>
        </w:rPr>
        <w:t xml:space="preserve"> comhlachtaí atá faoi réir dhlí príobháideach Ballstáit, a gcuirtear de chúram orthu comhpháirtíocht phríobháideach phoiblí a chur chun feidhme, agus a sholáthraíonn rátha</w:t>
      </w:r>
      <w:r>
        <w:rPr>
          <w:noProof/>
        </w:rPr>
        <w:t>íochtaí leordhóthanacha airgeadais;</w:t>
      </w:r>
    </w:p>
    <w:p w:rsidR="00526EFA" w:rsidRDefault="005C4D05">
      <w:pPr>
        <w:pStyle w:val="ListDash2"/>
        <w:tabs>
          <w:tab w:val="clear" w:pos="1134"/>
          <w:tab w:val="num" w:pos="1854"/>
        </w:tabs>
        <w:ind w:left="1854"/>
        <w:rPr>
          <w:noProof/>
        </w:rPr>
      </w:pPr>
      <w:r>
        <w:rPr>
          <w:noProof/>
        </w:rPr>
        <w:sym w:font="Wingdings" w:char="F0A8"/>
      </w:r>
      <w:r>
        <w:rPr>
          <w:noProof/>
        </w:rPr>
        <w:t xml:space="preserve"> daoine a gcuirtear de chúram orthu bearta sonracha a chur chun feidhme in CBES de bhun Theideal V CAE, ar daoine iad a aithnítear sa bhunghníomh ábhartha.</w:t>
      </w:r>
    </w:p>
    <w:p w:rsidR="00526EFA" w:rsidRDefault="005C4D05">
      <w:pPr>
        <w:ind w:left="720"/>
        <w:rPr>
          <w:noProof/>
        </w:rPr>
      </w:pPr>
      <w:r>
        <w:rPr>
          <w:noProof/>
        </w:rPr>
        <w:t xml:space="preserve">Nótaí </w:t>
      </w:r>
    </w:p>
    <w:p w:rsidR="00526EFA" w:rsidRDefault="00526EFA">
      <w:pPr>
        <w:rPr>
          <w:noProof/>
        </w:rPr>
      </w:pPr>
    </w:p>
    <w:p w:rsidR="00526EFA" w:rsidRDefault="00526EFA">
      <w:pPr>
        <w:pBdr>
          <w:top w:val="single" w:sz="4" w:space="1" w:color="auto"/>
          <w:left w:val="single" w:sz="4" w:space="4" w:color="auto"/>
          <w:bottom w:val="single" w:sz="4" w:space="1" w:color="auto"/>
          <w:right w:val="single" w:sz="4" w:space="4" w:color="auto"/>
        </w:pBdr>
        <w:rPr>
          <w:noProof/>
          <w:color w:val="0000FF"/>
        </w:rPr>
      </w:pPr>
    </w:p>
    <w:p w:rsidR="00526EFA" w:rsidRDefault="005C4D05">
      <w:pPr>
        <w:pStyle w:val="ManualHeading1"/>
        <w:ind w:left="0" w:firstLine="0"/>
        <w:rPr>
          <w:bCs/>
          <w:noProof/>
        </w:rPr>
      </w:pPr>
      <w:r>
        <w:rPr>
          <w:noProof/>
        </w:rPr>
        <w:t>2.</w:t>
      </w:r>
      <w:r>
        <w:rPr>
          <w:noProof/>
        </w:rPr>
        <w:tab/>
        <w:t>BEARTA BAINISTÍOCHTA</w:t>
      </w:r>
    </w:p>
    <w:p w:rsidR="00526EFA" w:rsidRDefault="005C4D05">
      <w:pPr>
        <w:pStyle w:val="ManualHeading2"/>
        <w:rPr>
          <w:bCs/>
          <w:noProof/>
        </w:rPr>
      </w:pPr>
      <w:r>
        <w:rPr>
          <w:noProof/>
        </w:rPr>
        <w:t>2.1.</w:t>
      </w:r>
      <w:r>
        <w:rPr>
          <w:noProof/>
        </w:rPr>
        <w:tab/>
        <w:t>Rialacha faireacháin agus</w:t>
      </w:r>
      <w:r>
        <w:rPr>
          <w:noProof/>
        </w:rPr>
        <w:t xml:space="preserve"> tuairiscithe</w:t>
      </w:r>
    </w:p>
    <w:p w:rsidR="00526EFA" w:rsidRDefault="005C4D05">
      <w:pPr>
        <w:pStyle w:val="Text1"/>
        <w:rPr>
          <w:i/>
          <w:noProof/>
          <w:sz w:val="20"/>
        </w:rPr>
      </w:pPr>
      <w:r>
        <w:rPr>
          <w:i/>
          <w:noProof/>
          <w:sz w:val="20"/>
        </w:rPr>
        <w:t>Sonraigh minicíocht na mbeart agus na coinníollacha atá leo</w:t>
      </w:r>
    </w:p>
    <w:p w:rsidR="00526EFA" w:rsidRDefault="005C4D05">
      <w:pPr>
        <w:pStyle w:val="ManualHeading2"/>
        <w:keepNext w:val="0"/>
        <w:pBdr>
          <w:top w:val="single" w:sz="4" w:space="1" w:color="auto"/>
          <w:left w:val="single" w:sz="4" w:space="4" w:color="auto"/>
          <w:bottom w:val="single" w:sz="4" w:space="1" w:color="auto"/>
          <w:right w:val="single" w:sz="4" w:space="4" w:color="auto"/>
        </w:pBdr>
        <w:ind w:left="851" w:firstLine="0"/>
        <w:rPr>
          <w:noProof/>
        </w:rPr>
      </w:pPr>
      <w:r>
        <w:rPr>
          <w:noProof/>
        </w:rPr>
        <w:t>Córas Faireacháin</w:t>
      </w:r>
    </w:p>
    <w:p w:rsidR="00526EFA" w:rsidRDefault="005C4D05">
      <w:pPr>
        <w:pStyle w:val="ManualHeading2"/>
        <w:keepNext w:val="0"/>
        <w:pBdr>
          <w:top w:val="single" w:sz="4" w:space="1" w:color="auto"/>
          <w:left w:val="single" w:sz="4" w:space="4" w:color="auto"/>
          <w:bottom w:val="single" w:sz="4" w:space="1" w:color="auto"/>
          <w:right w:val="single" w:sz="4" w:space="4" w:color="auto"/>
        </w:pBdr>
        <w:ind w:left="851" w:firstLine="0"/>
        <w:rPr>
          <w:noProof/>
        </w:rPr>
      </w:pPr>
      <w:r>
        <w:rPr>
          <w:b w:val="0"/>
          <w:noProof/>
        </w:rPr>
        <w:t xml:space="preserve">I gcomhréir leis an Rialacháin lenar bunaíodh BEREC, Rialachán Uimh. 1211/2009, tá sé de dhualgas ar an gCoimisiún tuarascáil a fhoilsiú ar an taithí a fuarthas de </w:t>
      </w:r>
      <w:r>
        <w:rPr>
          <w:b w:val="0"/>
          <w:noProof/>
        </w:rPr>
        <w:t>bharr oibriú BEREC agus Oifig BEREC faoi cheann trí bliana ó fhíorthús na n</w:t>
      </w:r>
      <w:r>
        <w:rPr>
          <w:b w:val="0"/>
          <w:noProof/>
        </w:rPr>
        <w:noBreakHyphen/>
        <w:t>oibríochtaí.</w:t>
      </w:r>
    </w:p>
    <w:p w:rsidR="00526EFA" w:rsidRDefault="005C4D05">
      <w:pPr>
        <w:pStyle w:val="ManualHeading2"/>
        <w:keepNext w:val="0"/>
        <w:pBdr>
          <w:top w:val="single" w:sz="4" w:space="1" w:color="auto"/>
          <w:left w:val="single" w:sz="4" w:space="4" w:color="auto"/>
          <w:bottom w:val="single" w:sz="4" w:space="1" w:color="auto"/>
          <w:right w:val="single" w:sz="4" w:space="4" w:color="auto"/>
        </w:pBdr>
        <w:ind w:left="851" w:firstLine="0"/>
        <w:rPr>
          <w:noProof/>
        </w:rPr>
      </w:pPr>
      <w:r>
        <w:rPr>
          <w:b w:val="0"/>
          <w:noProof/>
        </w:rPr>
        <w:t>Bhí tuarascáil mheastóireachta 2012 dírithe, de réir chuspóirí foriomlána BEREC agus na ról agus na gcúraimí a bhí ar BEREC agus Oifig BEREC ina dhiaidh sin, ar a éife</w:t>
      </w:r>
      <w:r>
        <w:rPr>
          <w:b w:val="0"/>
          <w:noProof/>
        </w:rPr>
        <w:t>achtaí, ar bhonn na taithí go dtí sin, a d'fheidhmigh BEREC ina ról i leith cur le forbairt an mhargaidh inmheánaigh do chumarsáid leictreonach. Ba é ab aidhm don mheastóireacht sin measúnú a chur ar fáil ar chleachtais oibre, eagrú agus sainchúram BEREC a</w:t>
      </w:r>
      <w:r>
        <w:rPr>
          <w:b w:val="0"/>
          <w:noProof/>
        </w:rPr>
        <w:t>gus Oifig BEREC agus, má b'iomchuí, moltaí a dhéanamh i leith feabhas a chur orthu. Críochnaíodh agus foilsíodh an mheastóireacht i Nollaig 2012. Lena chois sin, tarchuireadh an staidéar meastóireachta chuig Parlaimint na hEorpa agus chuig an gComhairle; d</w:t>
      </w:r>
      <w:r>
        <w:rPr>
          <w:b w:val="0"/>
          <w:noProof/>
        </w:rPr>
        <w:t>'eisigh Parlaimint na hEorpa Rún ina raibh a bharúil faoin measúnú</w:t>
      </w:r>
      <w:r>
        <w:rPr>
          <w:rStyle w:val="FootnoteReference"/>
          <w:b w:val="0"/>
          <w:noProof/>
        </w:rPr>
        <w:footnoteReference w:id="53"/>
      </w:r>
      <w:r>
        <w:rPr>
          <w:b w:val="0"/>
          <w:noProof/>
        </w:rPr>
        <w:t>.</w:t>
      </w:r>
      <w:r>
        <w:rPr>
          <w:noProof/>
        </w:rPr>
        <w:t xml:space="preserve"> </w:t>
      </w:r>
    </w:p>
    <w:p w:rsidR="00526EFA" w:rsidRDefault="005C4D05">
      <w:pPr>
        <w:pStyle w:val="ManualHeading2"/>
        <w:keepNext w:val="0"/>
        <w:pBdr>
          <w:top w:val="single" w:sz="4" w:space="1" w:color="auto"/>
          <w:left w:val="single" w:sz="4" w:space="4" w:color="auto"/>
          <w:bottom w:val="single" w:sz="4" w:space="1" w:color="auto"/>
          <w:right w:val="single" w:sz="4" w:space="4" w:color="auto"/>
        </w:pBdr>
        <w:ind w:left="851" w:firstLine="0"/>
        <w:rPr>
          <w:b w:val="0"/>
          <w:noProof/>
        </w:rPr>
      </w:pPr>
      <w:r>
        <w:rPr>
          <w:b w:val="0"/>
          <w:noProof/>
        </w:rPr>
        <w:t>Ina dhiaidh sin arís, i gcomhthéacs an athbhreithnithe, choimisiúnaigh an Coimisiún trí staidéar ar "</w:t>
      </w:r>
      <w:r>
        <w:rPr>
          <w:b w:val="0"/>
          <w:i/>
          <w:noProof/>
        </w:rPr>
        <w:t xml:space="preserve">Shaincheisteanna substaintiúla le hathbhreithniú maidir le dul isteach sa mhargadh, </w:t>
      </w:r>
      <w:r>
        <w:rPr>
          <w:b w:val="0"/>
          <w:i/>
          <w:noProof/>
        </w:rPr>
        <w:t>bainistiú acmhainní ganna agus saincheisteanna ginearálta maidir le húsáideoirí deiridh</w:t>
      </w:r>
      <w:r>
        <w:rPr>
          <w:b w:val="0"/>
          <w:noProof/>
        </w:rPr>
        <w:t>"</w:t>
      </w:r>
      <w:r>
        <w:rPr>
          <w:rStyle w:val="FootnoteReference"/>
          <w:b w:val="0"/>
          <w:noProof/>
        </w:rPr>
        <w:footnoteReference w:id="54"/>
      </w:r>
      <w:r>
        <w:rPr>
          <w:b w:val="0"/>
          <w:noProof/>
        </w:rPr>
        <w:t>; ar "</w:t>
      </w:r>
      <w:r>
        <w:rPr>
          <w:b w:val="0"/>
          <w:i/>
          <w:noProof/>
        </w:rPr>
        <w:t>Chórais rialála, go háirithe rialáil ar rochtain, le haghaidh samhlacha infheistíochta líonraí san Eoraip</w:t>
      </w:r>
      <w:r>
        <w:rPr>
          <w:b w:val="0"/>
          <w:noProof/>
        </w:rPr>
        <w:t>"</w:t>
      </w:r>
      <w:r>
        <w:rPr>
          <w:rStyle w:val="FootnoteReference"/>
          <w:b w:val="0"/>
          <w:noProof/>
        </w:rPr>
        <w:footnoteReference w:id="55"/>
      </w:r>
      <w:r>
        <w:rPr>
          <w:b w:val="0"/>
          <w:noProof/>
        </w:rPr>
        <w:t xml:space="preserve"> agus ar an "</w:t>
      </w:r>
      <w:r>
        <w:rPr>
          <w:b w:val="0"/>
          <w:i/>
          <w:noProof/>
        </w:rPr>
        <w:t>Measúnú Tionchair le haghaidh an Athbhrei</w:t>
      </w:r>
      <w:r>
        <w:rPr>
          <w:b w:val="0"/>
          <w:i/>
          <w:noProof/>
        </w:rPr>
        <w:t>thnithe ar an gCreat do Chumarsáid Leictreonach</w:t>
      </w:r>
      <w:r>
        <w:rPr>
          <w:b w:val="0"/>
          <w:noProof/>
        </w:rPr>
        <w:t>"</w:t>
      </w:r>
      <w:r>
        <w:rPr>
          <w:rStyle w:val="FootnoteReference"/>
          <w:noProof/>
        </w:rPr>
        <w:footnoteReference w:id="56"/>
      </w:r>
      <w:r>
        <w:rPr>
          <w:b w:val="0"/>
          <w:noProof/>
        </w:rPr>
        <w:t>.</w:t>
      </w:r>
      <w:r>
        <w:rPr>
          <w:b w:val="0"/>
          <w:i/>
          <w:noProof/>
        </w:rPr>
        <w:t xml:space="preserve"> </w:t>
      </w:r>
      <w:r>
        <w:rPr>
          <w:b w:val="0"/>
          <w:noProof/>
        </w:rPr>
        <w:t>Sa dá staidéar dheireanacha thuasluaite bhí measúnú ar struchtúr BEREC agus ar an gcaoi a ndearna sé a phríomhchúraimí go dtí seo.</w:t>
      </w:r>
    </w:p>
    <w:p w:rsidR="00526EFA" w:rsidRDefault="005C4D05">
      <w:pPr>
        <w:pStyle w:val="ManualHeading2"/>
        <w:keepNext w:val="0"/>
        <w:pBdr>
          <w:top w:val="single" w:sz="4" w:space="1" w:color="auto"/>
          <w:left w:val="single" w:sz="4" w:space="4" w:color="auto"/>
          <w:bottom w:val="single" w:sz="4" w:space="1" w:color="auto"/>
          <w:right w:val="single" w:sz="4" w:space="4" w:color="auto"/>
        </w:pBdr>
        <w:ind w:left="851" w:firstLine="0"/>
        <w:rPr>
          <w:b w:val="0"/>
          <w:noProof/>
        </w:rPr>
      </w:pPr>
      <w:r>
        <w:rPr>
          <w:b w:val="0"/>
          <w:noProof/>
        </w:rPr>
        <w:t>Déanfar an ghníomhaireacht nua a athbhreithniú agus a mheas go tréimhsiúil</w:t>
      </w:r>
      <w:r>
        <w:rPr>
          <w:b w:val="0"/>
          <w:noProof/>
        </w:rPr>
        <w:t>. Faoi cheann cúig bliana ó theacht i bhfeidhm an Rialacháin, agus gach cúig bliana ina dhiaidh sin, déanfaidh an Coimisiún meastóireacht ar fheidhmiú BEREC i leith a chuspóirí, a shainordaithe, a chuid cúraimí agus na n</w:t>
      </w:r>
      <w:r>
        <w:rPr>
          <w:b w:val="0"/>
          <w:noProof/>
        </w:rPr>
        <w:noBreakHyphen/>
        <w:t>áiteanna ina bhfuil sé suite i gcom</w:t>
      </w:r>
      <w:r>
        <w:rPr>
          <w:b w:val="0"/>
          <w:noProof/>
        </w:rPr>
        <w:t>hréir le treoirlínte an Choimisiúin. Díreofar sa mheastóireacht go háirithe ar an ngá a d'fhéadfadh bheith le sainordú BEREC a mhodhnú, agus ar na himpleachtaí airgeadais a bheadh ag an modhnú sin. Ní mór don Choimisiún conclúidí na meastóireachta a thuair</w:t>
      </w:r>
      <w:r>
        <w:rPr>
          <w:b w:val="0"/>
          <w:noProof/>
        </w:rPr>
        <w:t>isciú do Pharlaimint na hEorpa, don Chomhairle agus don Bhord Bainistíochta. Ní mór conclúidí na meastóireachta a chur ar fáil don phobal.</w:t>
      </w:r>
    </w:p>
    <w:p w:rsidR="00526EFA" w:rsidRDefault="005C4D05">
      <w:pPr>
        <w:pStyle w:val="ManualHeading2"/>
        <w:rPr>
          <w:bCs/>
          <w:noProof/>
        </w:rPr>
      </w:pPr>
      <w:r>
        <w:rPr>
          <w:noProof/>
        </w:rPr>
        <w:t>2.2.</w:t>
      </w:r>
      <w:r>
        <w:rPr>
          <w:noProof/>
        </w:rPr>
        <w:tab/>
        <w:t>Córas bainistíochta agus rialaithe</w:t>
      </w:r>
    </w:p>
    <w:p w:rsidR="00526EFA" w:rsidRDefault="005C4D05">
      <w:pPr>
        <w:pStyle w:val="ManualHeading3"/>
        <w:rPr>
          <w:bCs/>
          <w:noProof/>
        </w:rPr>
      </w:pPr>
      <w:r>
        <w:rPr>
          <w:noProof/>
        </w:rPr>
        <w:t>2.2.1.</w:t>
      </w:r>
      <w:r>
        <w:rPr>
          <w:noProof/>
        </w:rPr>
        <w:tab/>
        <w:t>Na rioscaí a aithníodh.</w:t>
      </w:r>
    </w:p>
    <w:p w:rsidR="00526EFA" w:rsidRDefault="005C4D05">
      <w:pPr>
        <w:pBdr>
          <w:top w:val="single" w:sz="4" w:space="1" w:color="auto"/>
          <w:left w:val="single" w:sz="4" w:space="4" w:color="auto"/>
          <w:bottom w:val="single" w:sz="4" w:space="1" w:color="auto"/>
          <w:right w:val="single" w:sz="4" w:space="4" w:color="auto"/>
        </w:pBdr>
        <w:ind w:left="851"/>
        <w:rPr>
          <w:noProof/>
        </w:rPr>
      </w:pPr>
      <w:r>
        <w:rPr>
          <w:noProof/>
        </w:rPr>
        <w:t xml:space="preserve">Is beag riosca a aithníodh: tá gníomhaireacht </w:t>
      </w:r>
      <w:r>
        <w:rPr>
          <w:noProof/>
        </w:rPr>
        <w:t>de chuid an Aontais ann cheana ach déanfar í a athrú ó bhonn agus a chur i gcomhréir leis an gCur Chuige Coitianta agus tabharfar inniúlachtaí nua agus cúraimí nua di. Dá bhrí sin, neartódh an togra feidhm eagrúcháin na gníomhaireachta agus thiocfadh gnóth</w:t>
      </w:r>
      <w:r>
        <w:rPr>
          <w:noProof/>
        </w:rPr>
        <w:t>achain éifeachtúlachta as. Ní fíor</w:t>
      </w:r>
      <w:r>
        <w:rPr>
          <w:noProof/>
        </w:rPr>
        <w:noBreakHyphen/>
        <w:t>riosca atá sa mhéadú ar inniúlachtaí agus cúraimí feidhmiúcháin má fhoráiltear maidir le hacmhainní leordhóthanacha. Baineann na hinniúlachtaí móra comhairliúcháin le réimsí ina bhfuil saineolas ag údaráis náisiúnta rialá</w:t>
      </w:r>
      <w:r>
        <w:rPr>
          <w:noProof/>
        </w:rPr>
        <w:t>la agus is féidir le BEREC bheith ag tógáil ar bhonn an tsaineolais sin trína struchtúr comhair, ach baineann na hinniúlachtaí cinnteoireachta agus réamhnormatacha le réimsí ina bhfuil taithí chomhairliúcháin faighte cheana, cé go rachaidh scála na gcúraim</w:t>
      </w:r>
      <w:r>
        <w:rPr>
          <w:noProof/>
        </w:rPr>
        <w:t>í sin i méid.</w:t>
      </w:r>
    </w:p>
    <w:p w:rsidR="00526EFA" w:rsidRDefault="005C4D05">
      <w:pPr>
        <w:pBdr>
          <w:top w:val="single" w:sz="4" w:space="1" w:color="auto"/>
          <w:left w:val="single" w:sz="4" w:space="4" w:color="auto"/>
          <w:bottom w:val="single" w:sz="4" w:space="1" w:color="auto"/>
          <w:right w:val="single" w:sz="4" w:space="4" w:color="auto"/>
        </w:pBdr>
        <w:ind w:left="851"/>
        <w:rPr>
          <w:noProof/>
        </w:rPr>
      </w:pPr>
      <w:r>
        <w:rPr>
          <w:noProof/>
        </w:rPr>
        <w:t>Lena chois sin, déanfaidh an struchtúr, an rialachas agus an tsamhail feidhmíochta atá beartaithe don ghníomhaireacht, de réir an Chur Chuige Choitianta, a áirithiú go mbeidh rialú leordhóthanach ar bun chun a chinntiú go mbeidh BEREC ag obai</w:t>
      </w:r>
      <w:r>
        <w:rPr>
          <w:noProof/>
        </w:rPr>
        <w:t>r i dtreo a chuspóirí. Is cosúil gur beag riosca feidhmiúcháin agus airgeadais a bhaineann leis na hathruithe atá beartaithe.</w:t>
      </w:r>
    </w:p>
    <w:p w:rsidR="00526EFA" w:rsidRDefault="005C4D05">
      <w:pPr>
        <w:pStyle w:val="ManualHeading3"/>
        <w:rPr>
          <w:bCs/>
          <w:noProof/>
        </w:rPr>
      </w:pPr>
      <w:r>
        <w:rPr>
          <w:noProof/>
        </w:rPr>
        <w:t>2.2.2.</w:t>
      </w:r>
      <w:r>
        <w:rPr>
          <w:noProof/>
        </w:rPr>
        <w:tab/>
        <w:t>Modhanna rialaithe atá beartaithe</w:t>
      </w:r>
    </w:p>
    <w:p w:rsidR="00526EFA" w:rsidRDefault="005C4D05">
      <w:pPr>
        <w:pBdr>
          <w:top w:val="single" w:sz="4" w:space="1" w:color="auto"/>
          <w:left w:val="single" w:sz="4" w:space="4" w:color="auto"/>
          <w:bottom w:val="single" w:sz="4" w:space="1" w:color="auto"/>
          <w:right w:val="single" w:sz="4" w:space="4" w:color="auto"/>
        </w:pBdr>
        <w:ind w:left="851"/>
        <w:rPr>
          <w:noProof/>
        </w:rPr>
      </w:pPr>
      <w:r>
        <w:rPr>
          <w:noProof/>
        </w:rPr>
        <w:t>Féach pointe 2.1 agus pointe 2.2 thuas.</w:t>
      </w:r>
    </w:p>
    <w:p w:rsidR="00526EFA" w:rsidRDefault="005C4D05">
      <w:pPr>
        <w:pBdr>
          <w:top w:val="single" w:sz="4" w:space="1" w:color="auto"/>
          <w:left w:val="single" w:sz="4" w:space="4" w:color="auto"/>
          <w:bottom w:val="single" w:sz="4" w:space="1" w:color="auto"/>
          <w:right w:val="single" w:sz="4" w:space="4" w:color="auto"/>
        </w:pBdr>
        <w:ind w:left="851"/>
        <w:rPr>
          <w:noProof/>
        </w:rPr>
      </w:pPr>
      <w:r>
        <w:rPr>
          <w:noProof/>
        </w:rPr>
        <w:t>Cuirfear cuntais na gníomhaireachta faoi bhráid n</w:t>
      </w:r>
      <w:r>
        <w:rPr>
          <w:noProof/>
        </w:rPr>
        <w:t xml:space="preserve">a Cúirte Iniúchóirí lena bhformheas, agus beidh siad faoi réir an nós imeachta urscaoilte agus tá iniúchtaí beartaithe. </w:t>
      </w:r>
    </w:p>
    <w:p w:rsidR="00526EFA" w:rsidRDefault="005C4D05">
      <w:pPr>
        <w:pBdr>
          <w:top w:val="single" w:sz="4" w:space="1" w:color="auto"/>
          <w:left w:val="single" w:sz="4" w:space="4" w:color="auto"/>
          <w:bottom w:val="single" w:sz="4" w:space="1" w:color="auto"/>
          <w:right w:val="single" w:sz="4" w:space="4" w:color="auto"/>
        </w:pBdr>
        <w:ind w:left="851"/>
        <w:rPr>
          <w:noProof/>
        </w:rPr>
      </w:pPr>
      <w:r>
        <w:rPr>
          <w:noProof/>
        </w:rPr>
        <w:t>Lena chois sin, tá oibríochtaí na gníomhaireachta faoi réir fhaireacháin an Ombudsman i gcomhréir le forálacha Airteagal 228 den Chonra</w:t>
      </w:r>
      <w:r>
        <w:rPr>
          <w:noProof/>
        </w:rPr>
        <w:t>dh.</w:t>
      </w:r>
    </w:p>
    <w:p w:rsidR="00526EFA" w:rsidRDefault="005C4D05">
      <w:pPr>
        <w:pStyle w:val="ManualHeading2"/>
        <w:rPr>
          <w:bCs/>
          <w:noProof/>
        </w:rPr>
      </w:pPr>
      <w:r>
        <w:rPr>
          <w:noProof/>
        </w:rPr>
        <w:t>2.3.</w:t>
      </w:r>
      <w:r>
        <w:rPr>
          <w:noProof/>
        </w:rPr>
        <w:tab/>
        <w:t>Bearta chun calaois agus neamhrialtachtaí a chosc</w:t>
      </w:r>
    </w:p>
    <w:p w:rsidR="00526EFA" w:rsidRDefault="005C4D05">
      <w:pPr>
        <w:pStyle w:val="Text1"/>
        <w:rPr>
          <w:i/>
          <w:noProof/>
          <w:sz w:val="20"/>
        </w:rPr>
      </w:pPr>
      <w:r>
        <w:rPr>
          <w:i/>
          <w:noProof/>
          <w:sz w:val="20"/>
        </w:rPr>
        <w:t>Sonraigh bearta coisctheacha agus cosanta atá ann cheana nó atá beartaithe.</w:t>
      </w:r>
    </w:p>
    <w:p w:rsidR="00526EFA" w:rsidRDefault="005C4D05">
      <w:pPr>
        <w:pBdr>
          <w:top w:val="single" w:sz="4" w:space="1" w:color="auto"/>
          <w:left w:val="single" w:sz="4" w:space="5" w:color="auto"/>
          <w:bottom w:val="single" w:sz="4" w:space="1" w:color="auto"/>
          <w:right w:val="single" w:sz="4" w:space="4" w:color="auto"/>
        </w:pBdr>
        <w:ind w:left="851"/>
        <w:rPr>
          <w:noProof/>
        </w:rPr>
      </w:pPr>
      <w:r>
        <w:rPr>
          <w:noProof/>
        </w:rPr>
        <w:t>Bheadh feidhm ag bearta coisctheacha agus cosanta BEREC maidir leis na nithe seo a leanas, go háirithe:</w:t>
      </w:r>
    </w:p>
    <w:p w:rsidR="00526EFA" w:rsidRDefault="005C4D05">
      <w:pPr>
        <w:pBdr>
          <w:top w:val="single" w:sz="4" w:space="1" w:color="auto"/>
          <w:left w:val="single" w:sz="4" w:space="5" w:color="auto"/>
          <w:bottom w:val="single" w:sz="4" w:space="1" w:color="auto"/>
          <w:right w:val="single" w:sz="4" w:space="4" w:color="auto"/>
        </w:pBdr>
        <w:ind w:left="851"/>
        <w:rPr>
          <w:noProof/>
        </w:rPr>
      </w:pPr>
      <w:r>
        <w:rPr>
          <w:noProof/>
        </w:rPr>
        <w:t xml:space="preserve">- Déanann </w:t>
      </w:r>
      <w:r>
        <w:rPr>
          <w:noProof/>
        </w:rPr>
        <w:t>foireann na gníomhaireachta seiceáil ar íocaíochtaí as aon seirbhís nó staidéar a iarrtar, agus cuirtear san áireamh aon oibleagáidí conarthacha, aon phrionsabail eacnamaíocha agus aon dea-chleachtais airgeadais nó bainistíochta atá ann. Áireofar forálacha</w:t>
      </w:r>
      <w:r>
        <w:rPr>
          <w:noProof/>
        </w:rPr>
        <w:t xml:space="preserve"> frith</w:t>
      </w:r>
      <w:r>
        <w:rPr>
          <w:noProof/>
        </w:rPr>
        <w:noBreakHyphen/>
        <w:t>chalaoise (faireachán, ceanglais tuairiscithe, etc.) i ngach comhaontú agus conradh a thabharfar i gcrích idir an ghníomhaireacht agus aon fhaighteoirí íocaíochtaí.</w:t>
      </w:r>
    </w:p>
    <w:p w:rsidR="00526EFA" w:rsidRDefault="005C4D05">
      <w:pPr>
        <w:pBdr>
          <w:top w:val="single" w:sz="4" w:space="1" w:color="auto"/>
          <w:left w:val="single" w:sz="4" w:space="5" w:color="auto"/>
          <w:bottom w:val="single" w:sz="4" w:space="1" w:color="auto"/>
          <w:right w:val="single" w:sz="4" w:space="4" w:color="auto"/>
        </w:pBdr>
        <w:ind w:left="851"/>
        <w:rPr>
          <w:noProof/>
        </w:rPr>
      </w:pPr>
      <w:r>
        <w:rPr>
          <w:noProof/>
        </w:rPr>
        <w:t>- Chun calaois, éilliú agus gníomhaíochtaí neamhdhleathacha eile a chomhrac, beidh f</w:t>
      </w:r>
      <w:r>
        <w:rPr>
          <w:noProof/>
        </w:rPr>
        <w:t>eidhm gan srian ag forálacha Rialachán (AE, Euratom) Uimh. 883/2013 ó Pharlaimint na hEorpa agus ón gComhairle an 25 Bealtaine 1999 maidir le himscrúduithe a dhéanfaidh an Oifig Eorpach Frith</w:t>
      </w:r>
      <w:r>
        <w:rPr>
          <w:noProof/>
        </w:rPr>
        <w:noBreakHyphen/>
        <w:t>Chalaoise (OLAF).</w:t>
      </w:r>
    </w:p>
    <w:p w:rsidR="00526EFA" w:rsidRDefault="005C4D05">
      <w:pPr>
        <w:pBdr>
          <w:top w:val="single" w:sz="4" w:space="1" w:color="auto"/>
          <w:left w:val="single" w:sz="4" w:space="5" w:color="auto"/>
          <w:bottom w:val="single" w:sz="4" w:space="1" w:color="auto"/>
          <w:right w:val="single" w:sz="4" w:space="4" w:color="auto"/>
        </w:pBdr>
        <w:ind w:left="851"/>
        <w:rPr>
          <w:noProof/>
        </w:rPr>
      </w:pPr>
      <w:r>
        <w:rPr>
          <w:noProof/>
        </w:rPr>
        <w:t xml:space="preserve">- Aontóidh an ghníomhaireacht, faoi cheann sé </w:t>
      </w:r>
      <w:r>
        <w:rPr>
          <w:noProof/>
        </w:rPr>
        <w:t>mhí ón lá a thiocfaidh an Rialachán se i bhfeidhm, do Chomhaontú Idirinstitiúideach an 25 Bealtaine 1999 idir Parlaimint na hEorpa agus Comhairle an Aontais Eorpaigh agus Coimisiún na gComhphobal Eorpach maidir le himscrúduithe inmheánacha a dhéanann an Oi</w:t>
      </w:r>
      <w:r>
        <w:rPr>
          <w:noProof/>
        </w:rPr>
        <w:t>fig Eorpach Frith</w:t>
      </w:r>
      <w:r>
        <w:rPr>
          <w:noProof/>
        </w:rPr>
        <w:noBreakHyphen/>
        <w:t>Chalaoise (OLAF) agus eiseoidh sí, gan aon mhoill, na forálacha iomchuí is infheidhme maidir le fostaithe uile na gníomhaireachta.</w:t>
      </w:r>
    </w:p>
    <w:p w:rsidR="00526EFA" w:rsidRDefault="005C4D05">
      <w:pPr>
        <w:spacing w:before="0" w:after="200" w:line="276" w:lineRule="auto"/>
        <w:jc w:val="left"/>
        <w:rPr>
          <w:rFonts w:eastAsiaTheme="majorEastAsia"/>
          <w:b/>
          <w:smallCaps/>
          <w:noProof/>
          <w:szCs w:val="24"/>
        </w:rPr>
      </w:pPr>
      <w:r>
        <w:rPr>
          <w:noProof/>
        </w:rPr>
        <w:br w:type="page"/>
      </w:r>
    </w:p>
    <w:p w:rsidR="00526EFA" w:rsidRDefault="005C4D05">
      <w:pPr>
        <w:pStyle w:val="ManualHeading1"/>
        <w:rPr>
          <w:bCs/>
          <w:noProof/>
        </w:rPr>
      </w:pPr>
      <w:r>
        <w:rPr>
          <w:noProof/>
        </w:rPr>
        <w:t>3.</w:t>
      </w:r>
      <w:r>
        <w:rPr>
          <w:noProof/>
        </w:rPr>
        <w:tab/>
        <w:t>AN TIONCHAR AIRGEADAIS A MHEASTAR A BHEIDH AG AN TOGRA/TIONSCNAMH</w:t>
      </w:r>
    </w:p>
    <w:p w:rsidR="00526EFA" w:rsidRDefault="005C4D05">
      <w:pPr>
        <w:pStyle w:val="ManualHeading2"/>
        <w:rPr>
          <w:bCs/>
          <w:noProof/>
        </w:rPr>
      </w:pPr>
      <w:r>
        <w:rPr>
          <w:noProof/>
        </w:rPr>
        <w:t>3.1.</w:t>
      </w:r>
      <w:r>
        <w:rPr>
          <w:noProof/>
        </w:rPr>
        <w:tab/>
        <w:t>Ceannteidil an chreata airgeada</w:t>
      </w:r>
      <w:r>
        <w:rPr>
          <w:noProof/>
        </w:rPr>
        <w:t>is ilbhliantúil agus na línte buiséid ar a n</w:t>
      </w:r>
      <w:r>
        <w:rPr>
          <w:noProof/>
        </w:rPr>
        <w:noBreakHyphen/>
        <w:t>imreofar tionchar</w:t>
      </w:r>
    </w:p>
    <w:p w:rsidR="00526EFA" w:rsidRDefault="005C4D05">
      <w:pPr>
        <w:pStyle w:val="ListBullet1"/>
        <w:rPr>
          <w:noProof/>
        </w:rPr>
      </w:pPr>
      <w:r>
        <w:rPr>
          <w:noProof/>
        </w:rPr>
        <w:t>Línte buiséid atá ann cheana</w:t>
      </w:r>
    </w:p>
    <w:p w:rsidR="00526EFA" w:rsidRDefault="005C4D05">
      <w:pPr>
        <w:pStyle w:val="Text1"/>
        <w:rPr>
          <w:noProof/>
        </w:rPr>
      </w:pPr>
      <w:r>
        <w:rPr>
          <w:noProof/>
          <w:u w:val="single"/>
        </w:rPr>
        <w:t>In ord</w:t>
      </w:r>
      <w:r>
        <w:rPr>
          <w:noProof/>
        </w:rPr>
        <w:t xml:space="preserve"> cheannteidil agus línte buiséid an chreata airgeadais ilbhliantúil.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6"/>
        <w:gridCol w:w="3524"/>
        <w:gridCol w:w="1521"/>
        <w:gridCol w:w="777"/>
        <w:gridCol w:w="976"/>
        <w:gridCol w:w="686"/>
        <w:gridCol w:w="1447"/>
      </w:tblGrid>
      <w:tr w:rsidR="00526EFA">
        <w:tc>
          <w:tcPr>
            <w:tcW w:w="482" w:type="pct"/>
            <w:vMerge w:val="restart"/>
            <w:vAlign w:val="center"/>
          </w:tcPr>
          <w:p w:rsidR="00526EFA" w:rsidRDefault="005C4D05">
            <w:pPr>
              <w:spacing w:before="60" w:after="60"/>
              <w:jc w:val="center"/>
              <w:rPr>
                <w:noProof/>
              </w:rPr>
            </w:pPr>
            <w:r>
              <w:rPr>
                <w:noProof/>
                <w:sz w:val="18"/>
              </w:rPr>
              <w:t>Ceannteideal an chreata airgeadais ilbhliantúil</w:t>
            </w:r>
          </w:p>
        </w:tc>
        <w:tc>
          <w:tcPr>
            <w:tcW w:w="1858" w:type="pct"/>
            <w:vAlign w:val="center"/>
          </w:tcPr>
          <w:p w:rsidR="00526EFA" w:rsidRDefault="005C4D05">
            <w:pPr>
              <w:spacing w:before="60" w:after="60"/>
              <w:jc w:val="center"/>
              <w:rPr>
                <w:noProof/>
              </w:rPr>
            </w:pPr>
            <w:r>
              <w:rPr>
                <w:noProof/>
                <w:sz w:val="20"/>
              </w:rPr>
              <w:t>Líne buiséid</w:t>
            </w:r>
          </w:p>
        </w:tc>
        <w:tc>
          <w:tcPr>
            <w:tcW w:w="544" w:type="pct"/>
            <w:vAlign w:val="center"/>
          </w:tcPr>
          <w:p w:rsidR="00526EFA" w:rsidRDefault="005C4D05">
            <w:pPr>
              <w:spacing w:before="60" w:after="60"/>
              <w:jc w:val="center"/>
              <w:rPr>
                <w:noProof/>
              </w:rPr>
            </w:pPr>
            <w:r>
              <w:rPr>
                <w:noProof/>
                <w:sz w:val="18"/>
              </w:rPr>
              <w:t xml:space="preserve">Saghas </w:t>
            </w:r>
            <w:r>
              <w:rPr>
                <w:noProof/>
                <w:sz w:val="18"/>
              </w:rPr>
              <w:br/>
              <w:t>caiteachais</w:t>
            </w:r>
          </w:p>
        </w:tc>
        <w:tc>
          <w:tcPr>
            <w:tcW w:w="2116" w:type="pct"/>
            <w:gridSpan w:val="4"/>
            <w:vAlign w:val="center"/>
          </w:tcPr>
          <w:p w:rsidR="00526EFA" w:rsidRDefault="005C4D05">
            <w:pPr>
              <w:spacing w:before="60" w:after="60"/>
              <w:jc w:val="center"/>
              <w:rPr>
                <w:noProof/>
              </w:rPr>
            </w:pPr>
            <w:r>
              <w:rPr>
                <w:noProof/>
                <w:sz w:val="20"/>
              </w:rPr>
              <w:t xml:space="preserve">Ranníocaíocht </w:t>
            </w:r>
          </w:p>
        </w:tc>
      </w:tr>
      <w:tr w:rsidR="00526EFA">
        <w:tc>
          <w:tcPr>
            <w:tcW w:w="482" w:type="pct"/>
            <w:vMerge/>
            <w:vAlign w:val="center"/>
          </w:tcPr>
          <w:p w:rsidR="00526EFA" w:rsidRDefault="00526EFA">
            <w:pPr>
              <w:rPr>
                <w:noProof/>
                <w:sz w:val="18"/>
              </w:rPr>
            </w:pPr>
          </w:p>
        </w:tc>
        <w:tc>
          <w:tcPr>
            <w:tcW w:w="1858" w:type="pct"/>
            <w:vAlign w:val="center"/>
          </w:tcPr>
          <w:p w:rsidR="00526EFA" w:rsidRDefault="005C4D05">
            <w:pPr>
              <w:jc w:val="center"/>
              <w:rPr>
                <w:noProof/>
              </w:rPr>
            </w:pPr>
            <w:r>
              <w:rPr>
                <w:noProof/>
                <w:sz w:val="20"/>
              </w:rPr>
              <w:t>Uimhir/Tuairisc</w:t>
            </w:r>
          </w:p>
        </w:tc>
        <w:tc>
          <w:tcPr>
            <w:tcW w:w="544" w:type="pct"/>
            <w:vAlign w:val="center"/>
          </w:tcPr>
          <w:p w:rsidR="00526EFA" w:rsidRDefault="005C4D05">
            <w:pPr>
              <w:jc w:val="center"/>
              <w:rPr>
                <w:noProof/>
              </w:rPr>
            </w:pPr>
            <w:r>
              <w:rPr>
                <w:noProof/>
                <w:sz w:val="18"/>
              </w:rPr>
              <w:t>LD/LN</w:t>
            </w:r>
            <w:r>
              <w:rPr>
                <w:noProof/>
                <w:sz w:val="18"/>
              </w:rPr>
              <w:br/>
            </w:r>
            <w:r>
              <w:rPr>
                <w:noProof/>
                <w:sz w:val="18"/>
                <w:vertAlign w:val="superscript"/>
              </w:rPr>
              <w:t>(</w:t>
            </w:r>
            <w:r>
              <w:rPr>
                <w:rStyle w:val="FootnoteReference"/>
                <w:noProof/>
                <w:sz w:val="18"/>
              </w:rPr>
              <w:footnoteReference w:id="57"/>
            </w:r>
            <w:r>
              <w:rPr>
                <w:noProof/>
                <w:sz w:val="18"/>
                <w:vertAlign w:val="superscript"/>
              </w:rPr>
              <w:t>)</w:t>
            </w:r>
          </w:p>
          <w:p w:rsidR="00526EFA" w:rsidRDefault="00526EFA">
            <w:pPr>
              <w:jc w:val="center"/>
              <w:rPr>
                <w:noProof/>
              </w:rPr>
            </w:pPr>
          </w:p>
        </w:tc>
        <w:tc>
          <w:tcPr>
            <w:tcW w:w="482" w:type="pct"/>
            <w:vAlign w:val="center"/>
          </w:tcPr>
          <w:p w:rsidR="00526EFA" w:rsidRDefault="005C4D05">
            <w:pPr>
              <w:jc w:val="center"/>
              <w:rPr>
                <w:noProof/>
              </w:rPr>
            </w:pPr>
            <w:r>
              <w:rPr>
                <w:noProof/>
                <w:sz w:val="18"/>
              </w:rPr>
              <w:t>ó thíortha de chuid CSTE</w:t>
            </w:r>
            <w:r>
              <w:rPr>
                <w:rStyle w:val="FootnoteReference"/>
                <w:noProof/>
                <w:sz w:val="18"/>
              </w:rPr>
              <w:footnoteReference w:id="58"/>
            </w:r>
          </w:p>
          <w:p w:rsidR="00526EFA" w:rsidRDefault="00526EFA">
            <w:pPr>
              <w:jc w:val="center"/>
              <w:rPr>
                <w:noProof/>
              </w:rPr>
            </w:pPr>
          </w:p>
        </w:tc>
        <w:tc>
          <w:tcPr>
            <w:tcW w:w="544" w:type="pct"/>
            <w:vAlign w:val="center"/>
          </w:tcPr>
          <w:p w:rsidR="00526EFA" w:rsidRDefault="005C4D05">
            <w:pPr>
              <w:jc w:val="center"/>
              <w:rPr>
                <w:noProof/>
              </w:rPr>
            </w:pPr>
            <w:r>
              <w:rPr>
                <w:noProof/>
                <w:sz w:val="18"/>
              </w:rPr>
              <w:t>ó thíortha is iarrthóirí</w:t>
            </w:r>
            <w:r>
              <w:rPr>
                <w:rStyle w:val="FootnoteReference"/>
                <w:noProof/>
                <w:sz w:val="18"/>
              </w:rPr>
              <w:footnoteReference w:id="59"/>
            </w:r>
          </w:p>
          <w:p w:rsidR="00526EFA" w:rsidRDefault="00526EFA">
            <w:pPr>
              <w:jc w:val="center"/>
              <w:rPr>
                <w:noProof/>
                <w:sz w:val="18"/>
              </w:rPr>
            </w:pPr>
          </w:p>
        </w:tc>
        <w:tc>
          <w:tcPr>
            <w:tcW w:w="482" w:type="pct"/>
            <w:vAlign w:val="center"/>
          </w:tcPr>
          <w:p w:rsidR="00526EFA" w:rsidRDefault="005C4D05">
            <w:pPr>
              <w:jc w:val="center"/>
              <w:rPr>
                <w:noProof/>
              </w:rPr>
            </w:pPr>
            <w:r>
              <w:rPr>
                <w:noProof/>
                <w:sz w:val="18"/>
              </w:rPr>
              <w:t>ó thríú tíortha</w:t>
            </w:r>
          </w:p>
        </w:tc>
        <w:tc>
          <w:tcPr>
            <w:tcW w:w="608" w:type="pct"/>
            <w:vAlign w:val="center"/>
          </w:tcPr>
          <w:p w:rsidR="00526EFA" w:rsidRDefault="005C4D05">
            <w:pPr>
              <w:jc w:val="center"/>
              <w:rPr>
                <w:noProof/>
              </w:rPr>
            </w:pPr>
            <w:r>
              <w:rPr>
                <w:noProof/>
                <w:sz w:val="16"/>
              </w:rPr>
              <w:t xml:space="preserve">de réir bhrí Airteagal 18(1)(aa) den Rialachán Airgeadais </w:t>
            </w:r>
          </w:p>
        </w:tc>
      </w:tr>
      <w:tr w:rsidR="00526EFA">
        <w:tc>
          <w:tcPr>
            <w:tcW w:w="482" w:type="pct"/>
            <w:vAlign w:val="center"/>
          </w:tcPr>
          <w:p w:rsidR="00526EFA" w:rsidRDefault="005C4D05">
            <w:pPr>
              <w:jc w:val="center"/>
              <w:rPr>
                <w:noProof/>
                <w:sz w:val="18"/>
              </w:rPr>
            </w:pPr>
            <w:r>
              <w:rPr>
                <w:noProof/>
                <w:sz w:val="16"/>
              </w:rPr>
              <w:t>1.a Cumas iomaíochta i ndáil le fás agus poist</w:t>
            </w:r>
          </w:p>
        </w:tc>
        <w:tc>
          <w:tcPr>
            <w:tcW w:w="1858" w:type="pct"/>
            <w:vAlign w:val="center"/>
          </w:tcPr>
          <w:p w:rsidR="00526EFA" w:rsidRDefault="005C4D05">
            <w:pPr>
              <w:pStyle w:val="Text1"/>
              <w:spacing w:after="0"/>
              <w:ind w:left="165"/>
              <w:rPr>
                <w:noProof/>
              </w:rPr>
            </w:pPr>
            <w:hyperlink r:id="rId22" w:anchor="N60620935552-6">
              <w:r>
                <w:rPr>
                  <w:b/>
                  <w:noProof/>
                  <w:sz w:val="18"/>
                </w:rPr>
                <w:t>09 02 04</w:t>
              </w:r>
            </w:hyperlink>
            <w:r>
              <w:rPr>
                <w:b/>
                <w:noProof/>
                <w:sz w:val="18"/>
              </w:rPr>
              <w:t xml:space="preserve"> Comhlacht na Rialálaithe um Chumarsáid Leictreonach</w:t>
            </w:r>
            <w:r>
              <w:rPr>
                <w:b/>
                <w:noProof/>
                <w:sz w:val="18"/>
                <w:u w:val="single"/>
              </w:rPr>
              <w:t xml:space="preserve"> (BEREC) — Oifig — Fóirdheontas</w:t>
            </w:r>
          </w:p>
        </w:tc>
        <w:tc>
          <w:tcPr>
            <w:tcW w:w="544" w:type="pct"/>
            <w:vAlign w:val="center"/>
          </w:tcPr>
          <w:p w:rsidR="00526EFA" w:rsidRDefault="005C4D05">
            <w:pPr>
              <w:jc w:val="center"/>
              <w:rPr>
                <w:noProof/>
              </w:rPr>
            </w:pPr>
            <w:r>
              <w:rPr>
                <w:noProof/>
                <w:sz w:val="18"/>
              </w:rPr>
              <w:t>Difreáilte</w:t>
            </w:r>
          </w:p>
        </w:tc>
        <w:tc>
          <w:tcPr>
            <w:tcW w:w="482" w:type="pct"/>
            <w:vAlign w:val="center"/>
          </w:tcPr>
          <w:p w:rsidR="00526EFA" w:rsidRDefault="005C4D05">
            <w:pPr>
              <w:jc w:val="center"/>
              <w:rPr>
                <w:noProof/>
              </w:rPr>
            </w:pPr>
            <w:r>
              <w:rPr>
                <w:noProof/>
              </w:rPr>
              <w:t>TÁ</w:t>
            </w:r>
          </w:p>
        </w:tc>
        <w:tc>
          <w:tcPr>
            <w:tcW w:w="544" w:type="pct"/>
            <w:vAlign w:val="center"/>
          </w:tcPr>
          <w:p w:rsidR="00526EFA" w:rsidRDefault="005C4D05">
            <w:pPr>
              <w:jc w:val="center"/>
              <w:rPr>
                <w:noProof/>
              </w:rPr>
            </w:pPr>
            <w:r>
              <w:rPr>
                <w:noProof/>
              </w:rPr>
              <w:t>NÍL</w:t>
            </w:r>
          </w:p>
        </w:tc>
        <w:tc>
          <w:tcPr>
            <w:tcW w:w="482" w:type="pct"/>
            <w:vAlign w:val="center"/>
          </w:tcPr>
          <w:p w:rsidR="00526EFA" w:rsidRDefault="005C4D05">
            <w:pPr>
              <w:jc w:val="center"/>
              <w:rPr>
                <w:noProof/>
              </w:rPr>
            </w:pPr>
            <w:r>
              <w:rPr>
                <w:noProof/>
              </w:rPr>
              <w:t>NÍL</w:t>
            </w:r>
          </w:p>
        </w:tc>
        <w:tc>
          <w:tcPr>
            <w:tcW w:w="608" w:type="pct"/>
            <w:vAlign w:val="center"/>
          </w:tcPr>
          <w:p w:rsidR="00526EFA" w:rsidRDefault="005C4D05">
            <w:pPr>
              <w:jc w:val="center"/>
              <w:rPr>
                <w:noProof/>
              </w:rPr>
            </w:pPr>
            <w:r>
              <w:rPr>
                <w:noProof/>
              </w:rPr>
              <w:t>NÍL</w:t>
            </w:r>
          </w:p>
        </w:tc>
      </w:tr>
      <w:tr w:rsidR="00526EFA">
        <w:tc>
          <w:tcPr>
            <w:tcW w:w="482" w:type="pct"/>
            <w:vAlign w:val="center"/>
          </w:tcPr>
          <w:p w:rsidR="00526EFA" w:rsidRDefault="005C4D05">
            <w:pPr>
              <w:jc w:val="center"/>
              <w:rPr>
                <w:noProof/>
                <w:sz w:val="16"/>
                <w:szCs w:val="16"/>
              </w:rPr>
            </w:pPr>
            <w:r>
              <w:rPr>
                <w:noProof/>
                <w:sz w:val="16"/>
              </w:rPr>
              <w:t>5. Caiteachas riaracháin</w:t>
            </w:r>
          </w:p>
        </w:tc>
        <w:tc>
          <w:tcPr>
            <w:tcW w:w="1858" w:type="pct"/>
            <w:vAlign w:val="center"/>
          </w:tcPr>
          <w:p w:rsidR="00526EFA" w:rsidRDefault="005C4D05">
            <w:pPr>
              <w:pStyle w:val="Text1"/>
              <w:spacing w:after="0"/>
              <w:ind w:left="175"/>
              <w:rPr>
                <w:b/>
                <w:noProof/>
                <w:sz w:val="18"/>
                <w:szCs w:val="18"/>
              </w:rPr>
            </w:pPr>
            <w:r>
              <w:rPr>
                <w:b/>
                <w:noProof/>
                <w:sz w:val="18"/>
              </w:rPr>
              <w:t>09 01 01 Caiteachas a bhaineann le baill foirne ghníomhacha i réimse na Líonraí Cumarsáide, an Inneachair agus na Teicneolaíochta</w:t>
            </w:r>
          </w:p>
          <w:p w:rsidR="00526EFA" w:rsidRDefault="005C4D05">
            <w:pPr>
              <w:pStyle w:val="Text1"/>
              <w:spacing w:after="0"/>
              <w:ind w:left="175"/>
              <w:rPr>
                <w:b/>
                <w:noProof/>
                <w:sz w:val="18"/>
                <w:szCs w:val="18"/>
              </w:rPr>
            </w:pPr>
            <w:r>
              <w:rPr>
                <w:b/>
                <w:noProof/>
                <w:sz w:val="18"/>
              </w:rPr>
              <w:t xml:space="preserve">09 01 02 Caiteachas a bhaineann le baill foirne ghníomhacha i réimse na Líonraí Cumarsáide, an </w:t>
            </w:r>
            <w:r>
              <w:rPr>
                <w:b/>
                <w:noProof/>
                <w:sz w:val="18"/>
              </w:rPr>
              <w:t>Inneachair agus na Teicneolaíochta</w:t>
            </w:r>
          </w:p>
          <w:p w:rsidR="00526EFA" w:rsidRDefault="005C4D05">
            <w:pPr>
              <w:pStyle w:val="Text1"/>
              <w:spacing w:after="0"/>
              <w:ind w:left="175"/>
              <w:rPr>
                <w:b/>
                <w:noProof/>
                <w:sz w:val="18"/>
                <w:szCs w:val="18"/>
              </w:rPr>
            </w:pPr>
            <w:r>
              <w:rPr>
                <w:b/>
                <w:noProof/>
                <w:sz w:val="18"/>
              </w:rPr>
              <w:t>09 01 02 11 Caiteachas bainistíochta eile</w:t>
            </w:r>
          </w:p>
          <w:p w:rsidR="00526EFA" w:rsidRDefault="00526EFA">
            <w:pPr>
              <w:pStyle w:val="Text1"/>
              <w:spacing w:after="0"/>
              <w:ind w:left="175"/>
              <w:rPr>
                <w:b/>
                <w:noProof/>
                <w:sz w:val="18"/>
                <w:szCs w:val="18"/>
              </w:rPr>
            </w:pPr>
          </w:p>
        </w:tc>
        <w:tc>
          <w:tcPr>
            <w:tcW w:w="544" w:type="pct"/>
            <w:vAlign w:val="center"/>
          </w:tcPr>
          <w:p w:rsidR="00526EFA" w:rsidRDefault="005C4D05">
            <w:pPr>
              <w:jc w:val="center"/>
              <w:rPr>
                <w:noProof/>
                <w:sz w:val="18"/>
              </w:rPr>
            </w:pPr>
            <w:r>
              <w:rPr>
                <w:noProof/>
                <w:sz w:val="18"/>
              </w:rPr>
              <w:t>Neamhdhifreáilte.</w:t>
            </w:r>
          </w:p>
          <w:p w:rsidR="00526EFA" w:rsidRDefault="00526EFA">
            <w:pPr>
              <w:jc w:val="center"/>
              <w:rPr>
                <w:noProof/>
                <w:sz w:val="18"/>
              </w:rPr>
            </w:pPr>
          </w:p>
          <w:p w:rsidR="00526EFA" w:rsidRDefault="005C4D05">
            <w:pPr>
              <w:jc w:val="center"/>
              <w:rPr>
                <w:noProof/>
                <w:sz w:val="18"/>
              </w:rPr>
            </w:pPr>
            <w:r>
              <w:rPr>
                <w:noProof/>
                <w:sz w:val="18"/>
              </w:rPr>
              <w:t>Neamhdhifreáilte.</w:t>
            </w:r>
          </w:p>
          <w:p w:rsidR="00526EFA" w:rsidRDefault="00526EFA">
            <w:pPr>
              <w:rPr>
                <w:noProof/>
                <w:sz w:val="18"/>
              </w:rPr>
            </w:pPr>
          </w:p>
          <w:p w:rsidR="00526EFA" w:rsidRDefault="005C4D05">
            <w:pPr>
              <w:rPr>
                <w:noProof/>
                <w:sz w:val="18"/>
              </w:rPr>
            </w:pPr>
            <w:r>
              <w:rPr>
                <w:noProof/>
                <w:sz w:val="18"/>
              </w:rPr>
              <w:t>Neamhdhifreáilte.</w:t>
            </w:r>
          </w:p>
        </w:tc>
        <w:tc>
          <w:tcPr>
            <w:tcW w:w="482" w:type="pct"/>
            <w:vAlign w:val="center"/>
          </w:tcPr>
          <w:p w:rsidR="00526EFA" w:rsidRDefault="005C4D05">
            <w:pPr>
              <w:jc w:val="center"/>
              <w:rPr>
                <w:noProof/>
              </w:rPr>
            </w:pPr>
            <w:r>
              <w:rPr>
                <w:noProof/>
              </w:rPr>
              <w:t>NÍL</w:t>
            </w:r>
          </w:p>
          <w:p w:rsidR="00526EFA" w:rsidRDefault="00526EFA">
            <w:pPr>
              <w:jc w:val="center"/>
              <w:rPr>
                <w:noProof/>
              </w:rPr>
            </w:pPr>
          </w:p>
          <w:p w:rsidR="00526EFA" w:rsidRDefault="005C4D05">
            <w:pPr>
              <w:jc w:val="center"/>
              <w:rPr>
                <w:noProof/>
              </w:rPr>
            </w:pPr>
            <w:r>
              <w:rPr>
                <w:noProof/>
              </w:rPr>
              <w:t>NÍL</w:t>
            </w:r>
          </w:p>
          <w:p w:rsidR="00526EFA" w:rsidRDefault="00526EFA">
            <w:pPr>
              <w:jc w:val="center"/>
              <w:rPr>
                <w:noProof/>
              </w:rPr>
            </w:pPr>
          </w:p>
          <w:p w:rsidR="00526EFA" w:rsidRDefault="005C4D05">
            <w:pPr>
              <w:jc w:val="center"/>
              <w:rPr>
                <w:noProof/>
              </w:rPr>
            </w:pPr>
            <w:r>
              <w:rPr>
                <w:noProof/>
              </w:rPr>
              <w:t>NÍL</w:t>
            </w:r>
          </w:p>
        </w:tc>
        <w:tc>
          <w:tcPr>
            <w:tcW w:w="544" w:type="pct"/>
            <w:vAlign w:val="center"/>
          </w:tcPr>
          <w:p w:rsidR="00526EFA" w:rsidRDefault="005C4D05">
            <w:pPr>
              <w:jc w:val="center"/>
              <w:rPr>
                <w:noProof/>
              </w:rPr>
            </w:pPr>
            <w:r>
              <w:rPr>
                <w:noProof/>
              </w:rPr>
              <w:t>NÍL</w:t>
            </w:r>
          </w:p>
          <w:p w:rsidR="00526EFA" w:rsidRDefault="00526EFA">
            <w:pPr>
              <w:jc w:val="center"/>
              <w:rPr>
                <w:noProof/>
              </w:rPr>
            </w:pPr>
          </w:p>
          <w:p w:rsidR="00526EFA" w:rsidRDefault="005C4D05">
            <w:pPr>
              <w:jc w:val="center"/>
              <w:rPr>
                <w:noProof/>
              </w:rPr>
            </w:pPr>
            <w:r>
              <w:rPr>
                <w:noProof/>
              </w:rPr>
              <w:t>NÍL</w:t>
            </w:r>
          </w:p>
          <w:p w:rsidR="00526EFA" w:rsidRDefault="00526EFA">
            <w:pPr>
              <w:jc w:val="center"/>
              <w:rPr>
                <w:noProof/>
              </w:rPr>
            </w:pPr>
          </w:p>
          <w:p w:rsidR="00526EFA" w:rsidRDefault="005C4D05">
            <w:pPr>
              <w:jc w:val="center"/>
              <w:rPr>
                <w:noProof/>
              </w:rPr>
            </w:pPr>
            <w:r>
              <w:rPr>
                <w:noProof/>
              </w:rPr>
              <w:t>NÍL</w:t>
            </w:r>
          </w:p>
        </w:tc>
        <w:tc>
          <w:tcPr>
            <w:tcW w:w="482" w:type="pct"/>
            <w:vAlign w:val="center"/>
          </w:tcPr>
          <w:p w:rsidR="00526EFA" w:rsidRDefault="005C4D05">
            <w:pPr>
              <w:jc w:val="center"/>
              <w:rPr>
                <w:noProof/>
              </w:rPr>
            </w:pPr>
            <w:r>
              <w:rPr>
                <w:noProof/>
              </w:rPr>
              <w:t>NÍL</w:t>
            </w:r>
          </w:p>
          <w:p w:rsidR="00526EFA" w:rsidRDefault="00526EFA">
            <w:pPr>
              <w:jc w:val="center"/>
              <w:rPr>
                <w:noProof/>
              </w:rPr>
            </w:pPr>
          </w:p>
          <w:p w:rsidR="00526EFA" w:rsidRDefault="005C4D05">
            <w:pPr>
              <w:jc w:val="center"/>
              <w:rPr>
                <w:noProof/>
              </w:rPr>
            </w:pPr>
            <w:r>
              <w:rPr>
                <w:noProof/>
              </w:rPr>
              <w:t>NÍL</w:t>
            </w:r>
          </w:p>
          <w:p w:rsidR="00526EFA" w:rsidRDefault="00526EFA">
            <w:pPr>
              <w:jc w:val="center"/>
              <w:rPr>
                <w:noProof/>
              </w:rPr>
            </w:pPr>
          </w:p>
          <w:p w:rsidR="00526EFA" w:rsidRDefault="005C4D05">
            <w:pPr>
              <w:jc w:val="center"/>
              <w:rPr>
                <w:noProof/>
              </w:rPr>
            </w:pPr>
            <w:r>
              <w:rPr>
                <w:noProof/>
              </w:rPr>
              <w:t>NÍL</w:t>
            </w:r>
          </w:p>
        </w:tc>
        <w:tc>
          <w:tcPr>
            <w:tcW w:w="608" w:type="pct"/>
            <w:vAlign w:val="center"/>
          </w:tcPr>
          <w:p w:rsidR="00526EFA" w:rsidRDefault="005C4D05">
            <w:pPr>
              <w:jc w:val="center"/>
              <w:rPr>
                <w:noProof/>
              </w:rPr>
            </w:pPr>
            <w:r>
              <w:rPr>
                <w:noProof/>
              </w:rPr>
              <w:t>NÍL</w:t>
            </w:r>
          </w:p>
          <w:p w:rsidR="00526EFA" w:rsidRDefault="00526EFA">
            <w:pPr>
              <w:jc w:val="center"/>
              <w:rPr>
                <w:noProof/>
              </w:rPr>
            </w:pPr>
          </w:p>
          <w:p w:rsidR="00526EFA" w:rsidRDefault="005C4D05">
            <w:pPr>
              <w:jc w:val="center"/>
              <w:rPr>
                <w:noProof/>
              </w:rPr>
            </w:pPr>
            <w:r>
              <w:rPr>
                <w:noProof/>
              </w:rPr>
              <w:t>NÍL</w:t>
            </w:r>
          </w:p>
          <w:p w:rsidR="00526EFA" w:rsidRDefault="00526EFA">
            <w:pPr>
              <w:jc w:val="center"/>
              <w:rPr>
                <w:noProof/>
              </w:rPr>
            </w:pPr>
          </w:p>
          <w:p w:rsidR="00526EFA" w:rsidRDefault="005C4D05">
            <w:pPr>
              <w:jc w:val="center"/>
              <w:rPr>
                <w:noProof/>
              </w:rPr>
            </w:pPr>
            <w:r>
              <w:rPr>
                <w:noProof/>
              </w:rPr>
              <w:t>NÍL</w:t>
            </w:r>
          </w:p>
        </w:tc>
      </w:tr>
    </w:tbl>
    <w:p w:rsidR="00526EFA" w:rsidRDefault="00526EFA">
      <w:pPr>
        <w:rPr>
          <w:noProof/>
          <w:szCs w:val="24"/>
        </w:rPr>
        <w:sectPr w:rsidR="00526EFA" w:rsidSect="005C4D05">
          <w:pgSz w:w="11907" w:h="16839" w:code="9"/>
          <w:pgMar w:top="1077" w:right="902" w:bottom="1247" w:left="1134" w:header="709" w:footer="510" w:gutter="0"/>
          <w:cols w:space="720"/>
          <w:rtlGutter/>
          <w:docGrid w:linePitch="326"/>
        </w:sectPr>
      </w:pPr>
    </w:p>
    <w:p w:rsidR="00526EFA" w:rsidRDefault="005C4D05">
      <w:pPr>
        <w:pStyle w:val="ManualHeading2"/>
        <w:rPr>
          <w:bCs/>
          <w:noProof/>
        </w:rPr>
      </w:pPr>
      <w:r>
        <w:rPr>
          <w:noProof/>
        </w:rPr>
        <w:t>3.2.</w:t>
      </w:r>
      <w:r>
        <w:rPr>
          <w:noProof/>
        </w:rPr>
        <w:tab/>
        <w:t xml:space="preserve">An tionchar a mheastar a bheidh ag </w:t>
      </w:r>
      <w:r>
        <w:rPr>
          <w:noProof/>
        </w:rPr>
        <w:t>an togra/tionscnamh ar chaiteachas</w:t>
      </w:r>
    </w:p>
    <w:p w:rsidR="00526EFA" w:rsidRDefault="005C4D05">
      <w:pPr>
        <w:pStyle w:val="ManualHeading3"/>
        <w:rPr>
          <w:bCs/>
          <w:noProof/>
        </w:rPr>
      </w:pPr>
      <w:r>
        <w:rPr>
          <w:noProof/>
        </w:rPr>
        <w:t>3.2.1.</w:t>
      </w:r>
      <w:r>
        <w:rPr>
          <w:noProof/>
        </w:rPr>
        <w:tab/>
        <w:t>Achoimre ar an tionchar a mheastar a bheidh ag an togra/tionscnamh ar chaiteachas (i milliúin EURO)</w:t>
      </w:r>
    </w:p>
    <w:p w:rsidR="00526EFA" w:rsidRDefault="00526EFA">
      <w:pPr>
        <w:rPr>
          <w:noProof/>
        </w:rPr>
      </w:pPr>
    </w:p>
    <w:p w:rsidR="00526EFA" w:rsidRDefault="005C4D05">
      <w:pPr>
        <w:keepNext/>
        <w:keepLines/>
        <w:jc w:val="right"/>
        <w:rPr>
          <w:noProof/>
          <w:sz w:val="16"/>
        </w:rPr>
      </w:pPr>
      <w:r>
        <w:rPr>
          <w:noProof/>
          <w:sz w:val="20"/>
        </w:rPr>
        <w:t>EUR milliúin (go dtí an tríú deachúil)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6"/>
        <w:gridCol w:w="1080"/>
        <w:gridCol w:w="5624"/>
      </w:tblGrid>
      <w:tr w:rsidR="00526EFA">
        <w:tc>
          <w:tcPr>
            <w:tcW w:w="4636" w:type="dxa"/>
            <w:shd w:val="clear" w:color="C0C0C0" w:fill="auto"/>
            <w:vAlign w:val="center"/>
          </w:tcPr>
          <w:p w:rsidR="00526EFA" w:rsidRDefault="005C4D05">
            <w:pPr>
              <w:keepNext/>
              <w:keepLines/>
              <w:spacing w:before="60" w:after="60"/>
              <w:jc w:val="center"/>
              <w:rPr>
                <w:noProof/>
              </w:rPr>
            </w:pPr>
            <w:r>
              <w:rPr>
                <w:b/>
                <w:noProof/>
              </w:rPr>
              <w:t xml:space="preserve">Ceannteideal an chreata airgeadais </w:t>
            </w:r>
            <w:r>
              <w:rPr>
                <w:b/>
                <w:noProof/>
              </w:rPr>
              <w:br/>
              <w:t xml:space="preserve">Creat: </w:t>
            </w:r>
          </w:p>
        </w:tc>
        <w:tc>
          <w:tcPr>
            <w:tcW w:w="1080" w:type="dxa"/>
            <w:vAlign w:val="center"/>
          </w:tcPr>
          <w:p w:rsidR="00526EFA" w:rsidRDefault="005C4D05">
            <w:pPr>
              <w:keepNext/>
              <w:keepLines/>
              <w:spacing w:before="60" w:after="60"/>
              <w:rPr>
                <w:noProof/>
              </w:rPr>
            </w:pPr>
            <w:r>
              <w:rPr>
                <w:noProof/>
              </w:rPr>
              <w:t>1a</w:t>
            </w:r>
          </w:p>
        </w:tc>
        <w:tc>
          <w:tcPr>
            <w:tcW w:w="5624" w:type="dxa"/>
            <w:vAlign w:val="center"/>
          </w:tcPr>
          <w:p w:rsidR="00526EFA" w:rsidRDefault="005C4D05">
            <w:pPr>
              <w:keepNext/>
              <w:keepLines/>
              <w:spacing w:before="60" w:after="60"/>
              <w:rPr>
                <w:noProof/>
              </w:rPr>
            </w:pPr>
            <w:r>
              <w:rPr>
                <w:noProof/>
              </w:rPr>
              <w:t>Cumas iomaíochta i ndáil le</w:t>
            </w:r>
            <w:r>
              <w:rPr>
                <w:noProof/>
              </w:rPr>
              <w:t xml:space="preserve"> fás agus poist</w:t>
            </w:r>
          </w:p>
        </w:tc>
      </w:tr>
    </w:tbl>
    <w:p w:rsidR="00526EFA" w:rsidRDefault="00526EFA">
      <w:pPr>
        <w:rPr>
          <w:noProof/>
        </w:rPr>
      </w:pPr>
    </w:p>
    <w:tbl>
      <w:tblPr>
        <w:tblW w:w="3908" w:type="pct"/>
        <w:tblLook w:val="04A0" w:firstRow="1" w:lastRow="0" w:firstColumn="1" w:lastColumn="0" w:noHBand="0" w:noVBand="1"/>
      </w:tblPr>
      <w:tblGrid>
        <w:gridCol w:w="2605"/>
        <w:gridCol w:w="1770"/>
        <w:gridCol w:w="1212"/>
        <w:gridCol w:w="1524"/>
        <w:gridCol w:w="235"/>
        <w:gridCol w:w="1522"/>
        <w:gridCol w:w="1200"/>
        <w:gridCol w:w="1446"/>
      </w:tblGrid>
      <w:tr w:rsidR="00526EFA">
        <w:trPr>
          <w:trHeight w:val="300"/>
        </w:trPr>
        <w:tc>
          <w:tcPr>
            <w:tcW w:w="113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6EFA" w:rsidRDefault="005C4D05">
            <w:pPr>
              <w:keepNext/>
              <w:keepLines/>
              <w:jc w:val="center"/>
              <w:rPr>
                <w:b/>
                <w:noProof/>
                <w:color w:val="000000"/>
              </w:rPr>
            </w:pPr>
            <w:r>
              <w:rPr>
                <w:b/>
                <w:noProof/>
                <w:color w:val="000000"/>
                <w:sz w:val="22"/>
              </w:rPr>
              <w:t xml:space="preserve">BEREC </w:t>
            </w:r>
          </w:p>
        </w:tc>
        <w:tc>
          <w:tcPr>
            <w:tcW w:w="768" w:type="pct"/>
            <w:tcBorders>
              <w:top w:val="single" w:sz="8" w:space="0" w:color="auto"/>
              <w:left w:val="nil"/>
              <w:bottom w:val="nil"/>
              <w:right w:val="nil"/>
            </w:tcBorders>
            <w:shd w:val="clear" w:color="auto" w:fill="auto"/>
            <w:vAlign w:val="center"/>
            <w:hideMark/>
          </w:tcPr>
          <w:p w:rsidR="00526EFA" w:rsidRDefault="005C4D05">
            <w:pPr>
              <w:keepNext/>
              <w:keepLines/>
              <w:rPr>
                <w:noProof/>
                <w:color w:val="000000"/>
                <w:sz w:val="20"/>
                <w:szCs w:val="20"/>
              </w:rPr>
            </w:pPr>
            <w:r>
              <w:rPr>
                <w:noProof/>
                <w:color w:val="000000"/>
                <w:sz w:val="20"/>
              </w:rPr>
              <w:t> </w:t>
            </w:r>
          </w:p>
        </w:tc>
        <w:tc>
          <w:tcPr>
            <w:tcW w:w="526" w:type="pct"/>
            <w:tcBorders>
              <w:top w:val="single" w:sz="8" w:space="0" w:color="auto"/>
              <w:left w:val="single" w:sz="8" w:space="0" w:color="auto"/>
              <w:bottom w:val="nil"/>
              <w:right w:val="single" w:sz="8" w:space="0" w:color="auto"/>
            </w:tcBorders>
            <w:shd w:val="clear" w:color="auto" w:fill="auto"/>
            <w:vAlign w:val="center"/>
            <w:hideMark/>
          </w:tcPr>
          <w:p w:rsidR="00526EFA" w:rsidRDefault="005C4D05">
            <w:pPr>
              <w:keepNext/>
              <w:keepLines/>
              <w:jc w:val="center"/>
              <w:rPr>
                <w:noProof/>
                <w:color w:val="000000"/>
                <w:sz w:val="20"/>
                <w:szCs w:val="20"/>
              </w:rPr>
            </w:pPr>
            <w:r>
              <w:rPr>
                <w:noProof/>
                <w:color w:val="000000"/>
                <w:sz w:val="20"/>
              </w:rPr>
              <w:t> </w:t>
            </w:r>
          </w:p>
        </w:tc>
        <w:tc>
          <w:tcPr>
            <w:tcW w:w="662" w:type="pct"/>
            <w:tcBorders>
              <w:top w:val="single" w:sz="8" w:space="0" w:color="auto"/>
              <w:left w:val="nil"/>
              <w:bottom w:val="nil"/>
              <w:right w:val="single" w:sz="4" w:space="0" w:color="auto"/>
            </w:tcBorders>
          </w:tcPr>
          <w:p w:rsidR="00526EFA" w:rsidRDefault="005C4D05">
            <w:pPr>
              <w:keepNext/>
              <w:keepLines/>
              <w:jc w:val="center"/>
              <w:rPr>
                <w:b/>
                <w:noProof/>
                <w:color w:val="000000"/>
                <w:sz w:val="20"/>
                <w:szCs w:val="20"/>
              </w:rPr>
            </w:pPr>
            <w:r>
              <w:rPr>
                <w:b/>
                <w:noProof/>
                <w:color w:val="000000"/>
                <w:sz w:val="20"/>
              </w:rPr>
              <w:t>Bonnlíne</w:t>
            </w:r>
          </w:p>
        </w:tc>
        <w:tc>
          <w:tcPr>
            <w:tcW w:w="102" w:type="pct"/>
            <w:tcBorders>
              <w:top w:val="single" w:sz="8" w:space="0" w:color="auto"/>
              <w:left w:val="single" w:sz="4" w:space="0" w:color="auto"/>
              <w:bottom w:val="nil"/>
              <w:right w:val="single" w:sz="4" w:space="0" w:color="auto"/>
            </w:tcBorders>
          </w:tcPr>
          <w:p w:rsidR="00526EFA" w:rsidRDefault="00526EFA">
            <w:pPr>
              <w:keepNext/>
              <w:keepLines/>
              <w:jc w:val="center"/>
              <w:rPr>
                <w:b/>
                <w:noProof/>
                <w:color w:val="000000"/>
                <w:sz w:val="20"/>
                <w:szCs w:val="20"/>
              </w:rPr>
            </w:pPr>
          </w:p>
        </w:tc>
        <w:tc>
          <w:tcPr>
            <w:tcW w:w="661" w:type="pct"/>
            <w:tcBorders>
              <w:top w:val="single" w:sz="8" w:space="0" w:color="auto"/>
              <w:left w:val="single" w:sz="4" w:space="0" w:color="auto"/>
              <w:bottom w:val="nil"/>
              <w:right w:val="single" w:sz="8" w:space="0" w:color="auto"/>
            </w:tcBorders>
            <w:shd w:val="clear" w:color="auto" w:fill="auto"/>
            <w:vAlign w:val="center"/>
            <w:hideMark/>
          </w:tcPr>
          <w:p w:rsidR="00526EFA" w:rsidRDefault="005C4D05">
            <w:pPr>
              <w:keepNext/>
              <w:keepLines/>
              <w:jc w:val="center"/>
              <w:rPr>
                <w:b/>
                <w:noProof/>
                <w:color w:val="000000"/>
                <w:sz w:val="20"/>
                <w:szCs w:val="20"/>
              </w:rPr>
            </w:pPr>
            <w:r>
              <w:rPr>
                <w:b/>
                <w:noProof/>
                <w:color w:val="000000"/>
                <w:sz w:val="20"/>
              </w:rPr>
              <w:t>Bliain</w:t>
            </w:r>
          </w:p>
        </w:tc>
        <w:tc>
          <w:tcPr>
            <w:tcW w:w="521" w:type="pct"/>
            <w:tcBorders>
              <w:top w:val="single" w:sz="8" w:space="0" w:color="auto"/>
              <w:left w:val="nil"/>
              <w:bottom w:val="nil"/>
              <w:right w:val="single" w:sz="8" w:space="0" w:color="auto"/>
            </w:tcBorders>
            <w:shd w:val="clear" w:color="auto" w:fill="auto"/>
            <w:vAlign w:val="center"/>
            <w:hideMark/>
          </w:tcPr>
          <w:p w:rsidR="00526EFA" w:rsidRDefault="005C4D05">
            <w:pPr>
              <w:keepNext/>
              <w:keepLines/>
              <w:jc w:val="center"/>
              <w:rPr>
                <w:b/>
                <w:noProof/>
                <w:color w:val="000000"/>
                <w:sz w:val="20"/>
                <w:szCs w:val="20"/>
              </w:rPr>
            </w:pPr>
            <w:r>
              <w:rPr>
                <w:b/>
                <w:noProof/>
                <w:color w:val="000000"/>
                <w:sz w:val="20"/>
              </w:rPr>
              <w:t>Bliain</w:t>
            </w:r>
          </w:p>
        </w:tc>
        <w:tc>
          <w:tcPr>
            <w:tcW w:w="628" w:type="pct"/>
            <w:tcBorders>
              <w:top w:val="single" w:sz="8" w:space="0" w:color="auto"/>
              <w:left w:val="nil"/>
              <w:bottom w:val="nil"/>
              <w:right w:val="single" w:sz="8" w:space="0" w:color="auto"/>
            </w:tcBorders>
            <w:shd w:val="clear" w:color="auto" w:fill="auto"/>
            <w:vAlign w:val="center"/>
            <w:hideMark/>
          </w:tcPr>
          <w:p w:rsidR="00526EFA" w:rsidRDefault="005C4D05">
            <w:pPr>
              <w:keepNext/>
              <w:keepLines/>
              <w:jc w:val="center"/>
              <w:rPr>
                <w:b/>
                <w:bCs/>
                <w:noProof/>
                <w:color w:val="000000"/>
                <w:sz w:val="20"/>
                <w:szCs w:val="20"/>
              </w:rPr>
            </w:pPr>
            <w:r>
              <w:rPr>
                <w:b/>
                <w:noProof/>
                <w:color w:val="000000"/>
                <w:sz w:val="20"/>
              </w:rPr>
              <w:t>IOMLÁN</w:t>
            </w:r>
          </w:p>
          <w:p w:rsidR="00526EFA" w:rsidRDefault="005C4D05">
            <w:pPr>
              <w:keepNext/>
              <w:keepLines/>
              <w:jc w:val="center"/>
              <w:rPr>
                <w:b/>
                <w:bCs/>
                <w:noProof/>
                <w:color w:val="000000"/>
                <w:sz w:val="20"/>
                <w:szCs w:val="20"/>
              </w:rPr>
            </w:pPr>
            <w:r>
              <w:rPr>
                <w:b/>
                <w:noProof/>
                <w:sz w:val="20"/>
              </w:rPr>
              <w:t>2019-2020</w:t>
            </w:r>
          </w:p>
        </w:tc>
      </w:tr>
      <w:tr w:rsidR="00526EFA">
        <w:trPr>
          <w:trHeight w:val="300"/>
        </w:trPr>
        <w:tc>
          <w:tcPr>
            <w:tcW w:w="1131" w:type="pct"/>
            <w:vMerge/>
            <w:tcBorders>
              <w:top w:val="single" w:sz="8" w:space="0" w:color="auto"/>
              <w:left w:val="single" w:sz="8" w:space="0" w:color="auto"/>
              <w:bottom w:val="single" w:sz="8" w:space="0" w:color="000000"/>
              <w:right w:val="single" w:sz="8" w:space="0" w:color="auto"/>
            </w:tcBorders>
            <w:vAlign w:val="center"/>
            <w:hideMark/>
          </w:tcPr>
          <w:p w:rsidR="00526EFA" w:rsidRDefault="00526EFA">
            <w:pPr>
              <w:keepNext/>
              <w:keepLines/>
              <w:rPr>
                <w:noProof/>
                <w:color w:val="000000"/>
              </w:rPr>
            </w:pPr>
          </w:p>
        </w:tc>
        <w:tc>
          <w:tcPr>
            <w:tcW w:w="768" w:type="pct"/>
            <w:tcBorders>
              <w:top w:val="nil"/>
              <w:left w:val="nil"/>
              <w:bottom w:val="nil"/>
              <w:right w:val="nil"/>
            </w:tcBorders>
            <w:shd w:val="clear" w:color="auto" w:fill="auto"/>
            <w:vAlign w:val="center"/>
            <w:hideMark/>
          </w:tcPr>
          <w:p w:rsidR="00526EFA" w:rsidRDefault="005C4D05">
            <w:pPr>
              <w:keepNext/>
              <w:keepLines/>
              <w:rPr>
                <w:noProof/>
                <w:color w:val="000000"/>
                <w:sz w:val="20"/>
                <w:szCs w:val="20"/>
              </w:rPr>
            </w:pPr>
            <w:r>
              <w:rPr>
                <w:noProof/>
                <w:color w:val="000000"/>
                <w:sz w:val="20"/>
              </w:rPr>
              <w:t> </w:t>
            </w:r>
          </w:p>
        </w:tc>
        <w:tc>
          <w:tcPr>
            <w:tcW w:w="526" w:type="pct"/>
            <w:tcBorders>
              <w:top w:val="nil"/>
              <w:left w:val="single" w:sz="8" w:space="0" w:color="auto"/>
              <w:bottom w:val="nil"/>
              <w:right w:val="single" w:sz="8" w:space="0" w:color="auto"/>
            </w:tcBorders>
            <w:shd w:val="clear" w:color="auto" w:fill="auto"/>
            <w:vAlign w:val="center"/>
            <w:hideMark/>
          </w:tcPr>
          <w:p w:rsidR="00526EFA" w:rsidRDefault="005C4D05">
            <w:pPr>
              <w:keepNext/>
              <w:keepLines/>
              <w:jc w:val="center"/>
              <w:rPr>
                <w:noProof/>
                <w:color w:val="000000"/>
                <w:sz w:val="20"/>
                <w:szCs w:val="20"/>
              </w:rPr>
            </w:pPr>
            <w:r>
              <w:rPr>
                <w:noProof/>
                <w:color w:val="000000"/>
                <w:sz w:val="20"/>
              </w:rPr>
              <w:t> </w:t>
            </w:r>
          </w:p>
        </w:tc>
        <w:tc>
          <w:tcPr>
            <w:tcW w:w="662" w:type="pct"/>
            <w:tcBorders>
              <w:top w:val="nil"/>
              <w:left w:val="nil"/>
              <w:bottom w:val="nil"/>
              <w:right w:val="single" w:sz="4" w:space="0" w:color="auto"/>
            </w:tcBorders>
          </w:tcPr>
          <w:p w:rsidR="00526EFA" w:rsidRDefault="005C4D05">
            <w:pPr>
              <w:keepNext/>
              <w:keepLines/>
              <w:jc w:val="center"/>
              <w:rPr>
                <w:b/>
                <w:bCs/>
                <w:noProof/>
                <w:color w:val="000000"/>
                <w:sz w:val="20"/>
                <w:szCs w:val="20"/>
              </w:rPr>
            </w:pPr>
            <w:r>
              <w:rPr>
                <w:b/>
                <w:noProof/>
                <w:color w:val="000000"/>
                <w:sz w:val="20"/>
              </w:rPr>
              <w:t>2017</w:t>
            </w:r>
            <w:r>
              <w:rPr>
                <w:rStyle w:val="FootnoteReference"/>
                <w:b/>
                <w:noProof/>
                <w:color w:val="000000"/>
                <w:sz w:val="20"/>
              </w:rPr>
              <w:footnoteReference w:id="60"/>
            </w:r>
          </w:p>
        </w:tc>
        <w:tc>
          <w:tcPr>
            <w:tcW w:w="102" w:type="pct"/>
            <w:tcBorders>
              <w:top w:val="nil"/>
              <w:left w:val="single" w:sz="4" w:space="0" w:color="auto"/>
              <w:bottom w:val="nil"/>
              <w:right w:val="single" w:sz="4" w:space="0" w:color="auto"/>
            </w:tcBorders>
          </w:tcPr>
          <w:p w:rsidR="00526EFA" w:rsidRDefault="00526EFA">
            <w:pPr>
              <w:keepNext/>
              <w:keepLines/>
              <w:jc w:val="center"/>
              <w:rPr>
                <w:b/>
                <w:bCs/>
                <w:noProof/>
                <w:color w:val="000000"/>
                <w:sz w:val="20"/>
                <w:szCs w:val="20"/>
              </w:rPr>
            </w:pPr>
          </w:p>
        </w:tc>
        <w:tc>
          <w:tcPr>
            <w:tcW w:w="661" w:type="pct"/>
            <w:tcBorders>
              <w:top w:val="nil"/>
              <w:left w:val="single" w:sz="4" w:space="0" w:color="auto"/>
              <w:bottom w:val="nil"/>
              <w:right w:val="single" w:sz="8" w:space="0" w:color="auto"/>
            </w:tcBorders>
            <w:shd w:val="clear" w:color="auto" w:fill="auto"/>
            <w:vAlign w:val="center"/>
            <w:hideMark/>
          </w:tcPr>
          <w:p w:rsidR="00526EFA" w:rsidRDefault="005C4D05">
            <w:pPr>
              <w:keepNext/>
              <w:keepLines/>
              <w:jc w:val="center"/>
              <w:rPr>
                <w:b/>
                <w:bCs/>
                <w:noProof/>
                <w:color w:val="000000"/>
                <w:sz w:val="20"/>
                <w:szCs w:val="20"/>
              </w:rPr>
            </w:pPr>
            <w:r>
              <w:rPr>
                <w:b/>
                <w:noProof/>
                <w:color w:val="000000"/>
                <w:sz w:val="20"/>
              </w:rPr>
              <w:t>2019</w:t>
            </w:r>
          </w:p>
        </w:tc>
        <w:tc>
          <w:tcPr>
            <w:tcW w:w="521" w:type="pct"/>
            <w:tcBorders>
              <w:top w:val="nil"/>
              <w:left w:val="nil"/>
              <w:bottom w:val="nil"/>
              <w:right w:val="single" w:sz="8" w:space="0" w:color="auto"/>
            </w:tcBorders>
            <w:shd w:val="clear" w:color="auto" w:fill="auto"/>
            <w:vAlign w:val="center"/>
            <w:hideMark/>
          </w:tcPr>
          <w:p w:rsidR="00526EFA" w:rsidRDefault="005C4D05">
            <w:pPr>
              <w:keepNext/>
              <w:keepLines/>
              <w:jc w:val="center"/>
              <w:rPr>
                <w:b/>
                <w:bCs/>
                <w:noProof/>
                <w:color w:val="000000"/>
                <w:sz w:val="20"/>
                <w:szCs w:val="20"/>
              </w:rPr>
            </w:pPr>
            <w:r>
              <w:rPr>
                <w:b/>
                <w:noProof/>
                <w:color w:val="000000"/>
                <w:sz w:val="20"/>
              </w:rPr>
              <w:t>2020</w:t>
            </w:r>
          </w:p>
        </w:tc>
        <w:tc>
          <w:tcPr>
            <w:tcW w:w="628" w:type="pct"/>
            <w:tcBorders>
              <w:top w:val="nil"/>
              <w:left w:val="nil"/>
              <w:bottom w:val="nil"/>
              <w:right w:val="single" w:sz="8" w:space="0" w:color="auto"/>
            </w:tcBorders>
            <w:shd w:val="clear" w:color="auto" w:fill="auto"/>
            <w:vAlign w:val="center"/>
            <w:hideMark/>
          </w:tcPr>
          <w:p w:rsidR="00526EFA" w:rsidRDefault="00526EFA">
            <w:pPr>
              <w:keepNext/>
              <w:keepLines/>
              <w:jc w:val="center"/>
              <w:rPr>
                <w:b/>
                <w:bCs/>
                <w:noProof/>
                <w:color w:val="000000"/>
                <w:sz w:val="20"/>
                <w:szCs w:val="20"/>
              </w:rPr>
            </w:pPr>
          </w:p>
        </w:tc>
      </w:tr>
      <w:tr w:rsidR="00526EFA">
        <w:trPr>
          <w:trHeight w:val="315"/>
        </w:trPr>
        <w:tc>
          <w:tcPr>
            <w:tcW w:w="1131" w:type="pct"/>
            <w:vMerge/>
            <w:tcBorders>
              <w:top w:val="single" w:sz="8" w:space="0" w:color="auto"/>
              <w:left w:val="single" w:sz="8" w:space="0" w:color="auto"/>
              <w:bottom w:val="single" w:sz="8" w:space="0" w:color="000000"/>
              <w:right w:val="single" w:sz="8" w:space="0" w:color="auto"/>
            </w:tcBorders>
            <w:vAlign w:val="center"/>
            <w:hideMark/>
          </w:tcPr>
          <w:p w:rsidR="00526EFA" w:rsidRDefault="00526EFA">
            <w:pPr>
              <w:keepNext/>
              <w:keepLines/>
              <w:rPr>
                <w:noProof/>
                <w:color w:val="000000"/>
              </w:rPr>
            </w:pPr>
          </w:p>
        </w:tc>
        <w:tc>
          <w:tcPr>
            <w:tcW w:w="768" w:type="pct"/>
            <w:tcBorders>
              <w:top w:val="nil"/>
              <w:left w:val="nil"/>
              <w:bottom w:val="single" w:sz="8" w:space="0" w:color="auto"/>
              <w:right w:val="nil"/>
            </w:tcBorders>
            <w:shd w:val="clear" w:color="auto" w:fill="auto"/>
            <w:vAlign w:val="center"/>
            <w:hideMark/>
          </w:tcPr>
          <w:p w:rsidR="00526EFA" w:rsidRDefault="005C4D05">
            <w:pPr>
              <w:keepNext/>
              <w:keepLines/>
              <w:rPr>
                <w:noProof/>
                <w:color w:val="000000"/>
                <w:sz w:val="20"/>
                <w:szCs w:val="20"/>
              </w:rPr>
            </w:pPr>
            <w:r>
              <w:rPr>
                <w:noProof/>
                <w:color w:val="000000"/>
                <w:sz w:val="20"/>
              </w:rPr>
              <w:t> </w:t>
            </w:r>
          </w:p>
        </w:tc>
        <w:tc>
          <w:tcPr>
            <w:tcW w:w="526" w:type="pct"/>
            <w:tcBorders>
              <w:top w:val="nil"/>
              <w:left w:val="single" w:sz="8" w:space="0" w:color="auto"/>
              <w:bottom w:val="single" w:sz="8" w:space="0" w:color="auto"/>
              <w:right w:val="single" w:sz="8" w:space="0" w:color="auto"/>
            </w:tcBorders>
            <w:shd w:val="clear" w:color="auto" w:fill="auto"/>
            <w:vAlign w:val="center"/>
            <w:hideMark/>
          </w:tcPr>
          <w:p w:rsidR="00526EFA" w:rsidRDefault="005C4D05">
            <w:pPr>
              <w:keepNext/>
              <w:keepLines/>
              <w:jc w:val="center"/>
              <w:rPr>
                <w:noProof/>
                <w:color w:val="000000"/>
                <w:sz w:val="20"/>
                <w:szCs w:val="20"/>
              </w:rPr>
            </w:pPr>
            <w:r>
              <w:rPr>
                <w:noProof/>
                <w:color w:val="000000"/>
                <w:sz w:val="20"/>
              </w:rPr>
              <w:t> </w:t>
            </w:r>
          </w:p>
        </w:tc>
        <w:tc>
          <w:tcPr>
            <w:tcW w:w="662" w:type="pct"/>
            <w:tcBorders>
              <w:top w:val="nil"/>
              <w:left w:val="nil"/>
              <w:bottom w:val="single" w:sz="4" w:space="0" w:color="auto"/>
              <w:right w:val="single" w:sz="4" w:space="0" w:color="auto"/>
            </w:tcBorders>
          </w:tcPr>
          <w:p w:rsidR="00526EFA" w:rsidRDefault="00526EFA">
            <w:pPr>
              <w:keepNext/>
              <w:keepLines/>
              <w:jc w:val="center"/>
              <w:rPr>
                <w:rFonts w:ascii="Calibri" w:hAnsi="Calibri" w:cs="Calibri"/>
                <w:noProof/>
                <w:color w:val="000000"/>
                <w:highlight w:val="yellow"/>
              </w:rPr>
            </w:pPr>
          </w:p>
        </w:tc>
        <w:tc>
          <w:tcPr>
            <w:tcW w:w="102" w:type="pct"/>
            <w:tcBorders>
              <w:top w:val="nil"/>
              <w:left w:val="single" w:sz="4" w:space="0" w:color="auto"/>
              <w:bottom w:val="single" w:sz="4" w:space="0" w:color="auto"/>
              <w:right w:val="single" w:sz="4" w:space="0" w:color="auto"/>
            </w:tcBorders>
          </w:tcPr>
          <w:p w:rsidR="00526EFA" w:rsidRDefault="00526EFA">
            <w:pPr>
              <w:keepNext/>
              <w:keepLines/>
              <w:jc w:val="center"/>
              <w:rPr>
                <w:rFonts w:ascii="Calibri" w:hAnsi="Calibri" w:cs="Calibri"/>
                <w:noProof/>
                <w:color w:val="000000"/>
              </w:rPr>
            </w:pPr>
          </w:p>
        </w:tc>
        <w:tc>
          <w:tcPr>
            <w:tcW w:w="661" w:type="pct"/>
            <w:tcBorders>
              <w:top w:val="nil"/>
              <w:left w:val="single" w:sz="4" w:space="0" w:color="auto"/>
              <w:bottom w:val="single" w:sz="4" w:space="0" w:color="auto"/>
              <w:right w:val="single" w:sz="8" w:space="0" w:color="auto"/>
            </w:tcBorders>
            <w:shd w:val="clear" w:color="auto" w:fill="auto"/>
            <w:vAlign w:val="center"/>
          </w:tcPr>
          <w:p w:rsidR="00526EFA" w:rsidRDefault="00526EFA">
            <w:pPr>
              <w:keepNext/>
              <w:keepLines/>
              <w:jc w:val="center"/>
              <w:rPr>
                <w:rFonts w:ascii="Calibri" w:hAnsi="Calibri" w:cs="Calibri"/>
                <w:noProof/>
                <w:color w:val="000000"/>
              </w:rPr>
            </w:pPr>
          </w:p>
        </w:tc>
        <w:tc>
          <w:tcPr>
            <w:tcW w:w="521" w:type="pct"/>
            <w:tcBorders>
              <w:top w:val="nil"/>
              <w:left w:val="nil"/>
              <w:bottom w:val="single" w:sz="8" w:space="0" w:color="auto"/>
              <w:right w:val="single" w:sz="8" w:space="0" w:color="auto"/>
            </w:tcBorders>
            <w:shd w:val="clear" w:color="auto" w:fill="auto"/>
            <w:vAlign w:val="center"/>
          </w:tcPr>
          <w:p w:rsidR="00526EFA" w:rsidRDefault="00526EFA">
            <w:pPr>
              <w:keepNext/>
              <w:keepLines/>
              <w:jc w:val="center"/>
              <w:rPr>
                <w:rFonts w:ascii="Calibri" w:hAnsi="Calibri" w:cs="Calibri"/>
                <w:noProof/>
                <w:color w:val="000000"/>
                <w:highlight w:val="yellow"/>
              </w:rPr>
            </w:pPr>
          </w:p>
        </w:tc>
        <w:tc>
          <w:tcPr>
            <w:tcW w:w="628" w:type="pct"/>
            <w:tcBorders>
              <w:top w:val="nil"/>
              <w:left w:val="nil"/>
              <w:bottom w:val="single" w:sz="8" w:space="0" w:color="auto"/>
              <w:right w:val="single" w:sz="8" w:space="0" w:color="auto"/>
            </w:tcBorders>
            <w:shd w:val="clear" w:color="auto" w:fill="auto"/>
            <w:vAlign w:val="center"/>
            <w:hideMark/>
          </w:tcPr>
          <w:p w:rsidR="00526EFA" w:rsidRDefault="00526EFA">
            <w:pPr>
              <w:keepNext/>
              <w:keepLines/>
              <w:jc w:val="center"/>
              <w:rPr>
                <w:b/>
                <w:bCs/>
                <w:noProof/>
                <w:color w:val="000000"/>
                <w:sz w:val="20"/>
                <w:szCs w:val="20"/>
                <w:highlight w:val="yellow"/>
              </w:rPr>
            </w:pPr>
          </w:p>
        </w:tc>
      </w:tr>
      <w:tr w:rsidR="00526EFA">
        <w:trPr>
          <w:trHeight w:val="315"/>
        </w:trPr>
        <w:tc>
          <w:tcPr>
            <w:tcW w:w="1131" w:type="pct"/>
            <w:vMerge w:val="restart"/>
            <w:tcBorders>
              <w:top w:val="nil"/>
              <w:left w:val="single" w:sz="8" w:space="0" w:color="auto"/>
              <w:bottom w:val="single" w:sz="8" w:space="0" w:color="000000"/>
              <w:right w:val="single" w:sz="8" w:space="0" w:color="auto"/>
            </w:tcBorders>
            <w:shd w:val="clear" w:color="auto" w:fill="auto"/>
            <w:vAlign w:val="center"/>
            <w:hideMark/>
          </w:tcPr>
          <w:p w:rsidR="00526EFA" w:rsidRDefault="005C4D05">
            <w:pPr>
              <w:keepNext/>
              <w:keepLines/>
              <w:rPr>
                <w:noProof/>
                <w:color w:val="000000"/>
                <w:sz w:val="20"/>
                <w:szCs w:val="20"/>
              </w:rPr>
            </w:pPr>
            <w:r>
              <w:rPr>
                <w:noProof/>
                <w:color w:val="000000"/>
                <w:sz w:val="20"/>
              </w:rPr>
              <w:t>Caiteachas foirne (Teideal 1)</w:t>
            </w:r>
            <w:r>
              <w:rPr>
                <w:noProof/>
                <w:color w:val="000000"/>
                <w:sz w:val="20"/>
                <w:vertAlign w:val="superscript"/>
              </w:rPr>
              <w:t xml:space="preserve"> </w:t>
            </w:r>
          </w:p>
        </w:tc>
        <w:tc>
          <w:tcPr>
            <w:tcW w:w="768" w:type="pct"/>
            <w:tcBorders>
              <w:top w:val="nil"/>
              <w:left w:val="nil"/>
              <w:bottom w:val="single" w:sz="8" w:space="0" w:color="auto"/>
              <w:right w:val="single" w:sz="8" w:space="0" w:color="auto"/>
            </w:tcBorders>
            <w:shd w:val="clear" w:color="auto" w:fill="auto"/>
            <w:vAlign w:val="center"/>
            <w:hideMark/>
          </w:tcPr>
          <w:p w:rsidR="00526EFA" w:rsidRDefault="005C4D05">
            <w:pPr>
              <w:keepNext/>
              <w:keepLines/>
              <w:rPr>
                <w:noProof/>
                <w:color w:val="000000"/>
                <w:sz w:val="18"/>
                <w:szCs w:val="18"/>
              </w:rPr>
            </w:pPr>
            <w:r>
              <w:rPr>
                <w:noProof/>
                <w:color w:val="000000"/>
                <w:sz w:val="18"/>
              </w:rPr>
              <w:t>Gealltanais</w:t>
            </w:r>
          </w:p>
        </w:tc>
        <w:tc>
          <w:tcPr>
            <w:tcW w:w="526" w:type="pct"/>
            <w:tcBorders>
              <w:top w:val="nil"/>
              <w:left w:val="nil"/>
              <w:bottom w:val="single" w:sz="8" w:space="0" w:color="auto"/>
              <w:right w:val="single" w:sz="4" w:space="0" w:color="auto"/>
            </w:tcBorders>
            <w:shd w:val="clear" w:color="auto" w:fill="auto"/>
            <w:vAlign w:val="center"/>
            <w:hideMark/>
          </w:tcPr>
          <w:p w:rsidR="00526EFA" w:rsidRDefault="005C4D05">
            <w:pPr>
              <w:keepNext/>
              <w:keepLines/>
              <w:jc w:val="center"/>
              <w:rPr>
                <w:noProof/>
                <w:color w:val="000000"/>
                <w:sz w:val="14"/>
                <w:szCs w:val="14"/>
              </w:rPr>
            </w:pPr>
            <w:r>
              <w:rPr>
                <w:noProof/>
                <w:color w:val="000000"/>
                <w:sz w:val="14"/>
              </w:rPr>
              <w:t>-1</w:t>
            </w:r>
          </w:p>
        </w:tc>
        <w:tc>
          <w:tcPr>
            <w:tcW w:w="662" w:type="pct"/>
            <w:tcBorders>
              <w:top w:val="single" w:sz="4" w:space="0" w:color="auto"/>
              <w:left w:val="single" w:sz="4" w:space="0" w:color="auto"/>
              <w:bottom w:val="single" w:sz="4" w:space="0" w:color="auto"/>
              <w:right w:val="single" w:sz="4" w:space="0" w:color="auto"/>
            </w:tcBorders>
            <w:vAlign w:val="center"/>
          </w:tcPr>
          <w:p w:rsidR="00526EFA" w:rsidRDefault="005C4D05">
            <w:pPr>
              <w:keepNext/>
              <w:keepLines/>
              <w:jc w:val="center"/>
              <w:rPr>
                <w:noProof/>
                <w:color w:val="000000"/>
                <w:sz w:val="20"/>
                <w:szCs w:val="20"/>
              </w:rPr>
            </w:pPr>
            <w:r>
              <w:rPr>
                <w:noProof/>
                <w:color w:val="000000"/>
                <w:sz w:val="20"/>
              </w:rPr>
              <w:t>2 302</w:t>
            </w:r>
          </w:p>
        </w:tc>
        <w:tc>
          <w:tcPr>
            <w:tcW w:w="102" w:type="pct"/>
            <w:tcBorders>
              <w:top w:val="single" w:sz="4" w:space="0" w:color="auto"/>
              <w:left w:val="single" w:sz="4" w:space="0" w:color="auto"/>
              <w:bottom w:val="single" w:sz="4" w:space="0" w:color="auto"/>
              <w:right w:val="single" w:sz="4" w:space="0" w:color="auto"/>
            </w:tcBorders>
          </w:tcPr>
          <w:p w:rsidR="00526EFA" w:rsidRDefault="00526EFA">
            <w:pPr>
              <w:keepNext/>
              <w:keepLines/>
              <w:jc w:val="center"/>
              <w:rPr>
                <w:noProof/>
                <w:color w:val="000000"/>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526EFA" w:rsidRDefault="005C4D05">
            <w:pPr>
              <w:keepNext/>
              <w:keepLines/>
              <w:jc w:val="center"/>
              <w:rPr>
                <w:noProof/>
                <w:color w:val="000000"/>
                <w:sz w:val="20"/>
                <w:szCs w:val="20"/>
              </w:rPr>
            </w:pPr>
            <w:r>
              <w:rPr>
                <w:noProof/>
                <w:color w:val="000000"/>
                <w:sz w:val="20"/>
              </w:rPr>
              <w:t>3 410</w:t>
            </w:r>
          </w:p>
        </w:tc>
        <w:tc>
          <w:tcPr>
            <w:tcW w:w="521" w:type="pct"/>
            <w:tcBorders>
              <w:top w:val="nil"/>
              <w:left w:val="single" w:sz="4" w:space="0" w:color="auto"/>
              <w:bottom w:val="single" w:sz="8" w:space="0" w:color="auto"/>
              <w:right w:val="single" w:sz="8" w:space="0" w:color="auto"/>
            </w:tcBorders>
            <w:shd w:val="clear" w:color="auto" w:fill="auto"/>
            <w:vAlign w:val="center"/>
          </w:tcPr>
          <w:p w:rsidR="00526EFA" w:rsidRDefault="005C4D05">
            <w:pPr>
              <w:keepNext/>
              <w:keepLines/>
              <w:jc w:val="center"/>
              <w:rPr>
                <w:noProof/>
                <w:color w:val="000000"/>
                <w:sz w:val="20"/>
                <w:szCs w:val="20"/>
              </w:rPr>
            </w:pPr>
            <w:r>
              <w:rPr>
                <w:noProof/>
                <w:color w:val="000000"/>
                <w:sz w:val="20"/>
              </w:rPr>
              <w:t>4 064</w:t>
            </w:r>
          </w:p>
        </w:tc>
        <w:tc>
          <w:tcPr>
            <w:tcW w:w="628" w:type="pct"/>
            <w:tcBorders>
              <w:top w:val="nil"/>
              <w:left w:val="nil"/>
              <w:bottom w:val="single" w:sz="8" w:space="0" w:color="auto"/>
              <w:right w:val="single" w:sz="8" w:space="0" w:color="auto"/>
            </w:tcBorders>
            <w:shd w:val="clear" w:color="auto" w:fill="auto"/>
            <w:vAlign w:val="center"/>
          </w:tcPr>
          <w:p w:rsidR="00526EFA" w:rsidRDefault="005C4D05">
            <w:pPr>
              <w:keepNext/>
              <w:keepLines/>
              <w:jc w:val="center"/>
              <w:rPr>
                <w:b/>
                <w:noProof/>
                <w:color w:val="000000"/>
                <w:sz w:val="20"/>
                <w:szCs w:val="20"/>
              </w:rPr>
            </w:pPr>
            <w:r>
              <w:rPr>
                <w:b/>
                <w:noProof/>
                <w:color w:val="000000"/>
                <w:sz w:val="20"/>
              </w:rPr>
              <w:t>7 474</w:t>
            </w:r>
          </w:p>
        </w:tc>
      </w:tr>
      <w:tr w:rsidR="00526EFA">
        <w:trPr>
          <w:trHeight w:val="315"/>
        </w:trPr>
        <w:tc>
          <w:tcPr>
            <w:tcW w:w="1131" w:type="pct"/>
            <w:vMerge/>
            <w:tcBorders>
              <w:top w:val="nil"/>
              <w:left w:val="single" w:sz="8" w:space="0" w:color="auto"/>
              <w:bottom w:val="single" w:sz="8" w:space="0" w:color="000000"/>
              <w:right w:val="single" w:sz="8" w:space="0" w:color="auto"/>
            </w:tcBorders>
            <w:vAlign w:val="center"/>
            <w:hideMark/>
          </w:tcPr>
          <w:p w:rsidR="00526EFA" w:rsidRDefault="00526EFA">
            <w:pPr>
              <w:keepNext/>
              <w:keepLines/>
              <w:rPr>
                <w:noProof/>
                <w:color w:val="000000"/>
                <w:sz w:val="20"/>
                <w:szCs w:val="20"/>
              </w:rPr>
            </w:pPr>
          </w:p>
        </w:tc>
        <w:tc>
          <w:tcPr>
            <w:tcW w:w="768" w:type="pct"/>
            <w:tcBorders>
              <w:top w:val="nil"/>
              <w:left w:val="nil"/>
              <w:bottom w:val="single" w:sz="8" w:space="0" w:color="auto"/>
              <w:right w:val="single" w:sz="8" w:space="0" w:color="auto"/>
            </w:tcBorders>
            <w:shd w:val="clear" w:color="auto" w:fill="auto"/>
            <w:vAlign w:val="center"/>
            <w:hideMark/>
          </w:tcPr>
          <w:p w:rsidR="00526EFA" w:rsidRDefault="005C4D05">
            <w:pPr>
              <w:keepNext/>
              <w:keepLines/>
              <w:rPr>
                <w:noProof/>
                <w:color w:val="000000"/>
                <w:sz w:val="18"/>
                <w:szCs w:val="18"/>
              </w:rPr>
            </w:pPr>
            <w:r>
              <w:rPr>
                <w:noProof/>
                <w:color w:val="000000"/>
                <w:sz w:val="18"/>
              </w:rPr>
              <w:t>Íocaíochtaí</w:t>
            </w:r>
          </w:p>
        </w:tc>
        <w:tc>
          <w:tcPr>
            <w:tcW w:w="526" w:type="pct"/>
            <w:tcBorders>
              <w:top w:val="nil"/>
              <w:left w:val="nil"/>
              <w:bottom w:val="single" w:sz="8" w:space="0" w:color="auto"/>
              <w:right w:val="single" w:sz="4" w:space="0" w:color="auto"/>
            </w:tcBorders>
            <w:shd w:val="clear" w:color="auto" w:fill="auto"/>
            <w:vAlign w:val="center"/>
            <w:hideMark/>
          </w:tcPr>
          <w:p w:rsidR="00526EFA" w:rsidRDefault="005C4D05">
            <w:pPr>
              <w:keepNext/>
              <w:keepLines/>
              <w:jc w:val="center"/>
              <w:rPr>
                <w:noProof/>
                <w:color w:val="000000"/>
                <w:sz w:val="14"/>
                <w:szCs w:val="14"/>
              </w:rPr>
            </w:pPr>
            <w:r>
              <w:rPr>
                <w:noProof/>
                <w:color w:val="000000"/>
                <w:sz w:val="14"/>
              </w:rPr>
              <w:t>-2</w:t>
            </w:r>
          </w:p>
        </w:tc>
        <w:tc>
          <w:tcPr>
            <w:tcW w:w="662" w:type="pct"/>
            <w:tcBorders>
              <w:top w:val="single" w:sz="4" w:space="0" w:color="auto"/>
              <w:left w:val="single" w:sz="4" w:space="0" w:color="auto"/>
              <w:bottom w:val="single" w:sz="4" w:space="0" w:color="auto"/>
              <w:right w:val="single" w:sz="4" w:space="0" w:color="auto"/>
            </w:tcBorders>
            <w:vAlign w:val="center"/>
          </w:tcPr>
          <w:p w:rsidR="00526EFA" w:rsidRDefault="005C4D05">
            <w:pPr>
              <w:keepNext/>
              <w:keepLines/>
              <w:jc w:val="center"/>
              <w:rPr>
                <w:noProof/>
                <w:color w:val="000000"/>
                <w:sz w:val="20"/>
                <w:szCs w:val="20"/>
              </w:rPr>
            </w:pPr>
            <w:r>
              <w:rPr>
                <w:noProof/>
                <w:color w:val="000000"/>
                <w:sz w:val="20"/>
              </w:rPr>
              <w:t>2 302</w:t>
            </w:r>
          </w:p>
        </w:tc>
        <w:tc>
          <w:tcPr>
            <w:tcW w:w="102" w:type="pct"/>
            <w:tcBorders>
              <w:top w:val="single" w:sz="4" w:space="0" w:color="auto"/>
              <w:left w:val="single" w:sz="4" w:space="0" w:color="auto"/>
              <w:bottom w:val="single" w:sz="4" w:space="0" w:color="auto"/>
              <w:right w:val="single" w:sz="4" w:space="0" w:color="auto"/>
            </w:tcBorders>
          </w:tcPr>
          <w:p w:rsidR="00526EFA" w:rsidRDefault="00526EFA">
            <w:pPr>
              <w:keepNext/>
              <w:keepLines/>
              <w:jc w:val="center"/>
              <w:rPr>
                <w:noProof/>
                <w:color w:val="000000"/>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526EFA" w:rsidRDefault="005C4D05">
            <w:pPr>
              <w:keepNext/>
              <w:keepLines/>
              <w:jc w:val="center"/>
              <w:rPr>
                <w:noProof/>
                <w:color w:val="000000"/>
                <w:sz w:val="20"/>
                <w:szCs w:val="20"/>
              </w:rPr>
            </w:pPr>
            <w:r>
              <w:rPr>
                <w:noProof/>
                <w:color w:val="000000"/>
                <w:sz w:val="20"/>
              </w:rPr>
              <w:t>3 410</w:t>
            </w:r>
          </w:p>
        </w:tc>
        <w:tc>
          <w:tcPr>
            <w:tcW w:w="521" w:type="pct"/>
            <w:tcBorders>
              <w:top w:val="nil"/>
              <w:left w:val="single" w:sz="4" w:space="0" w:color="auto"/>
              <w:bottom w:val="single" w:sz="8" w:space="0" w:color="auto"/>
              <w:right w:val="single" w:sz="8" w:space="0" w:color="auto"/>
            </w:tcBorders>
            <w:shd w:val="clear" w:color="auto" w:fill="auto"/>
            <w:vAlign w:val="center"/>
          </w:tcPr>
          <w:p w:rsidR="00526EFA" w:rsidRDefault="005C4D05">
            <w:pPr>
              <w:keepNext/>
              <w:keepLines/>
              <w:jc w:val="center"/>
              <w:rPr>
                <w:noProof/>
                <w:color w:val="000000"/>
                <w:sz w:val="20"/>
                <w:szCs w:val="20"/>
              </w:rPr>
            </w:pPr>
            <w:r>
              <w:rPr>
                <w:noProof/>
                <w:color w:val="000000"/>
                <w:sz w:val="20"/>
              </w:rPr>
              <w:t>4 064</w:t>
            </w:r>
          </w:p>
        </w:tc>
        <w:tc>
          <w:tcPr>
            <w:tcW w:w="628" w:type="pct"/>
            <w:tcBorders>
              <w:top w:val="nil"/>
              <w:left w:val="nil"/>
              <w:bottom w:val="single" w:sz="8" w:space="0" w:color="auto"/>
              <w:right w:val="single" w:sz="8" w:space="0" w:color="auto"/>
            </w:tcBorders>
            <w:shd w:val="clear" w:color="auto" w:fill="auto"/>
            <w:vAlign w:val="center"/>
          </w:tcPr>
          <w:p w:rsidR="00526EFA" w:rsidRDefault="005C4D05">
            <w:pPr>
              <w:keepNext/>
              <w:keepLines/>
              <w:jc w:val="center"/>
              <w:rPr>
                <w:b/>
                <w:noProof/>
                <w:color w:val="000000"/>
                <w:sz w:val="20"/>
                <w:szCs w:val="20"/>
              </w:rPr>
            </w:pPr>
            <w:r>
              <w:rPr>
                <w:b/>
                <w:noProof/>
                <w:color w:val="000000"/>
                <w:sz w:val="20"/>
              </w:rPr>
              <w:t>7 474</w:t>
            </w:r>
          </w:p>
        </w:tc>
      </w:tr>
      <w:tr w:rsidR="00526EFA">
        <w:trPr>
          <w:trHeight w:val="315"/>
        </w:trPr>
        <w:tc>
          <w:tcPr>
            <w:tcW w:w="1131" w:type="pct"/>
            <w:vMerge w:val="restart"/>
            <w:tcBorders>
              <w:top w:val="nil"/>
              <w:left w:val="single" w:sz="8" w:space="0" w:color="auto"/>
              <w:bottom w:val="single" w:sz="8" w:space="0" w:color="000000"/>
              <w:right w:val="single" w:sz="8" w:space="0" w:color="auto"/>
            </w:tcBorders>
            <w:shd w:val="clear" w:color="auto" w:fill="auto"/>
            <w:vAlign w:val="center"/>
            <w:hideMark/>
          </w:tcPr>
          <w:p w:rsidR="00526EFA" w:rsidRDefault="005C4D05">
            <w:pPr>
              <w:keepNext/>
              <w:keepLines/>
              <w:rPr>
                <w:noProof/>
                <w:color w:val="000000"/>
                <w:sz w:val="20"/>
                <w:szCs w:val="20"/>
              </w:rPr>
            </w:pPr>
            <w:r>
              <w:rPr>
                <w:noProof/>
                <w:color w:val="000000"/>
                <w:sz w:val="20"/>
              </w:rPr>
              <w:t xml:space="preserve">Caiteachas ar bhonneagair agus </w:t>
            </w:r>
            <w:r>
              <w:rPr>
                <w:noProof/>
                <w:color w:val="000000"/>
                <w:sz w:val="20"/>
              </w:rPr>
              <w:t>caiteachas oibríochtúil (Teideal 2)</w:t>
            </w:r>
          </w:p>
        </w:tc>
        <w:tc>
          <w:tcPr>
            <w:tcW w:w="768" w:type="pct"/>
            <w:tcBorders>
              <w:top w:val="nil"/>
              <w:left w:val="nil"/>
              <w:bottom w:val="single" w:sz="8" w:space="0" w:color="auto"/>
              <w:right w:val="single" w:sz="8" w:space="0" w:color="auto"/>
            </w:tcBorders>
            <w:shd w:val="clear" w:color="auto" w:fill="auto"/>
            <w:vAlign w:val="center"/>
            <w:hideMark/>
          </w:tcPr>
          <w:p w:rsidR="00526EFA" w:rsidRDefault="005C4D05">
            <w:pPr>
              <w:keepNext/>
              <w:keepLines/>
              <w:rPr>
                <w:noProof/>
                <w:color w:val="000000"/>
                <w:sz w:val="18"/>
                <w:szCs w:val="18"/>
              </w:rPr>
            </w:pPr>
            <w:r>
              <w:rPr>
                <w:noProof/>
                <w:color w:val="000000"/>
                <w:sz w:val="18"/>
              </w:rPr>
              <w:t>Gealltanais</w:t>
            </w:r>
          </w:p>
        </w:tc>
        <w:tc>
          <w:tcPr>
            <w:tcW w:w="526" w:type="pct"/>
            <w:tcBorders>
              <w:top w:val="nil"/>
              <w:left w:val="nil"/>
              <w:bottom w:val="single" w:sz="8" w:space="0" w:color="auto"/>
              <w:right w:val="single" w:sz="4" w:space="0" w:color="auto"/>
            </w:tcBorders>
            <w:shd w:val="clear" w:color="auto" w:fill="auto"/>
            <w:vAlign w:val="center"/>
            <w:hideMark/>
          </w:tcPr>
          <w:p w:rsidR="00526EFA" w:rsidRDefault="005C4D05">
            <w:pPr>
              <w:keepNext/>
              <w:keepLines/>
              <w:jc w:val="center"/>
              <w:rPr>
                <w:noProof/>
                <w:color w:val="000000"/>
                <w:sz w:val="14"/>
                <w:szCs w:val="14"/>
              </w:rPr>
            </w:pPr>
            <w:r>
              <w:rPr>
                <w:noProof/>
                <w:color w:val="000000"/>
                <w:sz w:val="14"/>
              </w:rPr>
              <w:t>(1a)</w:t>
            </w:r>
          </w:p>
        </w:tc>
        <w:tc>
          <w:tcPr>
            <w:tcW w:w="662" w:type="pct"/>
            <w:tcBorders>
              <w:top w:val="single" w:sz="4" w:space="0" w:color="auto"/>
              <w:left w:val="single" w:sz="4" w:space="0" w:color="auto"/>
              <w:bottom w:val="single" w:sz="4" w:space="0" w:color="auto"/>
              <w:right w:val="single" w:sz="4" w:space="0" w:color="auto"/>
            </w:tcBorders>
            <w:vAlign w:val="center"/>
          </w:tcPr>
          <w:p w:rsidR="00526EFA" w:rsidRDefault="005C4D05">
            <w:pPr>
              <w:keepNext/>
              <w:keepLines/>
              <w:jc w:val="center"/>
              <w:rPr>
                <w:noProof/>
                <w:color w:val="000000"/>
                <w:sz w:val="20"/>
                <w:szCs w:val="20"/>
              </w:rPr>
            </w:pPr>
            <w:r>
              <w:rPr>
                <w:noProof/>
                <w:color w:val="000000"/>
                <w:sz w:val="20"/>
              </w:rPr>
              <w:t>0 359</w:t>
            </w:r>
          </w:p>
        </w:tc>
        <w:tc>
          <w:tcPr>
            <w:tcW w:w="102" w:type="pct"/>
            <w:tcBorders>
              <w:top w:val="single" w:sz="4" w:space="0" w:color="auto"/>
              <w:left w:val="single" w:sz="4" w:space="0" w:color="auto"/>
              <w:bottom w:val="single" w:sz="4" w:space="0" w:color="auto"/>
              <w:right w:val="single" w:sz="4" w:space="0" w:color="auto"/>
            </w:tcBorders>
          </w:tcPr>
          <w:p w:rsidR="00526EFA" w:rsidRDefault="00526EFA">
            <w:pPr>
              <w:keepNext/>
              <w:keepLines/>
              <w:jc w:val="center"/>
              <w:rPr>
                <w:noProof/>
                <w:color w:val="000000"/>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526EFA" w:rsidRDefault="005C4D05">
            <w:pPr>
              <w:keepNext/>
              <w:keepLines/>
              <w:jc w:val="center"/>
              <w:rPr>
                <w:noProof/>
                <w:color w:val="000000"/>
                <w:sz w:val="20"/>
                <w:szCs w:val="20"/>
              </w:rPr>
            </w:pPr>
            <w:r>
              <w:rPr>
                <w:noProof/>
                <w:color w:val="000000"/>
                <w:sz w:val="20"/>
              </w:rPr>
              <w:t>0 444</w:t>
            </w:r>
          </w:p>
        </w:tc>
        <w:tc>
          <w:tcPr>
            <w:tcW w:w="521" w:type="pct"/>
            <w:tcBorders>
              <w:top w:val="nil"/>
              <w:left w:val="single" w:sz="4" w:space="0" w:color="auto"/>
              <w:bottom w:val="single" w:sz="8" w:space="0" w:color="auto"/>
              <w:right w:val="single" w:sz="8" w:space="0" w:color="auto"/>
            </w:tcBorders>
            <w:shd w:val="clear" w:color="auto" w:fill="auto"/>
            <w:vAlign w:val="center"/>
          </w:tcPr>
          <w:p w:rsidR="00526EFA" w:rsidRDefault="005C4D05">
            <w:pPr>
              <w:keepNext/>
              <w:keepLines/>
              <w:jc w:val="center"/>
              <w:rPr>
                <w:noProof/>
                <w:color w:val="000000"/>
                <w:sz w:val="20"/>
                <w:szCs w:val="20"/>
              </w:rPr>
            </w:pPr>
            <w:r>
              <w:rPr>
                <w:noProof/>
                <w:color w:val="000000"/>
                <w:sz w:val="20"/>
              </w:rPr>
              <w:t>0 579</w:t>
            </w:r>
          </w:p>
        </w:tc>
        <w:tc>
          <w:tcPr>
            <w:tcW w:w="628" w:type="pct"/>
            <w:tcBorders>
              <w:top w:val="nil"/>
              <w:left w:val="single" w:sz="8" w:space="0" w:color="auto"/>
              <w:bottom w:val="single" w:sz="8" w:space="0" w:color="auto"/>
              <w:right w:val="single" w:sz="8" w:space="0" w:color="auto"/>
            </w:tcBorders>
            <w:shd w:val="clear" w:color="auto" w:fill="auto"/>
            <w:vAlign w:val="center"/>
          </w:tcPr>
          <w:p w:rsidR="00526EFA" w:rsidRDefault="005C4D05">
            <w:pPr>
              <w:keepNext/>
              <w:keepLines/>
              <w:jc w:val="center"/>
              <w:rPr>
                <w:b/>
                <w:noProof/>
                <w:color w:val="000000"/>
                <w:sz w:val="20"/>
                <w:szCs w:val="20"/>
              </w:rPr>
            </w:pPr>
            <w:r>
              <w:rPr>
                <w:b/>
                <w:noProof/>
                <w:color w:val="000000"/>
                <w:sz w:val="20"/>
              </w:rPr>
              <w:t>1 023</w:t>
            </w:r>
          </w:p>
        </w:tc>
      </w:tr>
      <w:tr w:rsidR="00526EFA">
        <w:trPr>
          <w:trHeight w:val="315"/>
        </w:trPr>
        <w:tc>
          <w:tcPr>
            <w:tcW w:w="1131" w:type="pct"/>
            <w:vMerge/>
            <w:tcBorders>
              <w:top w:val="nil"/>
              <w:left w:val="single" w:sz="8" w:space="0" w:color="auto"/>
              <w:bottom w:val="single" w:sz="8" w:space="0" w:color="000000"/>
              <w:right w:val="single" w:sz="8" w:space="0" w:color="auto"/>
            </w:tcBorders>
            <w:vAlign w:val="center"/>
            <w:hideMark/>
          </w:tcPr>
          <w:p w:rsidR="00526EFA" w:rsidRDefault="00526EFA">
            <w:pPr>
              <w:keepNext/>
              <w:keepLines/>
              <w:rPr>
                <w:noProof/>
                <w:color w:val="000000"/>
                <w:sz w:val="20"/>
                <w:szCs w:val="20"/>
              </w:rPr>
            </w:pPr>
          </w:p>
        </w:tc>
        <w:tc>
          <w:tcPr>
            <w:tcW w:w="768" w:type="pct"/>
            <w:tcBorders>
              <w:top w:val="nil"/>
              <w:left w:val="nil"/>
              <w:bottom w:val="single" w:sz="8" w:space="0" w:color="auto"/>
              <w:right w:val="single" w:sz="8" w:space="0" w:color="auto"/>
            </w:tcBorders>
            <w:shd w:val="clear" w:color="auto" w:fill="auto"/>
            <w:vAlign w:val="center"/>
            <w:hideMark/>
          </w:tcPr>
          <w:p w:rsidR="00526EFA" w:rsidRDefault="005C4D05">
            <w:pPr>
              <w:keepNext/>
              <w:keepLines/>
              <w:rPr>
                <w:noProof/>
                <w:color w:val="000000"/>
                <w:sz w:val="18"/>
                <w:szCs w:val="18"/>
              </w:rPr>
            </w:pPr>
            <w:r>
              <w:rPr>
                <w:noProof/>
                <w:color w:val="000000"/>
                <w:sz w:val="18"/>
              </w:rPr>
              <w:t>Íocaíochtaí</w:t>
            </w:r>
          </w:p>
        </w:tc>
        <w:tc>
          <w:tcPr>
            <w:tcW w:w="526" w:type="pct"/>
            <w:tcBorders>
              <w:top w:val="nil"/>
              <w:left w:val="nil"/>
              <w:bottom w:val="single" w:sz="8" w:space="0" w:color="auto"/>
              <w:right w:val="single" w:sz="4" w:space="0" w:color="auto"/>
            </w:tcBorders>
            <w:shd w:val="clear" w:color="auto" w:fill="auto"/>
            <w:vAlign w:val="center"/>
            <w:hideMark/>
          </w:tcPr>
          <w:p w:rsidR="00526EFA" w:rsidRDefault="005C4D05">
            <w:pPr>
              <w:keepNext/>
              <w:keepLines/>
              <w:jc w:val="center"/>
              <w:rPr>
                <w:noProof/>
                <w:color w:val="000000"/>
                <w:sz w:val="14"/>
                <w:szCs w:val="14"/>
              </w:rPr>
            </w:pPr>
            <w:r>
              <w:rPr>
                <w:noProof/>
                <w:color w:val="000000"/>
                <w:sz w:val="14"/>
              </w:rPr>
              <w:t>(2 a)</w:t>
            </w:r>
          </w:p>
        </w:tc>
        <w:tc>
          <w:tcPr>
            <w:tcW w:w="662" w:type="pct"/>
            <w:tcBorders>
              <w:top w:val="single" w:sz="4" w:space="0" w:color="auto"/>
              <w:left w:val="single" w:sz="4" w:space="0" w:color="auto"/>
              <w:bottom w:val="single" w:sz="4" w:space="0" w:color="auto"/>
              <w:right w:val="single" w:sz="4" w:space="0" w:color="auto"/>
            </w:tcBorders>
            <w:vAlign w:val="center"/>
          </w:tcPr>
          <w:p w:rsidR="00526EFA" w:rsidRDefault="005C4D05">
            <w:pPr>
              <w:keepNext/>
              <w:keepLines/>
              <w:jc w:val="center"/>
              <w:rPr>
                <w:noProof/>
                <w:color w:val="000000"/>
                <w:sz w:val="20"/>
                <w:szCs w:val="20"/>
              </w:rPr>
            </w:pPr>
            <w:r>
              <w:rPr>
                <w:noProof/>
                <w:color w:val="000000"/>
                <w:sz w:val="20"/>
              </w:rPr>
              <w:t>0 359</w:t>
            </w:r>
          </w:p>
        </w:tc>
        <w:tc>
          <w:tcPr>
            <w:tcW w:w="102" w:type="pct"/>
            <w:tcBorders>
              <w:top w:val="single" w:sz="4" w:space="0" w:color="auto"/>
              <w:left w:val="single" w:sz="4" w:space="0" w:color="auto"/>
              <w:bottom w:val="single" w:sz="4" w:space="0" w:color="auto"/>
              <w:right w:val="single" w:sz="4" w:space="0" w:color="auto"/>
            </w:tcBorders>
          </w:tcPr>
          <w:p w:rsidR="00526EFA" w:rsidRDefault="00526EFA">
            <w:pPr>
              <w:keepNext/>
              <w:keepLines/>
              <w:jc w:val="center"/>
              <w:rPr>
                <w:noProof/>
                <w:color w:val="000000"/>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526EFA" w:rsidRDefault="005C4D05">
            <w:pPr>
              <w:keepNext/>
              <w:keepLines/>
              <w:jc w:val="center"/>
              <w:rPr>
                <w:noProof/>
                <w:color w:val="000000"/>
                <w:sz w:val="20"/>
                <w:szCs w:val="20"/>
              </w:rPr>
            </w:pPr>
            <w:r>
              <w:rPr>
                <w:noProof/>
                <w:color w:val="000000"/>
                <w:sz w:val="20"/>
              </w:rPr>
              <w:t>0 444</w:t>
            </w:r>
          </w:p>
        </w:tc>
        <w:tc>
          <w:tcPr>
            <w:tcW w:w="521" w:type="pct"/>
            <w:tcBorders>
              <w:top w:val="nil"/>
              <w:left w:val="single" w:sz="4" w:space="0" w:color="auto"/>
              <w:bottom w:val="single" w:sz="8" w:space="0" w:color="auto"/>
              <w:right w:val="single" w:sz="8" w:space="0" w:color="auto"/>
            </w:tcBorders>
            <w:shd w:val="clear" w:color="auto" w:fill="auto"/>
          </w:tcPr>
          <w:p w:rsidR="00526EFA" w:rsidRDefault="005C4D05">
            <w:pPr>
              <w:jc w:val="center"/>
              <w:rPr>
                <w:noProof/>
              </w:rPr>
            </w:pPr>
            <w:r>
              <w:rPr>
                <w:noProof/>
                <w:color w:val="000000"/>
                <w:sz w:val="20"/>
              </w:rPr>
              <w:t>0 579</w:t>
            </w:r>
          </w:p>
        </w:tc>
        <w:tc>
          <w:tcPr>
            <w:tcW w:w="628" w:type="pct"/>
            <w:tcBorders>
              <w:top w:val="nil"/>
              <w:left w:val="single" w:sz="8" w:space="0" w:color="auto"/>
              <w:bottom w:val="single" w:sz="8" w:space="0" w:color="auto"/>
              <w:right w:val="single" w:sz="8" w:space="0" w:color="auto"/>
            </w:tcBorders>
            <w:shd w:val="clear" w:color="auto" w:fill="auto"/>
            <w:vAlign w:val="center"/>
          </w:tcPr>
          <w:p w:rsidR="00526EFA" w:rsidRDefault="005C4D05">
            <w:pPr>
              <w:keepNext/>
              <w:keepLines/>
              <w:jc w:val="center"/>
              <w:rPr>
                <w:b/>
                <w:noProof/>
                <w:color w:val="000000"/>
                <w:sz w:val="20"/>
                <w:szCs w:val="20"/>
              </w:rPr>
            </w:pPr>
            <w:r>
              <w:rPr>
                <w:b/>
                <w:noProof/>
                <w:color w:val="000000"/>
                <w:sz w:val="20"/>
              </w:rPr>
              <w:t>1 023</w:t>
            </w:r>
          </w:p>
        </w:tc>
      </w:tr>
      <w:tr w:rsidR="00526EFA">
        <w:trPr>
          <w:trHeight w:val="315"/>
        </w:trPr>
        <w:tc>
          <w:tcPr>
            <w:tcW w:w="1131" w:type="pct"/>
            <w:vMerge w:val="restart"/>
            <w:tcBorders>
              <w:top w:val="nil"/>
              <w:left w:val="single" w:sz="8" w:space="0" w:color="auto"/>
              <w:bottom w:val="single" w:sz="8" w:space="0" w:color="000000"/>
              <w:right w:val="single" w:sz="8" w:space="0" w:color="auto"/>
            </w:tcBorders>
            <w:shd w:val="clear" w:color="auto" w:fill="auto"/>
            <w:vAlign w:val="center"/>
            <w:hideMark/>
          </w:tcPr>
          <w:p w:rsidR="00526EFA" w:rsidRDefault="005C4D05">
            <w:pPr>
              <w:keepNext/>
              <w:keepLines/>
              <w:rPr>
                <w:noProof/>
                <w:color w:val="000000"/>
                <w:sz w:val="20"/>
                <w:szCs w:val="20"/>
              </w:rPr>
            </w:pPr>
            <w:r>
              <w:rPr>
                <w:noProof/>
                <w:color w:val="000000"/>
                <w:sz w:val="20"/>
              </w:rPr>
              <w:t>Caiteachas oibríochtúil (Teideal 3)</w:t>
            </w:r>
          </w:p>
        </w:tc>
        <w:tc>
          <w:tcPr>
            <w:tcW w:w="768" w:type="pct"/>
            <w:tcBorders>
              <w:top w:val="nil"/>
              <w:left w:val="nil"/>
              <w:bottom w:val="single" w:sz="8" w:space="0" w:color="auto"/>
              <w:right w:val="single" w:sz="8" w:space="0" w:color="auto"/>
            </w:tcBorders>
            <w:shd w:val="clear" w:color="auto" w:fill="auto"/>
            <w:vAlign w:val="center"/>
            <w:hideMark/>
          </w:tcPr>
          <w:p w:rsidR="00526EFA" w:rsidRDefault="005C4D05">
            <w:pPr>
              <w:keepNext/>
              <w:keepLines/>
              <w:rPr>
                <w:noProof/>
                <w:color w:val="000000"/>
                <w:sz w:val="18"/>
                <w:szCs w:val="18"/>
              </w:rPr>
            </w:pPr>
            <w:r>
              <w:rPr>
                <w:noProof/>
                <w:color w:val="000000"/>
                <w:sz w:val="18"/>
              </w:rPr>
              <w:t>Gealltanais</w:t>
            </w:r>
          </w:p>
        </w:tc>
        <w:tc>
          <w:tcPr>
            <w:tcW w:w="526" w:type="pct"/>
            <w:tcBorders>
              <w:top w:val="nil"/>
              <w:left w:val="nil"/>
              <w:bottom w:val="single" w:sz="8" w:space="0" w:color="auto"/>
              <w:right w:val="single" w:sz="4" w:space="0" w:color="auto"/>
            </w:tcBorders>
            <w:shd w:val="clear" w:color="auto" w:fill="auto"/>
            <w:vAlign w:val="center"/>
            <w:hideMark/>
          </w:tcPr>
          <w:p w:rsidR="00526EFA" w:rsidRDefault="005C4D05">
            <w:pPr>
              <w:keepNext/>
              <w:keepLines/>
              <w:jc w:val="center"/>
              <w:rPr>
                <w:noProof/>
                <w:color w:val="000000"/>
                <w:sz w:val="14"/>
                <w:szCs w:val="14"/>
              </w:rPr>
            </w:pPr>
            <w:r>
              <w:rPr>
                <w:noProof/>
                <w:color w:val="000000"/>
                <w:sz w:val="14"/>
              </w:rPr>
              <w:t>(1b)</w:t>
            </w:r>
          </w:p>
        </w:tc>
        <w:tc>
          <w:tcPr>
            <w:tcW w:w="662" w:type="pct"/>
            <w:tcBorders>
              <w:top w:val="single" w:sz="4" w:space="0" w:color="auto"/>
              <w:left w:val="single" w:sz="4" w:space="0" w:color="auto"/>
              <w:bottom w:val="single" w:sz="4" w:space="0" w:color="auto"/>
              <w:right w:val="single" w:sz="4" w:space="0" w:color="auto"/>
            </w:tcBorders>
            <w:vAlign w:val="center"/>
          </w:tcPr>
          <w:p w:rsidR="00526EFA" w:rsidRDefault="005C4D05">
            <w:pPr>
              <w:keepNext/>
              <w:keepLines/>
              <w:jc w:val="center"/>
              <w:rPr>
                <w:noProof/>
                <w:color w:val="000000"/>
                <w:sz w:val="20"/>
                <w:szCs w:val="20"/>
              </w:rPr>
            </w:pPr>
            <w:r>
              <w:rPr>
                <w:noProof/>
                <w:color w:val="000000"/>
                <w:sz w:val="20"/>
              </w:rPr>
              <w:t>1 585</w:t>
            </w:r>
          </w:p>
        </w:tc>
        <w:tc>
          <w:tcPr>
            <w:tcW w:w="102" w:type="pct"/>
            <w:tcBorders>
              <w:top w:val="single" w:sz="4" w:space="0" w:color="auto"/>
              <w:left w:val="single" w:sz="4" w:space="0" w:color="auto"/>
              <w:bottom w:val="single" w:sz="4" w:space="0" w:color="auto"/>
              <w:right w:val="single" w:sz="4" w:space="0" w:color="auto"/>
            </w:tcBorders>
          </w:tcPr>
          <w:p w:rsidR="00526EFA" w:rsidRDefault="00526EFA">
            <w:pPr>
              <w:keepNext/>
              <w:keepLines/>
              <w:jc w:val="center"/>
              <w:rPr>
                <w:noProof/>
                <w:color w:val="000000"/>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526EFA" w:rsidRDefault="005C4D05">
            <w:pPr>
              <w:keepNext/>
              <w:keepLines/>
              <w:jc w:val="center"/>
              <w:rPr>
                <w:noProof/>
                <w:color w:val="000000"/>
                <w:sz w:val="20"/>
                <w:szCs w:val="20"/>
              </w:rPr>
            </w:pPr>
            <w:r>
              <w:rPr>
                <w:noProof/>
                <w:color w:val="000000"/>
                <w:sz w:val="20"/>
              </w:rPr>
              <w:t>2 054</w:t>
            </w:r>
          </w:p>
        </w:tc>
        <w:tc>
          <w:tcPr>
            <w:tcW w:w="521" w:type="pct"/>
            <w:tcBorders>
              <w:top w:val="nil"/>
              <w:left w:val="single" w:sz="4" w:space="0" w:color="auto"/>
              <w:bottom w:val="single" w:sz="8" w:space="0" w:color="auto"/>
              <w:right w:val="single" w:sz="8" w:space="0" w:color="auto"/>
            </w:tcBorders>
            <w:shd w:val="clear" w:color="auto" w:fill="auto"/>
            <w:vAlign w:val="center"/>
          </w:tcPr>
          <w:p w:rsidR="00526EFA" w:rsidRDefault="005C4D05">
            <w:pPr>
              <w:keepNext/>
              <w:keepLines/>
              <w:jc w:val="center"/>
              <w:rPr>
                <w:noProof/>
                <w:color w:val="000000"/>
                <w:sz w:val="20"/>
                <w:szCs w:val="20"/>
              </w:rPr>
            </w:pPr>
            <w:r>
              <w:rPr>
                <w:noProof/>
                <w:color w:val="000000"/>
                <w:sz w:val="20"/>
              </w:rPr>
              <w:t>2 812</w:t>
            </w:r>
          </w:p>
        </w:tc>
        <w:tc>
          <w:tcPr>
            <w:tcW w:w="628" w:type="pct"/>
            <w:tcBorders>
              <w:top w:val="nil"/>
              <w:left w:val="single" w:sz="8" w:space="0" w:color="auto"/>
              <w:bottom w:val="single" w:sz="8" w:space="0" w:color="auto"/>
              <w:right w:val="single" w:sz="8" w:space="0" w:color="auto"/>
            </w:tcBorders>
            <w:shd w:val="clear" w:color="auto" w:fill="auto"/>
            <w:vAlign w:val="center"/>
          </w:tcPr>
          <w:p w:rsidR="00526EFA" w:rsidRDefault="005C4D05">
            <w:pPr>
              <w:keepNext/>
              <w:keepLines/>
              <w:jc w:val="center"/>
              <w:rPr>
                <w:b/>
                <w:noProof/>
                <w:color w:val="000000"/>
                <w:sz w:val="20"/>
                <w:szCs w:val="20"/>
              </w:rPr>
            </w:pPr>
            <w:r>
              <w:rPr>
                <w:b/>
                <w:noProof/>
                <w:color w:val="000000"/>
                <w:sz w:val="20"/>
              </w:rPr>
              <w:t>4 866</w:t>
            </w:r>
          </w:p>
        </w:tc>
      </w:tr>
      <w:tr w:rsidR="00526EFA">
        <w:trPr>
          <w:trHeight w:val="315"/>
        </w:trPr>
        <w:tc>
          <w:tcPr>
            <w:tcW w:w="1131" w:type="pct"/>
            <w:vMerge/>
            <w:tcBorders>
              <w:top w:val="nil"/>
              <w:left w:val="single" w:sz="8" w:space="0" w:color="auto"/>
              <w:bottom w:val="single" w:sz="8" w:space="0" w:color="000000"/>
              <w:right w:val="single" w:sz="8" w:space="0" w:color="auto"/>
            </w:tcBorders>
            <w:vAlign w:val="center"/>
            <w:hideMark/>
          </w:tcPr>
          <w:p w:rsidR="00526EFA" w:rsidRDefault="00526EFA">
            <w:pPr>
              <w:rPr>
                <w:noProof/>
                <w:color w:val="000000"/>
                <w:sz w:val="20"/>
                <w:szCs w:val="20"/>
              </w:rPr>
            </w:pPr>
          </w:p>
        </w:tc>
        <w:tc>
          <w:tcPr>
            <w:tcW w:w="768" w:type="pct"/>
            <w:tcBorders>
              <w:top w:val="nil"/>
              <w:left w:val="nil"/>
              <w:bottom w:val="single" w:sz="8" w:space="0" w:color="auto"/>
              <w:right w:val="single" w:sz="8" w:space="0" w:color="auto"/>
            </w:tcBorders>
            <w:shd w:val="clear" w:color="auto" w:fill="auto"/>
            <w:vAlign w:val="center"/>
            <w:hideMark/>
          </w:tcPr>
          <w:p w:rsidR="00526EFA" w:rsidRDefault="005C4D05">
            <w:pPr>
              <w:rPr>
                <w:noProof/>
                <w:color w:val="000000"/>
                <w:sz w:val="18"/>
                <w:szCs w:val="18"/>
              </w:rPr>
            </w:pPr>
            <w:r>
              <w:rPr>
                <w:noProof/>
                <w:color w:val="000000"/>
                <w:sz w:val="18"/>
              </w:rPr>
              <w:t>Íocaíochtaí</w:t>
            </w:r>
          </w:p>
        </w:tc>
        <w:tc>
          <w:tcPr>
            <w:tcW w:w="526" w:type="pct"/>
            <w:tcBorders>
              <w:top w:val="nil"/>
              <w:left w:val="nil"/>
              <w:bottom w:val="single" w:sz="8" w:space="0" w:color="auto"/>
              <w:right w:val="single" w:sz="4" w:space="0" w:color="auto"/>
            </w:tcBorders>
            <w:shd w:val="clear" w:color="auto" w:fill="auto"/>
            <w:vAlign w:val="center"/>
            <w:hideMark/>
          </w:tcPr>
          <w:p w:rsidR="00526EFA" w:rsidRDefault="005C4D05">
            <w:pPr>
              <w:jc w:val="center"/>
              <w:rPr>
                <w:noProof/>
                <w:color w:val="000000"/>
                <w:sz w:val="14"/>
                <w:szCs w:val="14"/>
              </w:rPr>
            </w:pPr>
            <w:r>
              <w:rPr>
                <w:noProof/>
                <w:color w:val="000000"/>
                <w:sz w:val="14"/>
              </w:rPr>
              <w:t>(2b)</w:t>
            </w:r>
          </w:p>
        </w:tc>
        <w:tc>
          <w:tcPr>
            <w:tcW w:w="662" w:type="pct"/>
            <w:tcBorders>
              <w:top w:val="single" w:sz="4" w:space="0" w:color="auto"/>
              <w:left w:val="single" w:sz="4" w:space="0" w:color="auto"/>
              <w:bottom w:val="single" w:sz="4" w:space="0" w:color="auto"/>
              <w:right w:val="single" w:sz="4" w:space="0" w:color="auto"/>
            </w:tcBorders>
            <w:vAlign w:val="center"/>
          </w:tcPr>
          <w:p w:rsidR="00526EFA" w:rsidRDefault="005C4D05">
            <w:pPr>
              <w:jc w:val="center"/>
              <w:rPr>
                <w:noProof/>
                <w:color w:val="000000"/>
                <w:sz w:val="20"/>
                <w:szCs w:val="20"/>
              </w:rPr>
            </w:pPr>
            <w:r>
              <w:rPr>
                <w:noProof/>
                <w:color w:val="000000"/>
                <w:sz w:val="20"/>
              </w:rPr>
              <w:t>1 585</w:t>
            </w:r>
          </w:p>
        </w:tc>
        <w:tc>
          <w:tcPr>
            <w:tcW w:w="102" w:type="pct"/>
            <w:tcBorders>
              <w:top w:val="single" w:sz="4" w:space="0" w:color="auto"/>
              <w:left w:val="single" w:sz="4" w:space="0" w:color="auto"/>
              <w:bottom w:val="single" w:sz="4" w:space="0" w:color="auto"/>
              <w:right w:val="single" w:sz="4" w:space="0" w:color="auto"/>
            </w:tcBorders>
          </w:tcPr>
          <w:p w:rsidR="00526EFA" w:rsidRDefault="00526EFA">
            <w:pPr>
              <w:jc w:val="center"/>
              <w:rPr>
                <w:noProof/>
                <w:color w:val="000000"/>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526EFA" w:rsidRDefault="005C4D05">
            <w:pPr>
              <w:jc w:val="center"/>
              <w:rPr>
                <w:noProof/>
                <w:color w:val="000000"/>
                <w:sz w:val="20"/>
                <w:szCs w:val="20"/>
              </w:rPr>
            </w:pPr>
            <w:r>
              <w:rPr>
                <w:noProof/>
                <w:color w:val="000000"/>
                <w:sz w:val="20"/>
              </w:rPr>
              <w:t>2 054</w:t>
            </w:r>
          </w:p>
        </w:tc>
        <w:tc>
          <w:tcPr>
            <w:tcW w:w="521" w:type="pct"/>
            <w:tcBorders>
              <w:top w:val="nil"/>
              <w:left w:val="single" w:sz="4" w:space="0" w:color="auto"/>
              <w:bottom w:val="single" w:sz="8" w:space="0" w:color="auto"/>
              <w:right w:val="single" w:sz="8" w:space="0" w:color="auto"/>
            </w:tcBorders>
            <w:shd w:val="clear" w:color="auto" w:fill="auto"/>
            <w:vAlign w:val="center"/>
          </w:tcPr>
          <w:p w:rsidR="00526EFA" w:rsidRDefault="005C4D05">
            <w:pPr>
              <w:jc w:val="center"/>
              <w:rPr>
                <w:noProof/>
                <w:color w:val="000000"/>
                <w:sz w:val="20"/>
                <w:szCs w:val="20"/>
              </w:rPr>
            </w:pPr>
            <w:r>
              <w:rPr>
                <w:noProof/>
                <w:color w:val="000000"/>
                <w:sz w:val="20"/>
              </w:rPr>
              <w:t>2 812</w:t>
            </w:r>
          </w:p>
        </w:tc>
        <w:tc>
          <w:tcPr>
            <w:tcW w:w="628" w:type="pct"/>
            <w:tcBorders>
              <w:top w:val="nil"/>
              <w:left w:val="single" w:sz="8" w:space="0" w:color="auto"/>
              <w:bottom w:val="single" w:sz="8" w:space="0" w:color="auto"/>
              <w:right w:val="single" w:sz="8" w:space="0" w:color="auto"/>
            </w:tcBorders>
            <w:shd w:val="clear" w:color="auto" w:fill="auto"/>
            <w:vAlign w:val="center"/>
          </w:tcPr>
          <w:p w:rsidR="00526EFA" w:rsidRDefault="005C4D05">
            <w:pPr>
              <w:keepNext/>
              <w:keepLines/>
              <w:jc w:val="center"/>
              <w:rPr>
                <w:b/>
                <w:noProof/>
                <w:color w:val="000000"/>
                <w:sz w:val="20"/>
                <w:szCs w:val="20"/>
              </w:rPr>
            </w:pPr>
            <w:r>
              <w:rPr>
                <w:b/>
                <w:noProof/>
                <w:color w:val="000000"/>
                <w:sz w:val="20"/>
              </w:rPr>
              <w:t>4 866</w:t>
            </w:r>
          </w:p>
        </w:tc>
      </w:tr>
      <w:tr w:rsidR="00526EFA">
        <w:trPr>
          <w:trHeight w:val="315"/>
        </w:trPr>
        <w:tc>
          <w:tcPr>
            <w:tcW w:w="1131" w:type="pct"/>
            <w:tcBorders>
              <w:top w:val="nil"/>
              <w:left w:val="single" w:sz="8" w:space="0" w:color="auto"/>
              <w:bottom w:val="nil"/>
              <w:right w:val="single" w:sz="8" w:space="0" w:color="auto"/>
            </w:tcBorders>
            <w:shd w:val="clear" w:color="auto" w:fill="auto"/>
            <w:vAlign w:val="center"/>
            <w:hideMark/>
          </w:tcPr>
          <w:p w:rsidR="00526EFA" w:rsidRDefault="005C4D05">
            <w:pPr>
              <w:jc w:val="center"/>
              <w:rPr>
                <w:b/>
                <w:bCs/>
                <w:noProof/>
                <w:color w:val="000000"/>
              </w:rPr>
            </w:pPr>
            <w:r>
              <w:rPr>
                <w:b/>
                <w:noProof/>
                <w:color w:val="000000"/>
                <w:sz w:val="22"/>
              </w:rPr>
              <w:t xml:space="preserve">IOMLÁN </w:t>
            </w:r>
            <w:r>
              <w:rPr>
                <w:b/>
                <w:noProof/>
                <w:color w:val="000000"/>
                <w:sz w:val="22"/>
              </w:rPr>
              <w:t>leithreasuithe</w:t>
            </w:r>
          </w:p>
        </w:tc>
        <w:tc>
          <w:tcPr>
            <w:tcW w:w="768" w:type="pct"/>
            <w:tcBorders>
              <w:top w:val="nil"/>
              <w:left w:val="nil"/>
              <w:bottom w:val="single" w:sz="8" w:space="0" w:color="auto"/>
              <w:right w:val="single" w:sz="8" w:space="0" w:color="auto"/>
            </w:tcBorders>
            <w:shd w:val="clear" w:color="auto" w:fill="auto"/>
            <w:vAlign w:val="center"/>
            <w:hideMark/>
          </w:tcPr>
          <w:p w:rsidR="00526EFA" w:rsidRDefault="005C4D05">
            <w:pPr>
              <w:rPr>
                <w:noProof/>
                <w:color w:val="000000"/>
                <w:sz w:val="18"/>
                <w:szCs w:val="18"/>
              </w:rPr>
            </w:pPr>
            <w:r>
              <w:rPr>
                <w:noProof/>
                <w:color w:val="000000"/>
                <w:sz w:val="18"/>
              </w:rPr>
              <w:t>Gealltanais</w:t>
            </w:r>
          </w:p>
        </w:tc>
        <w:tc>
          <w:tcPr>
            <w:tcW w:w="526" w:type="pct"/>
            <w:tcBorders>
              <w:top w:val="nil"/>
              <w:left w:val="nil"/>
              <w:bottom w:val="single" w:sz="8" w:space="0" w:color="auto"/>
              <w:right w:val="single" w:sz="4" w:space="0" w:color="auto"/>
            </w:tcBorders>
            <w:shd w:val="clear" w:color="auto" w:fill="auto"/>
            <w:vAlign w:val="center"/>
            <w:hideMark/>
          </w:tcPr>
          <w:p w:rsidR="00526EFA" w:rsidRDefault="005C4D05">
            <w:pPr>
              <w:jc w:val="center"/>
              <w:rPr>
                <w:noProof/>
                <w:color w:val="000000"/>
                <w:sz w:val="14"/>
                <w:szCs w:val="14"/>
              </w:rPr>
            </w:pPr>
            <w:r>
              <w:rPr>
                <w:noProof/>
                <w:color w:val="000000"/>
                <w:sz w:val="14"/>
              </w:rPr>
              <w:t>=1+1a+1b</w:t>
            </w:r>
          </w:p>
        </w:tc>
        <w:tc>
          <w:tcPr>
            <w:tcW w:w="662" w:type="pct"/>
            <w:tcBorders>
              <w:top w:val="single" w:sz="4" w:space="0" w:color="auto"/>
              <w:left w:val="single" w:sz="4" w:space="0" w:color="auto"/>
              <w:bottom w:val="single" w:sz="4" w:space="0" w:color="auto"/>
              <w:right w:val="single" w:sz="4" w:space="0" w:color="auto"/>
            </w:tcBorders>
          </w:tcPr>
          <w:p w:rsidR="00526EFA" w:rsidRDefault="005C4D05">
            <w:pPr>
              <w:jc w:val="center"/>
              <w:rPr>
                <w:noProof/>
                <w:color w:val="000000"/>
                <w:sz w:val="20"/>
                <w:szCs w:val="20"/>
              </w:rPr>
            </w:pPr>
            <w:r>
              <w:rPr>
                <w:b/>
                <w:noProof/>
                <w:color w:val="000000"/>
                <w:sz w:val="20"/>
              </w:rPr>
              <w:t>4 246</w:t>
            </w:r>
          </w:p>
        </w:tc>
        <w:tc>
          <w:tcPr>
            <w:tcW w:w="102" w:type="pct"/>
            <w:tcBorders>
              <w:top w:val="single" w:sz="4" w:space="0" w:color="auto"/>
              <w:left w:val="single" w:sz="4" w:space="0" w:color="auto"/>
              <w:bottom w:val="single" w:sz="4" w:space="0" w:color="auto"/>
              <w:right w:val="single" w:sz="4" w:space="0" w:color="auto"/>
            </w:tcBorders>
          </w:tcPr>
          <w:p w:rsidR="00526EFA" w:rsidRDefault="00526EFA">
            <w:pPr>
              <w:jc w:val="center"/>
              <w:rPr>
                <w:b/>
                <w:noProof/>
                <w:color w:val="000000"/>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526EFA" w:rsidRDefault="005C4D05">
            <w:pPr>
              <w:jc w:val="center"/>
              <w:rPr>
                <w:b/>
                <w:noProof/>
                <w:color w:val="000000"/>
                <w:sz w:val="20"/>
                <w:szCs w:val="20"/>
              </w:rPr>
            </w:pPr>
            <w:r>
              <w:rPr>
                <w:b/>
                <w:noProof/>
                <w:color w:val="000000"/>
                <w:sz w:val="20"/>
              </w:rPr>
              <w:t>5 908</w:t>
            </w:r>
          </w:p>
        </w:tc>
        <w:tc>
          <w:tcPr>
            <w:tcW w:w="521" w:type="pct"/>
            <w:tcBorders>
              <w:top w:val="nil"/>
              <w:left w:val="single" w:sz="4" w:space="0" w:color="auto"/>
              <w:bottom w:val="single" w:sz="8" w:space="0" w:color="auto"/>
              <w:right w:val="single" w:sz="8" w:space="0" w:color="auto"/>
            </w:tcBorders>
            <w:shd w:val="clear" w:color="auto" w:fill="auto"/>
            <w:vAlign w:val="center"/>
          </w:tcPr>
          <w:p w:rsidR="00526EFA" w:rsidRDefault="005C4D05">
            <w:pPr>
              <w:keepNext/>
              <w:keepLines/>
              <w:jc w:val="center"/>
              <w:rPr>
                <w:b/>
                <w:noProof/>
                <w:color w:val="000000"/>
                <w:sz w:val="20"/>
                <w:szCs w:val="20"/>
              </w:rPr>
            </w:pPr>
            <w:r>
              <w:rPr>
                <w:b/>
                <w:noProof/>
                <w:color w:val="000000"/>
                <w:sz w:val="20"/>
              </w:rPr>
              <w:t>7 455</w:t>
            </w:r>
          </w:p>
        </w:tc>
        <w:tc>
          <w:tcPr>
            <w:tcW w:w="628" w:type="pct"/>
            <w:tcBorders>
              <w:top w:val="nil"/>
              <w:left w:val="nil"/>
              <w:bottom w:val="single" w:sz="8" w:space="0" w:color="auto"/>
              <w:right w:val="single" w:sz="8" w:space="0" w:color="auto"/>
            </w:tcBorders>
            <w:shd w:val="clear" w:color="auto" w:fill="auto"/>
            <w:vAlign w:val="center"/>
          </w:tcPr>
          <w:p w:rsidR="00526EFA" w:rsidRDefault="005C4D05">
            <w:pPr>
              <w:jc w:val="center"/>
              <w:rPr>
                <w:b/>
                <w:noProof/>
                <w:color w:val="000000"/>
                <w:sz w:val="20"/>
                <w:szCs w:val="20"/>
              </w:rPr>
            </w:pPr>
            <w:r>
              <w:rPr>
                <w:b/>
                <w:noProof/>
                <w:color w:val="000000"/>
                <w:sz w:val="20"/>
              </w:rPr>
              <w:t>13 363</w:t>
            </w:r>
          </w:p>
        </w:tc>
      </w:tr>
      <w:tr w:rsidR="00526EFA">
        <w:trPr>
          <w:trHeight w:val="315"/>
        </w:trPr>
        <w:tc>
          <w:tcPr>
            <w:tcW w:w="1131" w:type="pct"/>
            <w:tcBorders>
              <w:top w:val="nil"/>
              <w:left w:val="single" w:sz="8" w:space="0" w:color="auto"/>
              <w:bottom w:val="single" w:sz="8" w:space="0" w:color="auto"/>
              <w:right w:val="single" w:sz="8" w:space="0" w:color="auto"/>
            </w:tcBorders>
            <w:shd w:val="clear" w:color="auto" w:fill="auto"/>
            <w:vAlign w:val="center"/>
            <w:hideMark/>
          </w:tcPr>
          <w:p w:rsidR="00526EFA" w:rsidRDefault="005C4D05">
            <w:pPr>
              <w:jc w:val="center"/>
              <w:rPr>
                <w:b/>
                <w:bCs/>
                <w:noProof/>
                <w:color w:val="000000"/>
              </w:rPr>
            </w:pPr>
            <w:r>
              <w:rPr>
                <w:b/>
                <w:noProof/>
                <w:color w:val="000000"/>
                <w:sz w:val="22"/>
              </w:rPr>
              <w:t xml:space="preserve">le haghaidh BEREC </w:t>
            </w:r>
          </w:p>
        </w:tc>
        <w:tc>
          <w:tcPr>
            <w:tcW w:w="768" w:type="pct"/>
            <w:tcBorders>
              <w:top w:val="nil"/>
              <w:left w:val="nil"/>
              <w:bottom w:val="single" w:sz="8" w:space="0" w:color="auto"/>
              <w:right w:val="single" w:sz="8" w:space="0" w:color="auto"/>
            </w:tcBorders>
            <w:shd w:val="clear" w:color="auto" w:fill="auto"/>
            <w:vAlign w:val="center"/>
            <w:hideMark/>
          </w:tcPr>
          <w:p w:rsidR="00526EFA" w:rsidRDefault="005C4D05">
            <w:pPr>
              <w:rPr>
                <w:noProof/>
                <w:color w:val="000000"/>
                <w:sz w:val="18"/>
                <w:szCs w:val="18"/>
              </w:rPr>
            </w:pPr>
            <w:r>
              <w:rPr>
                <w:noProof/>
                <w:color w:val="000000"/>
                <w:sz w:val="18"/>
              </w:rPr>
              <w:t>Íocaíochtaí</w:t>
            </w:r>
          </w:p>
        </w:tc>
        <w:tc>
          <w:tcPr>
            <w:tcW w:w="526" w:type="pct"/>
            <w:tcBorders>
              <w:top w:val="nil"/>
              <w:left w:val="nil"/>
              <w:bottom w:val="single" w:sz="8" w:space="0" w:color="auto"/>
              <w:right w:val="single" w:sz="4" w:space="0" w:color="auto"/>
            </w:tcBorders>
            <w:shd w:val="clear" w:color="auto" w:fill="auto"/>
            <w:vAlign w:val="center"/>
            <w:hideMark/>
          </w:tcPr>
          <w:p w:rsidR="00526EFA" w:rsidRDefault="005C4D05">
            <w:pPr>
              <w:jc w:val="center"/>
              <w:rPr>
                <w:noProof/>
                <w:color w:val="000000"/>
                <w:sz w:val="14"/>
                <w:szCs w:val="14"/>
              </w:rPr>
            </w:pPr>
            <w:r>
              <w:rPr>
                <w:noProof/>
                <w:color w:val="000000"/>
                <w:sz w:val="14"/>
              </w:rPr>
              <w:t>=2+2a+2b</w:t>
            </w:r>
          </w:p>
        </w:tc>
        <w:tc>
          <w:tcPr>
            <w:tcW w:w="662" w:type="pct"/>
            <w:tcBorders>
              <w:top w:val="single" w:sz="4" w:space="0" w:color="auto"/>
              <w:left w:val="single" w:sz="4" w:space="0" w:color="auto"/>
              <w:bottom w:val="single" w:sz="4" w:space="0" w:color="auto"/>
              <w:right w:val="single" w:sz="4" w:space="0" w:color="auto"/>
            </w:tcBorders>
          </w:tcPr>
          <w:p w:rsidR="00526EFA" w:rsidRDefault="005C4D05">
            <w:pPr>
              <w:jc w:val="center"/>
              <w:rPr>
                <w:noProof/>
                <w:color w:val="000000"/>
                <w:sz w:val="20"/>
                <w:szCs w:val="20"/>
              </w:rPr>
            </w:pPr>
            <w:r>
              <w:rPr>
                <w:b/>
                <w:noProof/>
                <w:color w:val="000000"/>
                <w:sz w:val="20"/>
              </w:rPr>
              <w:t>4 246</w:t>
            </w:r>
          </w:p>
        </w:tc>
        <w:tc>
          <w:tcPr>
            <w:tcW w:w="102" w:type="pct"/>
            <w:tcBorders>
              <w:top w:val="single" w:sz="4" w:space="0" w:color="auto"/>
              <w:left w:val="single" w:sz="4" w:space="0" w:color="auto"/>
              <w:bottom w:val="single" w:sz="4" w:space="0" w:color="auto"/>
              <w:right w:val="single" w:sz="4" w:space="0" w:color="auto"/>
            </w:tcBorders>
          </w:tcPr>
          <w:p w:rsidR="00526EFA" w:rsidRDefault="00526EFA">
            <w:pPr>
              <w:jc w:val="center"/>
              <w:rPr>
                <w:b/>
                <w:noProof/>
                <w:color w:val="000000"/>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526EFA" w:rsidRDefault="005C4D05">
            <w:pPr>
              <w:jc w:val="center"/>
              <w:rPr>
                <w:b/>
                <w:noProof/>
                <w:color w:val="000000"/>
                <w:sz w:val="20"/>
                <w:szCs w:val="20"/>
              </w:rPr>
            </w:pPr>
            <w:r>
              <w:rPr>
                <w:b/>
                <w:noProof/>
                <w:color w:val="000000"/>
                <w:sz w:val="20"/>
              </w:rPr>
              <w:t>5 908</w:t>
            </w:r>
          </w:p>
        </w:tc>
        <w:tc>
          <w:tcPr>
            <w:tcW w:w="521" w:type="pct"/>
            <w:tcBorders>
              <w:top w:val="nil"/>
              <w:left w:val="single" w:sz="4" w:space="0" w:color="auto"/>
              <w:bottom w:val="single" w:sz="8" w:space="0" w:color="auto"/>
              <w:right w:val="single" w:sz="8" w:space="0" w:color="auto"/>
            </w:tcBorders>
            <w:shd w:val="clear" w:color="auto" w:fill="auto"/>
            <w:vAlign w:val="center"/>
          </w:tcPr>
          <w:p w:rsidR="00526EFA" w:rsidRDefault="005C4D05">
            <w:pPr>
              <w:keepNext/>
              <w:keepLines/>
              <w:jc w:val="center"/>
              <w:rPr>
                <w:b/>
                <w:noProof/>
                <w:color w:val="000000"/>
                <w:sz w:val="20"/>
                <w:szCs w:val="20"/>
              </w:rPr>
            </w:pPr>
            <w:r>
              <w:rPr>
                <w:b/>
                <w:noProof/>
                <w:color w:val="000000"/>
                <w:sz w:val="20"/>
              </w:rPr>
              <w:t>7 455</w:t>
            </w:r>
          </w:p>
        </w:tc>
        <w:tc>
          <w:tcPr>
            <w:tcW w:w="628" w:type="pct"/>
            <w:tcBorders>
              <w:top w:val="nil"/>
              <w:left w:val="nil"/>
              <w:bottom w:val="single" w:sz="8" w:space="0" w:color="auto"/>
              <w:right w:val="single" w:sz="8" w:space="0" w:color="auto"/>
            </w:tcBorders>
            <w:shd w:val="clear" w:color="auto" w:fill="auto"/>
            <w:vAlign w:val="center"/>
          </w:tcPr>
          <w:p w:rsidR="00526EFA" w:rsidRDefault="005C4D05">
            <w:pPr>
              <w:jc w:val="center"/>
              <w:rPr>
                <w:b/>
                <w:noProof/>
                <w:color w:val="000000"/>
                <w:sz w:val="20"/>
                <w:szCs w:val="20"/>
              </w:rPr>
            </w:pPr>
            <w:r>
              <w:rPr>
                <w:b/>
                <w:noProof/>
                <w:color w:val="000000"/>
                <w:sz w:val="20"/>
              </w:rPr>
              <w:t>13 363</w:t>
            </w:r>
            <w:r>
              <w:rPr>
                <w:rStyle w:val="FootnoteReference"/>
                <w:b/>
                <w:noProof/>
                <w:color w:val="000000"/>
                <w:sz w:val="20"/>
              </w:rPr>
              <w:footnoteReference w:id="61"/>
            </w:r>
          </w:p>
        </w:tc>
      </w:tr>
    </w:tbl>
    <w:p w:rsidR="00526EFA" w:rsidRDefault="00526EFA">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5624"/>
      </w:tblGrid>
      <w:tr w:rsidR="00526EFA">
        <w:tc>
          <w:tcPr>
            <w:tcW w:w="4744" w:type="dxa"/>
            <w:shd w:val="clear" w:color="C0C0C0" w:fill="auto"/>
            <w:vAlign w:val="center"/>
          </w:tcPr>
          <w:p w:rsidR="00526EFA" w:rsidRDefault="005C4D05">
            <w:pPr>
              <w:pageBreakBefore/>
              <w:spacing w:before="60" w:after="60"/>
              <w:rPr>
                <w:b/>
                <w:noProof/>
                <w:sz w:val="20"/>
              </w:rPr>
            </w:pPr>
            <w:r>
              <w:rPr>
                <w:noProof/>
              </w:rPr>
              <w:br w:type="page"/>
            </w:r>
            <w:r>
              <w:rPr>
                <w:b/>
                <w:noProof/>
                <w:sz w:val="20"/>
              </w:rPr>
              <w:t xml:space="preserve">Ceannteideal an chreata airgeadais </w:t>
            </w:r>
            <w:r>
              <w:rPr>
                <w:b/>
                <w:noProof/>
                <w:sz w:val="20"/>
              </w:rPr>
              <w:br/>
              <w:t xml:space="preserve">creat: </w:t>
            </w:r>
          </w:p>
        </w:tc>
        <w:tc>
          <w:tcPr>
            <w:tcW w:w="1080" w:type="dxa"/>
            <w:shd w:val="clear" w:color="C0C0C0" w:fill="auto"/>
            <w:vAlign w:val="center"/>
          </w:tcPr>
          <w:p w:rsidR="00526EFA" w:rsidRDefault="005C4D05">
            <w:pPr>
              <w:spacing w:before="60" w:after="60"/>
              <w:rPr>
                <w:b/>
                <w:noProof/>
                <w:sz w:val="20"/>
              </w:rPr>
            </w:pPr>
            <w:r>
              <w:rPr>
                <w:b/>
                <w:noProof/>
                <w:sz w:val="20"/>
              </w:rPr>
              <w:t>5</w:t>
            </w:r>
          </w:p>
        </w:tc>
        <w:tc>
          <w:tcPr>
            <w:tcW w:w="5624" w:type="dxa"/>
            <w:vAlign w:val="center"/>
          </w:tcPr>
          <w:p w:rsidR="00526EFA" w:rsidRDefault="005C4D05">
            <w:pPr>
              <w:spacing w:before="60" w:after="60"/>
              <w:rPr>
                <w:noProof/>
                <w:sz w:val="20"/>
              </w:rPr>
            </w:pPr>
            <w:r>
              <w:rPr>
                <w:noProof/>
                <w:sz w:val="20"/>
              </w:rPr>
              <w:t>"Caiteachas riaracháin"</w:t>
            </w:r>
          </w:p>
        </w:tc>
      </w:tr>
    </w:tbl>
    <w:p w:rsidR="00526EFA" w:rsidRDefault="005C4D05">
      <w:pPr>
        <w:spacing w:before="60" w:after="60"/>
        <w:jc w:val="right"/>
        <w:rPr>
          <w:noProof/>
          <w:sz w:val="20"/>
        </w:rPr>
      </w:pPr>
      <w:r>
        <w:rPr>
          <w:noProof/>
          <w:sz w:val="20"/>
        </w:rPr>
        <w:t>EUR milliúin (go dtí an tríú deachúil)</w:t>
      </w:r>
    </w:p>
    <w:p w:rsidR="00526EFA" w:rsidRDefault="00526EFA">
      <w:pPr>
        <w:spacing w:before="60" w:after="60"/>
        <w:rPr>
          <w:noProof/>
          <w:sz w:val="20"/>
        </w:rPr>
      </w:pPr>
    </w:p>
    <w:tbl>
      <w:tblPr>
        <w:tblW w:w="4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489"/>
        <w:gridCol w:w="108"/>
        <w:gridCol w:w="2306"/>
        <w:gridCol w:w="1489"/>
        <w:gridCol w:w="254"/>
        <w:gridCol w:w="1323"/>
        <w:gridCol w:w="1680"/>
        <w:gridCol w:w="1678"/>
      </w:tblGrid>
      <w:tr w:rsidR="00526EFA">
        <w:tc>
          <w:tcPr>
            <w:tcW w:w="1430" w:type="pct"/>
            <w:gridSpan w:val="3"/>
            <w:tcBorders>
              <w:top w:val="nil"/>
              <w:left w:val="nil"/>
              <w:right w:val="nil"/>
            </w:tcBorders>
            <w:vAlign w:val="center"/>
          </w:tcPr>
          <w:p w:rsidR="00526EFA" w:rsidRDefault="00526EFA">
            <w:pPr>
              <w:spacing w:before="60" w:after="60"/>
              <w:rPr>
                <w:noProof/>
                <w:sz w:val="20"/>
              </w:rPr>
            </w:pPr>
          </w:p>
        </w:tc>
        <w:tc>
          <w:tcPr>
            <w:tcW w:w="943" w:type="pct"/>
            <w:tcBorders>
              <w:top w:val="nil"/>
              <w:left w:val="nil"/>
              <w:bottom w:val="single" w:sz="4" w:space="0" w:color="auto"/>
            </w:tcBorders>
          </w:tcPr>
          <w:p w:rsidR="00526EFA" w:rsidRDefault="00526EFA">
            <w:pPr>
              <w:spacing w:before="60" w:after="60"/>
              <w:rPr>
                <w:noProof/>
                <w:sz w:val="20"/>
              </w:rPr>
            </w:pPr>
          </w:p>
        </w:tc>
        <w:tc>
          <w:tcPr>
            <w:tcW w:w="609" w:type="pct"/>
            <w:tcBorders>
              <w:bottom w:val="single" w:sz="4" w:space="0" w:color="auto"/>
            </w:tcBorders>
          </w:tcPr>
          <w:p w:rsidR="00526EFA" w:rsidRDefault="005C4D05">
            <w:pPr>
              <w:spacing w:before="60" w:after="60"/>
              <w:jc w:val="center"/>
              <w:rPr>
                <w:noProof/>
                <w:sz w:val="20"/>
              </w:rPr>
            </w:pPr>
            <w:r>
              <w:rPr>
                <w:noProof/>
                <w:sz w:val="20"/>
              </w:rPr>
              <w:t>Bonnlíne</w:t>
            </w:r>
            <w:r>
              <w:rPr>
                <w:noProof/>
                <w:sz w:val="20"/>
              </w:rPr>
              <w:br/>
            </w:r>
            <w:r>
              <w:rPr>
                <w:noProof/>
                <w:sz w:val="20"/>
              </w:rPr>
              <w:t>2017</w:t>
            </w:r>
            <w:r>
              <w:rPr>
                <w:rStyle w:val="FootnoteReference"/>
                <w:noProof/>
                <w:sz w:val="20"/>
              </w:rPr>
              <w:footnoteReference w:id="62"/>
            </w:r>
          </w:p>
          <w:p w:rsidR="00526EFA" w:rsidRDefault="005C4D05">
            <w:pPr>
              <w:spacing w:before="60" w:after="60"/>
              <w:jc w:val="center"/>
              <w:rPr>
                <w:noProof/>
                <w:sz w:val="20"/>
              </w:rPr>
            </w:pPr>
            <w:r>
              <w:rPr>
                <w:noProof/>
                <w:sz w:val="20"/>
              </w:rPr>
              <w:t>3</w:t>
            </w:r>
          </w:p>
        </w:tc>
        <w:tc>
          <w:tcPr>
            <w:tcW w:w="104" w:type="pct"/>
          </w:tcPr>
          <w:p w:rsidR="00526EFA" w:rsidRDefault="00526EFA">
            <w:pPr>
              <w:spacing w:before="60" w:after="60"/>
              <w:jc w:val="center"/>
              <w:rPr>
                <w:noProof/>
                <w:sz w:val="20"/>
              </w:rPr>
            </w:pPr>
          </w:p>
        </w:tc>
        <w:tc>
          <w:tcPr>
            <w:tcW w:w="541" w:type="pct"/>
            <w:vAlign w:val="center"/>
          </w:tcPr>
          <w:p w:rsidR="00526EFA" w:rsidRDefault="005C4D05">
            <w:pPr>
              <w:spacing w:before="60" w:after="60"/>
              <w:jc w:val="center"/>
              <w:rPr>
                <w:noProof/>
                <w:sz w:val="20"/>
              </w:rPr>
            </w:pPr>
            <w:r>
              <w:rPr>
                <w:noProof/>
                <w:sz w:val="20"/>
              </w:rPr>
              <w:t>Bliain</w:t>
            </w:r>
            <w:r>
              <w:rPr>
                <w:noProof/>
                <w:sz w:val="20"/>
              </w:rPr>
              <w:br/>
              <w:t>2019</w:t>
            </w:r>
          </w:p>
          <w:p w:rsidR="00526EFA" w:rsidRDefault="005C4D05">
            <w:pPr>
              <w:spacing w:before="60" w:after="60"/>
              <w:jc w:val="center"/>
              <w:rPr>
                <w:noProof/>
                <w:sz w:val="20"/>
              </w:rPr>
            </w:pPr>
            <w:r>
              <w:rPr>
                <w:noProof/>
                <w:sz w:val="20"/>
              </w:rPr>
              <w:t>3</w:t>
            </w:r>
          </w:p>
        </w:tc>
        <w:tc>
          <w:tcPr>
            <w:tcW w:w="687" w:type="pct"/>
            <w:vAlign w:val="center"/>
          </w:tcPr>
          <w:p w:rsidR="00526EFA" w:rsidRDefault="005C4D05">
            <w:pPr>
              <w:spacing w:before="60" w:after="60"/>
              <w:jc w:val="center"/>
              <w:rPr>
                <w:noProof/>
                <w:sz w:val="20"/>
              </w:rPr>
            </w:pPr>
            <w:r>
              <w:rPr>
                <w:noProof/>
                <w:sz w:val="20"/>
              </w:rPr>
              <w:t>Bliain</w:t>
            </w:r>
            <w:r>
              <w:rPr>
                <w:noProof/>
                <w:sz w:val="20"/>
              </w:rPr>
              <w:br/>
              <w:t>2020</w:t>
            </w:r>
          </w:p>
          <w:p w:rsidR="00526EFA" w:rsidRDefault="005C4D05">
            <w:pPr>
              <w:spacing w:before="60" w:after="60"/>
              <w:jc w:val="center"/>
              <w:rPr>
                <w:noProof/>
                <w:sz w:val="20"/>
              </w:rPr>
            </w:pPr>
            <w:r>
              <w:rPr>
                <w:noProof/>
                <w:sz w:val="20"/>
              </w:rPr>
              <w:t>3</w:t>
            </w:r>
          </w:p>
        </w:tc>
        <w:tc>
          <w:tcPr>
            <w:tcW w:w="687" w:type="pct"/>
            <w:vAlign w:val="center"/>
          </w:tcPr>
          <w:p w:rsidR="00526EFA" w:rsidRDefault="005C4D05">
            <w:pPr>
              <w:spacing w:before="60" w:after="60"/>
              <w:jc w:val="center"/>
              <w:rPr>
                <w:noProof/>
                <w:sz w:val="20"/>
              </w:rPr>
            </w:pPr>
            <w:r>
              <w:rPr>
                <w:noProof/>
                <w:sz w:val="20"/>
              </w:rPr>
              <w:t>IOMLÁN</w:t>
            </w:r>
          </w:p>
          <w:p w:rsidR="00526EFA" w:rsidRDefault="005C4D05">
            <w:pPr>
              <w:spacing w:before="60" w:after="60"/>
              <w:jc w:val="center"/>
              <w:rPr>
                <w:noProof/>
                <w:sz w:val="20"/>
              </w:rPr>
            </w:pPr>
            <w:r>
              <w:rPr>
                <w:noProof/>
                <w:sz w:val="20"/>
              </w:rPr>
              <w:t>2019-2020</w:t>
            </w:r>
            <w:r>
              <w:rPr>
                <w:rStyle w:val="FootnoteReference"/>
                <w:noProof/>
                <w:sz w:val="20"/>
              </w:rPr>
              <w:footnoteReference w:id="63"/>
            </w:r>
          </w:p>
        </w:tc>
      </w:tr>
      <w:tr w:rsidR="00526EFA">
        <w:trPr>
          <w:trHeight w:val="432"/>
        </w:trPr>
        <w:tc>
          <w:tcPr>
            <w:tcW w:w="1430" w:type="pct"/>
            <w:gridSpan w:val="3"/>
            <w:tcBorders>
              <w:right w:val="nil"/>
            </w:tcBorders>
            <w:vAlign w:val="center"/>
          </w:tcPr>
          <w:p w:rsidR="00526EFA" w:rsidRDefault="005C4D05">
            <w:pPr>
              <w:spacing w:before="60" w:after="60"/>
              <w:rPr>
                <w:b/>
                <w:noProof/>
                <w:sz w:val="20"/>
              </w:rPr>
            </w:pPr>
            <w:r>
              <w:rPr>
                <w:b/>
                <w:noProof/>
                <w:sz w:val="20"/>
              </w:rPr>
              <w:t>AS CONNECT</w:t>
            </w:r>
          </w:p>
        </w:tc>
        <w:tc>
          <w:tcPr>
            <w:tcW w:w="943" w:type="pct"/>
            <w:tcBorders>
              <w:top w:val="single" w:sz="4" w:space="0" w:color="auto"/>
              <w:left w:val="nil"/>
              <w:bottom w:val="nil"/>
              <w:right w:val="nil"/>
            </w:tcBorders>
          </w:tcPr>
          <w:p w:rsidR="00526EFA" w:rsidRDefault="00526EFA">
            <w:pPr>
              <w:spacing w:before="60" w:after="60"/>
              <w:rPr>
                <w:noProof/>
                <w:sz w:val="20"/>
              </w:rPr>
            </w:pPr>
          </w:p>
        </w:tc>
        <w:tc>
          <w:tcPr>
            <w:tcW w:w="609" w:type="pct"/>
            <w:tcBorders>
              <w:top w:val="single" w:sz="4" w:space="0" w:color="auto"/>
              <w:left w:val="nil"/>
              <w:bottom w:val="nil"/>
              <w:right w:val="nil"/>
            </w:tcBorders>
          </w:tcPr>
          <w:p w:rsidR="00526EFA" w:rsidRDefault="00526EFA">
            <w:pPr>
              <w:spacing w:before="60" w:after="60"/>
              <w:rPr>
                <w:noProof/>
                <w:sz w:val="20"/>
              </w:rPr>
            </w:pPr>
          </w:p>
        </w:tc>
        <w:tc>
          <w:tcPr>
            <w:tcW w:w="104" w:type="pct"/>
            <w:tcBorders>
              <w:top w:val="single" w:sz="4" w:space="0" w:color="auto"/>
              <w:left w:val="nil"/>
              <w:bottom w:val="single" w:sz="4" w:space="0" w:color="auto"/>
              <w:right w:val="nil"/>
            </w:tcBorders>
          </w:tcPr>
          <w:p w:rsidR="00526EFA" w:rsidRDefault="00526EFA">
            <w:pPr>
              <w:spacing w:before="60" w:after="60"/>
              <w:rPr>
                <w:noProof/>
                <w:sz w:val="20"/>
              </w:rPr>
            </w:pPr>
          </w:p>
        </w:tc>
        <w:tc>
          <w:tcPr>
            <w:tcW w:w="541" w:type="pct"/>
            <w:tcBorders>
              <w:top w:val="single" w:sz="4" w:space="0" w:color="auto"/>
              <w:left w:val="nil"/>
              <w:bottom w:val="single" w:sz="4" w:space="0" w:color="auto"/>
              <w:right w:val="nil"/>
            </w:tcBorders>
          </w:tcPr>
          <w:p w:rsidR="00526EFA" w:rsidRDefault="00526EFA">
            <w:pPr>
              <w:spacing w:before="60" w:after="60"/>
              <w:rPr>
                <w:noProof/>
                <w:sz w:val="20"/>
              </w:rPr>
            </w:pPr>
          </w:p>
        </w:tc>
        <w:tc>
          <w:tcPr>
            <w:tcW w:w="687" w:type="pct"/>
            <w:tcBorders>
              <w:top w:val="single" w:sz="4" w:space="0" w:color="auto"/>
              <w:left w:val="nil"/>
              <w:bottom w:val="single" w:sz="4" w:space="0" w:color="auto"/>
              <w:right w:val="nil"/>
            </w:tcBorders>
          </w:tcPr>
          <w:p w:rsidR="00526EFA" w:rsidRDefault="00526EFA">
            <w:pPr>
              <w:spacing w:before="60" w:after="60"/>
              <w:rPr>
                <w:noProof/>
                <w:sz w:val="20"/>
              </w:rPr>
            </w:pPr>
          </w:p>
        </w:tc>
        <w:tc>
          <w:tcPr>
            <w:tcW w:w="687" w:type="pct"/>
            <w:tcBorders>
              <w:top w:val="single" w:sz="4" w:space="0" w:color="auto"/>
              <w:left w:val="nil"/>
              <w:bottom w:val="single" w:sz="4" w:space="0" w:color="auto"/>
              <w:right w:val="single" w:sz="4" w:space="0" w:color="auto"/>
            </w:tcBorders>
          </w:tcPr>
          <w:p w:rsidR="00526EFA" w:rsidRDefault="00526EFA">
            <w:pPr>
              <w:spacing w:before="60" w:after="60"/>
              <w:rPr>
                <w:noProof/>
                <w:sz w:val="20"/>
              </w:rPr>
            </w:pPr>
          </w:p>
        </w:tc>
      </w:tr>
      <w:tr w:rsidR="00526EFA">
        <w:trPr>
          <w:trHeight w:val="313"/>
        </w:trPr>
        <w:tc>
          <w:tcPr>
            <w:tcW w:w="2373" w:type="pct"/>
            <w:gridSpan w:val="4"/>
            <w:vAlign w:val="center"/>
          </w:tcPr>
          <w:p w:rsidR="00526EFA" w:rsidRDefault="005C4D05">
            <w:pPr>
              <w:spacing w:before="60" w:after="60"/>
              <w:rPr>
                <w:noProof/>
                <w:sz w:val="20"/>
              </w:rPr>
            </w:pPr>
            <w:r>
              <w:rPr>
                <w:noProof/>
                <w:sz w:val="20"/>
              </w:rPr>
              <w:sym w:font="Wingdings" w:char="F09F"/>
            </w:r>
            <w:r>
              <w:rPr>
                <w:noProof/>
                <w:sz w:val="20"/>
              </w:rPr>
              <w:t xml:space="preserve"> </w:t>
            </w:r>
            <w:r>
              <w:rPr>
                <w:noProof/>
              </w:rPr>
              <w:t>Acmhainní daonna</w:t>
            </w:r>
          </w:p>
        </w:tc>
        <w:tc>
          <w:tcPr>
            <w:tcW w:w="609" w:type="pct"/>
            <w:vAlign w:val="center"/>
          </w:tcPr>
          <w:p w:rsidR="00526EFA" w:rsidRDefault="005C4D05">
            <w:pPr>
              <w:keepNext/>
              <w:keepLines/>
              <w:jc w:val="center"/>
              <w:rPr>
                <w:noProof/>
                <w:color w:val="000000"/>
                <w:sz w:val="20"/>
                <w:szCs w:val="20"/>
              </w:rPr>
            </w:pPr>
            <w:r>
              <w:rPr>
                <w:noProof/>
                <w:color w:val="000000"/>
                <w:sz w:val="20"/>
              </w:rPr>
              <w:t>0 356</w:t>
            </w:r>
          </w:p>
        </w:tc>
        <w:tc>
          <w:tcPr>
            <w:tcW w:w="104" w:type="pct"/>
          </w:tcPr>
          <w:p w:rsidR="00526EFA" w:rsidRDefault="00526EFA">
            <w:pPr>
              <w:keepNext/>
              <w:keepLines/>
              <w:jc w:val="center"/>
              <w:rPr>
                <w:noProof/>
                <w:color w:val="000000"/>
                <w:sz w:val="20"/>
                <w:szCs w:val="20"/>
              </w:rPr>
            </w:pPr>
          </w:p>
        </w:tc>
        <w:tc>
          <w:tcPr>
            <w:tcW w:w="541" w:type="pct"/>
            <w:tcBorders>
              <w:top w:val="single" w:sz="4" w:space="0" w:color="auto"/>
            </w:tcBorders>
            <w:vAlign w:val="center"/>
          </w:tcPr>
          <w:p w:rsidR="00526EFA" w:rsidRDefault="005C4D05">
            <w:pPr>
              <w:keepNext/>
              <w:keepLines/>
              <w:jc w:val="center"/>
              <w:rPr>
                <w:noProof/>
                <w:color w:val="000000"/>
                <w:sz w:val="20"/>
                <w:szCs w:val="20"/>
              </w:rPr>
            </w:pPr>
            <w:r>
              <w:rPr>
                <w:noProof/>
                <w:color w:val="000000"/>
                <w:sz w:val="20"/>
              </w:rPr>
              <w:t>0 356</w:t>
            </w:r>
          </w:p>
        </w:tc>
        <w:tc>
          <w:tcPr>
            <w:tcW w:w="687" w:type="pct"/>
            <w:tcBorders>
              <w:top w:val="single" w:sz="4" w:space="0" w:color="auto"/>
            </w:tcBorders>
            <w:vAlign w:val="center"/>
          </w:tcPr>
          <w:p w:rsidR="00526EFA" w:rsidRDefault="005C4D05">
            <w:pPr>
              <w:keepNext/>
              <w:keepLines/>
              <w:jc w:val="center"/>
              <w:rPr>
                <w:noProof/>
                <w:color w:val="000000"/>
                <w:sz w:val="20"/>
                <w:szCs w:val="20"/>
              </w:rPr>
            </w:pPr>
            <w:r>
              <w:rPr>
                <w:noProof/>
                <w:color w:val="000000"/>
                <w:sz w:val="20"/>
              </w:rPr>
              <w:t>0 356</w:t>
            </w:r>
          </w:p>
        </w:tc>
        <w:tc>
          <w:tcPr>
            <w:tcW w:w="687" w:type="pct"/>
            <w:tcBorders>
              <w:top w:val="single" w:sz="4" w:space="0" w:color="auto"/>
            </w:tcBorders>
            <w:vAlign w:val="center"/>
          </w:tcPr>
          <w:p w:rsidR="00526EFA" w:rsidRDefault="005C4D05">
            <w:pPr>
              <w:keepNext/>
              <w:keepLines/>
              <w:jc w:val="center"/>
              <w:rPr>
                <w:b/>
                <w:noProof/>
                <w:color w:val="000000"/>
                <w:sz w:val="20"/>
                <w:szCs w:val="20"/>
              </w:rPr>
            </w:pPr>
            <w:r>
              <w:rPr>
                <w:b/>
                <w:noProof/>
                <w:color w:val="000000"/>
                <w:sz w:val="20"/>
              </w:rPr>
              <w:t>0 712</w:t>
            </w:r>
          </w:p>
        </w:tc>
      </w:tr>
      <w:tr w:rsidR="00526EFA">
        <w:trPr>
          <w:trHeight w:val="351"/>
        </w:trPr>
        <w:tc>
          <w:tcPr>
            <w:tcW w:w="2373" w:type="pct"/>
            <w:gridSpan w:val="4"/>
            <w:tcBorders>
              <w:bottom w:val="single" w:sz="4" w:space="0" w:color="auto"/>
            </w:tcBorders>
            <w:vAlign w:val="center"/>
          </w:tcPr>
          <w:p w:rsidR="00526EFA" w:rsidRDefault="005C4D05">
            <w:pPr>
              <w:spacing w:before="60" w:after="60"/>
              <w:rPr>
                <w:noProof/>
                <w:sz w:val="20"/>
              </w:rPr>
            </w:pPr>
            <w:r>
              <w:rPr>
                <w:noProof/>
                <w:sz w:val="20"/>
              </w:rPr>
              <w:sym w:font="Wingdings" w:char="F09F"/>
            </w:r>
            <w:r>
              <w:rPr>
                <w:noProof/>
                <w:sz w:val="20"/>
              </w:rPr>
              <w:t xml:space="preserve"> </w:t>
            </w:r>
            <w:r>
              <w:rPr>
                <w:noProof/>
              </w:rPr>
              <w:t>Caiteachas riaracháin eile</w:t>
            </w:r>
          </w:p>
        </w:tc>
        <w:tc>
          <w:tcPr>
            <w:tcW w:w="609" w:type="pct"/>
            <w:tcBorders>
              <w:bottom w:val="single" w:sz="4" w:space="0" w:color="auto"/>
            </w:tcBorders>
            <w:vAlign w:val="center"/>
          </w:tcPr>
          <w:p w:rsidR="00526EFA" w:rsidRDefault="005C4D05">
            <w:pPr>
              <w:keepNext/>
              <w:keepLines/>
              <w:jc w:val="center"/>
              <w:rPr>
                <w:noProof/>
                <w:color w:val="000000"/>
                <w:sz w:val="20"/>
                <w:szCs w:val="20"/>
              </w:rPr>
            </w:pPr>
            <w:r>
              <w:rPr>
                <w:noProof/>
                <w:color w:val="000000"/>
                <w:sz w:val="20"/>
              </w:rPr>
              <w:t>0 030</w:t>
            </w:r>
          </w:p>
        </w:tc>
        <w:tc>
          <w:tcPr>
            <w:tcW w:w="104" w:type="pct"/>
            <w:tcBorders>
              <w:bottom w:val="single" w:sz="4" w:space="0" w:color="auto"/>
            </w:tcBorders>
          </w:tcPr>
          <w:p w:rsidR="00526EFA" w:rsidRDefault="00526EFA">
            <w:pPr>
              <w:keepNext/>
              <w:keepLines/>
              <w:jc w:val="center"/>
              <w:rPr>
                <w:noProof/>
                <w:color w:val="000000"/>
                <w:sz w:val="20"/>
                <w:szCs w:val="20"/>
              </w:rPr>
            </w:pPr>
          </w:p>
        </w:tc>
        <w:tc>
          <w:tcPr>
            <w:tcW w:w="541" w:type="pct"/>
            <w:tcBorders>
              <w:bottom w:val="single" w:sz="4" w:space="0" w:color="auto"/>
            </w:tcBorders>
            <w:vAlign w:val="center"/>
          </w:tcPr>
          <w:p w:rsidR="00526EFA" w:rsidRDefault="005C4D05">
            <w:pPr>
              <w:keepNext/>
              <w:keepLines/>
              <w:jc w:val="center"/>
              <w:rPr>
                <w:noProof/>
                <w:color w:val="000000"/>
                <w:sz w:val="20"/>
                <w:szCs w:val="20"/>
              </w:rPr>
            </w:pPr>
            <w:r>
              <w:rPr>
                <w:noProof/>
                <w:color w:val="000000"/>
                <w:sz w:val="20"/>
              </w:rPr>
              <w:t>0 030</w:t>
            </w:r>
          </w:p>
        </w:tc>
        <w:tc>
          <w:tcPr>
            <w:tcW w:w="687" w:type="pct"/>
            <w:tcBorders>
              <w:bottom w:val="single" w:sz="4" w:space="0" w:color="auto"/>
            </w:tcBorders>
            <w:vAlign w:val="center"/>
          </w:tcPr>
          <w:p w:rsidR="00526EFA" w:rsidRDefault="005C4D05">
            <w:pPr>
              <w:keepNext/>
              <w:keepLines/>
              <w:jc w:val="center"/>
              <w:rPr>
                <w:noProof/>
                <w:color w:val="000000"/>
                <w:sz w:val="20"/>
                <w:szCs w:val="20"/>
              </w:rPr>
            </w:pPr>
            <w:r>
              <w:rPr>
                <w:noProof/>
                <w:color w:val="000000"/>
                <w:sz w:val="20"/>
              </w:rPr>
              <w:t>0 030</w:t>
            </w:r>
          </w:p>
        </w:tc>
        <w:tc>
          <w:tcPr>
            <w:tcW w:w="687" w:type="pct"/>
            <w:tcBorders>
              <w:bottom w:val="single" w:sz="4" w:space="0" w:color="auto"/>
            </w:tcBorders>
            <w:vAlign w:val="center"/>
          </w:tcPr>
          <w:p w:rsidR="00526EFA" w:rsidRDefault="005C4D05">
            <w:pPr>
              <w:keepNext/>
              <w:keepLines/>
              <w:jc w:val="center"/>
              <w:rPr>
                <w:b/>
                <w:noProof/>
                <w:color w:val="000000"/>
                <w:sz w:val="20"/>
                <w:szCs w:val="20"/>
              </w:rPr>
            </w:pPr>
            <w:r>
              <w:rPr>
                <w:b/>
                <w:noProof/>
                <w:color w:val="000000"/>
                <w:sz w:val="20"/>
              </w:rPr>
              <w:t>0 060</w:t>
            </w:r>
          </w:p>
        </w:tc>
      </w:tr>
      <w:tr w:rsidR="00526EFA">
        <w:tc>
          <w:tcPr>
            <w:tcW w:w="1430" w:type="pct"/>
            <w:gridSpan w:val="3"/>
            <w:tcBorders>
              <w:bottom w:val="single" w:sz="4" w:space="0" w:color="auto"/>
            </w:tcBorders>
            <w:vAlign w:val="center"/>
          </w:tcPr>
          <w:p w:rsidR="00526EFA" w:rsidRDefault="005C4D05">
            <w:pPr>
              <w:spacing w:before="60" w:after="60"/>
              <w:rPr>
                <w:b/>
                <w:noProof/>
                <w:sz w:val="20"/>
              </w:rPr>
            </w:pPr>
            <w:r>
              <w:rPr>
                <w:b/>
                <w:noProof/>
                <w:sz w:val="20"/>
              </w:rPr>
              <w:t>IOMLÁN AS CONNECT</w:t>
            </w:r>
          </w:p>
        </w:tc>
        <w:tc>
          <w:tcPr>
            <w:tcW w:w="943" w:type="pct"/>
            <w:tcBorders>
              <w:bottom w:val="single" w:sz="4" w:space="0" w:color="auto"/>
            </w:tcBorders>
            <w:vAlign w:val="center"/>
          </w:tcPr>
          <w:p w:rsidR="00526EFA" w:rsidRDefault="00526EFA">
            <w:pPr>
              <w:spacing w:before="60" w:after="60"/>
              <w:rPr>
                <w:b/>
                <w:noProof/>
                <w:sz w:val="16"/>
                <w:szCs w:val="16"/>
              </w:rPr>
            </w:pPr>
          </w:p>
        </w:tc>
        <w:tc>
          <w:tcPr>
            <w:tcW w:w="609" w:type="pct"/>
            <w:tcBorders>
              <w:bottom w:val="single" w:sz="4" w:space="0" w:color="auto"/>
            </w:tcBorders>
          </w:tcPr>
          <w:p w:rsidR="00526EFA" w:rsidRDefault="005C4D05">
            <w:pPr>
              <w:keepNext/>
              <w:keepLines/>
              <w:jc w:val="center"/>
              <w:rPr>
                <w:noProof/>
                <w:color w:val="000000"/>
                <w:sz w:val="20"/>
                <w:szCs w:val="20"/>
              </w:rPr>
            </w:pPr>
            <w:r>
              <w:rPr>
                <w:noProof/>
                <w:color w:val="000000"/>
                <w:sz w:val="20"/>
              </w:rPr>
              <w:t>0 386</w:t>
            </w:r>
          </w:p>
        </w:tc>
        <w:tc>
          <w:tcPr>
            <w:tcW w:w="104" w:type="pct"/>
            <w:tcBorders>
              <w:bottom w:val="single" w:sz="4" w:space="0" w:color="auto"/>
            </w:tcBorders>
          </w:tcPr>
          <w:p w:rsidR="00526EFA" w:rsidRDefault="00526EFA">
            <w:pPr>
              <w:keepNext/>
              <w:keepLines/>
              <w:jc w:val="center"/>
              <w:rPr>
                <w:noProof/>
                <w:color w:val="000000"/>
                <w:sz w:val="20"/>
                <w:szCs w:val="20"/>
              </w:rPr>
            </w:pPr>
          </w:p>
        </w:tc>
        <w:tc>
          <w:tcPr>
            <w:tcW w:w="541" w:type="pct"/>
            <w:tcBorders>
              <w:bottom w:val="single" w:sz="4" w:space="0" w:color="auto"/>
            </w:tcBorders>
            <w:vAlign w:val="center"/>
          </w:tcPr>
          <w:p w:rsidR="00526EFA" w:rsidRDefault="005C4D05">
            <w:pPr>
              <w:keepNext/>
              <w:keepLines/>
              <w:jc w:val="center"/>
              <w:rPr>
                <w:noProof/>
                <w:color w:val="000000"/>
                <w:sz w:val="20"/>
                <w:szCs w:val="20"/>
              </w:rPr>
            </w:pPr>
            <w:r>
              <w:rPr>
                <w:noProof/>
                <w:color w:val="000000"/>
                <w:sz w:val="20"/>
              </w:rPr>
              <w:t>0 386</w:t>
            </w:r>
          </w:p>
        </w:tc>
        <w:tc>
          <w:tcPr>
            <w:tcW w:w="687" w:type="pct"/>
            <w:tcBorders>
              <w:bottom w:val="single" w:sz="4" w:space="0" w:color="auto"/>
            </w:tcBorders>
            <w:vAlign w:val="center"/>
          </w:tcPr>
          <w:p w:rsidR="00526EFA" w:rsidRDefault="005C4D05">
            <w:pPr>
              <w:keepNext/>
              <w:keepLines/>
              <w:jc w:val="center"/>
              <w:rPr>
                <w:noProof/>
                <w:color w:val="000000"/>
                <w:sz w:val="20"/>
                <w:szCs w:val="20"/>
              </w:rPr>
            </w:pPr>
            <w:r>
              <w:rPr>
                <w:noProof/>
                <w:color w:val="000000"/>
                <w:sz w:val="20"/>
              </w:rPr>
              <w:t>0 386</w:t>
            </w:r>
          </w:p>
        </w:tc>
        <w:tc>
          <w:tcPr>
            <w:tcW w:w="687" w:type="pct"/>
            <w:tcBorders>
              <w:bottom w:val="single" w:sz="4" w:space="0" w:color="auto"/>
            </w:tcBorders>
            <w:vAlign w:val="center"/>
          </w:tcPr>
          <w:p w:rsidR="00526EFA" w:rsidRDefault="005C4D05">
            <w:pPr>
              <w:keepNext/>
              <w:keepLines/>
              <w:jc w:val="center"/>
              <w:rPr>
                <w:b/>
                <w:noProof/>
                <w:color w:val="000000"/>
                <w:sz w:val="20"/>
                <w:szCs w:val="20"/>
              </w:rPr>
            </w:pPr>
            <w:r>
              <w:rPr>
                <w:b/>
                <w:noProof/>
                <w:color w:val="000000"/>
                <w:sz w:val="20"/>
              </w:rPr>
              <w:t>0 772</w:t>
            </w:r>
          </w:p>
        </w:tc>
      </w:tr>
      <w:tr w:rsidR="00526EFA">
        <w:tc>
          <w:tcPr>
            <w:tcW w:w="1430" w:type="pct"/>
            <w:gridSpan w:val="3"/>
            <w:tcBorders>
              <w:top w:val="single" w:sz="4" w:space="0" w:color="auto"/>
              <w:left w:val="nil"/>
              <w:bottom w:val="single" w:sz="4" w:space="0" w:color="auto"/>
              <w:right w:val="nil"/>
            </w:tcBorders>
            <w:shd w:val="clear" w:color="C0C0C0" w:fill="auto"/>
            <w:vAlign w:val="center"/>
          </w:tcPr>
          <w:p w:rsidR="00526EFA" w:rsidRDefault="00526EFA">
            <w:pPr>
              <w:spacing w:before="60" w:after="60"/>
              <w:rPr>
                <w:b/>
                <w:noProof/>
                <w:sz w:val="20"/>
              </w:rPr>
            </w:pPr>
          </w:p>
        </w:tc>
        <w:tc>
          <w:tcPr>
            <w:tcW w:w="943" w:type="pct"/>
            <w:tcBorders>
              <w:top w:val="single" w:sz="4" w:space="0" w:color="auto"/>
              <w:left w:val="nil"/>
              <w:bottom w:val="single" w:sz="4" w:space="0" w:color="auto"/>
              <w:right w:val="nil"/>
            </w:tcBorders>
            <w:vAlign w:val="center"/>
          </w:tcPr>
          <w:p w:rsidR="00526EFA" w:rsidRDefault="00526EFA">
            <w:pPr>
              <w:spacing w:before="60" w:after="60"/>
              <w:rPr>
                <w:noProof/>
                <w:sz w:val="20"/>
              </w:rPr>
            </w:pPr>
          </w:p>
        </w:tc>
        <w:tc>
          <w:tcPr>
            <w:tcW w:w="609" w:type="pct"/>
            <w:tcBorders>
              <w:top w:val="single" w:sz="4" w:space="0" w:color="auto"/>
              <w:left w:val="nil"/>
              <w:bottom w:val="single" w:sz="4" w:space="0" w:color="auto"/>
              <w:right w:val="nil"/>
            </w:tcBorders>
          </w:tcPr>
          <w:p w:rsidR="00526EFA" w:rsidRDefault="00526EFA">
            <w:pPr>
              <w:spacing w:before="60" w:after="60"/>
              <w:jc w:val="center"/>
              <w:rPr>
                <w:b/>
                <w:noProof/>
                <w:sz w:val="16"/>
                <w:szCs w:val="16"/>
              </w:rPr>
            </w:pPr>
          </w:p>
        </w:tc>
        <w:tc>
          <w:tcPr>
            <w:tcW w:w="104" w:type="pct"/>
            <w:tcBorders>
              <w:top w:val="single" w:sz="4" w:space="0" w:color="auto"/>
              <w:left w:val="nil"/>
              <w:bottom w:val="single" w:sz="4" w:space="0" w:color="auto"/>
              <w:right w:val="nil"/>
            </w:tcBorders>
          </w:tcPr>
          <w:p w:rsidR="00526EFA" w:rsidRDefault="00526EFA">
            <w:pPr>
              <w:spacing w:before="60" w:after="60"/>
              <w:jc w:val="center"/>
              <w:rPr>
                <w:b/>
                <w:noProof/>
                <w:sz w:val="16"/>
                <w:szCs w:val="16"/>
              </w:rPr>
            </w:pPr>
          </w:p>
        </w:tc>
        <w:tc>
          <w:tcPr>
            <w:tcW w:w="541" w:type="pct"/>
            <w:tcBorders>
              <w:top w:val="single" w:sz="4" w:space="0" w:color="auto"/>
              <w:left w:val="nil"/>
              <w:bottom w:val="single" w:sz="4" w:space="0" w:color="auto"/>
              <w:right w:val="nil"/>
            </w:tcBorders>
            <w:vAlign w:val="center"/>
          </w:tcPr>
          <w:p w:rsidR="00526EFA" w:rsidRDefault="00526EFA">
            <w:pPr>
              <w:spacing w:before="60" w:after="60"/>
              <w:jc w:val="center"/>
              <w:rPr>
                <w:b/>
                <w:noProof/>
                <w:sz w:val="16"/>
                <w:szCs w:val="16"/>
              </w:rPr>
            </w:pPr>
          </w:p>
        </w:tc>
        <w:tc>
          <w:tcPr>
            <w:tcW w:w="687" w:type="pct"/>
            <w:tcBorders>
              <w:top w:val="single" w:sz="4" w:space="0" w:color="auto"/>
              <w:left w:val="nil"/>
              <w:bottom w:val="single" w:sz="4" w:space="0" w:color="auto"/>
              <w:right w:val="nil"/>
            </w:tcBorders>
            <w:vAlign w:val="center"/>
          </w:tcPr>
          <w:p w:rsidR="00526EFA" w:rsidRDefault="00526EFA">
            <w:pPr>
              <w:spacing w:before="60" w:after="60"/>
              <w:jc w:val="center"/>
              <w:rPr>
                <w:b/>
                <w:noProof/>
                <w:sz w:val="16"/>
                <w:szCs w:val="16"/>
              </w:rPr>
            </w:pPr>
          </w:p>
        </w:tc>
        <w:tc>
          <w:tcPr>
            <w:tcW w:w="687" w:type="pct"/>
            <w:tcBorders>
              <w:top w:val="single" w:sz="4" w:space="0" w:color="auto"/>
              <w:left w:val="nil"/>
              <w:bottom w:val="single" w:sz="4" w:space="0" w:color="auto"/>
              <w:right w:val="nil"/>
            </w:tcBorders>
            <w:vAlign w:val="center"/>
          </w:tcPr>
          <w:p w:rsidR="00526EFA" w:rsidRDefault="00526EFA">
            <w:pPr>
              <w:spacing w:before="60" w:after="60"/>
              <w:jc w:val="center"/>
              <w:rPr>
                <w:b/>
                <w:noProof/>
                <w:sz w:val="16"/>
                <w:szCs w:val="16"/>
              </w:rPr>
            </w:pPr>
          </w:p>
        </w:tc>
      </w:tr>
      <w:tr w:rsidR="00526EFA">
        <w:tc>
          <w:tcPr>
            <w:tcW w:w="1430" w:type="pct"/>
            <w:gridSpan w:val="3"/>
            <w:tcBorders>
              <w:bottom w:val="single" w:sz="4" w:space="0" w:color="auto"/>
            </w:tcBorders>
            <w:shd w:val="clear" w:color="C0C0C0" w:fill="auto"/>
            <w:vAlign w:val="center"/>
          </w:tcPr>
          <w:p w:rsidR="00526EFA" w:rsidRDefault="005C4D05">
            <w:pPr>
              <w:spacing w:before="60" w:after="60"/>
              <w:rPr>
                <w:noProof/>
                <w:sz w:val="20"/>
              </w:rPr>
            </w:pPr>
            <w:r>
              <w:rPr>
                <w:b/>
                <w:noProof/>
                <w:sz w:val="20"/>
              </w:rPr>
              <w:t>IOMLÁN leithreasuithe</w:t>
            </w:r>
            <w:r>
              <w:rPr>
                <w:b/>
                <w:noProof/>
                <w:sz w:val="20"/>
              </w:rPr>
              <w:br/>
              <w:t xml:space="preserve">do </w:t>
            </w:r>
            <w:r>
              <w:rPr>
                <w:b/>
                <w:noProof/>
                <w:sz w:val="20"/>
              </w:rPr>
              <w:t>CHEANNTEIDEAL 5</w:t>
            </w:r>
            <w:r>
              <w:rPr>
                <w:b/>
                <w:noProof/>
                <w:sz w:val="20"/>
              </w:rPr>
              <w:br/>
            </w:r>
            <w:r>
              <w:rPr>
                <w:noProof/>
                <w:sz w:val="20"/>
              </w:rPr>
              <w:t xml:space="preserve">den chreat airgeadais ilbhliantúil </w:t>
            </w:r>
          </w:p>
        </w:tc>
        <w:tc>
          <w:tcPr>
            <w:tcW w:w="943" w:type="pct"/>
            <w:tcBorders>
              <w:bottom w:val="single" w:sz="4" w:space="0" w:color="auto"/>
            </w:tcBorders>
            <w:vAlign w:val="center"/>
          </w:tcPr>
          <w:p w:rsidR="00526EFA" w:rsidRDefault="005C4D05">
            <w:pPr>
              <w:spacing w:before="60" w:after="60"/>
              <w:rPr>
                <w:noProof/>
                <w:sz w:val="20"/>
              </w:rPr>
            </w:pPr>
            <w:r>
              <w:rPr>
                <w:noProof/>
                <w:sz w:val="20"/>
              </w:rPr>
              <w:t>(Iomlán gealltanas = Iomlán íocaíochtaí)</w:t>
            </w:r>
          </w:p>
        </w:tc>
        <w:tc>
          <w:tcPr>
            <w:tcW w:w="609" w:type="pct"/>
            <w:tcBorders>
              <w:bottom w:val="single" w:sz="4" w:space="0" w:color="auto"/>
            </w:tcBorders>
            <w:vAlign w:val="center"/>
          </w:tcPr>
          <w:p w:rsidR="00526EFA" w:rsidRDefault="005C4D05">
            <w:pPr>
              <w:keepNext/>
              <w:keepLines/>
              <w:jc w:val="center"/>
              <w:rPr>
                <w:noProof/>
                <w:color w:val="000000"/>
                <w:sz w:val="20"/>
                <w:szCs w:val="20"/>
              </w:rPr>
            </w:pPr>
            <w:r>
              <w:rPr>
                <w:noProof/>
                <w:color w:val="000000"/>
                <w:sz w:val="20"/>
              </w:rPr>
              <w:t>0 386</w:t>
            </w:r>
          </w:p>
        </w:tc>
        <w:tc>
          <w:tcPr>
            <w:tcW w:w="104" w:type="pct"/>
            <w:tcBorders>
              <w:bottom w:val="single" w:sz="4" w:space="0" w:color="auto"/>
            </w:tcBorders>
          </w:tcPr>
          <w:p w:rsidR="00526EFA" w:rsidRDefault="00526EFA">
            <w:pPr>
              <w:keepNext/>
              <w:keepLines/>
              <w:jc w:val="center"/>
              <w:rPr>
                <w:noProof/>
                <w:color w:val="000000"/>
                <w:sz w:val="20"/>
                <w:szCs w:val="20"/>
              </w:rPr>
            </w:pPr>
          </w:p>
        </w:tc>
        <w:tc>
          <w:tcPr>
            <w:tcW w:w="541" w:type="pct"/>
            <w:tcBorders>
              <w:bottom w:val="single" w:sz="4" w:space="0" w:color="auto"/>
            </w:tcBorders>
            <w:vAlign w:val="center"/>
          </w:tcPr>
          <w:p w:rsidR="00526EFA" w:rsidRDefault="005C4D05">
            <w:pPr>
              <w:keepNext/>
              <w:keepLines/>
              <w:jc w:val="center"/>
              <w:rPr>
                <w:noProof/>
                <w:color w:val="000000"/>
                <w:sz w:val="20"/>
                <w:szCs w:val="20"/>
              </w:rPr>
            </w:pPr>
            <w:r>
              <w:rPr>
                <w:noProof/>
                <w:color w:val="000000"/>
                <w:sz w:val="20"/>
              </w:rPr>
              <w:t>0 386</w:t>
            </w:r>
          </w:p>
        </w:tc>
        <w:tc>
          <w:tcPr>
            <w:tcW w:w="687" w:type="pct"/>
            <w:tcBorders>
              <w:bottom w:val="single" w:sz="4" w:space="0" w:color="auto"/>
            </w:tcBorders>
            <w:vAlign w:val="center"/>
          </w:tcPr>
          <w:p w:rsidR="00526EFA" w:rsidRDefault="005C4D05">
            <w:pPr>
              <w:keepNext/>
              <w:keepLines/>
              <w:jc w:val="center"/>
              <w:rPr>
                <w:noProof/>
                <w:color w:val="000000"/>
                <w:sz w:val="20"/>
                <w:szCs w:val="20"/>
              </w:rPr>
            </w:pPr>
            <w:r>
              <w:rPr>
                <w:noProof/>
                <w:color w:val="000000"/>
                <w:sz w:val="20"/>
              </w:rPr>
              <w:t>0 386</w:t>
            </w:r>
          </w:p>
        </w:tc>
        <w:tc>
          <w:tcPr>
            <w:tcW w:w="687" w:type="pct"/>
            <w:tcBorders>
              <w:bottom w:val="single" w:sz="4" w:space="0" w:color="auto"/>
            </w:tcBorders>
            <w:vAlign w:val="center"/>
          </w:tcPr>
          <w:p w:rsidR="00526EFA" w:rsidRDefault="005C4D05">
            <w:pPr>
              <w:keepNext/>
              <w:keepLines/>
              <w:jc w:val="center"/>
              <w:rPr>
                <w:b/>
                <w:noProof/>
                <w:sz w:val="16"/>
                <w:szCs w:val="16"/>
              </w:rPr>
            </w:pPr>
            <w:r>
              <w:rPr>
                <w:b/>
                <w:noProof/>
                <w:color w:val="000000"/>
                <w:sz w:val="20"/>
              </w:rPr>
              <w:t>0 772</w:t>
            </w:r>
          </w:p>
        </w:tc>
      </w:tr>
      <w:tr w:rsidR="00526EFA">
        <w:trPr>
          <w:gridAfter w:val="7"/>
          <w:wAfter w:w="3614" w:type="pct"/>
        </w:trPr>
        <w:tc>
          <w:tcPr>
            <w:tcW w:w="777" w:type="pct"/>
            <w:tcBorders>
              <w:top w:val="single" w:sz="4" w:space="0" w:color="auto"/>
              <w:left w:val="nil"/>
              <w:bottom w:val="nil"/>
              <w:right w:val="nil"/>
            </w:tcBorders>
            <w:shd w:val="clear" w:color="C0C0C0" w:fill="auto"/>
          </w:tcPr>
          <w:p w:rsidR="00526EFA" w:rsidRDefault="00526EFA">
            <w:pPr>
              <w:spacing w:before="60" w:after="60"/>
              <w:jc w:val="right"/>
              <w:rPr>
                <w:noProof/>
                <w:sz w:val="20"/>
              </w:rPr>
            </w:pPr>
          </w:p>
        </w:tc>
        <w:tc>
          <w:tcPr>
            <w:tcW w:w="609" w:type="pct"/>
            <w:tcBorders>
              <w:top w:val="single" w:sz="4" w:space="0" w:color="auto"/>
              <w:left w:val="nil"/>
              <w:bottom w:val="nil"/>
              <w:right w:val="nil"/>
            </w:tcBorders>
            <w:shd w:val="clear" w:color="C0C0C0" w:fill="auto"/>
          </w:tcPr>
          <w:p w:rsidR="00526EFA" w:rsidRDefault="00526EFA">
            <w:pPr>
              <w:spacing w:before="60" w:after="60"/>
              <w:jc w:val="right"/>
              <w:rPr>
                <w:noProof/>
                <w:sz w:val="20"/>
              </w:rPr>
            </w:pPr>
          </w:p>
        </w:tc>
      </w:tr>
      <w:tr w:rsidR="00526EFA">
        <w:tc>
          <w:tcPr>
            <w:tcW w:w="1430" w:type="pct"/>
            <w:gridSpan w:val="3"/>
            <w:tcBorders>
              <w:top w:val="nil"/>
              <w:left w:val="nil"/>
              <w:right w:val="nil"/>
            </w:tcBorders>
            <w:vAlign w:val="center"/>
          </w:tcPr>
          <w:p w:rsidR="00526EFA" w:rsidRDefault="00526EFA">
            <w:pPr>
              <w:spacing w:before="60" w:after="60"/>
              <w:rPr>
                <w:noProof/>
                <w:sz w:val="20"/>
              </w:rPr>
            </w:pPr>
          </w:p>
        </w:tc>
        <w:tc>
          <w:tcPr>
            <w:tcW w:w="943" w:type="pct"/>
            <w:tcBorders>
              <w:top w:val="nil"/>
              <w:left w:val="nil"/>
            </w:tcBorders>
          </w:tcPr>
          <w:p w:rsidR="00526EFA" w:rsidRDefault="00526EFA">
            <w:pPr>
              <w:spacing w:before="60" w:after="60"/>
              <w:rPr>
                <w:noProof/>
                <w:sz w:val="20"/>
              </w:rPr>
            </w:pPr>
          </w:p>
        </w:tc>
        <w:tc>
          <w:tcPr>
            <w:tcW w:w="609" w:type="pct"/>
          </w:tcPr>
          <w:p w:rsidR="00526EFA" w:rsidRDefault="005C4D05">
            <w:pPr>
              <w:spacing w:before="60" w:after="60"/>
              <w:jc w:val="center"/>
              <w:rPr>
                <w:noProof/>
                <w:sz w:val="20"/>
              </w:rPr>
            </w:pPr>
            <w:r>
              <w:rPr>
                <w:noProof/>
                <w:sz w:val="20"/>
              </w:rPr>
              <w:t>Bonnlíne</w:t>
            </w:r>
            <w:r>
              <w:rPr>
                <w:noProof/>
                <w:sz w:val="20"/>
              </w:rPr>
              <w:br/>
              <w:t>2017</w:t>
            </w:r>
            <w:r>
              <w:rPr>
                <w:rStyle w:val="FootnoteReference"/>
                <w:noProof/>
                <w:sz w:val="20"/>
              </w:rPr>
              <w:footnoteReference w:id="64"/>
            </w:r>
          </w:p>
        </w:tc>
        <w:tc>
          <w:tcPr>
            <w:tcW w:w="104" w:type="pct"/>
          </w:tcPr>
          <w:p w:rsidR="00526EFA" w:rsidRDefault="00526EFA">
            <w:pPr>
              <w:spacing w:before="60" w:after="60"/>
              <w:jc w:val="center"/>
              <w:rPr>
                <w:noProof/>
                <w:sz w:val="20"/>
              </w:rPr>
            </w:pPr>
          </w:p>
        </w:tc>
        <w:tc>
          <w:tcPr>
            <w:tcW w:w="541" w:type="pct"/>
            <w:vAlign w:val="center"/>
          </w:tcPr>
          <w:p w:rsidR="00526EFA" w:rsidRDefault="005C4D05">
            <w:pPr>
              <w:spacing w:before="60" w:after="60"/>
              <w:jc w:val="center"/>
              <w:rPr>
                <w:noProof/>
                <w:sz w:val="20"/>
              </w:rPr>
            </w:pPr>
            <w:r>
              <w:rPr>
                <w:noProof/>
                <w:sz w:val="20"/>
              </w:rPr>
              <w:t>Bliain</w:t>
            </w:r>
            <w:r>
              <w:rPr>
                <w:noProof/>
                <w:sz w:val="20"/>
              </w:rPr>
              <w:br/>
              <w:t>2019</w:t>
            </w:r>
          </w:p>
        </w:tc>
        <w:tc>
          <w:tcPr>
            <w:tcW w:w="687" w:type="pct"/>
            <w:vAlign w:val="center"/>
          </w:tcPr>
          <w:p w:rsidR="00526EFA" w:rsidRDefault="005C4D05">
            <w:pPr>
              <w:spacing w:before="60" w:after="60"/>
              <w:jc w:val="center"/>
              <w:rPr>
                <w:noProof/>
                <w:sz w:val="20"/>
              </w:rPr>
            </w:pPr>
            <w:r>
              <w:rPr>
                <w:noProof/>
                <w:sz w:val="20"/>
              </w:rPr>
              <w:t>Bliain</w:t>
            </w:r>
            <w:r>
              <w:rPr>
                <w:noProof/>
                <w:sz w:val="20"/>
              </w:rPr>
              <w:br/>
              <w:t>2020</w:t>
            </w:r>
          </w:p>
        </w:tc>
        <w:tc>
          <w:tcPr>
            <w:tcW w:w="687" w:type="pct"/>
            <w:vAlign w:val="center"/>
          </w:tcPr>
          <w:p w:rsidR="00526EFA" w:rsidRDefault="005C4D05">
            <w:pPr>
              <w:spacing w:before="60" w:after="60"/>
              <w:jc w:val="center"/>
              <w:rPr>
                <w:noProof/>
                <w:sz w:val="20"/>
              </w:rPr>
            </w:pPr>
            <w:r>
              <w:rPr>
                <w:noProof/>
                <w:sz w:val="20"/>
              </w:rPr>
              <w:t>IOMLÁN</w:t>
            </w:r>
          </w:p>
          <w:p w:rsidR="00526EFA" w:rsidRDefault="005C4D05">
            <w:pPr>
              <w:spacing w:before="60" w:after="60"/>
              <w:jc w:val="center"/>
              <w:rPr>
                <w:noProof/>
                <w:sz w:val="20"/>
              </w:rPr>
            </w:pPr>
            <w:r>
              <w:rPr>
                <w:noProof/>
                <w:sz w:val="20"/>
              </w:rPr>
              <w:t>2019</w:t>
            </w:r>
            <w:r>
              <w:rPr>
                <w:noProof/>
                <w:sz w:val="20"/>
              </w:rPr>
              <w:noBreakHyphen/>
              <w:t>2020</w:t>
            </w:r>
          </w:p>
        </w:tc>
      </w:tr>
      <w:tr w:rsidR="00526EFA">
        <w:tc>
          <w:tcPr>
            <w:tcW w:w="1430" w:type="pct"/>
            <w:gridSpan w:val="3"/>
            <w:vMerge w:val="restart"/>
            <w:shd w:val="clear" w:color="auto" w:fill="C0C0C0"/>
            <w:vAlign w:val="center"/>
          </w:tcPr>
          <w:p w:rsidR="00526EFA" w:rsidRDefault="005C4D05">
            <w:pPr>
              <w:spacing w:before="60" w:after="60"/>
              <w:rPr>
                <w:noProof/>
                <w:sz w:val="20"/>
              </w:rPr>
            </w:pPr>
            <w:r>
              <w:rPr>
                <w:noProof/>
                <w:sz w:val="20"/>
              </w:rPr>
              <w:t xml:space="preserve">IOMLÁN leithreasuithe </w:t>
            </w:r>
            <w:r>
              <w:rPr>
                <w:noProof/>
                <w:sz w:val="20"/>
              </w:rPr>
              <w:br/>
              <w:t>faoi CHEANNTEIDIL 1 go 5</w:t>
            </w:r>
            <w:r>
              <w:rPr>
                <w:noProof/>
                <w:sz w:val="20"/>
              </w:rPr>
              <w:br/>
            </w:r>
            <w:r>
              <w:rPr>
                <w:noProof/>
                <w:sz w:val="20"/>
              </w:rPr>
              <w:t xml:space="preserve">den chreat airgeadais ilbhliantúil </w:t>
            </w:r>
          </w:p>
        </w:tc>
        <w:tc>
          <w:tcPr>
            <w:tcW w:w="943" w:type="pct"/>
            <w:vAlign w:val="center"/>
          </w:tcPr>
          <w:p w:rsidR="00526EFA" w:rsidRDefault="005C4D05">
            <w:pPr>
              <w:spacing w:before="60" w:after="60"/>
              <w:rPr>
                <w:noProof/>
                <w:sz w:val="20"/>
              </w:rPr>
            </w:pPr>
            <w:r>
              <w:rPr>
                <w:noProof/>
                <w:sz w:val="20"/>
              </w:rPr>
              <w:t>Gealltanais</w:t>
            </w:r>
          </w:p>
        </w:tc>
        <w:tc>
          <w:tcPr>
            <w:tcW w:w="609" w:type="pct"/>
          </w:tcPr>
          <w:p w:rsidR="00526EFA" w:rsidRDefault="005C4D05">
            <w:pPr>
              <w:spacing w:before="60" w:after="60"/>
              <w:jc w:val="center"/>
              <w:rPr>
                <w:noProof/>
                <w:sz w:val="20"/>
              </w:rPr>
            </w:pPr>
            <w:r>
              <w:rPr>
                <w:noProof/>
                <w:sz w:val="20"/>
              </w:rPr>
              <w:t>4 632</w:t>
            </w:r>
          </w:p>
        </w:tc>
        <w:tc>
          <w:tcPr>
            <w:tcW w:w="104" w:type="pct"/>
          </w:tcPr>
          <w:p w:rsidR="00526EFA" w:rsidRDefault="00526EFA">
            <w:pPr>
              <w:jc w:val="center"/>
              <w:rPr>
                <w:noProof/>
                <w:color w:val="000000"/>
                <w:sz w:val="20"/>
                <w:szCs w:val="20"/>
              </w:rPr>
            </w:pPr>
          </w:p>
        </w:tc>
        <w:tc>
          <w:tcPr>
            <w:tcW w:w="541" w:type="pct"/>
            <w:vAlign w:val="center"/>
          </w:tcPr>
          <w:p w:rsidR="00526EFA" w:rsidRDefault="005C4D05">
            <w:pPr>
              <w:jc w:val="center"/>
              <w:rPr>
                <w:noProof/>
                <w:color w:val="000000"/>
                <w:sz w:val="20"/>
                <w:szCs w:val="20"/>
              </w:rPr>
            </w:pPr>
            <w:r>
              <w:rPr>
                <w:noProof/>
                <w:color w:val="000000"/>
                <w:sz w:val="20"/>
              </w:rPr>
              <w:t>6 294</w:t>
            </w:r>
          </w:p>
        </w:tc>
        <w:tc>
          <w:tcPr>
            <w:tcW w:w="687" w:type="pct"/>
            <w:vAlign w:val="center"/>
          </w:tcPr>
          <w:p w:rsidR="00526EFA" w:rsidRDefault="005C4D05">
            <w:pPr>
              <w:keepNext/>
              <w:keepLines/>
              <w:jc w:val="center"/>
              <w:rPr>
                <w:noProof/>
                <w:color w:val="000000"/>
                <w:sz w:val="20"/>
                <w:szCs w:val="20"/>
              </w:rPr>
            </w:pPr>
            <w:r>
              <w:rPr>
                <w:noProof/>
                <w:color w:val="000000"/>
                <w:sz w:val="20"/>
              </w:rPr>
              <w:t>7 841</w:t>
            </w:r>
          </w:p>
        </w:tc>
        <w:tc>
          <w:tcPr>
            <w:tcW w:w="687" w:type="pct"/>
            <w:vAlign w:val="center"/>
          </w:tcPr>
          <w:p w:rsidR="00526EFA" w:rsidRDefault="005C4D05">
            <w:pPr>
              <w:spacing w:before="60" w:after="60"/>
              <w:jc w:val="center"/>
              <w:rPr>
                <w:b/>
                <w:noProof/>
                <w:sz w:val="20"/>
              </w:rPr>
            </w:pPr>
            <w:r>
              <w:rPr>
                <w:b/>
                <w:noProof/>
                <w:sz w:val="20"/>
              </w:rPr>
              <w:t>14 135</w:t>
            </w:r>
          </w:p>
        </w:tc>
      </w:tr>
      <w:tr w:rsidR="00526EFA">
        <w:tc>
          <w:tcPr>
            <w:tcW w:w="1430" w:type="pct"/>
            <w:gridSpan w:val="3"/>
            <w:vMerge/>
            <w:vAlign w:val="center"/>
          </w:tcPr>
          <w:p w:rsidR="00526EFA" w:rsidRDefault="00526EFA">
            <w:pPr>
              <w:spacing w:before="60" w:after="60"/>
              <w:rPr>
                <w:noProof/>
                <w:sz w:val="20"/>
              </w:rPr>
            </w:pPr>
          </w:p>
        </w:tc>
        <w:tc>
          <w:tcPr>
            <w:tcW w:w="943" w:type="pct"/>
            <w:vAlign w:val="center"/>
          </w:tcPr>
          <w:p w:rsidR="00526EFA" w:rsidRDefault="005C4D05">
            <w:pPr>
              <w:spacing w:before="60" w:after="60"/>
              <w:rPr>
                <w:noProof/>
                <w:sz w:val="20"/>
              </w:rPr>
            </w:pPr>
            <w:r>
              <w:rPr>
                <w:noProof/>
                <w:sz w:val="20"/>
              </w:rPr>
              <w:t>Íocaíochtaí</w:t>
            </w:r>
          </w:p>
        </w:tc>
        <w:tc>
          <w:tcPr>
            <w:tcW w:w="609" w:type="pct"/>
          </w:tcPr>
          <w:p w:rsidR="00526EFA" w:rsidRDefault="005C4D05">
            <w:pPr>
              <w:spacing w:before="60" w:after="60"/>
              <w:jc w:val="center"/>
              <w:rPr>
                <w:noProof/>
                <w:sz w:val="20"/>
              </w:rPr>
            </w:pPr>
            <w:r>
              <w:rPr>
                <w:noProof/>
                <w:sz w:val="20"/>
              </w:rPr>
              <w:t>4 632</w:t>
            </w:r>
          </w:p>
        </w:tc>
        <w:tc>
          <w:tcPr>
            <w:tcW w:w="104" w:type="pct"/>
          </w:tcPr>
          <w:p w:rsidR="00526EFA" w:rsidRDefault="00526EFA">
            <w:pPr>
              <w:jc w:val="center"/>
              <w:rPr>
                <w:noProof/>
                <w:color w:val="000000"/>
                <w:sz w:val="20"/>
                <w:szCs w:val="20"/>
              </w:rPr>
            </w:pPr>
          </w:p>
        </w:tc>
        <w:tc>
          <w:tcPr>
            <w:tcW w:w="541" w:type="pct"/>
            <w:vAlign w:val="center"/>
          </w:tcPr>
          <w:p w:rsidR="00526EFA" w:rsidRDefault="005C4D05">
            <w:pPr>
              <w:jc w:val="center"/>
              <w:rPr>
                <w:noProof/>
                <w:color w:val="000000"/>
                <w:sz w:val="20"/>
                <w:szCs w:val="20"/>
              </w:rPr>
            </w:pPr>
            <w:r>
              <w:rPr>
                <w:noProof/>
                <w:color w:val="000000"/>
                <w:sz w:val="20"/>
              </w:rPr>
              <w:t>6 294</w:t>
            </w:r>
          </w:p>
        </w:tc>
        <w:tc>
          <w:tcPr>
            <w:tcW w:w="687" w:type="pct"/>
            <w:vAlign w:val="center"/>
          </w:tcPr>
          <w:p w:rsidR="00526EFA" w:rsidRDefault="005C4D05">
            <w:pPr>
              <w:keepNext/>
              <w:keepLines/>
              <w:jc w:val="center"/>
              <w:rPr>
                <w:noProof/>
                <w:color w:val="000000"/>
                <w:sz w:val="20"/>
                <w:szCs w:val="20"/>
              </w:rPr>
            </w:pPr>
            <w:r>
              <w:rPr>
                <w:noProof/>
                <w:color w:val="000000"/>
                <w:sz w:val="20"/>
              </w:rPr>
              <w:t>7 841</w:t>
            </w:r>
          </w:p>
        </w:tc>
        <w:tc>
          <w:tcPr>
            <w:tcW w:w="687" w:type="pct"/>
            <w:vAlign w:val="center"/>
          </w:tcPr>
          <w:p w:rsidR="00526EFA" w:rsidRDefault="005C4D05">
            <w:pPr>
              <w:jc w:val="center"/>
              <w:rPr>
                <w:b/>
                <w:noProof/>
                <w:color w:val="000000"/>
                <w:sz w:val="20"/>
                <w:szCs w:val="20"/>
              </w:rPr>
            </w:pPr>
            <w:r>
              <w:rPr>
                <w:b/>
                <w:noProof/>
                <w:color w:val="000000"/>
                <w:sz w:val="20"/>
              </w:rPr>
              <w:t>14 135</w:t>
            </w:r>
          </w:p>
        </w:tc>
      </w:tr>
    </w:tbl>
    <w:p w:rsidR="00526EFA" w:rsidRDefault="005C4D05">
      <w:pPr>
        <w:spacing w:before="60" w:after="60"/>
        <w:rPr>
          <w:noProof/>
          <w:sz w:val="20"/>
        </w:rPr>
      </w:pPr>
      <w:r>
        <w:rPr>
          <w:noProof/>
        </w:rPr>
        <w:tab/>
      </w:r>
    </w:p>
    <w:p w:rsidR="00526EFA" w:rsidRDefault="00526EFA">
      <w:pPr>
        <w:spacing w:before="60" w:after="60"/>
        <w:rPr>
          <w:noProof/>
          <w:sz w:val="20"/>
        </w:rPr>
        <w:sectPr w:rsidR="00526EFA" w:rsidSect="005C4D05">
          <w:pgSz w:w="16839" w:h="11907" w:orient="landscape" w:code="9"/>
          <w:pgMar w:top="902" w:right="1247" w:bottom="1134" w:left="1077" w:header="709" w:footer="510" w:gutter="0"/>
          <w:cols w:space="720"/>
          <w:rtlGutter/>
          <w:docGrid w:linePitch="326"/>
        </w:sectPr>
      </w:pPr>
    </w:p>
    <w:p w:rsidR="00526EFA" w:rsidRDefault="00526EFA">
      <w:pPr>
        <w:spacing w:before="60" w:after="60"/>
        <w:rPr>
          <w:i/>
          <w:noProof/>
        </w:rPr>
      </w:pPr>
    </w:p>
    <w:p w:rsidR="00526EFA" w:rsidRDefault="00526EFA">
      <w:pPr>
        <w:spacing w:before="60" w:after="60"/>
        <w:rPr>
          <w:i/>
          <w:noProof/>
        </w:rPr>
      </w:pPr>
    </w:p>
    <w:p w:rsidR="00526EFA" w:rsidRDefault="005C4D05">
      <w:pPr>
        <w:pStyle w:val="ManualHeading3"/>
        <w:rPr>
          <w:bCs/>
          <w:noProof/>
        </w:rPr>
      </w:pPr>
      <w:r>
        <w:rPr>
          <w:noProof/>
        </w:rPr>
        <w:t>3.2.2.</w:t>
      </w:r>
      <w:r>
        <w:rPr>
          <w:noProof/>
        </w:rPr>
        <w:tab/>
      </w:r>
      <w:r>
        <w:rPr>
          <w:noProof/>
        </w:rPr>
        <w:t xml:space="preserve">An tionchar a mheastar a bheidh ar leithreasuithe na Gníomhaireachta </w:t>
      </w:r>
    </w:p>
    <w:p w:rsidR="00526EFA" w:rsidRDefault="005C4D05">
      <w:pPr>
        <w:spacing w:before="60" w:after="60"/>
        <w:ind w:left="3958" w:firstLine="720"/>
        <w:rPr>
          <w:noProof/>
        </w:rPr>
      </w:pPr>
      <w:r>
        <w:rPr>
          <w:noProof/>
        </w:rPr>
        <w:sym w:font="Wingdings" w:char="F0A8"/>
      </w:r>
      <w:r>
        <w:rPr>
          <w:noProof/>
        </w:rPr>
        <w:tab/>
        <w:t>Ní éilíonn an togra/tionscnamh go n</w:t>
      </w:r>
      <w:r>
        <w:rPr>
          <w:noProof/>
        </w:rPr>
        <w:noBreakHyphen/>
        <w:t>úsáidfear leithreasuithe faoi chomhair oibríochtaí</w:t>
      </w:r>
    </w:p>
    <w:p w:rsidR="00526EFA" w:rsidRDefault="005C4D05">
      <w:pPr>
        <w:pStyle w:val="ListDash1"/>
        <w:jc w:val="left"/>
        <w:rPr>
          <w:noProof/>
        </w:rPr>
      </w:pPr>
      <w:r>
        <w:rPr>
          <w:noProof/>
        </w:rPr>
        <w:sym w:font="Wingdings" w:char="F078"/>
      </w:r>
      <w:r>
        <w:rPr>
          <w:noProof/>
        </w:rPr>
        <w:tab/>
        <w:t>Éilíonn an togra/tionscnamh go n</w:t>
      </w:r>
      <w:r>
        <w:rPr>
          <w:noProof/>
        </w:rPr>
        <w:noBreakHyphen/>
        <w:t xml:space="preserve">úsáidfear leithreasuithe faoi chomhair oibríochtaí, mar a </w:t>
      </w:r>
      <w:r>
        <w:rPr>
          <w:noProof/>
        </w:rPr>
        <w:t>thuairiscítear thíos:</w:t>
      </w:r>
    </w:p>
    <w:p w:rsidR="00526EFA" w:rsidRDefault="005C4D05">
      <w:pPr>
        <w:jc w:val="right"/>
        <w:rPr>
          <w:noProof/>
          <w:sz w:val="20"/>
        </w:rPr>
      </w:pPr>
      <w:r>
        <w:rPr>
          <w:noProof/>
          <w:sz w:val="20"/>
        </w:rPr>
        <w:t>Leithreasuithe faoi chomhair gealltanas in EUR milliúin (go dtí an tríú deachúil)</w:t>
      </w:r>
    </w:p>
    <w:p w:rsidR="00526EFA" w:rsidRDefault="00526EFA">
      <w:pPr>
        <w:jc w:val="right"/>
        <w:rPr>
          <w:noProof/>
          <w:sz w:val="20"/>
        </w:rPr>
      </w:pPr>
    </w:p>
    <w:p w:rsidR="00526EFA" w:rsidRDefault="00526EFA">
      <w:pPr>
        <w:jc w:val="right"/>
        <w:rPr>
          <w:noProof/>
          <w:sz w:val="20"/>
        </w:rPr>
      </w:pPr>
    </w:p>
    <w:p w:rsidR="00526EFA" w:rsidRDefault="00526EFA">
      <w:pPr>
        <w:jc w:val="right"/>
        <w:rPr>
          <w:noProof/>
          <w:sz w:val="20"/>
        </w:rPr>
      </w:pPr>
    </w:p>
    <w:tbl>
      <w:tblPr>
        <w:tblW w:w="39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4"/>
        <w:gridCol w:w="1511"/>
        <w:gridCol w:w="1511"/>
        <w:gridCol w:w="1509"/>
      </w:tblGrid>
      <w:tr w:rsidR="00526EFA">
        <w:trPr>
          <w:cantSplit/>
          <w:jc w:val="center"/>
        </w:trPr>
        <w:tc>
          <w:tcPr>
            <w:tcW w:w="2975" w:type="pct"/>
            <w:vAlign w:val="center"/>
          </w:tcPr>
          <w:p w:rsidR="00526EFA" w:rsidRDefault="005C4D05">
            <w:pPr>
              <w:keepNext/>
              <w:keepLines/>
              <w:widowControl w:val="0"/>
              <w:ind w:right="-29"/>
              <w:jc w:val="center"/>
              <w:rPr>
                <w:noProof/>
                <w:sz w:val="20"/>
                <w:szCs w:val="20"/>
              </w:rPr>
            </w:pPr>
            <w:r>
              <w:rPr>
                <w:b/>
                <w:noProof/>
                <w:sz w:val="20"/>
              </w:rPr>
              <w:t>Sonraigh cuspóirí agus aschuir</w:t>
            </w:r>
            <w:r>
              <w:rPr>
                <w:rStyle w:val="FootnoteReference"/>
                <w:b/>
                <w:noProof/>
                <w:sz w:val="20"/>
              </w:rPr>
              <w:footnoteReference w:id="65"/>
            </w:r>
          </w:p>
          <w:p w:rsidR="00526EFA" w:rsidRDefault="005C4D05">
            <w:pPr>
              <w:keepNext/>
              <w:keepLines/>
              <w:widowControl w:val="0"/>
              <w:ind w:right="-29"/>
              <w:jc w:val="center"/>
              <w:rPr>
                <w:noProof/>
                <w:sz w:val="20"/>
                <w:szCs w:val="20"/>
              </w:rPr>
            </w:pPr>
            <w:r>
              <w:rPr>
                <w:noProof/>
                <w:sz w:val="20"/>
                <w:szCs w:val="20"/>
              </w:rPr>
              <w:sym w:font="Wingdings" w:char="F0F2"/>
            </w:r>
          </w:p>
        </w:tc>
        <w:tc>
          <w:tcPr>
            <w:tcW w:w="675" w:type="pct"/>
            <w:vAlign w:val="center"/>
          </w:tcPr>
          <w:p w:rsidR="00526EFA" w:rsidRDefault="005C4D05">
            <w:pPr>
              <w:keepNext/>
              <w:keepLines/>
              <w:widowControl w:val="0"/>
              <w:ind w:right="-29"/>
              <w:jc w:val="center"/>
              <w:rPr>
                <w:noProof/>
                <w:sz w:val="20"/>
                <w:szCs w:val="20"/>
              </w:rPr>
            </w:pPr>
            <w:r>
              <w:rPr>
                <w:noProof/>
                <w:sz w:val="20"/>
              </w:rPr>
              <w:t>Bliain</w:t>
            </w:r>
            <w:r>
              <w:rPr>
                <w:noProof/>
                <w:sz w:val="20"/>
                <w:szCs w:val="20"/>
              </w:rPr>
              <w:br/>
            </w:r>
            <w:r>
              <w:rPr>
                <w:b/>
                <w:noProof/>
                <w:sz w:val="20"/>
              </w:rPr>
              <w:t>2019</w:t>
            </w:r>
          </w:p>
        </w:tc>
        <w:tc>
          <w:tcPr>
            <w:tcW w:w="675" w:type="pct"/>
            <w:vAlign w:val="center"/>
          </w:tcPr>
          <w:p w:rsidR="00526EFA" w:rsidRDefault="005C4D05">
            <w:pPr>
              <w:keepNext/>
              <w:keepLines/>
              <w:widowControl w:val="0"/>
              <w:ind w:right="-29"/>
              <w:jc w:val="center"/>
              <w:rPr>
                <w:noProof/>
                <w:sz w:val="20"/>
                <w:szCs w:val="20"/>
              </w:rPr>
            </w:pPr>
            <w:r>
              <w:rPr>
                <w:noProof/>
                <w:sz w:val="20"/>
              </w:rPr>
              <w:t>Bliain</w:t>
            </w:r>
            <w:r>
              <w:rPr>
                <w:noProof/>
                <w:sz w:val="20"/>
                <w:szCs w:val="20"/>
              </w:rPr>
              <w:br/>
            </w:r>
            <w:r>
              <w:rPr>
                <w:b/>
                <w:noProof/>
                <w:sz w:val="20"/>
              </w:rPr>
              <w:t>2020</w:t>
            </w:r>
          </w:p>
        </w:tc>
        <w:tc>
          <w:tcPr>
            <w:tcW w:w="674" w:type="pct"/>
            <w:tcBorders>
              <w:left w:val="single" w:sz="4" w:space="0" w:color="auto"/>
              <w:bottom w:val="nil"/>
            </w:tcBorders>
            <w:vAlign w:val="center"/>
          </w:tcPr>
          <w:p w:rsidR="00526EFA" w:rsidRDefault="005C4D05">
            <w:pPr>
              <w:keepNext/>
              <w:keepLines/>
              <w:widowControl w:val="0"/>
              <w:ind w:right="-29"/>
              <w:jc w:val="center"/>
              <w:rPr>
                <w:b/>
                <w:noProof/>
                <w:sz w:val="20"/>
                <w:szCs w:val="20"/>
              </w:rPr>
            </w:pPr>
            <w:r>
              <w:rPr>
                <w:b/>
                <w:noProof/>
                <w:sz w:val="20"/>
              </w:rPr>
              <w:t>IOMLÁN</w:t>
            </w:r>
          </w:p>
          <w:p w:rsidR="00526EFA" w:rsidRDefault="005C4D05">
            <w:pPr>
              <w:keepNext/>
              <w:keepLines/>
              <w:widowControl w:val="0"/>
              <w:ind w:right="-29"/>
              <w:jc w:val="center"/>
              <w:rPr>
                <w:noProof/>
                <w:sz w:val="20"/>
                <w:szCs w:val="20"/>
              </w:rPr>
            </w:pPr>
            <w:r>
              <w:rPr>
                <w:b/>
                <w:noProof/>
                <w:sz w:val="20"/>
              </w:rPr>
              <w:t>2019-2020</w:t>
            </w:r>
          </w:p>
        </w:tc>
      </w:tr>
      <w:tr w:rsidR="00526EFA">
        <w:trPr>
          <w:trHeight w:val="425"/>
          <w:jc w:val="center"/>
        </w:trPr>
        <w:tc>
          <w:tcPr>
            <w:tcW w:w="2975" w:type="pct"/>
            <w:vAlign w:val="bottom"/>
          </w:tcPr>
          <w:p w:rsidR="00526EFA" w:rsidRDefault="005C4D05">
            <w:pPr>
              <w:keepNext/>
              <w:keepLines/>
              <w:widowControl w:val="0"/>
              <w:rPr>
                <w:b/>
                <w:bCs/>
                <w:noProof/>
                <w:sz w:val="20"/>
                <w:szCs w:val="20"/>
              </w:rPr>
            </w:pPr>
            <w:r>
              <w:rPr>
                <w:b/>
                <w:noProof/>
                <w:sz w:val="20"/>
              </w:rPr>
              <w:t xml:space="preserve">Gníomhaíochtaí sonracha </w:t>
            </w:r>
          </w:p>
        </w:tc>
        <w:tc>
          <w:tcPr>
            <w:tcW w:w="675" w:type="pct"/>
            <w:vAlign w:val="center"/>
          </w:tcPr>
          <w:p w:rsidR="00526EFA" w:rsidRDefault="00526EFA">
            <w:pPr>
              <w:keepNext/>
              <w:keepLines/>
              <w:widowControl w:val="0"/>
              <w:jc w:val="right"/>
              <w:rPr>
                <w:noProof/>
                <w:sz w:val="20"/>
                <w:szCs w:val="20"/>
              </w:rPr>
            </w:pPr>
          </w:p>
        </w:tc>
        <w:tc>
          <w:tcPr>
            <w:tcW w:w="675" w:type="pct"/>
            <w:vAlign w:val="center"/>
          </w:tcPr>
          <w:p w:rsidR="00526EFA" w:rsidRDefault="00526EFA">
            <w:pPr>
              <w:keepNext/>
              <w:keepLines/>
              <w:widowControl w:val="0"/>
              <w:jc w:val="right"/>
              <w:rPr>
                <w:noProof/>
                <w:sz w:val="20"/>
                <w:szCs w:val="20"/>
              </w:rPr>
            </w:pPr>
          </w:p>
        </w:tc>
        <w:tc>
          <w:tcPr>
            <w:tcW w:w="674" w:type="pct"/>
            <w:tcBorders>
              <w:left w:val="single" w:sz="4" w:space="0" w:color="auto"/>
              <w:bottom w:val="nil"/>
            </w:tcBorders>
            <w:vAlign w:val="center"/>
          </w:tcPr>
          <w:p w:rsidR="00526EFA" w:rsidRDefault="00526EFA">
            <w:pPr>
              <w:keepNext/>
              <w:keepLines/>
              <w:widowControl w:val="0"/>
              <w:jc w:val="right"/>
              <w:rPr>
                <w:noProof/>
                <w:sz w:val="20"/>
                <w:szCs w:val="20"/>
              </w:rPr>
            </w:pPr>
          </w:p>
        </w:tc>
      </w:tr>
      <w:tr w:rsidR="00526EFA">
        <w:trPr>
          <w:jc w:val="center"/>
        </w:trPr>
        <w:tc>
          <w:tcPr>
            <w:tcW w:w="2975" w:type="pct"/>
            <w:vAlign w:val="bottom"/>
          </w:tcPr>
          <w:p w:rsidR="00526EFA" w:rsidRDefault="005C4D05">
            <w:pPr>
              <w:keepNext/>
              <w:keepLines/>
              <w:widowControl w:val="0"/>
              <w:rPr>
                <w:noProof/>
                <w:sz w:val="20"/>
                <w:szCs w:val="20"/>
              </w:rPr>
            </w:pPr>
            <w:r>
              <w:rPr>
                <w:noProof/>
                <w:sz w:val="20"/>
              </w:rPr>
              <w:t xml:space="preserve">Cúraimí réamhnormatacha agus cumhachtaí ceangailteacha </w:t>
            </w:r>
          </w:p>
        </w:tc>
        <w:tc>
          <w:tcPr>
            <w:tcW w:w="675" w:type="pct"/>
            <w:vAlign w:val="bottom"/>
          </w:tcPr>
          <w:p w:rsidR="00526EFA" w:rsidRDefault="005C4D05">
            <w:pPr>
              <w:jc w:val="center"/>
              <w:rPr>
                <w:noProof/>
                <w:sz w:val="20"/>
                <w:szCs w:val="20"/>
              </w:rPr>
            </w:pPr>
            <w:r>
              <w:rPr>
                <w:noProof/>
                <w:sz w:val="20"/>
              </w:rPr>
              <w:t>0 226</w:t>
            </w:r>
          </w:p>
        </w:tc>
        <w:tc>
          <w:tcPr>
            <w:tcW w:w="675" w:type="pct"/>
            <w:vAlign w:val="bottom"/>
          </w:tcPr>
          <w:p w:rsidR="00526EFA" w:rsidRDefault="005C4D05">
            <w:pPr>
              <w:jc w:val="center"/>
              <w:rPr>
                <w:noProof/>
                <w:sz w:val="20"/>
                <w:szCs w:val="20"/>
              </w:rPr>
            </w:pPr>
            <w:r>
              <w:rPr>
                <w:noProof/>
                <w:sz w:val="20"/>
              </w:rPr>
              <w:t>0 309</w:t>
            </w:r>
          </w:p>
        </w:tc>
        <w:tc>
          <w:tcPr>
            <w:tcW w:w="674" w:type="pct"/>
            <w:tcBorders>
              <w:left w:val="single" w:sz="4" w:space="0" w:color="auto"/>
              <w:bottom w:val="nil"/>
            </w:tcBorders>
            <w:shd w:val="clear" w:color="auto" w:fill="auto"/>
            <w:vAlign w:val="bottom"/>
          </w:tcPr>
          <w:p w:rsidR="00526EFA" w:rsidRDefault="005C4D05">
            <w:pPr>
              <w:jc w:val="center"/>
              <w:rPr>
                <w:b/>
                <w:noProof/>
                <w:sz w:val="20"/>
                <w:szCs w:val="20"/>
              </w:rPr>
            </w:pPr>
            <w:r>
              <w:rPr>
                <w:b/>
                <w:noProof/>
                <w:sz w:val="20"/>
              </w:rPr>
              <w:t>0 535</w:t>
            </w:r>
          </w:p>
        </w:tc>
      </w:tr>
      <w:tr w:rsidR="00526EFA">
        <w:trPr>
          <w:jc w:val="center"/>
        </w:trPr>
        <w:tc>
          <w:tcPr>
            <w:tcW w:w="2975" w:type="pct"/>
            <w:vAlign w:val="bottom"/>
          </w:tcPr>
          <w:p w:rsidR="00526EFA" w:rsidRDefault="005C4D05">
            <w:pPr>
              <w:keepNext/>
              <w:keepLines/>
              <w:widowControl w:val="0"/>
              <w:rPr>
                <w:noProof/>
                <w:sz w:val="20"/>
                <w:szCs w:val="20"/>
              </w:rPr>
            </w:pPr>
            <w:r>
              <w:rPr>
                <w:noProof/>
                <w:sz w:val="20"/>
              </w:rPr>
              <w:t xml:space="preserve">Treoir rialála </w:t>
            </w:r>
          </w:p>
        </w:tc>
        <w:tc>
          <w:tcPr>
            <w:tcW w:w="675" w:type="pct"/>
            <w:vAlign w:val="bottom"/>
          </w:tcPr>
          <w:p w:rsidR="00526EFA" w:rsidRDefault="005C4D05">
            <w:pPr>
              <w:jc w:val="center"/>
              <w:rPr>
                <w:noProof/>
                <w:sz w:val="20"/>
                <w:szCs w:val="20"/>
              </w:rPr>
            </w:pPr>
            <w:r>
              <w:rPr>
                <w:noProof/>
                <w:sz w:val="20"/>
              </w:rPr>
              <w:t>0 698</w:t>
            </w:r>
          </w:p>
        </w:tc>
        <w:tc>
          <w:tcPr>
            <w:tcW w:w="675" w:type="pct"/>
            <w:vAlign w:val="bottom"/>
          </w:tcPr>
          <w:p w:rsidR="00526EFA" w:rsidRDefault="005C4D05">
            <w:pPr>
              <w:jc w:val="center"/>
              <w:rPr>
                <w:noProof/>
                <w:sz w:val="20"/>
                <w:szCs w:val="20"/>
              </w:rPr>
            </w:pPr>
            <w:r>
              <w:rPr>
                <w:noProof/>
                <w:sz w:val="20"/>
              </w:rPr>
              <w:t>0 956</w:t>
            </w:r>
          </w:p>
        </w:tc>
        <w:tc>
          <w:tcPr>
            <w:tcW w:w="674" w:type="pct"/>
            <w:tcBorders>
              <w:left w:val="single" w:sz="4" w:space="0" w:color="auto"/>
              <w:bottom w:val="nil"/>
            </w:tcBorders>
            <w:shd w:val="clear" w:color="auto" w:fill="auto"/>
            <w:vAlign w:val="bottom"/>
          </w:tcPr>
          <w:p w:rsidR="00526EFA" w:rsidRDefault="005C4D05">
            <w:pPr>
              <w:jc w:val="center"/>
              <w:rPr>
                <w:b/>
                <w:noProof/>
                <w:sz w:val="20"/>
                <w:szCs w:val="20"/>
              </w:rPr>
            </w:pPr>
            <w:r>
              <w:rPr>
                <w:b/>
                <w:noProof/>
                <w:sz w:val="20"/>
              </w:rPr>
              <w:t>1 654</w:t>
            </w:r>
          </w:p>
        </w:tc>
      </w:tr>
      <w:tr w:rsidR="00526EFA">
        <w:trPr>
          <w:jc w:val="center"/>
        </w:trPr>
        <w:tc>
          <w:tcPr>
            <w:tcW w:w="2975" w:type="pct"/>
            <w:vAlign w:val="bottom"/>
          </w:tcPr>
          <w:p w:rsidR="00526EFA" w:rsidRDefault="005C4D05">
            <w:pPr>
              <w:keepNext/>
              <w:keepLines/>
              <w:widowControl w:val="0"/>
              <w:rPr>
                <w:noProof/>
                <w:sz w:val="20"/>
                <w:szCs w:val="20"/>
              </w:rPr>
            </w:pPr>
            <w:r>
              <w:rPr>
                <w:noProof/>
                <w:sz w:val="20"/>
              </w:rPr>
              <w:t xml:space="preserve">Athbhreithniú ar an margadh </w:t>
            </w:r>
          </w:p>
        </w:tc>
        <w:tc>
          <w:tcPr>
            <w:tcW w:w="675" w:type="pct"/>
            <w:vAlign w:val="bottom"/>
          </w:tcPr>
          <w:p w:rsidR="00526EFA" w:rsidRDefault="005C4D05">
            <w:pPr>
              <w:jc w:val="center"/>
              <w:rPr>
                <w:noProof/>
                <w:sz w:val="20"/>
                <w:szCs w:val="20"/>
              </w:rPr>
            </w:pPr>
            <w:r>
              <w:rPr>
                <w:noProof/>
                <w:sz w:val="20"/>
              </w:rPr>
              <w:t>0 103</w:t>
            </w:r>
          </w:p>
        </w:tc>
        <w:tc>
          <w:tcPr>
            <w:tcW w:w="675" w:type="pct"/>
            <w:vAlign w:val="bottom"/>
          </w:tcPr>
          <w:p w:rsidR="00526EFA" w:rsidRDefault="005C4D05">
            <w:pPr>
              <w:jc w:val="center"/>
              <w:rPr>
                <w:noProof/>
                <w:sz w:val="20"/>
                <w:szCs w:val="20"/>
              </w:rPr>
            </w:pPr>
            <w:r>
              <w:rPr>
                <w:noProof/>
                <w:sz w:val="20"/>
              </w:rPr>
              <w:t>0 141</w:t>
            </w:r>
          </w:p>
        </w:tc>
        <w:tc>
          <w:tcPr>
            <w:tcW w:w="674" w:type="pct"/>
            <w:tcBorders>
              <w:left w:val="single" w:sz="4" w:space="0" w:color="auto"/>
              <w:bottom w:val="nil"/>
            </w:tcBorders>
            <w:shd w:val="clear" w:color="auto" w:fill="auto"/>
            <w:vAlign w:val="bottom"/>
          </w:tcPr>
          <w:p w:rsidR="00526EFA" w:rsidRDefault="005C4D05">
            <w:pPr>
              <w:jc w:val="center"/>
              <w:rPr>
                <w:b/>
                <w:noProof/>
                <w:sz w:val="20"/>
                <w:szCs w:val="20"/>
              </w:rPr>
            </w:pPr>
            <w:r>
              <w:rPr>
                <w:b/>
                <w:noProof/>
                <w:sz w:val="20"/>
              </w:rPr>
              <w:t>0 244</w:t>
            </w:r>
          </w:p>
        </w:tc>
      </w:tr>
      <w:tr w:rsidR="00526EFA">
        <w:trPr>
          <w:jc w:val="center"/>
        </w:trPr>
        <w:tc>
          <w:tcPr>
            <w:tcW w:w="2975" w:type="pct"/>
            <w:vAlign w:val="bottom"/>
          </w:tcPr>
          <w:p w:rsidR="00526EFA" w:rsidRDefault="005C4D05">
            <w:pPr>
              <w:keepNext/>
              <w:keepLines/>
              <w:widowControl w:val="0"/>
              <w:rPr>
                <w:noProof/>
                <w:sz w:val="20"/>
                <w:szCs w:val="20"/>
              </w:rPr>
            </w:pPr>
            <w:r>
              <w:rPr>
                <w:noProof/>
                <w:sz w:val="20"/>
              </w:rPr>
              <w:t xml:space="preserve">Athbhreithniú piaraí ar radaispeictream </w:t>
            </w:r>
          </w:p>
        </w:tc>
        <w:tc>
          <w:tcPr>
            <w:tcW w:w="675" w:type="pct"/>
            <w:vAlign w:val="bottom"/>
          </w:tcPr>
          <w:p w:rsidR="00526EFA" w:rsidRDefault="005C4D05">
            <w:pPr>
              <w:jc w:val="center"/>
              <w:rPr>
                <w:noProof/>
                <w:sz w:val="20"/>
                <w:szCs w:val="20"/>
              </w:rPr>
            </w:pPr>
            <w:r>
              <w:rPr>
                <w:noProof/>
                <w:sz w:val="20"/>
              </w:rPr>
              <w:t>0 041</w:t>
            </w:r>
          </w:p>
        </w:tc>
        <w:tc>
          <w:tcPr>
            <w:tcW w:w="675" w:type="pct"/>
            <w:vAlign w:val="bottom"/>
          </w:tcPr>
          <w:p w:rsidR="00526EFA" w:rsidRDefault="005C4D05">
            <w:pPr>
              <w:jc w:val="center"/>
              <w:rPr>
                <w:noProof/>
                <w:sz w:val="20"/>
                <w:szCs w:val="20"/>
              </w:rPr>
            </w:pPr>
            <w:r>
              <w:rPr>
                <w:noProof/>
                <w:sz w:val="20"/>
              </w:rPr>
              <w:t>0 056</w:t>
            </w:r>
          </w:p>
        </w:tc>
        <w:tc>
          <w:tcPr>
            <w:tcW w:w="674" w:type="pct"/>
            <w:tcBorders>
              <w:left w:val="single" w:sz="4" w:space="0" w:color="auto"/>
              <w:bottom w:val="nil"/>
            </w:tcBorders>
            <w:shd w:val="clear" w:color="auto" w:fill="auto"/>
            <w:vAlign w:val="bottom"/>
          </w:tcPr>
          <w:p w:rsidR="00526EFA" w:rsidRDefault="005C4D05">
            <w:pPr>
              <w:jc w:val="center"/>
              <w:rPr>
                <w:b/>
                <w:noProof/>
                <w:sz w:val="20"/>
                <w:szCs w:val="20"/>
              </w:rPr>
            </w:pPr>
            <w:r>
              <w:rPr>
                <w:b/>
                <w:noProof/>
                <w:sz w:val="20"/>
              </w:rPr>
              <w:t>0 097</w:t>
            </w:r>
          </w:p>
        </w:tc>
      </w:tr>
      <w:tr w:rsidR="00526EFA">
        <w:trPr>
          <w:jc w:val="center"/>
        </w:trPr>
        <w:tc>
          <w:tcPr>
            <w:tcW w:w="2975" w:type="pct"/>
            <w:vAlign w:val="bottom"/>
          </w:tcPr>
          <w:p w:rsidR="00526EFA" w:rsidRDefault="005C4D05">
            <w:pPr>
              <w:keepNext/>
              <w:keepLines/>
              <w:widowControl w:val="0"/>
              <w:rPr>
                <w:noProof/>
                <w:sz w:val="20"/>
                <w:szCs w:val="20"/>
              </w:rPr>
            </w:pPr>
            <w:r>
              <w:rPr>
                <w:noProof/>
                <w:sz w:val="20"/>
              </w:rPr>
              <w:t xml:space="preserve">Feidhmeacha cláir </w:t>
            </w:r>
          </w:p>
        </w:tc>
        <w:tc>
          <w:tcPr>
            <w:tcW w:w="675" w:type="pct"/>
            <w:vAlign w:val="bottom"/>
          </w:tcPr>
          <w:p w:rsidR="00526EFA" w:rsidRDefault="005C4D05">
            <w:pPr>
              <w:jc w:val="center"/>
              <w:rPr>
                <w:noProof/>
                <w:sz w:val="20"/>
                <w:szCs w:val="20"/>
              </w:rPr>
            </w:pPr>
            <w:r>
              <w:rPr>
                <w:noProof/>
                <w:sz w:val="20"/>
              </w:rPr>
              <w:t>0 021</w:t>
            </w:r>
          </w:p>
        </w:tc>
        <w:tc>
          <w:tcPr>
            <w:tcW w:w="675" w:type="pct"/>
            <w:vAlign w:val="bottom"/>
          </w:tcPr>
          <w:p w:rsidR="00526EFA" w:rsidRDefault="005C4D05">
            <w:pPr>
              <w:jc w:val="center"/>
              <w:rPr>
                <w:noProof/>
                <w:sz w:val="20"/>
                <w:szCs w:val="20"/>
              </w:rPr>
            </w:pPr>
            <w:r>
              <w:rPr>
                <w:noProof/>
                <w:sz w:val="20"/>
              </w:rPr>
              <w:t>0 028</w:t>
            </w:r>
          </w:p>
        </w:tc>
        <w:tc>
          <w:tcPr>
            <w:tcW w:w="674" w:type="pct"/>
            <w:tcBorders>
              <w:left w:val="single" w:sz="4" w:space="0" w:color="auto"/>
              <w:bottom w:val="nil"/>
            </w:tcBorders>
            <w:shd w:val="clear" w:color="auto" w:fill="auto"/>
            <w:vAlign w:val="bottom"/>
          </w:tcPr>
          <w:p w:rsidR="00526EFA" w:rsidRDefault="005C4D05">
            <w:pPr>
              <w:jc w:val="center"/>
              <w:rPr>
                <w:b/>
                <w:noProof/>
                <w:sz w:val="20"/>
                <w:szCs w:val="20"/>
              </w:rPr>
            </w:pPr>
            <w:r>
              <w:rPr>
                <w:b/>
                <w:noProof/>
                <w:sz w:val="20"/>
              </w:rPr>
              <w:t>0 049</w:t>
            </w:r>
          </w:p>
        </w:tc>
      </w:tr>
      <w:tr w:rsidR="00526EFA">
        <w:trPr>
          <w:jc w:val="center"/>
        </w:trPr>
        <w:tc>
          <w:tcPr>
            <w:tcW w:w="2975" w:type="pct"/>
            <w:vAlign w:val="bottom"/>
          </w:tcPr>
          <w:p w:rsidR="00526EFA" w:rsidRDefault="005C4D05">
            <w:pPr>
              <w:keepNext/>
              <w:keepLines/>
              <w:widowControl w:val="0"/>
              <w:rPr>
                <w:b/>
                <w:bCs/>
                <w:noProof/>
                <w:sz w:val="20"/>
                <w:szCs w:val="20"/>
              </w:rPr>
            </w:pPr>
            <w:r>
              <w:rPr>
                <w:b/>
                <w:noProof/>
                <w:sz w:val="20"/>
              </w:rPr>
              <w:t xml:space="preserve">Gníomhaíochtaí cothrománacha </w:t>
            </w:r>
          </w:p>
        </w:tc>
        <w:tc>
          <w:tcPr>
            <w:tcW w:w="675" w:type="pct"/>
            <w:vAlign w:val="bottom"/>
          </w:tcPr>
          <w:p w:rsidR="00526EFA" w:rsidRDefault="00526EFA">
            <w:pPr>
              <w:jc w:val="center"/>
              <w:rPr>
                <w:noProof/>
                <w:sz w:val="20"/>
                <w:szCs w:val="20"/>
              </w:rPr>
            </w:pPr>
          </w:p>
        </w:tc>
        <w:tc>
          <w:tcPr>
            <w:tcW w:w="675" w:type="pct"/>
            <w:vAlign w:val="center"/>
          </w:tcPr>
          <w:p w:rsidR="00526EFA" w:rsidRDefault="00526EFA">
            <w:pPr>
              <w:keepNext/>
              <w:keepLines/>
              <w:widowControl w:val="0"/>
              <w:jc w:val="right"/>
              <w:rPr>
                <w:noProof/>
                <w:sz w:val="20"/>
                <w:szCs w:val="20"/>
              </w:rPr>
            </w:pPr>
          </w:p>
        </w:tc>
        <w:tc>
          <w:tcPr>
            <w:tcW w:w="674" w:type="pct"/>
            <w:tcBorders>
              <w:left w:val="single" w:sz="4" w:space="0" w:color="auto"/>
              <w:bottom w:val="nil"/>
            </w:tcBorders>
            <w:shd w:val="clear" w:color="auto" w:fill="auto"/>
            <w:vAlign w:val="center"/>
          </w:tcPr>
          <w:p w:rsidR="00526EFA" w:rsidRDefault="00526EFA">
            <w:pPr>
              <w:keepNext/>
              <w:keepLines/>
              <w:widowControl w:val="0"/>
              <w:jc w:val="right"/>
              <w:rPr>
                <w:b/>
                <w:noProof/>
                <w:sz w:val="20"/>
                <w:szCs w:val="20"/>
              </w:rPr>
            </w:pPr>
          </w:p>
        </w:tc>
      </w:tr>
      <w:tr w:rsidR="00526EFA">
        <w:trPr>
          <w:jc w:val="center"/>
        </w:trPr>
        <w:tc>
          <w:tcPr>
            <w:tcW w:w="2975" w:type="pct"/>
            <w:vAlign w:val="bottom"/>
          </w:tcPr>
          <w:p w:rsidR="00526EFA" w:rsidRDefault="005C4D05">
            <w:pPr>
              <w:keepNext/>
              <w:keepLines/>
              <w:widowControl w:val="0"/>
              <w:rPr>
                <w:noProof/>
                <w:sz w:val="20"/>
                <w:szCs w:val="20"/>
              </w:rPr>
            </w:pPr>
            <w:r>
              <w:rPr>
                <w:noProof/>
                <w:sz w:val="20"/>
              </w:rPr>
              <w:t xml:space="preserve">Cruinnithe an Bhoird Bainistíochta </w:t>
            </w:r>
          </w:p>
        </w:tc>
        <w:tc>
          <w:tcPr>
            <w:tcW w:w="675" w:type="pct"/>
            <w:vAlign w:val="bottom"/>
          </w:tcPr>
          <w:p w:rsidR="00526EFA" w:rsidRDefault="005C4D05">
            <w:pPr>
              <w:jc w:val="center"/>
              <w:rPr>
                <w:noProof/>
                <w:sz w:val="20"/>
                <w:szCs w:val="20"/>
              </w:rPr>
            </w:pPr>
            <w:r>
              <w:rPr>
                <w:noProof/>
                <w:sz w:val="20"/>
              </w:rPr>
              <w:t>0 308</w:t>
            </w:r>
          </w:p>
        </w:tc>
        <w:tc>
          <w:tcPr>
            <w:tcW w:w="675" w:type="pct"/>
            <w:vAlign w:val="bottom"/>
          </w:tcPr>
          <w:p w:rsidR="00526EFA" w:rsidRDefault="005C4D05">
            <w:pPr>
              <w:jc w:val="center"/>
              <w:rPr>
                <w:noProof/>
                <w:sz w:val="20"/>
                <w:szCs w:val="20"/>
              </w:rPr>
            </w:pPr>
            <w:r>
              <w:rPr>
                <w:noProof/>
                <w:sz w:val="20"/>
              </w:rPr>
              <w:t>0 422</w:t>
            </w:r>
          </w:p>
        </w:tc>
        <w:tc>
          <w:tcPr>
            <w:tcW w:w="674" w:type="pct"/>
            <w:tcBorders>
              <w:left w:val="single" w:sz="4" w:space="0" w:color="auto"/>
              <w:bottom w:val="nil"/>
            </w:tcBorders>
            <w:shd w:val="clear" w:color="auto" w:fill="auto"/>
            <w:vAlign w:val="bottom"/>
          </w:tcPr>
          <w:p w:rsidR="00526EFA" w:rsidRDefault="005C4D05">
            <w:pPr>
              <w:jc w:val="center"/>
              <w:rPr>
                <w:b/>
                <w:noProof/>
                <w:sz w:val="20"/>
                <w:szCs w:val="20"/>
              </w:rPr>
            </w:pPr>
            <w:r>
              <w:rPr>
                <w:b/>
                <w:noProof/>
                <w:sz w:val="20"/>
              </w:rPr>
              <w:t>0 730</w:t>
            </w:r>
          </w:p>
        </w:tc>
      </w:tr>
      <w:tr w:rsidR="00526EFA">
        <w:trPr>
          <w:jc w:val="center"/>
        </w:trPr>
        <w:tc>
          <w:tcPr>
            <w:tcW w:w="2975" w:type="pct"/>
            <w:vAlign w:val="bottom"/>
          </w:tcPr>
          <w:p w:rsidR="00526EFA" w:rsidRDefault="005C4D05">
            <w:pPr>
              <w:keepNext/>
              <w:keepLines/>
              <w:widowControl w:val="0"/>
              <w:rPr>
                <w:noProof/>
                <w:sz w:val="20"/>
                <w:szCs w:val="20"/>
              </w:rPr>
            </w:pPr>
            <w:r>
              <w:rPr>
                <w:noProof/>
                <w:sz w:val="20"/>
              </w:rPr>
              <w:t xml:space="preserve">Cúnamh agus comhairle don Choimisiún agus d'institiúidí eile de chuid an Aontais Eorpaigh </w:t>
            </w:r>
          </w:p>
        </w:tc>
        <w:tc>
          <w:tcPr>
            <w:tcW w:w="675" w:type="pct"/>
            <w:vAlign w:val="bottom"/>
          </w:tcPr>
          <w:p w:rsidR="00526EFA" w:rsidRDefault="005C4D05">
            <w:pPr>
              <w:jc w:val="center"/>
              <w:rPr>
                <w:noProof/>
                <w:sz w:val="20"/>
                <w:szCs w:val="20"/>
              </w:rPr>
            </w:pPr>
            <w:r>
              <w:rPr>
                <w:noProof/>
                <w:sz w:val="20"/>
              </w:rPr>
              <w:t>0 410</w:t>
            </w:r>
          </w:p>
        </w:tc>
        <w:tc>
          <w:tcPr>
            <w:tcW w:w="675" w:type="pct"/>
            <w:vAlign w:val="bottom"/>
          </w:tcPr>
          <w:p w:rsidR="00526EFA" w:rsidRDefault="005C4D05">
            <w:pPr>
              <w:jc w:val="center"/>
              <w:rPr>
                <w:noProof/>
                <w:sz w:val="20"/>
                <w:szCs w:val="20"/>
              </w:rPr>
            </w:pPr>
            <w:r>
              <w:rPr>
                <w:noProof/>
                <w:sz w:val="20"/>
              </w:rPr>
              <w:t>0 563</w:t>
            </w:r>
          </w:p>
        </w:tc>
        <w:tc>
          <w:tcPr>
            <w:tcW w:w="674" w:type="pct"/>
            <w:tcBorders>
              <w:left w:val="single" w:sz="4" w:space="0" w:color="auto"/>
              <w:bottom w:val="nil"/>
            </w:tcBorders>
            <w:shd w:val="clear" w:color="auto" w:fill="auto"/>
            <w:vAlign w:val="bottom"/>
          </w:tcPr>
          <w:p w:rsidR="00526EFA" w:rsidRDefault="005C4D05">
            <w:pPr>
              <w:jc w:val="center"/>
              <w:rPr>
                <w:b/>
                <w:noProof/>
                <w:sz w:val="20"/>
                <w:szCs w:val="20"/>
              </w:rPr>
            </w:pPr>
            <w:r>
              <w:rPr>
                <w:b/>
                <w:noProof/>
                <w:sz w:val="20"/>
              </w:rPr>
              <w:t>0 973</w:t>
            </w:r>
          </w:p>
        </w:tc>
      </w:tr>
      <w:tr w:rsidR="00526EFA">
        <w:trPr>
          <w:jc w:val="center"/>
        </w:trPr>
        <w:tc>
          <w:tcPr>
            <w:tcW w:w="2975" w:type="pct"/>
            <w:vAlign w:val="bottom"/>
          </w:tcPr>
          <w:p w:rsidR="00526EFA" w:rsidRDefault="005C4D05">
            <w:pPr>
              <w:keepNext/>
              <w:keepLines/>
              <w:widowControl w:val="0"/>
              <w:rPr>
                <w:noProof/>
                <w:sz w:val="20"/>
                <w:szCs w:val="20"/>
              </w:rPr>
            </w:pPr>
            <w:r>
              <w:rPr>
                <w:noProof/>
                <w:sz w:val="20"/>
              </w:rPr>
              <w:t xml:space="preserve">Cúnamh agus comhairle do na hÚNRanna </w:t>
            </w:r>
          </w:p>
        </w:tc>
        <w:tc>
          <w:tcPr>
            <w:tcW w:w="675" w:type="pct"/>
            <w:vAlign w:val="bottom"/>
          </w:tcPr>
          <w:p w:rsidR="00526EFA" w:rsidRDefault="005C4D05">
            <w:pPr>
              <w:jc w:val="center"/>
              <w:rPr>
                <w:noProof/>
                <w:sz w:val="20"/>
                <w:szCs w:val="20"/>
              </w:rPr>
            </w:pPr>
            <w:r>
              <w:rPr>
                <w:noProof/>
                <w:sz w:val="20"/>
              </w:rPr>
              <w:t>0 041</w:t>
            </w:r>
          </w:p>
        </w:tc>
        <w:tc>
          <w:tcPr>
            <w:tcW w:w="675" w:type="pct"/>
            <w:vAlign w:val="bottom"/>
          </w:tcPr>
          <w:p w:rsidR="00526EFA" w:rsidRDefault="005C4D05">
            <w:pPr>
              <w:jc w:val="center"/>
              <w:rPr>
                <w:noProof/>
                <w:sz w:val="20"/>
                <w:szCs w:val="20"/>
              </w:rPr>
            </w:pPr>
            <w:r>
              <w:rPr>
                <w:noProof/>
                <w:sz w:val="20"/>
              </w:rPr>
              <w:t>0 056</w:t>
            </w:r>
          </w:p>
        </w:tc>
        <w:tc>
          <w:tcPr>
            <w:tcW w:w="674" w:type="pct"/>
            <w:tcBorders>
              <w:left w:val="single" w:sz="4" w:space="0" w:color="auto"/>
              <w:bottom w:val="nil"/>
            </w:tcBorders>
            <w:shd w:val="clear" w:color="auto" w:fill="auto"/>
            <w:vAlign w:val="bottom"/>
          </w:tcPr>
          <w:p w:rsidR="00526EFA" w:rsidRDefault="005C4D05">
            <w:pPr>
              <w:jc w:val="center"/>
              <w:rPr>
                <w:b/>
                <w:noProof/>
                <w:sz w:val="20"/>
                <w:szCs w:val="20"/>
              </w:rPr>
            </w:pPr>
            <w:r>
              <w:rPr>
                <w:b/>
                <w:noProof/>
                <w:sz w:val="20"/>
              </w:rPr>
              <w:t>0 097</w:t>
            </w:r>
          </w:p>
        </w:tc>
      </w:tr>
      <w:tr w:rsidR="00526EFA">
        <w:trPr>
          <w:jc w:val="center"/>
        </w:trPr>
        <w:tc>
          <w:tcPr>
            <w:tcW w:w="2975" w:type="pct"/>
            <w:vAlign w:val="center"/>
          </w:tcPr>
          <w:p w:rsidR="00526EFA" w:rsidRDefault="005C4D05">
            <w:pPr>
              <w:keepNext/>
              <w:keepLines/>
              <w:widowControl w:val="0"/>
              <w:ind w:right="-29"/>
              <w:rPr>
                <w:noProof/>
                <w:sz w:val="20"/>
                <w:szCs w:val="20"/>
              </w:rPr>
            </w:pPr>
            <w:r>
              <w:rPr>
                <w:noProof/>
                <w:sz w:val="20"/>
              </w:rPr>
              <w:t xml:space="preserve">Comhar idirnáisiúnta </w:t>
            </w:r>
          </w:p>
        </w:tc>
        <w:tc>
          <w:tcPr>
            <w:tcW w:w="675" w:type="pct"/>
            <w:vAlign w:val="bottom"/>
          </w:tcPr>
          <w:p w:rsidR="00526EFA" w:rsidRDefault="005C4D05">
            <w:pPr>
              <w:jc w:val="center"/>
              <w:rPr>
                <w:noProof/>
                <w:sz w:val="20"/>
                <w:szCs w:val="20"/>
              </w:rPr>
            </w:pPr>
            <w:r>
              <w:rPr>
                <w:noProof/>
                <w:sz w:val="20"/>
              </w:rPr>
              <w:t>0 144</w:t>
            </w:r>
          </w:p>
        </w:tc>
        <w:tc>
          <w:tcPr>
            <w:tcW w:w="675" w:type="pct"/>
            <w:vAlign w:val="bottom"/>
          </w:tcPr>
          <w:p w:rsidR="00526EFA" w:rsidRDefault="005C4D05">
            <w:pPr>
              <w:jc w:val="center"/>
              <w:rPr>
                <w:noProof/>
                <w:sz w:val="20"/>
                <w:szCs w:val="20"/>
              </w:rPr>
            </w:pPr>
            <w:r>
              <w:rPr>
                <w:noProof/>
                <w:sz w:val="20"/>
              </w:rPr>
              <w:t>0 197</w:t>
            </w:r>
          </w:p>
        </w:tc>
        <w:tc>
          <w:tcPr>
            <w:tcW w:w="674" w:type="pct"/>
            <w:tcBorders>
              <w:left w:val="single" w:sz="4" w:space="0" w:color="auto"/>
              <w:bottom w:val="single" w:sz="4" w:space="0" w:color="auto"/>
            </w:tcBorders>
            <w:shd w:val="clear" w:color="auto" w:fill="auto"/>
            <w:vAlign w:val="bottom"/>
          </w:tcPr>
          <w:p w:rsidR="00526EFA" w:rsidRDefault="005C4D05">
            <w:pPr>
              <w:jc w:val="center"/>
              <w:rPr>
                <w:b/>
                <w:noProof/>
                <w:sz w:val="20"/>
                <w:szCs w:val="20"/>
              </w:rPr>
            </w:pPr>
            <w:r>
              <w:rPr>
                <w:b/>
                <w:noProof/>
                <w:sz w:val="20"/>
              </w:rPr>
              <w:t>0 341</w:t>
            </w:r>
          </w:p>
        </w:tc>
      </w:tr>
      <w:tr w:rsidR="00526EFA">
        <w:trPr>
          <w:jc w:val="center"/>
        </w:trPr>
        <w:tc>
          <w:tcPr>
            <w:tcW w:w="2975" w:type="pct"/>
            <w:vAlign w:val="center"/>
          </w:tcPr>
          <w:p w:rsidR="00526EFA" w:rsidRDefault="005C4D05">
            <w:pPr>
              <w:keepNext/>
              <w:keepLines/>
              <w:widowControl w:val="0"/>
              <w:ind w:right="-29"/>
              <w:rPr>
                <w:noProof/>
                <w:sz w:val="20"/>
                <w:szCs w:val="20"/>
              </w:rPr>
            </w:pPr>
            <w:r>
              <w:rPr>
                <w:noProof/>
                <w:sz w:val="20"/>
              </w:rPr>
              <w:t xml:space="preserve">Oiliúint rialála/ghairmiúil do na hÚNRanna </w:t>
            </w:r>
          </w:p>
        </w:tc>
        <w:tc>
          <w:tcPr>
            <w:tcW w:w="675" w:type="pct"/>
            <w:vAlign w:val="bottom"/>
          </w:tcPr>
          <w:p w:rsidR="00526EFA" w:rsidRDefault="005C4D05">
            <w:pPr>
              <w:jc w:val="center"/>
              <w:rPr>
                <w:noProof/>
                <w:sz w:val="20"/>
                <w:szCs w:val="20"/>
              </w:rPr>
            </w:pPr>
            <w:r>
              <w:rPr>
                <w:noProof/>
                <w:sz w:val="20"/>
              </w:rPr>
              <w:t>0 062</w:t>
            </w:r>
          </w:p>
        </w:tc>
        <w:tc>
          <w:tcPr>
            <w:tcW w:w="675" w:type="pct"/>
            <w:vAlign w:val="bottom"/>
          </w:tcPr>
          <w:p w:rsidR="00526EFA" w:rsidRDefault="005C4D05">
            <w:pPr>
              <w:jc w:val="center"/>
              <w:rPr>
                <w:noProof/>
                <w:sz w:val="20"/>
                <w:szCs w:val="20"/>
              </w:rPr>
            </w:pPr>
            <w:r>
              <w:rPr>
                <w:noProof/>
                <w:sz w:val="20"/>
              </w:rPr>
              <w:t>0 084</w:t>
            </w:r>
          </w:p>
        </w:tc>
        <w:tc>
          <w:tcPr>
            <w:tcW w:w="674" w:type="pct"/>
            <w:tcBorders>
              <w:left w:val="single" w:sz="4" w:space="0" w:color="auto"/>
              <w:bottom w:val="single" w:sz="4" w:space="0" w:color="auto"/>
            </w:tcBorders>
            <w:shd w:val="clear" w:color="auto" w:fill="auto"/>
            <w:vAlign w:val="bottom"/>
          </w:tcPr>
          <w:p w:rsidR="00526EFA" w:rsidRDefault="005C4D05">
            <w:pPr>
              <w:jc w:val="center"/>
              <w:rPr>
                <w:b/>
                <w:noProof/>
                <w:sz w:val="20"/>
                <w:szCs w:val="20"/>
              </w:rPr>
            </w:pPr>
            <w:r>
              <w:rPr>
                <w:b/>
                <w:noProof/>
                <w:sz w:val="20"/>
              </w:rPr>
              <w:t>0 146</w:t>
            </w:r>
          </w:p>
        </w:tc>
      </w:tr>
      <w:tr w:rsidR="00526EFA">
        <w:trPr>
          <w:jc w:val="center"/>
        </w:trPr>
        <w:tc>
          <w:tcPr>
            <w:tcW w:w="2975" w:type="pct"/>
            <w:vAlign w:val="center"/>
          </w:tcPr>
          <w:p w:rsidR="00526EFA" w:rsidRDefault="005C4D05">
            <w:pPr>
              <w:keepNext/>
              <w:keepLines/>
              <w:widowControl w:val="0"/>
              <w:ind w:right="-29"/>
              <w:rPr>
                <w:b/>
                <w:noProof/>
                <w:sz w:val="20"/>
                <w:szCs w:val="20"/>
              </w:rPr>
            </w:pPr>
            <w:r>
              <w:rPr>
                <w:b/>
                <w:noProof/>
                <w:sz w:val="20"/>
              </w:rPr>
              <w:t>COSTAS IOMLÁN</w:t>
            </w:r>
          </w:p>
        </w:tc>
        <w:tc>
          <w:tcPr>
            <w:tcW w:w="675" w:type="pct"/>
            <w:vAlign w:val="bottom"/>
          </w:tcPr>
          <w:p w:rsidR="00526EFA" w:rsidRDefault="005C4D05">
            <w:pPr>
              <w:jc w:val="center"/>
              <w:rPr>
                <w:b/>
                <w:noProof/>
                <w:sz w:val="20"/>
                <w:szCs w:val="20"/>
              </w:rPr>
            </w:pPr>
            <w:r>
              <w:rPr>
                <w:b/>
                <w:noProof/>
                <w:sz w:val="20"/>
              </w:rPr>
              <w:t>2 054</w:t>
            </w:r>
          </w:p>
        </w:tc>
        <w:tc>
          <w:tcPr>
            <w:tcW w:w="675" w:type="pct"/>
            <w:vAlign w:val="bottom"/>
          </w:tcPr>
          <w:p w:rsidR="00526EFA" w:rsidRDefault="005C4D05">
            <w:pPr>
              <w:jc w:val="center"/>
              <w:rPr>
                <w:b/>
                <w:noProof/>
                <w:sz w:val="20"/>
                <w:szCs w:val="20"/>
              </w:rPr>
            </w:pPr>
            <w:r>
              <w:rPr>
                <w:b/>
                <w:noProof/>
                <w:sz w:val="20"/>
              </w:rPr>
              <w:t>2 812</w:t>
            </w:r>
          </w:p>
        </w:tc>
        <w:tc>
          <w:tcPr>
            <w:tcW w:w="674" w:type="pct"/>
            <w:tcBorders>
              <w:left w:val="single" w:sz="4" w:space="0" w:color="auto"/>
              <w:bottom w:val="single" w:sz="4" w:space="0" w:color="auto"/>
            </w:tcBorders>
            <w:shd w:val="clear" w:color="auto" w:fill="auto"/>
            <w:vAlign w:val="center"/>
          </w:tcPr>
          <w:p w:rsidR="00526EFA" w:rsidRDefault="005C4D05">
            <w:pPr>
              <w:jc w:val="center"/>
              <w:rPr>
                <w:b/>
                <w:noProof/>
                <w:sz w:val="20"/>
                <w:szCs w:val="20"/>
              </w:rPr>
            </w:pPr>
            <w:r>
              <w:rPr>
                <w:b/>
                <w:noProof/>
                <w:sz w:val="20"/>
              </w:rPr>
              <w:t>4 866</w:t>
            </w:r>
          </w:p>
        </w:tc>
      </w:tr>
    </w:tbl>
    <w:p w:rsidR="00526EFA" w:rsidRDefault="00526EFA">
      <w:pPr>
        <w:rPr>
          <w:noProof/>
        </w:rPr>
      </w:pPr>
    </w:p>
    <w:p w:rsidR="00526EFA" w:rsidRDefault="00526EFA">
      <w:pPr>
        <w:rPr>
          <w:noProof/>
          <w:sz w:val="20"/>
          <w:szCs w:val="20"/>
        </w:rPr>
      </w:pPr>
    </w:p>
    <w:p w:rsidR="00526EFA" w:rsidRDefault="00526EFA">
      <w:pPr>
        <w:keepLines/>
        <w:autoSpaceDE w:val="0"/>
        <w:autoSpaceDN w:val="0"/>
        <w:adjustRightInd w:val="0"/>
        <w:rPr>
          <w:noProof/>
        </w:rPr>
        <w:sectPr w:rsidR="00526EFA" w:rsidSect="005C4D05">
          <w:pgSz w:w="16839" w:h="11907" w:orient="landscape" w:code="9"/>
          <w:pgMar w:top="1417" w:right="1417" w:bottom="1417" w:left="1417" w:header="708" w:footer="708" w:gutter="0"/>
          <w:cols w:space="708"/>
          <w:rtlGutter/>
          <w:docGrid w:linePitch="360"/>
        </w:sectPr>
      </w:pPr>
    </w:p>
    <w:p w:rsidR="00526EFA" w:rsidRDefault="005C4D05">
      <w:pPr>
        <w:keepLines/>
        <w:autoSpaceDE w:val="0"/>
        <w:autoSpaceDN w:val="0"/>
        <w:adjustRightInd w:val="0"/>
        <w:rPr>
          <w:noProof/>
        </w:rPr>
      </w:pPr>
      <w:r>
        <w:rPr>
          <w:noProof/>
        </w:rPr>
        <w:t xml:space="preserve">Beidh ról neartaithe tábhachtach ag BEREC maidir lena áirithiú go gcuirfear an pacáiste </w:t>
      </w:r>
      <w:r>
        <w:rPr>
          <w:noProof/>
        </w:rPr>
        <w:t>reachtaíochta atá beartaithe chun feidhme go héifeachtach agus beidh roinnt cúraimí breise aige freisin. Cúraimí teicniúla a bheidh sna cúraimí sin agus beidh siad dírithe ar réimsí ag a bhfuil gné thrasteorann nó réimsí inar féidir go mbeidh Treoir ó BERE</w:t>
      </w:r>
      <w:r>
        <w:rPr>
          <w:noProof/>
        </w:rPr>
        <w:t>C ina cuidiú ag na hÚNRanna agus iad á áirithiú go gcuirfear an creat rialála do chumarsáid leictreonach chun feidhme go comhsheasmhach.</w:t>
      </w:r>
    </w:p>
    <w:p w:rsidR="00526EFA" w:rsidRDefault="005C4D05">
      <w:pPr>
        <w:keepLines/>
        <w:autoSpaceDE w:val="0"/>
        <w:autoSpaceDN w:val="0"/>
        <w:adjustRightInd w:val="0"/>
        <w:rPr>
          <w:noProof/>
        </w:rPr>
      </w:pPr>
      <w:r>
        <w:rPr>
          <w:noProof/>
        </w:rPr>
        <w:t xml:space="preserve">Go háirithe, beidh roinnt 'cúraimí réamhnormatacha' ag BEREC (go háirithe cúraimí a bhaineann le huasrátaí foirceanta) </w:t>
      </w:r>
      <w:r>
        <w:rPr>
          <w:noProof/>
        </w:rPr>
        <w:t>chomh maith le cumhachtaí ceangailteacha áirithe ós rud é go n</w:t>
      </w:r>
      <w:r>
        <w:rPr>
          <w:noProof/>
        </w:rPr>
        <w:noBreakHyphen/>
        <w:t>eiseoidh sé cinntí i leith margaí trasnáisiúnta a shainaithint agus i leith teimpléad achoimre conartha (tá na cúraimí nua sin cumhdaithe faoi ‘Cúraimí réamhnormatacha agus cumhachtaí ceangailt</w:t>
      </w:r>
      <w:r>
        <w:rPr>
          <w:noProof/>
        </w:rPr>
        <w:t>eacha", féach an tábla thuas.</w:t>
      </w:r>
    </w:p>
    <w:p w:rsidR="00526EFA" w:rsidRDefault="005C4D05">
      <w:pPr>
        <w:keepLines/>
        <w:autoSpaceDE w:val="0"/>
        <w:autoSpaceDN w:val="0"/>
        <w:adjustRightInd w:val="0"/>
        <w:rPr>
          <w:noProof/>
        </w:rPr>
      </w:pPr>
      <w:r>
        <w:rPr>
          <w:noProof/>
        </w:rPr>
        <w:t>Lena chois sin, eiseoidh sé treoirlínte maidir le cur chun feidhme oibleagáidí ÚNRanna i leith suirbhéanna geografacha ar bhonneagair/infheistíocht, chomh maith le treoirlínte maidir le cineálacha cur chuige coitianta chun éil</w:t>
      </w:r>
      <w:r>
        <w:rPr>
          <w:noProof/>
        </w:rPr>
        <w:t>eamh na n</w:t>
      </w:r>
      <w:r>
        <w:rPr>
          <w:noProof/>
        </w:rPr>
        <w:noBreakHyphen/>
        <w:t xml:space="preserve">úsáideoirí deiridh trasnáisiúnta a shásamh. Lena chois sin, glacfaidh sé treoirlínte maidir leis na critéir íosta i leith tairiscint tagartha, samhlacha costais chun rátaí foirceanta a shocrú, ceanglais bhainistíochta a uimhriú agus paraiméadair </w:t>
      </w:r>
      <w:r>
        <w:rPr>
          <w:noProof/>
        </w:rPr>
        <w:t>ábhartha cáilíochta seirbhíse agus na modhanna tomhais is infheidhme. Ar a bharr sin, tuairisceoidh BEREC ar an mbagairt is féidir a bheith ar nascacht ó cheann go ceann idir úsáideoirí deiridh nó ar an mbagairt ar rochtain éifeachtach ar sheirbhísí éigean</w:t>
      </w:r>
      <w:r>
        <w:rPr>
          <w:noProof/>
        </w:rPr>
        <w:t>dála i gcomhthéacs an gá atá le caighdeán a shainaithint (tá na cúraimí nua sin cumhdaithe faoi "Threoir rialála").</w:t>
      </w:r>
    </w:p>
    <w:p w:rsidR="00526EFA" w:rsidRDefault="005C4D05">
      <w:pPr>
        <w:keepLines/>
        <w:autoSpaceDE w:val="0"/>
        <w:autoSpaceDN w:val="0"/>
        <w:adjustRightInd w:val="0"/>
        <w:rPr>
          <w:noProof/>
        </w:rPr>
      </w:pPr>
      <w:r>
        <w:rPr>
          <w:noProof/>
        </w:rPr>
        <w:t>Tá ról BEREC neartaithe maidir leis na nósanna imeachta an mhargaidh inmheánaigh le haghaidh rialáil margaidh. Beidh ról údarásach feasta ag</w:t>
      </w:r>
      <w:r>
        <w:rPr>
          <w:noProof/>
        </w:rPr>
        <w:t xml:space="preserve"> barúil BEREC nuair a chinnfidh an Coimisiún an ceart don ÚNR lena mbaineann an dréachtbheart rialála a aistarraingt. Tá sé beartaithe gur i gcás ina mbeidh an t</w:t>
      </w:r>
      <w:r>
        <w:rPr>
          <w:noProof/>
        </w:rPr>
        <w:noBreakHyphen/>
        <w:t>amhras tromchúiseach céanna ar BEREC agus atá ar an gCoimisiún, agus sa chás sin amháin, a bhe</w:t>
      </w:r>
      <w:r>
        <w:rPr>
          <w:noProof/>
        </w:rPr>
        <w:t>idh cead ag an gCoimisiún Cinneadh a dhéanamh lena gceanglófar ar an ÚNR na bearta ar tugadh fógra ina leith a aistarraingt (tá na cúraimí nua sin cumhdaithe faoi "Athbhreithniú margaidh").</w:t>
      </w:r>
    </w:p>
    <w:p w:rsidR="00526EFA" w:rsidRDefault="005C4D05">
      <w:pPr>
        <w:keepLines/>
        <w:autoSpaceDE w:val="0"/>
        <w:autoSpaceDN w:val="0"/>
        <w:adjustRightInd w:val="0"/>
        <w:rPr>
          <w:rFonts w:eastAsia="Calibri"/>
          <w:iCs/>
          <w:noProof/>
        </w:rPr>
      </w:pPr>
      <w:r>
        <w:rPr>
          <w:noProof/>
        </w:rPr>
        <w:t>Is faoi chúram BEREC a bheidh próiseas nua "athbhreithnithe piaraí</w:t>
      </w:r>
      <w:r>
        <w:rPr>
          <w:noProof/>
        </w:rPr>
        <w:t>" maidir leis an bpróiseas lena sanntar úsáid cheart an radaispeictrim. Baineann an cúram sin go príomha le hathbhreithniú ar bhearta náisiúnta agus cearta úsáide an radaispeictrim á sannadh, cearta ar féidir leo tionchar a imirt ar fheidhmiú na margaí gan</w:t>
      </w:r>
      <w:r>
        <w:rPr>
          <w:noProof/>
        </w:rPr>
        <w:t xml:space="preserve"> sreang nó luachú acmhainní radaispeictrim a mhúnlú go mór ar dhóigh eile. Eiseoidh BEREC barúlacha (neamhcheangailteacha) ar na dréachtbhearta sin ar bhonn measúnú teicniúil agus measúnú eacnamaíoch (tá na cúraimí nua sin cumhdaithe faoi "Athbhreithniú pi</w:t>
      </w:r>
      <w:r>
        <w:rPr>
          <w:noProof/>
        </w:rPr>
        <w:t>araí ar radaispeictream").</w:t>
      </w:r>
    </w:p>
    <w:p w:rsidR="00526EFA" w:rsidRDefault="005C4D05">
      <w:pPr>
        <w:keepLines/>
        <w:autoSpaceDE w:val="0"/>
        <w:autoSpaceDN w:val="0"/>
        <w:adjustRightInd w:val="0"/>
        <w:rPr>
          <w:noProof/>
        </w:rPr>
      </w:pPr>
      <w:r>
        <w:rPr>
          <w:noProof/>
        </w:rPr>
        <w:t>Lena chois sin, tabharfar de chúram do BEREC clár gealltanas a choimeád lena gcuirfear líonraí cumarsáide agus seirbhísí leictreonaí ar fáil agus clár uimhreacha ag a bhfuil úsáid allchríche (tá na cúraimí nua sin cumhdaithe faoi</w:t>
      </w:r>
      <w:r>
        <w:rPr>
          <w:noProof/>
        </w:rPr>
        <w:t xml:space="preserve"> "Fheidhmeanna cláir").</w:t>
      </w:r>
    </w:p>
    <w:p w:rsidR="00526EFA" w:rsidRDefault="005C4D05">
      <w:pPr>
        <w:keepLines/>
        <w:autoSpaceDE w:val="0"/>
        <w:autoSpaceDN w:val="0"/>
        <w:adjustRightInd w:val="0"/>
        <w:rPr>
          <w:noProof/>
          <w:szCs w:val="24"/>
        </w:rPr>
      </w:pPr>
      <w:r>
        <w:rPr>
          <w:noProof/>
        </w:rPr>
        <w:t>Ar a bharr sin, is faoi leathanchumhdach na gníomhaireachta nua a dhéanfar cuid de na cúraimí a leithdháilfear ar BEREC le Rialachán Uimh. 531/2012 (an Rialachán Fánaíochta) agus Rialachán 2015/2120 (Rialachán an Mhargaidh Aonair Te</w:t>
      </w:r>
      <w:r>
        <w:rPr>
          <w:noProof/>
        </w:rPr>
        <w:t>ileachumarsáide) (i.e. treoirlínte a eisiúint ar neodracht idirlín, ionchur a sholáthar chun gníomhartha cur chun feidhme de chuid an Choimisiúin a dhréachtú, etc.), agus beidh acmhainní breise áirithe de dhíth lena aghaidh sin</w:t>
      </w:r>
      <w:r>
        <w:rPr>
          <w:rStyle w:val="FootnoteReference"/>
          <w:noProof/>
        </w:rPr>
        <w:footnoteReference w:id="66"/>
      </w:r>
      <w:r>
        <w:rPr>
          <w:noProof/>
        </w:rPr>
        <w:t xml:space="preserve"> (féach "Treoir rialála" agu</w:t>
      </w:r>
      <w:r>
        <w:rPr>
          <w:noProof/>
        </w:rPr>
        <w:t>s "Cúnamh agus comhairle don Choimisiún agus institiúidí eile de chuid an Aontais Eorpaigh").</w:t>
      </w:r>
    </w:p>
    <w:p w:rsidR="00526EFA" w:rsidRDefault="005C4D05">
      <w:pPr>
        <w:keepLines/>
        <w:autoSpaceDE w:val="0"/>
        <w:autoSpaceDN w:val="0"/>
        <w:adjustRightInd w:val="0"/>
        <w:rPr>
          <w:noProof/>
        </w:rPr>
      </w:pPr>
      <w:r>
        <w:rPr>
          <w:noProof/>
        </w:rPr>
        <w:t xml:space="preserve">Lena chois sin, ós rud é gur bunaíodh gníomhaireacht chríochnaithe, beidh roinnt gníomhaíochtaí cothrománacha, arb í foireann na nÚNRanna is mó dhéanann iad faoi </w:t>
      </w:r>
      <w:r>
        <w:rPr>
          <w:noProof/>
        </w:rPr>
        <w:t>láthair, tugtha isteach, go pointe áirithe, mar ghníomhaíochtaí inmheánacha de chuid na gníomhaireachta nua (e.g. ullmhú chlár oibre BEREC, gníomhaíochtaí rialála san áireamh, a dhéanann foireann ÚNR an Chathaoirligh atá ag teacht in oifig; ullmhú socruith</w:t>
      </w:r>
      <w:r>
        <w:rPr>
          <w:noProof/>
        </w:rPr>
        <w:t xml:space="preserve">e oibre le haghaidh comhar le húdaráis tríú tíortha). </w:t>
      </w:r>
    </w:p>
    <w:p w:rsidR="00526EFA" w:rsidRDefault="005C4D05">
      <w:pPr>
        <w:keepLines/>
        <w:autoSpaceDE w:val="0"/>
        <w:autoSpaceDN w:val="0"/>
        <w:adjustRightInd w:val="0"/>
        <w:rPr>
          <w:noProof/>
        </w:rPr>
      </w:pPr>
      <w:r>
        <w:rPr>
          <w:noProof/>
        </w:rPr>
        <w:t>Ós rud é go mbeidh méadú mór ar líon na gcúraimí, ní mór acmhainní breise (cuntas na ndaoine san áireamh) a leithdháileadh ar BEREC chun a áirithiú go bhfeidhmeoidh sé go leormhaith agus go gcomhlíonfa</w:t>
      </w:r>
      <w:r>
        <w:rPr>
          <w:noProof/>
        </w:rPr>
        <w:t>idh sé a chuid cúraimí.</w:t>
      </w:r>
    </w:p>
    <w:p w:rsidR="00526EFA" w:rsidRDefault="005C4D05">
      <w:pPr>
        <w:pStyle w:val="ManualHeading3"/>
        <w:rPr>
          <w:rStyle w:val="Heading3Char"/>
          <w:noProof/>
        </w:rPr>
      </w:pPr>
      <w:r>
        <w:rPr>
          <w:rStyle w:val="Heading3Char"/>
          <w:noProof/>
        </w:rPr>
        <w:t>3.2.3.</w:t>
      </w:r>
      <w:r>
        <w:rPr>
          <w:noProof/>
        </w:rPr>
        <w:tab/>
        <w:t>An tionchar a mheastar a bheidh ag an togra/tionscnamh ar acmhainní daonna CEPOL</w:t>
      </w:r>
    </w:p>
    <w:p w:rsidR="00526EFA" w:rsidRDefault="005C4D05">
      <w:pPr>
        <w:pStyle w:val="ManualHeading4"/>
        <w:rPr>
          <w:noProof/>
        </w:rPr>
      </w:pPr>
      <w:r>
        <w:rPr>
          <w:noProof/>
        </w:rPr>
        <w:t>3.2.3.1.</w:t>
      </w:r>
      <w:r>
        <w:rPr>
          <w:noProof/>
        </w:rPr>
        <w:tab/>
        <w:t>Achoimre</w:t>
      </w:r>
    </w:p>
    <w:p w:rsidR="00526EFA" w:rsidRDefault="005C4D05">
      <w:pPr>
        <w:pStyle w:val="ListDash1"/>
        <w:rPr>
          <w:noProof/>
        </w:rPr>
      </w:pPr>
      <w:r>
        <w:rPr>
          <w:noProof/>
        </w:rPr>
        <w:sym w:font="Wingdings" w:char="F0A8"/>
      </w:r>
      <w:r>
        <w:rPr>
          <w:noProof/>
        </w:rPr>
        <w:tab/>
        <w:t>Ní éilíonn an togra/tionscnamh go n</w:t>
      </w:r>
      <w:r>
        <w:rPr>
          <w:noProof/>
        </w:rPr>
        <w:noBreakHyphen/>
        <w:t>úsáidfear leithreasuithe de chineál riaracháin</w:t>
      </w:r>
    </w:p>
    <w:p w:rsidR="00526EFA" w:rsidRDefault="005C4D05">
      <w:pPr>
        <w:pStyle w:val="ListDash1"/>
        <w:rPr>
          <w:noProof/>
        </w:rPr>
      </w:pPr>
      <w:r>
        <w:rPr>
          <w:noProof/>
        </w:rPr>
        <w:sym w:font="Wingdings" w:char="F078"/>
      </w:r>
      <w:r>
        <w:rPr>
          <w:noProof/>
        </w:rPr>
        <w:tab/>
        <w:t>Éilíonn an togra/tionscnamh go n</w:t>
      </w:r>
      <w:r>
        <w:rPr>
          <w:noProof/>
        </w:rPr>
        <w:noBreakHyphen/>
      </w:r>
      <w:r>
        <w:rPr>
          <w:noProof/>
        </w:rPr>
        <w:t>úsáidfear leithreasuithe de chineál riaracháin, mar a thuairiscítear thíos:</w:t>
      </w:r>
    </w:p>
    <w:p w:rsidR="00526EFA" w:rsidRDefault="005C4D05">
      <w:pPr>
        <w:pStyle w:val="ListDash1"/>
        <w:spacing w:after="60"/>
        <w:jc w:val="right"/>
        <w:rPr>
          <w:i/>
          <w:noProof/>
          <w:sz w:val="20"/>
        </w:rPr>
      </w:pPr>
      <w:r>
        <w:rPr>
          <w:i/>
          <w:noProof/>
          <w:sz w:val="20"/>
        </w:rPr>
        <w:t>Sloinnfear an meastachán in aonaid de choibhéis lánaimseartha</w:t>
      </w:r>
    </w:p>
    <w:p w:rsidR="00526EFA" w:rsidRDefault="00526EFA">
      <w:pPr>
        <w:rPr>
          <w:noProof/>
          <w:sz w:val="20"/>
        </w:rPr>
      </w:pPr>
    </w:p>
    <w:tbl>
      <w:tblPr>
        <w:tblW w:w="354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972"/>
        <w:gridCol w:w="1467"/>
        <w:gridCol w:w="274"/>
        <w:gridCol w:w="1318"/>
        <w:gridCol w:w="1559"/>
      </w:tblGrid>
      <w:tr w:rsidR="00526EFA">
        <w:tc>
          <w:tcPr>
            <w:tcW w:w="1496" w:type="pct"/>
            <w:tcBorders>
              <w:bottom w:val="single" w:sz="2" w:space="0" w:color="auto"/>
            </w:tcBorders>
          </w:tcPr>
          <w:p w:rsidR="00526EFA" w:rsidRDefault="005C4D05">
            <w:pPr>
              <w:spacing w:before="60" w:after="60"/>
              <w:jc w:val="center"/>
              <w:rPr>
                <w:b/>
                <w:noProof/>
                <w:sz w:val="20"/>
              </w:rPr>
            </w:pPr>
            <w:r>
              <w:rPr>
                <w:b/>
                <w:noProof/>
                <w:sz w:val="20"/>
              </w:rPr>
              <w:t xml:space="preserve">Acmhainní daonna </w:t>
            </w:r>
          </w:p>
        </w:tc>
        <w:tc>
          <w:tcPr>
            <w:tcW w:w="1113" w:type="pct"/>
          </w:tcPr>
          <w:p w:rsidR="00526EFA" w:rsidRDefault="005C4D05">
            <w:pPr>
              <w:spacing w:before="60" w:after="60"/>
              <w:jc w:val="center"/>
              <w:rPr>
                <w:noProof/>
                <w:sz w:val="20"/>
              </w:rPr>
            </w:pPr>
            <w:r>
              <w:rPr>
                <w:noProof/>
                <w:sz w:val="20"/>
              </w:rPr>
              <w:t>Bonnlíne</w:t>
            </w:r>
            <w:r>
              <w:rPr>
                <w:noProof/>
                <w:sz w:val="20"/>
              </w:rPr>
              <w:br/>
            </w:r>
            <w:r>
              <w:rPr>
                <w:b/>
                <w:noProof/>
                <w:sz w:val="20"/>
              </w:rPr>
              <w:t>2017</w:t>
            </w:r>
            <w:r>
              <w:rPr>
                <w:rStyle w:val="FootnoteReference"/>
                <w:b/>
                <w:noProof/>
                <w:sz w:val="20"/>
              </w:rPr>
              <w:footnoteReference w:id="67"/>
            </w:r>
          </w:p>
        </w:tc>
        <w:tc>
          <w:tcPr>
            <w:tcW w:w="208" w:type="pct"/>
          </w:tcPr>
          <w:p w:rsidR="00526EFA" w:rsidRDefault="00526EFA">
            <w:pPr>
              <w:spacing w:before="60" w:after="60"/>
              <w:jc w:val="center"/>
              <w:rPr>
                <w:noProof/>
                <w:sz w:val="20"/>
              </w:rPr>
            </w:pPr>
          </w:p>
        </w:tc>
        <w:tc>
          <w:tcPr>
            <w:tcW w:w="1000" w:type="pct"/>
            <w:vAlign w:val="center"/>
          </w:tcPr>
          <w:p w:rsidR="00526EFA" w:rsidRDefault="005C4D05">
            <w:pPr>
              <w:spacing w:before="60" w:after="60"/>
              <w:jc w:val="center"/>
              <w:rPr>
                <w:noProof/>
                <w:sz w:val="20"/>
              </w:rPr>
            </w:pPr>
            <w:r>
              <w:rPr>
                <w:noProof/>
                <w:sz w:val="20"/>
              </w:rPr>
              <w:t>Bliain</w:t>
            </w:r>
            <w:r>
              <w:rPr>
                <w:noProof/>
                <w:sz w:val="20"/>
              </w:rPr>
              <w:br/>
            </w:r>
            <w:r>
              <w:rPr>
                <w:b/>
                <w:noProof/>
                <w:sz w:val="20"/>
              </w:rPr>
              <w:t>2019</w:t>
            </w:r>
          </w:p>
        </w:tc>
        <w:tc>
          <w:tcPr>
            <w:tcW w:w="1183" w:type="pct"/>
            <w:vAlign w:val="center"/>
          </w:tcPr>
          <w:p w:rsidR="00526EFA" w:rsidRDefault="005C4D05">
            <w:pPr>
              <w:spacing w:before="60" w:after="60"/>
              <w:jc w:val="center"/>
              <w:rPr>
                <w:noProof/>
              </w:rPr>
            </w:pPr>
            <w:r>
              <w:rPr>
                <w:noProof/>
                <w:sz w:val="20"/>
              </w:rPr>
              <w:t>Bliain</w:t>
            </w:r>
            <w:r>
              <w:rPr>
                <w:noProof/>
                <w:sz w:val="20"/>
              </w:rPr>
              <w:br/>
            </w:r>
            <w:r>
              <w:rPr>
                <w:b/>
                <w:noProof/>
                <w:sz w:val="20"/>
              </w:rPr>
              <w:t>2020</w:t>
            </w:r>
          </w:p>
        </w:tc>
      </w:tr>
      <w:tr w:rsidR="00526EFA">
        <w:tc>
          <w:tcPr>
            <w:tcW w:w="1496" w:type="pct"/>
            <w:tcBorders>
              <w:bottom w:val="single" w:sz="4" w:space="0" w:color="auto"/>
            </w:tcBorders>
            <w:vAlign w:val="center"/>
          </w:tcPr>
          <w:p w:rsidR="00526EFA" w:rsidRDefault="005C4D05">
            <w:pPr>
              <w:shd w:val="clear" w:color="auto" w:fill="FFFFFF"/>
              <w:spacing w:before="60" w:after="60"/>
              <w:ind w:left="72"/>
              <w:rPr>
                <w:noProof/>
                <w:sz w:val="20"/>
              </w:rPr>
            </w:pPr>
            <w:r>
              <w:rPr>
                <w:noProof/>
                <w:sz w:val="20"/>
              </w:rPr>
              <w:t xml:space="preserve">Bonnlíne </w:t>
            </w:r>
          </w:p>
        </w:tc>
        <w:tc>
          <w:tcPr>
            <w:tcW w:w="1113" w:type="pct"/>
            <w:vAlign w:val="center"/>
          </w:tcPr>
          <w:p w:rsidR="00526EFA" w:rsidRDefault="005C4D05">
            <w:pPr>
              <w:shd w:val="clear" w:color="auto" w:fill="FFFFFF"/>
              <w:spacing w:before="60" w:after="60"/>
              <w:jc w:val="center"/>
              <w:rPr>
                <w:noProof/>
                <w:sz w:val="20"/>
              </w:rPr>
            </w:pPr>
            <w:r>
              <w:rPr>
                <w:noProof/>
                <w:sz w:val="20"/>
              </w:rPr>
              <w:t>26</w:t>
            </w:r>
          </w:p>
        </w:tc>
        <w:tc>
          <w:tcPr>
            <w:tcW w:w="208" w:type="pct"/>
          </w:tcPr>
          <w:p w:rsidR="00526EFA" w:rsidRDefault="00526EFA">
            <w:pPr>
              <w:shd w:val="clear" w:color="auto" w:fill="FFFFFF"/>
              <w:spacing w:before="60" w:after="60"/>
              <w:jc w:val="center"/>
              <w:rPr>
                <w:noProof/>
                <w:sz w:val="20"/>
              </w:rPr>
            </w:pPr>
          </w:p>
        </w:tc>
        <w:tc>
          <w:tcPr>
            <w:tcW w:w="1000" w:type="pct"/>
            <w:vAlign w:val="center"/>
          </w:tcPr>
          <w:p w:rsidR="00526EFA" w:rsidRDefault="005C4D05">
            <w:pPr>
              <w:shd w:val="clear" w:color="auto" w:fill="FFFFFF"/>
              <w:spacing w:before="60" w:after="60"/>
              <w:jc w:val="center"/>
              <w:rPr>
                <w:noProof/>
                <w:sz w:val="20"/>
              </w:rPr>
            </w:pPr>
            <w:r>
              <w:rPr>
                <w:noProof/>
                <w:sz w:val="20"/>
              </w:rPr>
              <w:t>26</w:t>
            </w:r>
          </w:p>
        </w:tc>
        <w:tc>
          <w:tcPr>
            <w:tcW w:w="1183" w:type="pct"/>
            <w:vAlign w:val="center"/>
          </w:tcPr>
          <w:p w:rsidR="00526EFA" w:rsidRDefault="005C4D05">
            <w:pPr>
              <w:shd w:val="clear" w:color="auto" w:fill="FFFFFF"/>
              <w:spacing w:before="60" w:after="60"/>
              <w:jc w:val="center"/>
              <w:rPr>
                <w:noProof/>
                <w:sz w:val="20"/>
              </w:rPr>
            </w:pPr>
            <w:r>
              <w:rPr>
                <w:noProof/>
                <w:sz w:val="20"/>
              </w:rPr>
              <w:t>26</w:t>
            </w:r>
          </w:p>
        </w:tc>
      </w:tr>
      <w:tr w:rsidR="00526EFA">
        <w:tc>
          <w:tcPr>
            <w:tcW w:w="1496" w:type="pct"/>
            <w:tcBorders>
              <w:top w:val="single" w:sz="4" w:space="0" w:color="auto"/>
            </w:tcBorders>
            <w:shd w:val="clear" w:color="auto" w:fill="FFFFFF"/>
            <w:vAlign w:val="center"/>
          </w:tcPr>
          <w:p w:rsidR="00526EFA" w:rsidRDefault="005C4D05">
            <w:pPr>
              <w:shd w:val="clear" w:color="auto" w:fill="FFFFFF"/>
              <w:spacing w:before="60" w:after="60"/>
              <w:ind w:left="72"/>
              <w:rPr>
                <w:noProof/>
                <w:sz w:val="20"/>
              </w:rPr>
            </w:pPr>
            <w:r>
              <w:rPr>
                <w:noProof/>
                <w:sz w:val="20"/>
              </w:rPr>
              <w:t xml:space="preserve">Leasuithe </w:t>
            </w:r>
          </w:p>
        </w:tc>
        <w:tc>
          <w:tcPr>
            <w:tcW w:w="1113" w:type="pct"/>
            <w:shd w:val="clear" w:color="auto" w:fill="FFFFFF"/>
            <w:vAlign w:val="center"/>
          </w:tcPr>
          <w:p w:rsidR="00526EFA" w:rsidRDefault="005C4D05">
            <w:pPr>
              <w:shd w:val="clear" w:color="auto" w:fill="FFFFFF"/>
              <w:spacing w:before="60" w:after="60"/>
              <w:jc w:val="center"/>
              <w:rPr>
                <w:noProof/>
                <w:sz w:val="20"/>
              </w:rPr>
            </w:pPr>
            <w:r>
              <w:rPr>
                <w:noProof/>
                <w:sz w:val="20"/>
              </w:rPr>
              <w:t>0</w:t>
            </w:r>
          </w:p>
        </w:tc>
        <w:tc>
          <w:tcPr>
            <w:tcW w:w="208" w:type="pct"/>
            <w:shd w:val="clear" w:color="auto" w:fill="FFFFFF"/>
          </w:tcPr>
          <w:p w:rsidR="00526EFA" w:rsidRDefault="00526EFA">
            <w:pPr>
              <w:shd w:val="clear" w:color="auto" w:fill="FFFFFF"/>
              <w:spacing w:before="60" w:after="60"/>
              <w:jc w:val="center"/>
              <w:rPr>
                <w:noProof/>
                <w:sz w:val="20"/>
              </w:rPr>
            </w:pPr>
          </w:p>
        </w:tc>
        <w:tc>
          <w:tcPr>
            <w:tcW w:w="1000" w:type="pct"/>
            <w:shd w:val="clear" w:color="auto" w:fill="FFFFFF"/>
            <w:vAlign w:val="center"/>
          </w:tcPr>
          <w:p w:rsidR="00526EFA" w:rsidRDefault="005C4D05">
            <w:pPr>
              <w:shd w:val="clear" w:color="auto" w:fill="FFFFFF"/>
              <w:spacing w:before="60" w:after="60"/>
              <w:jc w:val="center"/>
              <w:rPr>
                <w:noProof/>
                <w:sz w:val="20"/>
              </w:rPr>
            </w:pPr>
            <w:r>
              <w:rPr>
                <w:noProof/>
                <w:sz w:val="20"/>
              </w:rPr>
              <w:t>9</w:t>
            </w:r>
          </w:p>
        </w:tc>
        <w:tc>
          <w:tcPr>
            <w:tcW w:w="1183" w:type="pct"/>
            <w:vAlign w:val="center"/>
          </w:tcPr>
          <w:p w:rsidR="00526EFA" w:rsidRDefault="005C4D05">
            <w:pPr>
              <w:shd w:val="clear" w:color="auto" w:fill="FFFFFF"/>
              <w:spacing w:before="60" w:after="60"/>
              <w:jc w:val="center"/>
              <w:rPr>
                <w:noProof/>
                <w:sz w:val="20"/>
              </w:rPr>
            </w:pPr>
            <w:r>
              <w:rPr>
                <w:noProof/>
                <w:sz w:val="20"/>
              </w:rPr>
              <w:t>18</w:t>
            </w:r>
          </w:p>
        </w:tc>
      </w:tr>
      <w:tr w:rsidR="00526EFA">
        <w:tc>
          <w:tcPr>
            <w:tcW w:w="1496" w:type="pct"/>
            <w:shd w:val="clear" w:color="auto" w:fill="FFFFFF"/>
            <w:vAlign w:val="center"/>
          </w:tcPr>
          <w:p w:rsidR="00526EFA" w:rsidRDefault="005C4D05">
            <w:pPr>
              <w:spacing w:before="60" w:after="60"/>
              <w:rPr>
                <w:b/>
                <w:noProof/>
                <w:sz w:val="20"/>
              </w:rPr>
            </w:pPr>
            <w:r>
              <w:rPr>
                <w:b/>
                <w:noProof/>
                <w:sz w:val="20"/>
              </w:rPr>
              <w:t xml:space="preserve">Bonnlíne </w:t>
            </w:r>
            <w:r>
              <w:rPr>
                <w:b/>
                <w:noProof/>
                <w:sz w:val="20"/>
              </w:rPr>
              <w:t>leasaithe</w:t>
            </w:r>
          </w:p>
        </w:tc>
        <w:tc>
          <w:tcPr>
            <w:tcW w:w="1113" w:type="pct"/>
            <w:shd w:val="clear" w:color="auto" w:fill="FFFFFF"/>
            <w:vAlign w:val="center"/>
          </w:tcPr>
          <w:p w:rsidR="00526EFA" w:rsidRDefault="005C4D05">
            <w:pPr>
              <w:shd w:val="clear" w:color="auto" w:fill="FFFFFF"/>
              <w:spacing w:before="60" w:after="60"/>
              <w:jc w:val="center"/>
              <w:rPr>
                <w:b/>
                <w:noProof/>
                <w:sz w:val="20"/>
              </w:rPr>
            </w:pPr>
            <w:r>
              <w:rPr>
                <w:b/>
                <w:noProof/>
                <w:sz w:val="20"/>
              </w:rPr>
              <w:t>26</w:t>
            </w:r>
          </w:p>
        </w:tc>
        <w:tc>
          <w:tcPr>
            <w:tcW w:w="208" w:type="pct"/>
            <w:shd w:val="clear" w:color="auto" w:fill="FFFFFF"/>
          </w:tcPr>
          <w:p w:rsidR="00526EFA" w:rsidRDefault="00526EFA">
            <w:pPr>
              <w:shd w:val="clear" w:color="auto" w:fill="FFFFFF"/>
              <w:spacing w:before="60" w:after="60"/>
              <w:jc w:val="center"/>
              <w:rPr>
                <w:b/>
                <w:noProof/>
                <w:sz w:val="20"/>
              </w:rPr>
            </w:pPr>
          </w:p>
        </w:tc>
        <w:tc>
          <w:tcPr>
            <w:tcW w:w="1000" w:type="pct"/>
            <w:shd w:val="clear" w:color="auto" w:fill="FFFFFF"/>
            <w:vAlign w:val="center"/>
          </w:tcPr>
          <w:p w:rsidR="00526EFA" w:rsidRDefault="005C4D05">
            <w:pPr>
              <w:shd w:val="clear" w:color="auto" w:fill="FFFFFF"/>
              <w:spacing w:before="60" w:after="60"/>
              <w:jc w:val="center"/>
              <w:rPr>
                <w:b/>
                <w:noProof/>
                <w:sz w:val="20"/>
              </w:rPr>
            </w:pPr>
            <w:r>
              <w:rPr>
                <w:b/>
                <w:noProof/>
                <w:sz w:val="20"/>
              </w:rPr>
              <w:t>35</w:t>
            </w:r>
          </w:p>
        </w:tc>
        <w:tc>
          <w:tcPr>
            <w:tcW w:w="1183" w:type="pct"/>
            <w:vAlign w:val="center"/>
          </w:tcPr>
          <w:p w:rsidR="00526EFA" w:rsidRDefault="005C4D05">
            <w:pPr>
              <w:shd w:val="clear" w:color="auto" w:fill="FFFFFF"/>
              <w:spacing w:before="60" w:after="60"/>
              <w:jc w:val="center"/>
              <w:rPr>
                <w:b/>
                <w:noProof/>
                <w:sz w:val="20"/>
              </w:rPr>
            </w:pPr>
            <w:r>
              <w:rPr>
                <w:b/>
                <w:noProof/>
                <w:sz w:val="20"/>
              </w:rPr>
              <w:t>44</w:t>
            </w:r>
          </w:p>
        </w:tc>
      </w:tr>
      <w:tr w:rsidR="00526EFA">
        <w:tc>
          <w:tcPr>
            <w:tcW w:w="1496" w:type="pct"/>
            <w:vAlign w:val="center"/>
          </w:tcPr>
          <w:p w:rsidR="00526EFA" w:rsidRDefault="005C4D05">
            <w:pPr>
              <w:shd w:val="clear" w:color="auto" w:fill="FFFFFF"/>
              <w:spacing w:before="60" w:after="60"/>
              <w:ind w:left="72"/>
              <w:rPr>
                <w:b/>
                <w:noProof/>
                <w:sz w:val="20"/>
              </w:rPr>
            </w:pPr>
            <w:r>
              <w:rPr>
                <w:b/>
                <w:noProof/>
                <w:sz w:val="20"/>
              </w:rPr>
              <w:t xml:space="preserve">Poist bhunaíochta (de réir an lín daoine) (AD/AST) </w:t>
            </w:r>
          </w:p>
        </w:tc>
        <w:tc>
          <w:tcPr>
            <w:tcW w:w="1113" w:type="pct"/>
            <w:vAlign w:val="center"/>
          </w:tcPr>
          <w:p w:rsidR="00526EFA" w:rsidRDefault="005C4D05">
            <w:pPr>
              <w:shd w:val="clear" w:color="auto" w:fill="FFFFFF"/>
              <w:spacing w:before="60" w:after="60"/>
              <w:jc w:val="center"/>
              <w:rPr>
                <w:b/>
                <w:noProof/>
                <w:sz w:val="20"/>
              </w:rPr>
            </w:pPr>
            <w:r>
              <w:rPr>
                <w:b/>
                <w:noProof/>
                <w:sz w:val="20"/>
              </w:rPr>
              <w:t>14</w:t>
            </w:r>
          </w:p>
        </w:tc>
        <w:tc>
          <w:tcPr>
            <w:tcW w:w="208" w:type="pct"/>
          </w:tcPr>
          <w:p w:rsidR="00526EFA" w:rsidRDefault="00526EFA">
            <w:pPr>
              <w:shd w:val="clear" w:color="auto" w:fill="FFFFFF"/>
              <w:spacing w:before="60" w:after="60"/>
              <w:jc w:val="center"/>
              <w:rPr>
                <w:b/>
                <w:noProof/>
                <w:sz w:val="20"/>
              </w:rPr>
            </w:pPr>
          </w:p>
        </w:tc>
        <w:tc>
          <w:tcPr>
            <w:tcW w:w="1000" w:type="pct"/>
            <w:vAlign w:val="center"/>
          </w:tcPr>
          <w:p w:rsidR="00526EFA" w:rsidRDefault="005C4D05">
            <w:pPr>
              <w:shd w:val="clear" w:color="auto" w:fill="FFFFFF"/>
              <w:spacing w:before="60" w:after="60"/>
              <w:jc w:val="center"/>
              <w:rPr>
                <w:b/>
                <w:noProof/>
                <w:sz w:val="20"/>
              </w:rPr>
            </w:pPr>
            <w:r>
              <w:rPr>
                <w:b/>
                <w:noProof/>
                <w:sz w:val="20"/>
              </w:rPr>
              <w:t>14</w:t>
            </w:r>
          </w:p>
        </w:tc>
        <w:tc>
          <w:tcPr>
            <w:tcW w:w="1183" w:type="pct"/>
            <w:vAlign w:val="center"/>
          </w:tcPr>
          <w:p w:rsidR="00526EFA" w:rsidRDefault="005C4D05">
            <w:pPr>
              <w:shd w:val="clear" w:color="auto" w:fill="FFFFFF"/>
              <w:spacing w:before="60" w:after="60"/>
              <w:jc w:val="center"/>
              <w:rPr>
                <w:b/>
                <w:noProof/>
                <w:sz w:val="20"/>
              </w:rPr>
            </w:pPr>
            <w:r>
              <w:rPr>
                <w:b/>
                <w:noProof/>
                <w:sz w:val="20"/>
              </w:rPr>
              <w:t>14</w:t>
            </w:r>
          </w:p>
        </w:tc>
      </w:tr>
      <w:tr w:rsidR="00526EFA">
        <w:tc>
          <w:tcPr>
            <w:tcW w:w="1496" w:type="pct"/>
            <w:vAlign w:val="center"/>
          </w:tcPr>
          <w:p w:rsidR="00526EFA" w:rsidRDefault="005C4D05">
            <w:pPr>
              <w:shd w:val="clear" w:color="auto" w:fill="FFFFFF"/>
              <w:spacing w:before="60" w:after="60"/>
              <w:ind w:left="72"/>
              <w:rPr>
                <w:b/>
                <w:noProof/>
                <w:sz w:val="20"/>
              </w:rPr>
            </w:pPr>
            <w:r>
              <w:rPr>
                <w:b/>
                <w:noProof/>
                <w:sz w:val="20"/>
              </w:rPr>
              <w:t xml:space="preserve">Pearsanra seachtrach (FTE) </w:t>
            </w:r>
          </w:p>
        </w:tc>
        <w:tc>
          <w:tcPr>
            <w:tcW w:w="1113" w:type="pct"/>
            <w:vAlign w:val="center"/>
          </w:tcPr>
          <w:p w:rsidR="00526EFA" w:rsidRDefault="005C4D05">
            <w:pPr>
              <w:shd w:val="clear" w:color="auto" w:fill="FFFFFF"/>
              <w:spacing w:before="60" w:after="60"/>
              <w:jc w:val="center"/>
              <w:rPr>
                <w:b/>
                <w:noProof/>
                <w:sz w:val="20"/>
              </w:rPr>
            </w:pPr>
            <w:r>
              <w:rPr>
                <w:b/>
                <w:noProof/>
                <w:sz w:val="20"/>
              </w:rPr>
              <w:t>12</w:t>
            </w:r>
          </w:p>
        </w:tc>
        <w:tc>
          <w:tcPr>
            <w:tcW w:w="208" w:type="pct"/>
          </w:tcPr>
          <w:p w:rsidR="00526EFA" w:rsidRDefault="00526EFA">
            <w:pPr>
              <w:shd w:val="clear" w:color="auto" w:fill="FFFFFF"/>
              <w:spacing w:before="60" w:after="60"/>
              <w:jc w:val="center"/>
              <w:rPr>
                <w:b/>
                <w:noProof/>
                <w:sz w:val="20"/>
              </w:rPr>
            </w:pPr>
          </w:p>
        </w:tc>
        <w:tc>
          <w:tcPr>
            <w:tcW w:w="1000" w:type="pct"/>
            <w:vAlign w:val="center"/>
          </w:tcPr>
          <w:p w:rsidR="00526EFA" w:rsidRDefault="005C4D05">
            <w:pPr>
              <w:shd w:val="clear" w:color="auto" w:fill="FFFFFF"/>
              <w:spacing w:before="60" w:after="60"/>
              <w:jc w:val="center"/>
              <w:rPr>
                <w:b/>
                <w:noProof/>
                <w:sz w:val="20"/>
              </w:rPr>
            </w:pPr>
            <w:r>
              <w:rPr>
                <w:b/>
                <w:noProof/>
                <w:sz w:val="20"/>
              </w:rPr>
              <w:t>21</w:t>
            </w:r>
          </w:p>
        </w:tc>
        <w:tc>
          <w:tcPr>
            <w:tcW w:w="1183" w:type="pct"/>
            <w:vAlign w:val="center"/>
          </w:tcPr>
          <w:p w:rsidR="00526EFA" w:rsidRDefault="005C4D05">
            <w:pPr>
              <w:shd w:val="clear" w:color="auto" w:fill="FFFFFF"/>
              <w:spacing w:before="60" w:after="60"/>
              <w:jc w:val="center"/>
              <w:rPr>
                <w:b/>
                <w:noProof/>
                <w:sz w:val="20"/>
              </w:rPr>
            </w:pPr>
            <w:r>
              <w:rPr>
                <w:b/>
                <w:noProof/>
                <w:sz w:val="20"/>
              </w:rPr>
              <w:t>30</w:t>
            </w:r>
          </w:p>
        </w:tc>
      </w:tr>
      <w:tr w:rsidR="00526EFA">
        <w:tc>
          <w:tcPr>
            <w:tcW w:w="1496" w:type="pct"/>
            <w:shd w:val="clear" w:color="auto" w:fill="FFFFFF"/>
            <w:vAlign w:val="center"/>
          </w:tcPr>
          <w:p w:rsidR="00526EFA" w:rsidRDefault="005C4D05">
            <w:pPr>
              <w:shd w:val="clear" w:color="auto" w:fill="FFFFFF"/>
              <w:spacing w:before="60" w:after="60"/>
              <w:ind w:left="72"/>
              <w:rPr>
                <w:i/>
                <w:noProof/>
                <w:sz w:val="20"/>
              </w:rPr>
            </w:pPr>
            <w:r>
              <w:rPr>
                <w:i/>
                <w:noProof/>
                <w:sz w:val="20"/>
              </w:rPr>
              <w:t xml:space="preserve">Ar Gníomhairí ar Conradh iad </w:t>
            </w:r>
          </w:p>
        </w:tc>
        <w:tc>
          <w:tcPr>
            <w:tcW w:w="1113" w:type="pct"/>
            <w:shd w:val="clear" w:color="auto" w:fill="FFFFFF"/>
            <w:vAlign w:val="center"/>
          </w:tcPr>
          <w:p w:rsidR="00526EFA" w:rsidRDefault="005C4D05">
            <w:pPr>
              <w:shd w:val="clear" w:color="auto" w:fill="FFFFFF"/>
              <w:spacing w:before="60" w:after="60"/>
              <w:jc w:val="center"/>
              <w:rPr>
                <w:noProof/>
                <w:sz w:val="20"/>
              </w:rPr>
            </w:pPr>
            <w:r>
              <w:rPr>
                <w:noProof/>
                <w:sz w:val="20"/>
              </w:rPr>
              <w:t>8</w:t>
            </w:r>
          </w:p>
        </w:tc>
        <w:tc>
          <w:tcPr>
            <w:tcW w:w="208" w:type="pct"/>
            <w:shd w:val="clear" w:color="auto" w:fill="FFFFFF"/>
          </w:tcPr>
          <w:p w:rsidR="00526EFA" w:rsidRDefault="00526EFA">
            <w:pPr>
              <w:shd w:val="clear" w:color="auto" w:fill="FFFFFF"/>
              <w:spacing w:before="60" w:after="60"/>
              <w:jc w:val="center"/>
              <w:rPr>
                <w:noProof/>
                <w:sz w:val="20"/>
              </w:rPr>
            </w:pPr>
          </w:p>
        </w:tc>
        <w:tc>
          <w:tcPr>
            <w:tcW w:w="1000" w:type="pct"/>
            <w:shd w:val="clear" w:color="auto" w:fill="FFFFFF"/>
            <w:vAlign w:val="center"/>
          </w:tcPr>
          <w:p w:rsidR="00526EFA" w:rsidRDefault="005C4D05">
            <w:pPr>
              <w:shd w:val="clear" w:color="auto" w:fill="FFFFFF"/>
              <w:spacing w:before="60" w:after="60"/>
              <w:jc w:val="center"/>
              <w:rPr>
                <w:noProof/>
                <w:sz w:val="20"/>
              </w:rPr>
            </w:pPr>
            <w:r>
              <w:rPr>
                <w:noProof/>
                <w:sz w:val="20"/>
              </w:rPr>
              <w:t>13</w:t>
            </w:r>
          </w:p>
        </w:tc>
        <w:tc>
          <w:tcPr>
            <w:tcW w:w="1183" w:type="pct"/>
            <w:vAlign w:val="center"/>
          </w:tcPr>
          <w:p w:rsidR="00526EFA" w:rsidRDefault="005C4D05">
            <w:pPr>
              <w:shd w:val="clear" w:color="auto" w:fill="FFFFFF"/>
              <w:spacing w:before="60" w:after="60"/>
              <w:jc w:val="center"/>
              <w:rPr>
                <w:noProof/>
                <w:sz w:val="20"/>
              </w:rPr>
            </w:pPr>
            <w:r>
              <w:rPr>
                <w:noProof/>
                <w:sz w:val="20"/>
              </w:rPr>
              <w:t>19</w:t>
            </w:r>
          </w:p>
        </w:tc>
      </w:tr>
      <w:tr w:rsidR="00526EFA">
        <w:tc>
          <w:tcPr>
            <w:tcW w:w="1496" w:type="pct"/>
            <w:shd w:val="clear" w:color="auto" w:fill="FFFFFF"/>
            <w:vAlign w:val="center"/>
          </w:tcPr>
          <w:p w:rsidR="00526EFA" w:rsidRDefault="005C4D05">
            <w:pPr>
              <w:shd w:val="clear" w:color="auto" w:fill="FFFFFF"/>
              <w:spacing w:before="60" w:after="60"/>
              <w:jc w:val="center"/>
              <w:rPr>
                <w:noProof/>
                <w:sz w:val="20"/>
              </w:rPr>
            </w:pPr>
            <w:r>
              <w:rPr>
                <w:i/>
                <w:noProof/>
                <w:sz w:val="20"/>
              </w:rPr>
              <w:t>Ar saineolaithe náisiúnta ar iasacht iad</w:t>
            </w:r>
            <w:r>
              <w:rPr>
                <w:noProof/>
                <w:sz w:val="20"/>
              </w:rPr>
              <w:t xml:space="preserve"> </w:t>
            </w:r>
          </w:p>
        </w:tc>
        <w:tc>
          <w:tcPr>
            <w:tcW w:w="1113" w:type="pct"/>
            <w:vAlign w:val="center"/>
          </w:tcPr>
          <w:p w:rsidR="00526EFA" w:rsidRDefault="005C4D05">
            <w:pPr>
              <w:shd w:val="clear" w:color="auto" w:fill="FFFFFF"/>
              <w:spacing w:before="60" w:after="60"/>
              <w:jc w:val="center"/>
              <w:rPr>
                <w:noProof/>
                <w:sz w:val="20"/>
              </w:rPr>
            </w:pPr>
            <w:r>
              <w:rPr>
                <w:noProof/>
                <w:sz w:val="20"/>
              </w:rPr>
              <w:t>4</w:t>
            </w:r>
          </w:p>
        </w:tc>
        <w:tc>
          <w:tcPr>
            <w:tcW w:w="208" w:type="pct"/>
          </w:tcPr>
          <w:p w:rsidR="00526EFA" w:rsidRDefault="00526EFA">
            <w:pPr>
              <w:shd w:val="clear" w:color="auto" w:fill="FFFFFF"/>
              <w:spacing w:before="60" w:after="60"/>
              <w:jc w:val="center"/>
              <w:rPr>
                <w:noProof/>
                <w:sz w:val="20"/>
              </w:rPr>
            </w:pPr>
          </w:p>
        </w:tc>
        <w:tc>
          <w:tcPr>
            <w:tcW w:w="1000" w:type="pct"/>
            <w:vAlign w:val="center"/>
          </w:tcPr>
          <w:p w:rsidR="00526EFA" w:rsidRDefault="005C4D05">
            <w:pPr>
              <w:shd w:val="clear" w:color="auto" w:fill="FFFFFF"/>
              <w:spacing w:before="60" w:after="60"/>
              <w:jc w:val="center"/>
              <w:rPr>
                <w:noProof/>
                <w:sz w:val="20"/>
              </w:rPr>
            </w:pPr>
            <w:r>
              <w:rPr>
                <w:noProof/>
                <w:sz w:val="20"/>
              </w:rPr>
              <w:t>8</w:t>
            </w:r>
          </w:p>
        </w:tc>
        <w:tc>
          <w:tcPr>
            <w:tcW w:w="1183" w:type="pct"/>
            <w:vAlign w:val="center"/>
          </w:tcPr>
          <w:p w:rsidR="00526EFA" w:rsidRDefault="005C4D05">
            <w:pPr>
              <w:shd w:val="clear" w:color="auto" w:fill="FFFFFF"/>
              <w:spacing w:before="60" w:after="60"/>
              <w:jc w:val="center"/>
              <w:rPr>
                <w:noProof/>
                <w:sz w:val="20"/>
              </w:rPr>
            </w:pPr>
            <w:r>
              <w:rPr>
                <w:noProof/>
                <w:sz w:val="20"/>
              </w:rPr>
              <w:t>11</w:t>
            </w:r>
          </w:p>
        </w:tc>
      </w:tr>
      <w:tr w:rsidR="00526E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96" w:type="pct"/>
            <w:tcBorders>
              <w:top w:val="single" w:sz="12" w:space="0" w:color="auto"/>
              <w:left w:val="single" w:sz="12" w:space="0" w:color="auto"/>
              <w:bottom w:val="single" w:sz="12" w:space="0" w:color="auto"/>
              <w:right w:val="single" w:sz="2" w:space="0" w:color="auto"/>
            </w:tcBorders>
            <w:vAlign w:val="center"/>
          </w:tcPr>
          <w:p w:rsidR="00526EFA" w:rsidRDefault="005C4D05">
            <w:pPr>
              <w:spacing w:before="60" w:after="60"/>
              <w:rPr>
                <w:b/>
                <w:noProof/>
                <w:highlight w:val="yellow"/>
              </w:rPr>
            </w:pPr>
            <w:r>
              <w:rPr>
                <w:b/>
                <w:noProof/>
              </w:rPr>
              <w:t xml:space="preserve">Líon iomlán na mball foirne </w:t>
            </w:r>
          </w:p>
        </w:tc>
        <w:tc>
          <w:tcPr>
            <w:tcW w:w="1113" w:type="pct"/>
            <w:tcBorders>
              <w:top w:val="single" w:sz="12" w:space="0" w:color="auto"/>
              <w:left w:val="single" w:sz="2" w:space="0" w:color="auto"/>
              <w:bottom w:val="single" w:sz="12" w:space="0" w:color="auto"/>
              <w:right w:val="single" w:sz="2" w:space="0" w:color="auto"/>
            </w:tcBorders>
            <w:vAlign w:val="center"/>
          </w:tcPr>
          <w:p w:rsidR="00526EFA" w:rsidRDefault="005C4D05">
            <w:pPr>
              <w:spacing w:before="60" w:after="60"/>
              <w:jc w:val="center"/>
              <w:rPr>
                <w:b/>
                <w:noProof/>
                <w:sz w:val="20"/>
              </w:rPr>
            </w:pPr>
            <w:r>
              <w:rPr>
                <w:b/>
                <w:noProof/>
                <w:sz w:val="20"/>
              </w:rPr>
              <w:t>26</w:t>
            </w:r>
          </w:p>
        </w:tc>
        <w:tc>
          <w:tcPr>
            <w:tcW w:w="208" w:type="pct"/>
            <w:tcBorders>
              <w:top w:val="single" w:sz="12" w:space="0" w:color="auto"/>
              <w:left w:val="single" w:sz="2" w:space="0" w:color="auto"/>
              <w:bottom w:val="single" w:sz="12" w:space="0" w:color="auto"/>
              <w:right w:val="single" w:sz="2" w:space="0" w:color="auto"/>
            </w:tcBorders>
          </w:tcPr>
          <w:p w:rsidR="00526EFA" w:rsidRDefault="00526EFA">
            <w:pPr>
              <w:spacing w:before="60" w:after="60"/>
              <w:jc w:val="center"/>
              <w:rPr>
                <w:b/>
                <w:noProof/>
                <w:sz w:val="20"/>
              </w:rPr>
            </w:pPr>
          </w:p>
        </w:tc>
        <w:tc>
          <w:tcPr>
            <w:tcW w:w="1000" w:type="pct"/>
            <w:tcBorders>
              <w:top w:val="single" w:sz="12" w:space="0" w:color="auto"/>
              <w:left w:val="single" w:sz="2" w:space="0" w:color="auto"/>
              <w:bottom w:val="single" w:sz="12" w:space="0" w:color="auto"/>
              <w:right w:val="single" w:sz="2" w:space="0" w:color="auto"/>
            </w:tcBorders>
            <w:vAlign w:val="center"/>
          </w:tcPr>
          <w:p w:rsidR="00526EFA" w:rsidRDefault="005C4D05">
            <w:pPr>
              <w:spacing w:before="60" w:after="60"/>
              <w:jc w:val="center"/>
              <w:rPr>
                <w:b/>
                <w:noProof/>
                <w:sz w:val="20"/>
              </w:rPr>
            </w:pPr>
            <w:r>
              <w:rPr>
                <w:b/>
                <w:noProof/>
                <w:sz w:val="20"/>
              </w:rPr>
              <w:t>35</w:t>
            </w:r>
          </w:p>
        </w:tc>
        <w:tc>
          <w:tcPr>
            <w:tcW w:w="1183" w:type="pct"/>
            <w:tcBorders>
              <w:top w:val="single" w:sz="12" w:space="0" w:color="auto"/>
              <w:left w:val="single" w:sz="2" w:space="0" w:color="auto"/>
              <w:bottom w:val="single" w:sz="12" w:space="0" w:color="auto"/>
              <w:right w:val="single" w:sz="2" w:space="0" w:color="auto"/>
            </w:tcBorders>
            <w:vAlign w:val="center"/>
          </w:tcPr>
          <w:p w:rsidR="00526EFA" w:rsidRDefault="005C4D05">
            <w:pPr>
              <w:spacing w:before="60" w:after="60"/>
              <w:jc w:val="center"/>
              <w:rPr>
                <w:b/>
                <w:noProof/>
                <w:sz w:val="20"/>
              </w:rPr>
            </w:pPr>
            <w:r>
              <w:rPr>
                <w:b/>
                <w:noProof/>
                <w:sz w:val="20"/>
              </w:rPr>
              <w:t>44</w:t>
            </w:r>
            <w:r>
              <w:rPr>
                <w:rStyle w:val="FootnoteReference"/>
                <w:b/>
                <w:noProof/>
                <w:sz w:val="20"/>
              </w:rPr>
              <w:footnoteReference w:id="68"/>
            </w:r>
          </w:p>
        </w:tc>
      </w:tr>
    </w:tbl>
    <w:p w:rsidR="00526EFA" w:rsidRDefault="00526EFA">
      <w:pPr>
        <w:jc w:val="center"/>
        <w:rPr>
          <w:noProof/>
          <w:sz w:val="20"/>
          <w:highlight w:val="yellow"/>
        </w:rPr>
      </w:pPr>
    </w:p>
    <w:p w:rsidR="00526EFA" w:rsidRDefault="00526EFA">
      <w:pPr>
        <w:pStyle w:val="ListDash1"/>
        <w:spacing w:after="60"/>
        <w:jc w:val="right"/>
        <w:rPr>
          <w:i/>
          <w:noProof/>
          <w:sz w:val="20"/>
        </w:rPr>
      </w:pPr>
    </w:p>
    <w:tbl>
      <w:tblPr>
        <w:tblW w:w="335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149"/>
        <w:gridCol w:w="1390"/>
        <w:gridCol w:w="289"/>
        <w:gridCol w:w="1117"/>
        <w:gridCol w:w="1284"/>
      </w:tblGrid>
      <w:tr w:rsidR="00526EFA">
        <w:tc>
          <w:tcPr>
            <w:tcW w:w="1724" w:type="pct"/>
            <w:tcBorders>
              <w:bottom w:val="single" w:sz="2" w:space="0" w:color="auto"/>
            </w:tcBorders>
          </w:tcPr>
          <w:p w:rsidR="00526EFA" w:rsidRDefault="005C4D05">
            <w:pPr>
              <w:spacing w:before="60" w:after="60"/>
              <w:jc w:val="center"/>
              <w:rPr>
                <w:b/>
                <w:noProof/>
                <w:sz w:val="20"/>
              </w:rPr>
            </w:pPr>
            <w:r>
              <w:rPr>
                <w:b/>
                <w:noProof/>
                <w:sz w:val="20"/>
              </w:rPr>
              <w:t>Caiteachas foirne</w:t>
            </w:r>
            <w:r>
              <w:rPr>
                <w:rStyle w:val="FootnoteReference"/>
                <w:b/>
                <w:noProof/>
                <w:sz w:val="20"/>
              </w:rPr>
              <w:footnoteReference w:id="69"/>
            </w:r>
            <w:r>
              <w:rPr>
                <w:b/>
                <w:noProof/>
                <w:sz w:val="20"/>
              </w:rPr>
              <w:t xml:space="preserve"> </w:t>
            </w:r>
          </w:p>
        </w:tc>
        <w:tc>
          <w:tcPr>
            <w:tcW w:w="1116" w:type="pct"/>
          </w:tcPr>
          <w:p w:rsidR="00526EFA" w:rsidRDefault="005C4D05">
            <w:pPr>
              <w:spacing w:before="60" w:after="60"/>
              <w:jc w:val="center"/>
              <w:rPr>
                <w:noProof/>
                <w:sz w:val="20"/>
              </w:rPr>
            </w:pPr>
            <w:r>
              <w:rPr>
                <w:noProof/>
                <w:sz w:val="20"/>
              </w:rPr>
              <w:t>Bonnlíne</w:t>
            </w:r>
            <w:r>
              <w:rPr>
                <w:noProof/>
                <w:sz w:val="20"/>
              </w:rPr>
              <w:br/>
            </w:r>
            <w:r>
              <w:rPr>
                <w:b/>
                <w:noProof/>
                <w:sz w:val="20"/>
              </w:rPr>
              <w:t>2017</w:t>
            </w:r>
          </w:p>
        </w:tc>
        <w:tc>
          <w:tcPr>
            <w:tcW w:w="232" w:type="pct"/>
          </w:tcPr>
          <w:p w:rsidR="00526EFA" w:rsidRDefault="00526EFA">
            <w:pPr>
              <w:spacing w:before="60" w:after="60"/>
              <w:jc w:val="center"/>
              <w:rPr>
                <w:noProof/>
                <w:sz w:val="20"/>
              </w:rPr>
            </w:pPr>
          </w:p>
        </w:tc>
        <w:tc>
          <w:tcPr>
            <w:tcW w:w="897" w:type="pct"/>
            <w:vAlign w:val="center"/>
          </w:tcPr>
          <w:p w:rsidR="00526EFA" w:rsidRDefault="005C4D05">
            <w:pPr>
              <w:spacing w:before="60" w:after="60"/>
              <w:jc w:val="center"/>
              <w:rPr>
                <w:noProof/>
                <w:sz w:val="20"/>
              </w:rPr>
            </w:pPr>
            <w:r>
              <w:rPr>
                <w:noProof/>
                <w:sz w:val="20"/>
              </w:rPr>
              <w:t>Bliain</w:t>
            </w:r>
            <w:r>
              <w:rPr>
                <w:noProof/>
                <w:sz w:val="20"/>
              </w:rPr>
              <w:br/>
            </w:r>
            <w:r>
              <w:rPr>
                <w:b/>
                <w:noProof/>
                <w:sz w:val="20"/>
              </w:rPr>
              <w:t>2019</w:t>
            </w:r>
          </w:p>
        </w:tc>
        <w:tc>
          <w:tcPr>
            <w:tcW w:w="1031" w:type="pct"/>
            <w:vAlign w:val="center"/>
          </w:tcPr>
          <w:p w:rsidR="00526EFA" w:rsidRDefault="005C4D05">
            <w:pPr>
              <w:spacing w:before="60" w:after="60"/>
              <w:jc w:val="center"/>
              <w:rPr>
                <w:noProof/>
              </w:rPr>
            </w:pPr>
            <w:r>
              <w:rPr>
                <w:noProof/>
                <w:sz w:val="20"/>
              </w:rPr>
              <w:t>Bliain</w:t>
            </w:r>
            <w:r>
              <w:rPr>
                <w:noProof/>
                <w:sz w:val="20"/>
              </w:rPr>
              <w:br/>
            </w:r>
            <w:r>
              <w:rPr>
                <w:b/>
                <w:noProof/>
                <w:sz w:val="20"/>
              </w:rPr>
              <w:t>2020</w:t>
            </w:r>
          </w:p>
        </w:tc>
      </w:tr>
      <w:tr w:rsidR="00526EFA">
        <w:tc>
          <w:tcPr>
            <w:tcW w:w="1724" w:type="pct"/>
            <w:tcBorders>
              <w:bottom w:val="single" w:sz="4" w:space="0" w:color="auto"/>
            </w:tcBorders>
            <w:vAlign w:val="center"/>
          </w:tcPr>
          <w:p w:rsidR="00526EFA" w:rsidRDefault="005C4D05">
            <w:pPr>
              <w:autoSpaceDE w:val="0"/>
              <w:autoSpaceDN w:val="0"/>
              <w:adjustRightInd w:val="0"/>
              <w:rPr>
                <w:b/>
                <w:bCs/>
                <w:noProof/>
                <w:sz w:val="20"/>
                <w:szCs w:val="20"/>
              </w:rPr>
            </w:pPr>
            <w:r>
              <w:rPr>
                <w:b/>
                <w:noProof/>
                <w:sz w:val="20"/>
              </w:rPr>
              <w:t>Plean bunaíochta</w:t>
            </w:r>
          </w:p>
          <w:p w:rsidR="00526EFA" w:rsidRDefault="005C4D05">
            <w:pPr>
              <w:autoSpaceDE w:val="0"/>
              <w:autoSpaceDN w:val="0"/>
              <w:adjustRightInd w:val="0"/>
              <w:rPr>
                <w:b/>
                <w:bCs/>
                <w:noProof/>
                <w:sz w:val="20"/>
                <w:szCs w:val="20"/>
              </w:rPr>
            </w:pPr>
            <w:r>
              <w:rPr>
                <w:b/>
                <w:noProof/>
                <w:sz w:val="20"/>
              </w:rPr>
              <w:t xml:space="preserve">Poist (de réir an lín daoine) </w:t>
            </w:r>
          </w:p>
        </w:tc>
        <w:tc>
          <w:tcPr>
            <w:tcW w:w="1116" w:type="pct"/>
            <w:vAlign w:val="center"/>
          </w:tcPr>
          <w:p w:rsidR="00526EFA" w:rsidRDefault="005C4D05">
            <w:pPr>
              <w:shd w:val="clear" w:color="auto" w:fill="FFFFFF"/>
              <w:spacing w:before="60" w:after="60"/>
              <w:jc w:val="center"/>
              <w:rPr>
                <w:noProof/>
                <w:sz w:val="20"/>
              </w:rPr>
            </w:pPr>
            <w:r>
              <w:rPr>
                <w:noProof/>
                <w:sz w:val="20"/>
              </w:rPr>
              <w:t>-</w:t>
            </w:r>
          </w:p>
        </w:tc>
        <w:tc>
          <w:tcPr>
            <w:tcW w:w="232" w:type="pct"/>
          </w:tcPr>
          <w:p w:rsidR="00526EFA" w:rsidRDefault="00526EFA">
            <w:pPr>
              <w:shd w:val="clear" w:color="auto" w:fill="FFFFFF"/>
              <w:spacing w:before="60" w:after="60"/>
              <w:jc w:val="center"/>
              <w:rPr>
                <w:noProof/>
                <w:sz w:val="20"/>
              </w:rPr>
            </w:pPr>
          </w:p>
        </w:tc>
        <w:tc>
          <w:tcPr>
            <w:tcW w:w="897" w:type="pct"/>
            <w:vAlign w:val="center"/>
          </w:tcPr>
          <w:p w:rsidR="00526EFA" w:rsidRDefault="005C4D05">
            <w:pPr>
              <w:shd w:val="clear" w:color="auto" w:fill="FFFFFF"/>
              <w:spacing w:before="60" w:after="60"/>
              <w:jc w:val="center"/>
              <w:rPr>
                <w:noProof/>
                <w:sz w:val="20"/>
              </w:rPr>
            </w:pPr>
            <w:r>
              <w:rPr>
                <w:noProof/>
                <w:sz w:val="20"/>
              </w:rPr>
              <w:t>1 876</w:t>
            </w:r>
          </w:p>
        </w:tc>
        <w:tc>
          <w:tcPr>
            <w:tcW w:w="1031" w:type="pct"/>
            <w:vAlign w:val="center"/>
          </w:tcPr>
          <w:p w:rsidR="00526EFA" w:rsidRDefault="005C4D05">
            <w:pPr>
              <w:shd w:val="clear" w:color="auto" w:fill="FFFFFF"/>
              <w:spacing w:before="60" w:after="60"/>
              <w:jc w:val="center"/>
              <w:rPr>
                <w:noProof/>
                <w:sz w:val="20"/>
              </w:rPr>
            </w:pPr>
            <w:r>
              <w:rPr>
                <w:noProof/>
                <w:sz w:val="20"/>
              </w:rPr>
              <w:t>1 876</w:t>
            </w:r>
          </w:p>
        </w:tc>
      </w:tr>
      <w:tr w:rsidR="00526EFA">
        <w:tc>
          <w:tcPr>
            <w:tcW w:w="1724" w:type="pct"/>
            <w:tcBorders>
              <w:top w:val="single" w:sz="4" w:space="0" w:color="auto"/>
            </w:tcBorders>
            <w:shd w:val="clear" w:color="auto" w:fill="FFFFFF"/>
            <w:vAlign w:val="center"/>
          </w:tcPr>
          <w:p w:rsidR="00526EFA" w:rsidRDefault="005C4D05">
            <w:pPr>
              <w:shd w:val="clear" w:color="auto" w:fill="FFFFFF"/>
              <w:spacing w:before="60" w:after="60"/>
              <w:ind w:left="72"/>
              <w:rPr>
                <w:noProof/>
                <w:sz w:val="20"/>
              </w:rPr>
            </w:pPr>
            <w:r>
              <w:rPr>
                <w:b/>
                <w:noProof/>
                <w:sz w:val="20"/>
              </w:rPr>
              <w:t>Pearsanra seachtrach (FTE)</w:t>
            </w:r>
          </w:p>
        </w:tc>
        <w:tc>
          <w:tcPr>
            <w:tcW w:w="1116" w:type="pct"/>
            <w:shd w:val="clear" w:color="auto" w:fill="FFFFFF"/>
            <w:vAlign w:val="center"/>
          </w:tcPr>
          <w:p w:rsidR="00526EFA" w:rsidRDefault="00526EFA">
            <w:pPr>
              <w:shd w:val="clear" w:color="auto" w:fill="FFFFFF"/>
              <w:spacing w:before="60" w:after="60"/>
              <w:jc w:val="center"/>
              <w:rPr>
                <w:noProof/>
                <w:sz w:val="20"/>
              </w:rPr>
            </w:pPr>
          </w:p>
        </w:tc>
        <w:tc>
          <w:tcPr>
            <w:tcW w:w="232" w:type="pct"/>
            <w:shd w:val="clear" w:color="auto" w:fill="FFFFFF"/>
          </w:tcPr>
          <w:p w:rsidR="00526EFA" w:rsidRDefault="00526EFA">
            <w:pPr>
              <w:shd w:val="clear" w:color="auto" w:fill="FFFFFF"/>
              <w:spacing w:before="60" w:after="60"/>
              <w:jc w:val="center"/>
              <w:rPr>
                <w:noProof/>
                <w:sz w:val="20"/>
              </w:rPr>
            </w:pPr>
          </w:p>
        </w:tc>
        <w:tc>
          <w:tcPr>
            <w:tcW w:w="897" w:type="pct"/>
            <w:shd w:val="clear" w:color="auto" w:fill="FFFFFF"/>
            <w:vAlign w:val="center"/>
          </w:tcPr>
          <w:p w:rsidR="00526EFA" w:rsidRDefault="00526EFA">
            <w:pPr>
              <w:shd w:val="clear" w:color="auto" w:fill="FFFFFF"/>
              <w:spacing w:before="60" w:after="60"/>
              <w:jc w:val="center"/>
              <w:rPr>
                <w:noProof/>
                <w:sz w:val="20"/>
              </w:rPr>
            </w:pPr>
          </w:p>
        </w:tc>
        <w:tc>
          <w:tcPr>
            <w:tcW w:w="1031" w:type="pct"/>
            <w:vAlign w:val="center"/>
          </w:tcPr>
          <w:p w:rsidR="00526EFA" w:rsidRDefault="00526EFA">
            <w:pPr>
              <w:shd w:val="clear" w:color="auto" w:fill="FFFFFF"/>
              <w:spacing w:before="60" w:after="60"/>
              <w:jc w:val="center"/>
              <w:rPr>
                <w:noProof/>
                <w:sz w:val="20"/>
              </w:rPr>
            </w:pPr>
          </w:p>
        </w:tc>
      </w:tr>
      <w:tr w:rsidR="00526EFA">
        <w:tc>
          <w:tcPr>
            <w:tcW w:w="1724" w:type="pct"/>
            <w:shd w:val="clear" w:color="auto" w:fill="FFFFFF"/>
            <w:vAlign w:val="center"/>
          </w:tcPr>
          <w:p w:rsidR="00526EFA" w:rsidRDefault="005C4D05">
            <w:pPr>
              <w:autoSpaceDE w:val="0"/>
              <w:autoSpaceDN w:val="0"/>
              <w:adjustRightInd w:val="0"/>
              <w:rPr>
                <w:noProof/>
                <w:sz w:val="20"/>
                <w:szCs w:val="20"/>
              </w:rPr>
            </w:pPr>
            <w:r>
              <w:rPr>
                <w:noProof/>
                <w:sz w:val="20"/>
              </w:rPr>
              <w:t>- Ar Gníomhairí</w:t>
            </w:r>
          </w:p>
          <w:p w:rsidR="00526EFA" w:rsidRDefault="005C4D05">
            <w:pPr>
              <w:spacing w:before="60" w:after="60"/>
              <w:rPr>
                <w:b/>
                <w:noProof/>
                <w:sz w:val="20"/>
              </w:rPr>
            </w:pPr>
            <w:r>
              <w:rPr>
                <w:noProof/>
                <w:sz w:val="20"/>
              </w:rPr>
              <w:t>ar Conradh iad</w:t>
            </w:r>
          </w:p>
        </w:tc>
        <w:tc>
          <w:tcPr>
            <w:tcW w:w="1116" w:type="pct"/>
            <w:shd w:val="clear" w:color="auto" w:fill="FFFFFF"/>
            <w:vAlign w:val="center"/>
          </w:tcPr>
          <w:p w:rsidR="00526EFA" w:rsidRDefault="005C4D05">
            <w:pPr>
              <w:shd w:val="clear" w:color="auto" w:fill="FFFFFF"/>
              <w:spacing w:before="60" w:after="60"/>
              <w:jc w:val="center"/>
              <w:rPr>
                <w:noProof/>
                <w:sz w:val="20"/>
              </w:rPr>
            </w:pPr>
            <w:r>
              <w:rPr>
                <w:noProof/>
                <w:sz w:val="20"/>
              </w:rPr>
              <w:t>-</w:t>
            </w:r>
          </w:p>
        </w:tc>
        <w:tc>
          <w:tcPr>
            <w:tcW w:w="232" w:type="pct"/>
            <w:shd w:val="clear" w:color="auto" w:fill="FFFFFF"/>
          </w:tcPr>
          <w:p w:rsidR="00526EFA" w:rsidRDefault="00526EFA">
            <w:pPr>
              <w:shd w:val="clear" w:color="auto" w:fill="FFFFFF"/>
              <w:spacing w:before="60" w:after="60"/>
              <w:jc w:val="center"/>
              <w:rPr>
                <w:noProof/>
                <w:sz w:val="20"/>
              </w:rPr>
            </w:pPr>
          </w:p>
        </w:tc>
        <w:tc>
          <w:tcPr>
            <w:tcW w:w="897" w:type="pct"/>
            <w:shd w:val="clear" w:color="auto" w:fill="FFFFFF"/>
            <w:vAlign w:val="center"/>
          </w:tcPr>
          <w:p w:rsidR="00526EFA" w:rsidRDefault="005C4D05">
            <w:pPr>
              <w:shd w:val="clear" w:color="auto" w:fill="FFFFFF"/>
              <w:spacing w:before="60" w:after="60"/>
              <w:jc w:val="center"/>
              <w:rPr>
                <w:noProof/>
                <w:sz w:val="20"/>
              </w:rPr>
            </w:pPr>
            <w:r>
              <w:rPr>
                <w:noProof/>
                <w:sz w:val="20"/>
              </w:rPr>
              <w:t>0 910</w:t>
            </w:r>
          </w:p>
        </w:tc>
        <w:tc>
          <w:tcPr>
            <w:tcW w:w="1031" w:type="pct"/>
            <w:vAlign w:val="center"/>
          </w:tcPr>
          <w:p w:rsidR="00526EFA" w:rsidRDefault="005C4D05">
            <w:pPr>
              <w:shd w:val="clear" w:color="auto" w:fill="FFFFFF"/>
              <w:spacing w:before="60" w:after="60"/>
              <w:jc w:val="center"/>
              <w:rPr>
                <w:noProof/>
                <w:sz w:val="20"/>
              </w:rPr>
            </w:pPr>
            <w:r>
              <w:rPr>
                <w:noProof/>
                <w:sz w:val="20"/>
              </w:rPr>
              <w:t>1 330</w:t>
            </w:r>
          </w:p>
        </w:tc>
      </w:tr>
      <w:tr w:rsidR="00526EFA">
        <w:tc>
          <w:tcPr>
            <w:tcW w:w="1724" w:type="pct"/>
            <w:vAlign w:val="center"/>
          </w:tcPr>
          <w:p w:rsidR="00526EFA" w:rsidRDefault="005C4D05">
            <w:pPr>
              <w:rPr>
                <w:b/>
                <w:noProof/>
                <w:sz w:val="20"/>
              </w:rPr>
            </w:pPr>
            <w:r>
              <w:rPr>
                <w:noProof/>
                <w:sz w:val="20"/>
              </w:rPr>
              <w:t>Ar Saineolaithe Náisiúnta ar Iasacht iad</w:t>
            </w:r>
          </w:p>
        </w:tc>
        <w:tc>
          <w:tcPr>
            <w:tcW w:w="1116" w:type="pct"/>
            <w:vAlign w:val="center"/>
          </w:tcPr>
          <w:p w:rsidR="00526EFA" w:rsidRDefault="005C4D05">
            <w:pPr>
              <w:shd w:val="clear" w:color="auto" w:fill="FFFFFF"/>
              <w:spacing w:before="60" w:after="60"/>
              <w:jc w:val="center"/>
              <w:rPr>
                <w:noProof/>
                <w:sz w:val="20"/>
              </w:rPr>
            </w:pPr>
            <w:r>
              <w:rPr>
                <w:noProof/>
                <w:sz w:val="20"/>
              </w:rPr>
              <w:t>-</w:t>
            </w:r>
          </w:p>
        </w:tc>
        <w:tc>
          <w:tcPr>
            <w:tcW w:w="232" w:type="pct"/>
          </w:tcPr>
          <w:p w:rsidR="00526EFA" w:rsidRDefault="00526EFA">
            <w:pPr>
              <w:shd w:val="clear" w:color="auto" w:fill="FFFFFF"/>
              <w:spacing w:before="60" w:after="60"/>
              <w:jc w:val="center"/>
              <w:rPr>
                <w:noProof/>
                <w:sz w:val="20"/>
              </w:rPr>
            </w:pPr>
          </w:p>
        </w:tc>
        <w:tc>
          <w:tcPr>
            <w:tcW w:w="897" w:type="pct"/>
            <w:vAlign w:val="center"/>
          </w:tcPr>
          <w:p w:rsidR="00526EFA" w:rsidRDefault="005C4D05">
            <w:pPr>
              <w:shd w:val="clear" w:color="auto" w:fill="FFFFFF"/>
              <w:spacing w:before="60" w:after="60"/>
              <w:jc w:val="center"/>
              <w:rPr>
                <w:noProof/>
                <w:sz w:val="20"/>
              </w:rPr>
            </w:pPr>
            <w:r>
              <w:rPr>
                <w:noProof/>
                <w:sz w:val="20"/>
              </w:rPr>
              <w:t>0 624</w:t>
            </w:r>
          </w:p>
        </w:tc>
        <w:tc>
          <w:tcPr>
            <w:tcW w:w="1031" w:type="pct"/>
            <w:vAlign w:val="center"/>
          </w:tcPr>
          <w:p w:rsidR="00526EFA" w:rsidRDefault="005C4D05">
            <w:pPr>
              <w:shd w:val="clear" w:color="auto" w:fill="FFFFFF"/>
              <w:spacing w:before="60" w:after="60"/>
              <w:jc w:val="center"/>
              <w:rPr>
                <w:noProof/>
                <w:sz w:val="20"/>
              </w:rPr>
            </w:pPr>
            <w:r>
              <w:rPr>
                <w:noProof/>
                <w:sz w:val="20"/>
              </w:rPr>
              <w:t>0 858</w:t>
            </w:r>
          </w:p>
        </w:tc>
      </w:tr>
      <w:tr w:rsidR="00526EFA">
        <w:tc>
          <w:tcPr>
            <w:tcW w:w="1724" w:type="pct"/>
            <w:tcBorders>
              <w:top w:val="single" w:sz="4" w:space="0" w:color="auto"/>
            </w:tcBorders>
            <w:shd w:val="clear" w:color="auto" w:fill="FFFFFF"/>
            <w:vAlign w:val="center"/>
          </w:tcPr>
          <w:p w:rsidR="00526EFA" w:rsidRDefault="005C4D05">
            <w:pPr>
              <w:shd w:val="clear" w:color="auto" w:fill="FFFFFF"/>
              <w:spacing w:before="60" w:after="60"/>
              <w:ind w:left="72"/>
              <w:rPr>
                <w:b/>
                <w:noProof/>
                <w:sz w:val="20"/>
              </w:rPr>
            </w:pPr>
            <w:r>
              <w:rPr>
                <w:b/>
                <w:noProof/>
                <w:sz w:val="20"/>
              </w:rPr>
              <w:t>Líon iomlán na mball foirne</w:t>
            </w:r>
          </w:p>
        </w:tc>
        <w:tc>
          <w:tcPr>
            <w:tcW w:w="1116" w:type="pct"/>
            <w:shd w:val="clear" w:color="auto" w:fill="FFFFFF"/>
            <w:vAlign w:val="center"/>
          </w:tcPr>
          <w:p w:rsidR="00526EFA" w:rsidRDefault="005C4D05">
            <w:pPr>
              <w:shd w:val="clear" w:color="auto" w:fill="FFFFFF"/>
              <w:spacing w:before="60" w:after="60"/>
              <w:jc w:val="center"/>
              <w:rPr>
                <w:b/>
                <w:noProof/>
                <w:sz w:val="20"/>
                <w:highlight w:val="cyan"/>
              </w:rPr>
            </w:pPr>
            <w:r>
              <w:rPr>
                <w:b/>
                <w:noProof/>
                <w:sz w:val="20"/>
              </w:rPr>
              <w:t>2 302</w:t>
            </w:r>
          </w:p>
        </w:tc>
        <w:tc>
          <w:tcPr>
            <w:tcW w:w="232" w:type="pct"/>
            <w:shd w:val="clear" w:color="auto" w:fill="FFFFFF"/>
          </w:tcPr>
          <w:p w:rsidR="00526EFA" w:rsidRDefault="00526EFA">
            <w:pPr>
              <w:shd w:val="clear" w:color="auto" w:fill="FFFFFF"/>
              <w:spacing w:before="60" w:after="60"/>
              <w:jc w:val="center"/>
              <w:rPr>
                <w:b/>
                <w:noProof/>
                <w:sz w:val="20"/>
              </w:rPr>
            </w:pPr>
          </w:p>
        </w:tc>
        <w:tc>
          <w:tcPr>
            <w:tcW w:w="897" w:type="pct"/>
            <w:shd w:val="clear" w:color="auto" w:fill="FFFFFF"/>
            <w:vAlign w:val="center"/>
          </w:tcPr>
          <w:p w:rsidR="00526EFA" w:rsidRDefault="005C4D05">
            <w:pPr>
              <w:shd w:val="clear" w:color="auto" w:fill="FFFFFF"/>
              <w:spacing w:before="60" w:after="60"/>
              <w:jc w:val="center"/>
              <w:rPr>
                <w:b/>
                <w:noProof/>
                <w:sz w:val="20"/>
              </w:rPr>
            </w:pPr>
            <w:r>
              <w:rPr>
                <w:b/>
                <w:noProof/>
                <w:sz w:val="20"/>
              </w:rPr>
              <w:t>3 410</w:t>
            </w:r>
          </w:p>
        </w:tc>
        <w:tc>
          <w:tcPr>
            <w:tcW w:w="1031" w:type="pct"/>
            <w:vAlign w:val="center"/>
          </w:tcPr>
          <w:p w:rsidR="00526EFA" w:rsidRDefault="005C4D05">
            <w:pPr>
              <w:shd w:val="clear" w:color="auto" w:fill="FFFFFF"/>
              <w:spacing w:before="60" w:after="60"/>
              <w:jc w:val="center"/>
              <w:rPr>
                <w:b/>
                <w:noProof/>
                <w:sz w:val="20"/>
              </w:rPr>
            </w:pPr>
            <w:r>
              <w:rPr>
                <w:b/>
                <w:noProof/>
                <w:sz w:val="20"/>
              </w:rPr>
              <w:t>4 064</w:t>
            </w:r>
          </w:p>
        </w:tc>
      </w:tr>
    </w:tbl>
    <w:p w:rsidR="00526EFA" w:rsidRDefault="00526EFA">
      <w:pPr>
        <w:rPr>
          <w:b/>
          <w:noProof/>
          <w:sz w:val="20"/>
          <w:highlight w:val="yellow"/>
        </w:rPr>
      </w:pPr>
    </w:p>
    <w:p w:rsidR="00526EFA" w:rsidRDefault="00526EFA">
      <w:pPr>
        <w:autoSpaceDE w:val="0"/>
        <w:autoSpaceDN w:val="0"/>
        <w:adjustRightInd w:val="0"/>
        <w:rPr>
          <w:noProof/>
          <w:sz w:val="22"/>
        </w:rPr>
      </w:pPr>
    </w:p>
    <w:tbl>
      <w:tblPr>
        <w:tblpPr w:leftFromText="180" w:rightFromText="180" w:vertAnchor="text" w:horzAnchor="margin" w:tblpXSpec="center" w:tblpY="324"/>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691"/>
        <w:gridCol w:w="7598"/>
      </w:tblGrid>
      <w:tr w:rsidR="00526EFA">
        <w:trPr>
          <w:trHeight w:val="585"/>
        </w:trPr>
        <w:tc>
          <w:tcPr>
            <w:tcW w:w="9289" w:type="dxa"/>
            <w:gridSpan w:val="2"/>
            <w:tcBorders>
              <w:bottom w:val="single" w:sz="2" w:space="0" w:color="auto"/>
            </w:tcBorders>
          </w:tcPr>
          <w:p w:rsidR="00526EFA" w:rsidRDefault="005C4D05">
            <w:pPr>
              <w:keepNext/>
              <w:keepLines/>
              <w:spacing w:before="60" w:after="60"/>
              <w:jc w:val="center"/>
              <w:rPr>
                <w:b/>
                <w:noProof/>
                <w:sz w:val="20"/>
              </w:rPr>
            </w:pPr>
            <w:r>
              <w:rPr>
                <w:b/>
                <w:noProof/>
                <w:sz w:val="20"/>
              </w:rPr>
              <w:t>Foireann bhreise atá de dhíth ar BEREC in 2020 chun a chúraimí a nua a dhéanamh faoin sainordú nua</w:t>
            </w:r>
            <w:r>
              <w:rPr>
                <w:rStyle w:val="FootnoteReference"/>
                <w:b/>
                <w:noProof/>
                <w:sz w:val="20"/>
              </w:rPr>
              <w:footnoteReference w:id="70"/>
            </w:r>
            <w:r>
              <w:rPr>
                <w:b/>
                <w:noProof/>
                <w:sz w:val="20"/>
              </w:rPr>
              <w:t xml:space="preserve"> </w:t>
            </w:r>
          </w:p>
          <w:p w:rsidR="00526EFA" w:rsidRDefault="005C4D05">
            <w:pPr>
              <w:keepNext/>
              <w:keepLines/>
              <w:spacing w:before="60" w:after="60"/>
              <w:jc w:val="center"/>
              <w:rPr>
                <w:b/>
                <w:noProof/>
                <w:sz w:val="20"/>
              </w:rPr>
            </w:pPr>
            <w:r>
              <w:rPr>
                <w:b/>
                <w:noProof/>
                <w:sz w:val="20"/>
              </w:rPr>
              <w:t>(sonraí de réir an chúraim)</w:t>
            </w:r>
          </w:p>
        </w:tc>
      </w:tr>
      <w:tr w:rsidR="00526EFA">
        <w:trPr>
          <w:trHeight w:val="585"/>
        </w:trPr>
        <w:tc>
          <w:tcPr>
            <w:tcW w:w="1691" w:type="dxa"/>
            <w:tcBorders>
              <w:bottom w:val="single" w:sz="2" w:space="0" w:color="auto"/>
            </w:tcBorders>
          </w:tcPr>
          <w:p w:rsidR="00526EFA" w:rsidRDefault="00526EFA">
            <w:pPr>
              <w:keepNext/>
              <w:keepLines/>
              <w:jc w:val="center"/>
              <w:rPr>
                <w:b/>
                <w:i/>
                <w:noProof/>
                <w:sz w:val="20"/>
              </w:rPr>
            </w:pPr>
          </w:p>
          <w:p w:rsidR="00526EFA" w:rsidRDefault="005C4D05">
            <w:pPr>
              <w:keepNext/>
              <w:keepLines/>
              <w:jc w:val="center"/>
              <w:rPr>
                <w:b/>
                <w:i/>
                <w:noProof/>
                <w:sz w:val="20"/>
              </w:rPr>
            </w:pPr>
            <w:r>
              <w:rPr>
                <w:b/>
                <w:i/>
                <w:noProof/>
                <w:sz w:val="20"/>
              </w:rPr>
              <w:t>Líon iomlán na mball foirne</w:t>
            </w:r>
          </w:p>
          <w:p w:rsidR="00526EFA" w:rsidRDefault="005C4D05">
            <w:pPr>
              <w:keepNext/>
              <w:keepLines/>
              <w:spacing w:before="60" w:after="60"/>
              <w:jc w:val="center"/>
              <w:rPr>
                <w:b/>
                <w:noProof/>
                <w:sz w:val="20"/>
              </w:rPr>
            </w:pPr>
            <w:r>
              <w:rPr>
                <w:b/>
                <w:i/>
                <w:noProof/>
                <w:sz w:val="20"/>
              </w:rPr>
              <w:t>(FTE)</w:t>
            </w:r>
          </w:p>
        </w:tc>
        <w:tc>
          <w:tcPr>
            <w:tcW w:w="7598" w:type="dxa"/>
          </w:tcPr>
          <w:p w:rsidR="00526EFA" w:rsidRDefault="00526EFA">
            <w:pPr>
              <w:keepNext/>
              <w:keepLines/>
              <w:jc w:val="center"/>
              <w:rPr>
                <w:b/>
                <w:i/>
                <w:noProof/>
                <w:sz w:val="20"/>
              </w:rPr>
            </w:pPr>
          </w:p>
          <w:p w:rsidR="00526EFA" w:rsidRDefault="005C4D05">
            <w:pPr>
              <w:keepNext/>
              <w:keepLines/>
              <w:jc w:val="center"/>
              <w:rPr>
                <w:b/>
                <w:noProof/>
                <w:sz w:val="20"/>
              </w:rPr>
            </w:pPr>
            <w:r>
              <w:rPr>
                <w:b/>
                <w:i/>
                <w:noProof/>
                <w:sz w:val="20"/>
              </w:rPr>
              <w:t>Cúraimí nua</w:t>
            </w:r>
          </w:p>
        </w:tc>
      </w:tr>
      <w:tr w:rsidR="00526EFA">
        <w:trPr>
          <w:trHeight w:val="585"/>
        </w:trPr>
        <w:tc>
          <w:tcPr>
            <w:tcW w:w="1691" w:type="dxa"/>
            <w:tcBorders>
              <w:bottom w:val="single" w:sz="4" w:space="0" w:color="auto"/>
            </w:tcBorders>
            <w:vAlign w:val="center"/>
          </w:tcPr>
          <w:p w:rsidR="00526EFA" w:rsidRDefault="005C4D05">
            <w:pPr>
              <w:keepNext/>
              <w:keepLines/>
              <w:shd w:val="clear" w:color="auto" w:fill="FFFFFF"/>
              <w:ind w:left="72"/>
              <w:jc w:val="center"/>
              <w:rPr>
                <w:noProof/>
                <w:sz w:val="20"/>
                <w:szCs w:val="20"/>
              </w:rPr>
            </w:pPr>
            <w:r>
              <w:rPr>
                <w:b/>
                <w:noProof/>
                <w:sz w:val="20"/>
              </w:rPr>
              <w:t>4</w:t>
            </w:r>
          </w:p>
        </w:tc>
        <w:tc>
          <w:tcPr>
            <w:tcW w:w="7598" w:type="dxa"/>
            <w:vAlign w:val="bottom"/>
          </w:tcPr>
          <w:p w:rsidR="00526EFA" w:rsidRDefault="005C4D05">
            <w:pPr>
              <w:keepNext/>
              <w:keepLines/>
              <w:rPr>
                <w:noProof/>
                <w:sz w:val="20"/>
                <w:szCs w:val="20"/>
              </w:rPr>
            </w:pPr>
            <w:r>
              <w:rPr>
                <w:noProof/>
                <w:sz w:val="20"/>
              </w:rPr>
              <w:t xml:space="preserve">Cúraimí réamhnormatacha agus cumhachtaí ceangailteacha </w:t>
            </w:r>
          </w:p>
        </w:tc>
      </w:tr>
      <w:tr w:rsidR="00526EFA">
        <w:trPr>
          <w:trHeight w:val="585"/>
        </w:trPr>
        <w:tc>
          <w:tcPr>
            <w:tcW w:w="1691" w:type="dxa"/>
            <w:tcBorders>
              <w:top w:val="single" w:sz="4" w:space="0" w:color="auto"/>
            </w:tcBorders>
            <w:shd w:val="clear" w:color="auto" w:fill="FFFFFF"/>
            <w:vAlign w:val="center"/>
          </w:tcPr>
          <w:p w:rsidR="00526EFA" w:rsidRDefault="005C4D05">
            <w:pPr>
              <w:keepNext/>
              <w:keepLines/>
              <w:shd w:val="clear" w:color="auto" w:fill="FFFFFF"/>
              <w:spacing w:before="60" w:after="60"/>
              <w:ind w:left="72"/>
              <w:jc w:val="center"/>
              <w:rPr>
                <w:b/>
                <w:noProof/>
                <w:sz w:val="20"/>
                <w:szCs w:val="20"/>
              </w:rPr>
            </w:pPr>
            <w:r>
              <w:rPr>
                <w:b/>
                <w:noProof/>
                <w:sz w:val="20"/>
              </w:rPr>
              <w:t>5</w:t>
            </w:r>
          </w:p>
        </w:tc>
        <w:tc>
          <w:tcPr>
            <w:tcW w:w="7598" w:type="dxa"/>
            <w:shd w:val="clear" w:color="auto" w:fill="FFFFFF"/>
            <w:vAlign w:val="bottom"/>
          </w:tcPr>
          <w:p w:rsidR="00526EFA" w:rsidRDefault="005C4D05">
            <w:pPr>
              <w:keepNext/>
              <w:keepLines/>
              <w:rPr>
                <w:noProof/>
                <w:sz w:val="20"/>
                <w:szCs w:val="20"/>
              </w:rPr>
            </w:pPr>
            <w:r>
              <w:rPr>
                <w:noProof/>
                <w:sz w:val="20"/>
              </w:rPr>
              <w:t xml:space="preserve">Treoir rialála </w:t>
            </w:r>
          </w:p>
        </w:tc>
      </w:tr>
      <w:tr w:rsidR="00526EFA">
        <w:trPr>
          <w:trHeight w:val="585"/>
        </w:trPr>
        <w:tc>
          <w:tcPr>
            <w:tcW w:w="1691" w:type="dxa"/>
            <w:tcBorders>
              <w:top w:val="single" w:sz="4" w:space="0" w:color="auto"/>
            </w:tcBorders>
            <w:shd w:val="clear" w:color="auto" w:fill="FFFFFF"/>
            <w:vAlign w:val="center"/>
          </w:tcPr>
          <w:p w:rsidR="00526EFA" w:rsidRDefault="00526EFA">
            <w:pPr>
              <w:keepNext/>
              <w:keepLines/>
              <w:shd w:val="clear" w:color="auto" w:fill="FFFFFF"/>
              <w:spacing w:before="60" w:after="60"/>
              <w:ind w:left="72"/>
              <w:jc w:val="center"/>
              <w:rPr>
                <w:b/>
                <w:noProof/>
                <w:sz w:val="20"/>
                <w:szCs w:val="20"/>
              </w:rPr>
            </w:pPr>
          </w:p>
          <w:p w:rsidR="00526EFA" w:rsidRDefault="005C4D05">
            <w:pPr>
              <w:keepNext/>
              <w:keepLines/>
              <w:shd w:val="clear" w:color="auto" w:fill="FFFFFF"/>
              <w:spacing w:before="60" w:after="60"/>
              <w:ind w:left="72"/>
              <w:jc w:val="center"/>
              <w:rPr>
                <w:b/>
                <w:noProof/>
                <w:sz w:val="20"/>
                <w:szCs w:val="20"/>
              </w:rPr>
            </w:pPr>
            <w:r>
              <w:rPr>
                <w:b/>
                <w:noProof/>
                <w:sz w:val="20"/>
              </w:rPr>
              <w:t>2</w:t>
            </w:r>
          </w:p>
        </w:tc>
        <w:tc>
          <w:tcPr>
            <w:tcW w:w="7598" w:type="dxa"/>
            <w:shd w:val="clear" w:color="auto" w:fill="FFFFFF"/>
            <w:vAlign w:val="bottom"/>
          </w:tcPr>
          <w:p w:rsidR="00526EFA" w:rsidRDefault="005C4D05">
            <w:pPr>
              <w:keepNext/>
              <w:keepLines/>
              <w:rPr>
                <w:noProof/>
                <w:sz w:val="20"/>
                <w:szCs w:val="20"/>
              </w:rPr>
            </w:pPr>
            <w:r>
              <w:rPr>
                <w:noProof/>
                <w:sz w:val="20"/>
              </w:rPr>
              <w:t xml:space="preserve">Athbhreithniú ar an margadh </w:t>
            </w:r>
          </w:p>
        </w:tc>
      </w:tr>
      <w:tr w:rsidR="00526EFA">
        <w:trPr>
          <w:trHeight w:val="585"/>
        </w:trPr>
        <w:tc>
          <w:tcPr>
            <w:tcW w:w="1691" w:type="dxa"/>
            <w:shd w:val="clear" w:color="auto" w:fill="FFFFFF"/>
            <w:vAlign w:val="center"/>
          </w:tcPr>
          <w:p w:rsidR="00526EFA" w:rsidRDefault="005C4D05">
            <w:pPr>
              <w:keepNext/>
              <w:keepLines/>
              <w:spacing w:before="60" w:after="60"/>
              <w:jc w:val="center"/>
              <w:rPr>
                <w:b/>
                <w:noProof/>
                <w:sz w:val="20"/>
                <w:szCs w:val="20"/>
              </w:rPr>
            </w:pPr>
            <w:r>
              <w:rPr>
                <w:b/>
                <w:noProof/>
                <w:sz w:val="20"/>
              </w:rPr>
              <w:t>1</w:t>
            </w:r>
          </w:p>
        </w:tc>
        <w:tc>
          <w:tcPr>
            <w:tcW w:w="7598" w:type="dxa"/>
            <w:shd w:val="clear" w:color="auto" w:fill="FFFFFF"/>
            <w:vAlign w:val="bottom"/>
          </w:tcPr>
          <w:p w:rsidR="00526EFA" w:rsidRDefault="005C4D05">
            <w:pPr>
              <w:keepNext/>
              <w:keepLines/>
              <w:rPr>
                <w:noProof/>
                <w:sz w:val="20"/>
                <w:szCs w:val="20"/>
              </w:rPr>
            </w:pPr>
            <w:r>
              <w:rPr>
                <w:noProof/>
                <w:sz w:val="20"/>
              </w:rPr>
              <w:t xml:space="preserve">Athbhreithniú piaraí ar radaispeictream </w:t>
            </w:r>
          </w:p>
        </w:tc>
      </w:tr>
      <w:tr w:rsidR="00526EFA">
        <w:trPr>
          <w:trHeight w:val="585"/>
        </w:trPr>
        <w:tc>
          <w:tcPr>
            <w:tcW w:w="1691" w:type="dxa"/>
            <w:vAlign w:val="center"/>
          </w:tcPr>
          <w:p w:rsidR="00526EFA" w:rsidRDefault="005C4D05">
            <w:pPr>
              <w:keepNext/>
              <w:keepLines/>
              <w:shd w:val="clear" w:color="auto" w:fill="FFFFFF"/>
              <w:spacing w:before="60" w:after="60"/>
              <w:ind w:left="72"/>
              <w:jc w:val="center"/>
              <w:rPr>
                <w:b/>
                <w:noProof/>
                <w:sz w:val="20"/>
                <w:szCs w:val="20"/>
              </w:rPr>
            </w:pPr>
            <w:r>
              <w:rPr>
                <w:b/>
                <w:noProof/>
                <w:sz w:val="20"/>
              </w:rPr>
              <w:t>1</w:t>
            </w:r>
          </w:p>
        </w:tc>
        <w:tc>
          <w:tcPr>
            <w:tcW w:w="7598" w:type="dxa"/>
            <w:vAlign w:val="bottom"/>
          </w:tcPr>
          <w:p w:rsidR="00526EFA" w:rsidRDefault="005C4D05">
            <w:pPr>
              <w:keepNext/>
              <w:keepLines/>
              <w:rPr>
                <w:noProof/>
                <w:sz w:val="20"/>
                <w:szCs w:val="20"/>
              </w:rPr>
            </w:pPr>
            <w:r>
              <w:rPr>
                <w:noProof/>
                <w:sz w:val="20"/>
              </w:rPr>
              <w:t xml:space="preserve">Feidhmeacha cláir </w:t>
            </w:r>
          </w:p>
        </w:tc>
      </w:tr>
      <w:tr w:rsidR="00526EFA">
        <w:trPr>
          <w:trHeight w:val="585"/>
        </w:trPr>
        <w:tc>
          <w:tcPr>
            <w:tcW w:w="1691" w:type="dxa"/>
            <w:vAlign w:val="center"/>
          </w:tcPr>
          <w:p w:rsidR="00526EFA" w:rsidRDefault="005C4D05">
            <w:pPr>
              <w:keepNext/>
              <w:keepLines/>
              <w:shd w:val="clear" w:color="auto" w:fill="FFFFFF"/>
              <w:spacing w:before="60" w:after="60"/>
              <w:ind w:left="72"/>
              <w:jc w:val="center"/>
              <w:rPr>
                <w:b/>
                <w:noProof/>
                <w:sz w:val="20"/>
                <w:szCs w:val="20"/>
              </w:rPr>
            </w:pPr>
            <w:r>
              <w:rPr>
                <w:b/>
                <w:noProof/>
                <w:sz w:val="20"/>
              </w:rPr>
              <w:t>1</w:t>
            </w:r>
          </w:p>
        </w:tc>
        <w:tc>
          <w:tcPr>
            <w:tcW w:w="7598" w:type="dxa"/>
            <w:vAlign w:val="center"/>
          </w:tcPr>
          <w:p w:rsidR="00526EFA" w:rsidRDefault="005C4D05">
            <w:pPr>
              <w:keepNext/>
              <w:keepLines/>
              <w:rPr>
                <w:noProof/>
                <w:sz w:val="20"/>
                <w:szCs w:val="20"/>
              </w:rPr>
            </w:pPr>
            <w:r>
              <w:rPr>
                <w:noProof/>
                <w:sz w:val="20"/>
              </w:rPr>
              <w:t>Comhar idirnáisiúnta</w:t>
            </w:r>
          </w:p>
        </w:tc>
      </w:tr>
      <w:tr w:rsidR="00526EFA">
        <w:trPr>
          <w:trHeight w:val="585"/>
        </w:trPr>
        <w:tc>
          <w:tcPr>
            <w:tcW w:w="1691" w:type="dxa"/>
            <w:vAlign w:val="center"/>
          </w:tcPr>
          <w:p w:rsidR="00526EFA" w:rsidRDefault="005C4D05">
            <w:pPr>
              <w:keepNext/>
              <w:keepLines/>
              <w:shd w:val="clear" w:color="auto" w:fill="FFFFFF"/>
              <w:spacing w:before="60" w:after="60"/>
              <w:ind w:left="72"/>
              <w:jc w:val="center"/>
              <w:rPr>
                <w:b/>
                <w:noProof/>
                <w:sz w:val="20"/>
                <w:szCs w:val="20"/>
              </w:rPr>
            </w:pPr>
            <w:r>
              <w:rPr>
                <w:b/>
                <w:noProof/>
                <w:sz w:val="20"/>
              </w:rPr>
              <w:t>2</w:t>
            </w:r>
          </w:p>
        </w:tc>
        <w:tc>
          <w:tcPr>
            <w:tcW w:w="7598" w:type="dxa"/>
            <w:vAlign w:val="center"/>
          </w:tcPr>
          <w:p w:rsidR="00526EFA" w:rsidRDefault="005C4D05">
            <w:pPr>
              <w:keepNext/>
              <w:keepLines/>
              <w:rPr>
                <w:noProof/>
                <w:sz w:val="20"/>
                <w:szCs w:val="20"/>
              </w:rPr>
            </w:pPr>
            <w:r>
              <w:rPr>
                <w:noProof/>
                <w:sz w:val="20"/>
              </w:rPr>
              <w:t>Cúnamh agus comhairle don Choimisiún agus d'institiúidí</w:t>
            </w:r>
            <w:r>
              <w:rPr>
                <w:noProof/>
                <w:sz w:val="20"/>
              </w:rPr>
              <w:t xml:space="preserve"> eile de chuid an Aontais Eorpaigh</w:t>
            </w:r>
          </w:p>
        </w:tc>
      </w:tr>
      <w:tr w:rsidR="00526EFA">
        <w:trPr>
          <w:trHeight w:val="585"/>
        </w:trPr>
        <w:tc>
          <w:tcPr>
            <w:tcW w:w="1691" w:type="dxa"/>
            <w:vAlign w:val="center"/>
          </w:tcPr>
          <w:p w:rsidR="00526EFA" w:rsidRDefault="005C4D05">
            <w:pPr>
              <w:keepNext/>
              <w:keepLines/>
              <w:shd w:val="clear" w:color="auto" w:fill="FFFFFF"/>
              <w:spacing w:before="60" w:after="60"/>
              <w:ind w:left="72"/>
              <w:jc w:val="center"/>
              <w:rPr>
                <w:b/>
                <w:noProof/>
                <w:sz w:val="20"/>
              </w:rPr>
            </w:pPr>
            <w:r>
              <w:rPr>
                <w:b/>
                <w:noProof/>
                <w:sz w:val="20"/>
              </w:rPr>
              <w:t>2</w:t>
            </w:r>
          </w:p>
        </w:tc>
        <w:tc>
          <w:tcPr>
            <w:tcW w:w="7598" w:type="dxa"/>
            <w:vAlign w:val="center"/>
          </w:tcPr>
          <w:p w:rsidR="00526EFA" w:rsidRDefault="005C4D05">
            <w:pPr>
              <w:keepNext/>
              <w:keepLines/>
              <w:shd w:val="clear" w:color="auto" w:fill="FFFFFF"/>
              <w:spacing w:before="60" w:after="60"/>
              <w:rPr>
                <w:noProof/>
                <w:sz w:val="20"/>
              </w:rPr>
            </w:pPr>
            <w:r>
              <w:rPr>
                <w:noProof/>
                <w:sz w:val="20"/>
              </w:rPr>
              <w:t xml:space="preserve">Tacaíocht bhainistíochta agus riaracháin </w:t>
            </w:r>
          </w:p>
        </w:tc>
      </w:tr>
      <w:tr w:rsidR="00526EFA">
        <w:trPr>
          <w:trHeight w:val="585"/>
        </w:trPr>
        <w:tc>
          <w:tcPr>
            <w:tcW w:w="1691" w:type="dxa"/>
            <w:vAlign w:val="center"/>
          </w:tcPr>
          <w:p w:rsidR="00526EFA" w:rsidRDefault="005C4D05">
            <w:pPr>
              <w:keepNext/>
              <w:keepLines/>
              <w:shd w:val="clear" w:color="auto" w:fill="FFFFFF"/>
              <w:spacing w:before="60" w:after="60"/>
              <w:ind w:left="72"/>
              <w:jc w:val="center"/>
              <w:rPr>
                <w:b/>
                <w:noProof/>
                <w:sz w:val="20"/>
              </w:rPr>
            </w:pPr>
            <w:r>
              <w:rPr>
                <w:b/>
                <w:noProof/>
                <w:sz w:val="20"/>
              </w:rPr>
              <w:t>18</w:t>
            </w:r>
          </w:p>
        </w:tc>
        <w:tc>
          <w:tcPr>
            <w:tcW w:w="7598" w:type="dxa"/>
            <w:vAlign w:val="center"/>
          </w:tcPr>
          <w:p w:rsidR="00526EFA" w:rsidRDefault="00526EFA">
            <w:pPr>
              <w:keepNext/>
              <w:keepLines/>
              <w:rPr>
                <w:noProof/>
                <w:sz w:val="20"/>
                <w:szCs w:val="20"/>
              </w:rPr>
            </w:pPr>
          </w:p>
        </w:tc>
      </w:tr>
    </w:tbl>
    <w:p w:rsidR="00526EFA" w:rsidRDefault="00526EFA">
      <w:pPr>
        <w:jc w:val="center"/>
        <w:rPr>
          <w:noProof/>
          <w:u w:val="single"/>
        </w:rPr>
      </w:pPr>
    </w:p>
    <w:p w:rsidR="00526EFA" w:rsidRDefault="005C4D05">
      <w:pPr>
        <w:pStyle w:val="ManualHeading4"/>
        <w:rPr>
          <w:b/>
          <w:bCs/>
          <w:noProof/>
        </w:rPr>
      </w:pPr>
      <w:r>
        <w:rPr>
          <w:noProof/>
        </w:rPr>
        <w:t>3.2.3.2.</w:t>
      </w:r>
      <w:r>
        <w:rPr>
          <w:noProof/>
        </w:rPr>
        <w:tab/>
        <w:t>Na riachtanais acmhainní daonna a mheastar a bheidh ag an máthair</w:t>
      </w:r>
      <w:r>
        <w:rPr>
          <w:noProof/>
        </w:rPr>
        <w:noBreakHyphen/>
        <w:t>Ard</w:t>
      </w:r>
      <w:r>
        <w:rPr>
          <w:noProof/>
        </w:rPr>
        <w:noBreakHyphen/>
        <w:t>Stiúrthóireacht</w:t>
      </w:r>
    </w:p>
    <w:p w:rsidR="00526EFA" w:rsidRDefault="005C4D05">
      <w:pPr>
        <w:pStyle w:val="ListDash1"/>
        <w:keepNext/>
        <w:keepLines/>
        <w:numPr>
          <w:ilvl w:val="0"/>
          <w:numId w:val="14"/>
        </w:numPr>
        <w:rPr>
          <w:noProof/>
        </w:rPr>
      </w:pPr>
      <w:r>
        <w:rPr>
          <w:noProof/>
        </w:rPr>
        <w:sym w:font="Wingdings" w:char="F0A8"/>
      </w:r>
      <w:r>
        <w:rPr>
          <w:noProof/>
        </w:rPr>
        <w:tab/>
        <w:t>Ní éilíonn an togra/tionscnamh go n</w:t>
      </w:r>
      <w:r>
        <w:rPr>
          <w:noProof/>
        </w:rPr>
        <w:noBreakHyphen/>
        <w:t>úsáidfear acmhainní daonna.</w:t>
      </w:r>
    </w:p>
    <w:p w:rsidR="00526EFA" w:rsidRDefault="005C4D05">
      <w:pPr>
        <w:pStyle w:val="ListDash1"/>
        <w:keepNext/>
        <w:keepLines/>
        <w:numPr>
          <w:ilvl w:val="0"/>
          <w:numId w:val="14"/>
        </w:numPr>
        <w:rPr>
          <w:noProof/>
        </w:rPr>
      </w:pPr>
      <w:r>
        <w:rPr>
          <w:noProof/>
        </w:rPr>
        <w:sym w:font="Wingdings" w:char="F078"/>
      </w:r>
      <w:r>
        <w:rPr>
          <w:noProof/>
        </w:rPr>
        <w:tab/>
      </w:r>
      <w:r>
        <w:rPr>
          <w:noProof/>
        </w:rPr>
        <w:t>Éilíonn an togra/tionscnamh go n</w:t>
      </w:r>
      <w:r>
        <w:rPr>
          <w:noProof/>
        </w:rPr>
        <w:noBreakHyphen/>
        <w:t>úsáidfear acmhainní daonna mar a mhínítear thíos:</w:t>
      </w:r>
    </w:p>
    <w:p w:rsidR="00526EFA" w:rsidRDefault="00526EFA">
      <w:pPr>
        <w:rPr>
          <w:noProof/>
        </w:rPr>
      </w:pPr>
    </w:p>
    <w:p w:rsidR="00526EFA" w:rsidRDefault="005C4D05">
      <w:pPr>
        <w:spacing w:after="60"/>
        <w:jc w:val="right"/>
        <w:rPr>
          <w:i/>
          <w:noProof/>
          <w:sz w:val="20"/>
        </w:rPr>
      </w:pPr>
      <w:r>
        <w:rPr>
          <w:i/>
          <w:noProof/>
          <w:sz w:val="20"/>
        </w:rPr>
        <w:t>Sloinnfear an meastachán i méideanna iomlána (nó go dtí an chéad deachúil ar a mhéad).</w:t>
      </w:r>
    </w:p>
    <w:p w:rsidR="00526EFA" w:rsidRDefault="00526EFA">
      <w:pPr>
        <w:spacing w:after="60"/>
        <w:jc w:val="right"/>
        <w:rPr>
          <w:i/>
          <w:noProof/>
          <w:sz w:val="20"/>
        </w:rPr>
      </w:pPr>
    </w:p>
    <w:tbl>
      <w:tblPr>
        <w:tblW w:w="343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348"/>
        <w:gridCol w:w="1016"/>
        <w:gridCol w:w="1016"/>
      </w:tblGrid>
      <w:tr w:rsidR="00526EFA">
        <w:trPr>
          <w:trHeight w:val="289"/>
        </w:trPr>
        <w:tc>
          <w:tcPr>
            <w:tcW w:w="3407" w:type="pct"/>
            <w:shd w:val="clear" w:color="auto" w:fill="auto"/>
          </w:tcPr>
          <w:p w:rsidR="00526EFA" w:rsidRDefault="00526EFA">
            <w:pPr>
              <w:spacing w:before="40" w:after="40"/>
              <w:jc w:val="center"/>
              <w:rPr>
                <w:i/>
                <w:noProof/>
                <w:sz w:val="20"/>
              </w:rPr>
            </w:pPr>
          </w:p>
        </w:tc>
        <w:tc>
          <w:tcPr>
            <w:tcW w:w="796" w:type="pct"/>
            <w:shd w:val="clear" w:color="auto" w:fill="auto"/>
            <w:vAlign w:val="center"/>
          </w:tcPr>
          <w:p w:rsidR="00526EFA" w:rsidRDefault="00526EFA">
            <w:pPr>
              <w:spacing w:before="60" w:after="60"/>
              <w:jc w:val="center"/>
              <w:rPr>
                <w:noProof/>
                <w:sz w:val="20"/>
              </w:rPr>
            </w:pPr>
          </w:p>
          <w:p w:rsidR="00526EFA" w:rsidRDefault="005C4D05">
            <w:pPr>
              <w:spacing w:before="60" w:after="60"/>
              <w:jc w:val="center"/>
              <w:rPr>
                <w:noProof/>
              </w:rPr>
            </w:pPr>
            <w:r>
              <w:rPr>
                <w:noProof/>
                <w:sz w:val="20"/>
              </w:rPr>
              <w:t>Bliain</w:t>
            </w:r>
            <w:r>
              <w:rPr>
                <w:noProof/>
                <w:sz w:val="20"/>
              </w:rPr>
              <w:br/>
            </w:r>
            <w:r>
              <w:rPr>
                <w:b/>
                <w:noProof/>
                <w:sz w:val="20"/>
              </w:rPr>
              <w:t>2019</w:t>
            </w:r>
          </w:p>
          <w:p w:rsidR="00526EFA" w:rsidRDefault="00526EFA">
            <w:pPr>
              <w:jc w:val="center"/>
              <w:rPr>
                <w:noProof/>
                <w:sz w:val="20"/>
              </w:rPr>
            </w:pPr>
          </w:p>
        </w:tc>
        <w:tc>
          <w:tcPr>
            <w:tcW w:w="796" w:type="pct"/>
            <w:shd w:val="clear" w:color="auto" w:fill="auto"/>
            <w:vAlign w:val="center"/>
          </w:tcPr>
          <w:p w:rsidR="00526EFA" w:rsidRDefault="005C4D05">
            <w:pPr>
              <w:spacing w:before="60" w:after="60"/>
              <w:jc w:val="center"/>
              <w:rPr>
                <w:noProof/>
              </w:rPr>
            </w:pPr>
            <w:r>
              <w:rPr>
                <w:noProof/>
                <w:sz w:val="20"/>
              </w:rPr>
              <w:t>Bliain</w:t>
            </w:r>
            <w:r>
              <w:rPr>
                <w:noProof/>
                <w:sz w:val="20"/>
              </w:rPr>
              <w:br/>
            </w:r>
            <w:r>
              <w:rPr>
                <w:b/>
                <w:noProof/>
                <w:sz w:val="20"/>
              </w:rPr>
              <w:t>2020</w:t>
            </w:r>
          </w:p>
        </w:tc>
      </w:tr>
      <w:tr w:rsidR="00526EFA">
        <w:trPr>
          <w:trHeight w:val="289"/>
        </w:trPr>
        <w:tc>
          <w:tcPr>
            <w:tcW w:w="3407" w:type="pct"/>
            <w:shd w:val="clear" w:color="auto" w:fill="auto"/>
            <w:vAlign w:val="center"/>
          </w:tcPr>
          <w:p w:rsidR="00526EFA" w:rsidRDefault="005C4D05">
            <w:pPr>
              <w:numPr>
                <w:ilvl w:val="0"/>
                <w:numId w:val="16"/>
              </w:numPr>
              <w:tabs>
                <w:tab w:val="left" w:pos="208"/>
              </w:tabs>
              <w:spacing w:beforeLines="20" w:before="48" w:afterLines="20" w:after="48"/>
              <w:ind w:left="208" w:hanging="120"/>
              <w:rPr>
                <w:b/>
                <w:noProof/>
                <w:sz w:val="20"/>
              </w:rPr>
            </w:pPr>
            <w:r>
              <w:rPr>
                <w:b/>
                <w:noProof/>
                <w:sz w:val="20"/>
              </w:rPr>
              <w:t xml:space="preserve">Poist don phlean bunaíochta (oifigigh agus foireann </w:t>
            </w:r>
            <w:r>
              <w:rPr>
                <w:b/>
                <w:noProof/>
                <w:sz w:val="20"/>
              </w:rPr>
              <w:t>shealadach)</w:t>
            </w:r>
          </w:p>
        </w:tc>
        <w:tc>
          <w:tcPr>
            <w:tcW w:w="796" w:type="pct"/>
            <w:shd w:val="clear" w:color="auto" w:fill="auto"/>
            <w:vAlign w:val="center"/>
          </w:tcPr>
          <w:p w:rsidR="00526EFA" w:rsidRDefault="00526EFA">
            <w:pPr>
              <w:spacing w:beforeLines="20" w:before="48" w:afterLines="20" w:after="48"/>
              <w:jc w:val="center"/>
              <w:rPr>
                <w:noProof/>
                <w:sz w:val="20"/>
              </w:rPr>
            </w:pPr>
          </w:p>
        </w:tc>
        <w:tc>
          <w:tcPr>
            <w:tcW w:w="796" w:type="pct"/>
            <w:shd w:val="clear" w:color="auto" w:fill="auto"/>
            <w:vAlign w:val="center"/>
          </w:tcPr>
          <w:p w:rsidR="00526EFA" w:rsidRDefault="00526EFA">
            <w:pPr>
              <w:spacing w:beforeLines="20" w:before="48" w:afterLines="20" w:after="48"/>
              <w:jc w:val="center"/>
              <w:rPr>
                <w:noProof/>
                <w:sz w:val="20"/>
              </w:rPr>
            </w:pPr>
          </w:p>
        </w:tc>
      </w:tr>
      <w:tr w:rsidR="00526EFA">
        <w:trPr>
          <w:trHeight w:val="289"/>
        </w:trPr>
        <w:tc>
          <w:tcPr>
            <w:tcW w:w="3407" w:type="pct"/>
            <w:shd w:val="clear" w:color="auto" w:fill="auto"/>
            <w:vAlign w:val="center"/>
          </w:tcPr>
          <w:p w:rsidR="00526EFA" w:rsidRDefault="005C4D05">
            <w:pPr>
              <w:spacing w:beforeLines="20" w:before="48" w:afterLines="20" w:after="48"/>
              <w:ind w:left="984"/>
              <w:rPr>
                <w:b/>
                <w:noProof/>
                <w:sz w:val="20"/>
              </w:rPr>
            </w:pPr>
            <w:r>
              <w:rPr>
                <w:noProof/>
                <w:sz w:val="20"/>
              </w:rPr>
              <w:t>XX 01 01 01 (Ceanncheathrú agus Oifigí Ionadaíocht an Choimisiúin)</w:t>
            </w:r>
          </w:p>
        </w:tc>
        <w:tc>
          <w:tcPr>
            <w:tcW w:w="796" w:type="pct"/>
            <w:shd w:val="clear" w:color="auto" w:fill="auto"/>
            <w:vAlign w:val="center"/>
          </w:tcPr>
          <w:p w:rsidR="00526EFA" w:rsidRDefault="005C4D05">
            <w:pPr>
              <w:spacing w:beforeLines="20" w:before="48" w:afterLines="20" w:after="48"/>
              <w:jc w:val="center"/>
              <w:rPr>
                <w:noProof/>
                <w:sz w:val="20"/>
              </w:rPr>
            </w:pPr>
            <w:r>
              <w:rPr>
                <w:noProof/>
                <w:sz w:val="20"/>
              </w:rPr>
              <w:t>3</w:t>
            </w:r>
          </w:p>
        </w:tc>
        <w:tc>
          <w:tcPr>
            <w:tcW w:w="796" w:type="pct"/>
            <w:shd w:val="clear" w:color="auto" w:fill="auto"/>
            <w:vAlign w:val="center"/>
          </w:tcPr>
          <w:p w:rsidR="00526EFA" w:rsidRDefault="005C4D05">
            <w:pPr>
              <w:spacing w:beforeLines="20" w:before="48" w:afterLines="20" w:after="48"/>
              <w:jc w:val="center"/>
              <w:rPr>
                <w:noProof/>
                <w:sz w:val="20"/>
              </w:rPr>
            </w:pPr>
            <w:r>
              <w:rPr>
                <w:noProof/>
                <w:sz w:val="20"/>
              </w:rPr>
              <w:t>3</w:t>
            </w:r>
          </w:p>
        </w:tc>
      </w:tr>
      <w:tr w:rsidR="00526EFA">
        <w:trPr>
          <w:trHeight w:val="289"/>
        </w:trPr>
        <w:tc>
          <w:tcPr>
            <w:tcW w:w="3407" w:type="pct"/>
            <w:shd w:val="clear" w:color="auto" w:fill="auto"/>
            <w:vAlign w:val="center"/>
          </w:tcPr>
          <w:p w:rsidR="00526EFA" w:rsidRDefault="005C4D05">
            <w:pPr>
              <w:spacing w:beforeLines="20" w:before="48" w:afterLines="20" w:after="48"/>
              <w:ind w:left="208" w:hanging="120"/>
              <w:rPr>
                <w:noProof/>
                <w:sz w:val="20"/>
              </w:rPr>
            </w:pPr>
            <w:r>
              <w:rPr>
                <w:b/>
                <w:noProof/>
                <w:sz w:val="20"/>
              </w:rPr>
              <w:sym w:font="Wingdings" w:char="F09F"/>
            </w:r>
            <w:r>
              <w:rPr>
                <w:b/>
                <w:noProof/>
                <w:sz w:val="20"/>
              </w:rPr>
              <w:t xml:space="preserve"> </w:t>
            </w:r>
            <w:r>
              <w:rPr>
                <w:noProof/>
              </w:rPr>
              <w:t>Foireann sheachtrach (i gcoibhéis lánaimseartha:</w:t>
            </w:r>
            <w:r>
              <w:rPr>
                <w:b/>
                <w:noProof/>
                <w:sz w:val="20"/>
              </w:rPr>
              <w:t xml:space="preserve"> FTE)</w:t>
            </w:r>
            <w:r>
              <w:rPr>
                <w:rStyle w:val="FootnoteReference"/>
                <w:noProof/>
              </w:rPr>
              <w:footnoteReference w:id="71"/>
            </w:r>
          </w:p>
        </w:tc>
        <w:tc>
          <w:tcPr>
            <w:tcW w:w="796" w:type="pct"/>
            <w:shd w:val="clear" w:color="auto" w:fill="auto"/>
            <w:vAlign w:val="center"/>
          </w:tcPr>
          <w:p w:rsidR="00526EFA" w:rsidRDefault="00526EFA">
            <w:pPr>
              <w:spacing w:beforeLines="20" w:before="48" w:afterLines="20" w:after="48"/>
              <w:jc w:val="center"/>
              <w:rPr>
                <w:noProof/>
                <w:sz w:val="20"/>
              </w:rPr>
            </w:pPr>
          </w:p>
        </w:tc>
        <w:tc>
          <w:tcPr>
            <w:tcW w:w="796" w:type="pct"/>
            <w:shd w:val="clear" w:color="auto" w:fill="auto"/>
            <w:vAlign w:val="center"/>
          </w:tcPr>
          <w:p w:rsidR="00526EFA" w:rsidRDefault="00526EFA">
            <w:pPr>
              <w:spacing w:beforeLines="20" w:before="48" w:afterLines="20" w:after="48"/>
              <w:jc w:val="center"/>
              <w:rPr>
                <w:noProof/>
                <w:sz w:val="20"/>
              </w:rPr>
            </w:pPr>
          </w:p>
        </w:tc>
      </w:tr>
      <w:tr w:rsidR="00526EFA">
        <w:trPr>
          <w:trHeight w:val="289"/>
        </w:trPr>
        <w:tc>
          <w:tcPr>
            <w:tcW w:w="3407" w:type="pct"/>
            <w:shd w:val="clear" w:color="auto" w:fill="auto"/>
            <w:vAlign w:val="center"/>
          </w:tcPr>
          <w:p w:rsidR="00526EFA" w:rsidRDefault="005C4D05">
            <w:pPr>
              <w:spacing w:beforeLines="20" w:before="48" w:afterLines="20" w:after="48"/>
              <w:ind w:left="986"/>
              <w:rPr>
                <w:b/>
                <w:noProof/>
                <w:sz w:val="20"/>
              </w:rPr>
            </w:pPr>
            <w:r>
              <w:rPr>
                <w:noProof/>
                <w:sz w:val="20"/>
              </w:rPr>
              <w:t>XX 01 02 01 (CA, SNE, INT ón gclúdach iomlánaíoch)</w:t>
            </w:r>
          </w:p>
        </w:tc>
        <w:tc>
          <w:tcPr>
            <w:tcW w:w="796" w:type="pct"/>
            <w:shd w:val="clear" w:color="auto" w:fill="auto"/>
            <w:vAlign w:val="center"/>
          </w:tcPr>
          <w:p w:rsidR="00526EFA" w:rsidRDefault="00526EFA">
            <w:pPr>
              <w:spacing w:beforeLines="20" w:before="48" w:afterLines="20" w:after="48"/>
              <w:jc w:val="center"/>
              <w:rPr>
                <w:noProof/>
                <w:sz w:val="20"/>
              </w:rPr>
            </w:pPr>
          </w:p>
        </w:tc>
        <w:tc>
          <w:tcPr>
            <w:tcW w:w="796" w:type="pct"/>
            <w:shd w:val="clear" w:color="auto" w:fill="auto"/>
            <w:vAlign w:val="center"/>
          </w:tcPr>
          <w:p w:rsidR="00526EFA" w:rsidRDefault="00526EFA">
            <w:pPr>
              <w:spacing w:beforeLines="20" w:before="48" w:afterLines="20" w:after="48"/>
              <w:jc w:val="center"/>
              <w:rPr>
                <w:noProof/>
                <w:sz w:val="20"/>
              </w:rPr>
            </w:pPr>
          </w:p>
        </w:tc>
      </w:tr>
      <w:tr w:rsidR="00526EFA">
        <w:trPr>
          <w:trHeight w:val="289"/>
        </w:trPr>
        <w:tc>
          <w:tcPr>
            <w:tcW w:w="3407" w:type="pct"/>
            <w:shd w:val="clear" w:color="auto" w:fill="auto"/>
            <w:vAlign w:val="center"/>
          </w:tcPr>
          <w:p w:rsidR="00526EFA" w:rsidRDefault="00526EFA">
            <w:pPr>
              <w:spacing w:beforeLines="20" w:before="48" w:afterLines="20" w:after="48"/>
              <w:ind w:left="986"/>
              <w:rPr>
                <w:noProof/>
                <w:sz w:val="20"/>
              </w:rPr>
            </w:pPr>
          </w:p>
        </w:tc>
        <w:tc>
          <w:tcPr>
            <w:tcW w:w="796" w:type="pct"/>
            <w:shd w:val="clear" w:color="auto" w:fill="auto"/>
            <w:vAlign w:val="center"/>
          </w:tcPr>
          <w:p w:rsidR="00526EFA" w:rsidRDefault="00526EFA">
            <w:pPr>
              <w:spacing w:beforeLines="20" w:before="48" w:afterLines="20" w:after="48"/>
              <w:jc w:val="center"/>
              <w:rPr>
                <w:noProof/>
                <w:sz w:val="20"/>
              </w:rPr>
            </w:pPr>
          </w:p>
        </w:tc>
        <w:tc>
          <w:tcPr>
            <w:tcW w:w="796" w:type="pct"/>
            <w:shd w:val="clear" w:color="auto" w:fill="auto"/>
            <w:vAlign w:val="center"/>
          </w:tcPr>
          <w:p w:rsidR="00526EFA" w:rsidRDefault="00526EFA">
            <w:pPr>
              <w:spacing w:beforeLines="20" w:before="48" w:afterLines="20" w:after="48"/>
              <w:jc w:val="center"/>
              <w:rPr>
                <w:noProof/>
                <w:sz w:val="20"/>
              </w:rPr>
            </w:pPr>
          </w:p>
        </w:tc>
      </w:tr>
      <w:tr w:rsidR="00526EFA">
        <w:trPr>
          <w:trHeight w:val="289"/>
        </w:trPr>
        <w:tc>
          <w:tcPr>
            <w:tcW w:w="3407" w:type="pct"/>
            <w:tcBorders>
              <w:top w:val="double" w:sz="4" w:space="0" w:color="auto"/>
            </w:tcBorders>
            <w:shd w:val="clear" w:color="auto" w:fill="auto"/>
            <w:vAlign w:val="center"/>
          </w:tcPr>
          <w:p w:rsidR="00526EFA" w:rsidRDefault="005C4D05">
            <w:pPr>
              <w:spacing w:beforeLines="20" w:before="48" w:afterLines="20" w:after="48"/>
              <w:ind w:left="986"/>
              <w:rPr>
                <w:noProof/>
                <w:sz w:val="20"/>
              </w:rPr>
            </w:pPr>
            <w:r>
              <w:rPr>
                <w:b/>
                <w:noProof/>
                <w:sz w:val="20"/>
              </w:rPr>
              <w:t>IOMLÁN</w:t>
            </w:r>
          </w:p>
        </w:tc>
        <w:tc>
          <w:tcPr>
            <w:tcW w:w="796" w:type="pct"/>
            <w:tcBorders>
              <w:top w:val="double" w:sz="4" w:space="0" w:color="auto"/>
            </w:tcBorders>
            <w:shd w:val="clear" w:color="auto" w:fill="auto"/>
            <w:vAlign w:val="center"/>
          </w:tcPr>
          <w:p w:rsidR="00526EFA" w:rsidRDefault="005C4D05">
            <w:pPr>
              <w:spacing w:beforeLines="20" w:before="48" w:afterLines="20" w:after="48"/>
              <w:jc w:val="center"/>
              <w:rPr>
                <w:b/>
                <w:noProof/>
                <w:sz w:val="20"/>
              </w:rPr>
            </w:pPr>
            <w:r>
              <w:rPr>
                <w:b/>
                <w:noProof/>
                <w:sz w:val="20"/>
              </w:rPr>
              <w:t>3</w:t>
            </w:r>
          </w:p>
        </w:tc>
        <w:tc>
          <w:tcPr>
            <w:tcW w:w="796" w:type="pct"/>
            <w:tcBorders>
              <w:top w:val="double" w:sz="4" w:space="0" w:color="auto"/>
            </w:tcBorders>
            <w:shd w:val="clear" w:color="auto" w:fill="auto"/>
            <w:vAlign w:val="center"/>
          </w:tcPr>
          <w:p w:rsidR="00526EFA" w:rsidRDefault="005C4D05">
            <w:pPr>
              <w:spacing w:beforeLines="20" w:before="48" w:afterLines="20" w:after="48"/>
              <w:jc w:val="center"/>
              <w:rPr>
                <w:b/>
                <w:noProof/>
                <w:sz w:val="20"/>
              </w:rPr>
            </w:pPr>
            <w:r>
              <w:rPr>
                <w:b/>
                <w:noProof/>
                <w:sz w:val="20"/>
              </w:rPr>
              <w:t>3</w:t>
            </w:r>
          </w:p>
        </w:tc>
      </w:tr>
    </w:tbl>
    <w:p w:rsidR="00526EFA" w:rsidRDefault="005C4D05">
      <w:pPr>
        <w:spacing w:before="60" w:after="60"/>
        <w:ind w:left="851"/>
        <w:rPr>
          <w:noProof/>
        </w:rPr>
      </w:pPr>
      <w:r>
        <w:rPr>
          <w:noProof/>
        </w:rPr>
        <w:t xml:space="preserve">Is é </w:t>
      </w:r>
      <w:r>
        <w:rPr>
          <w:b/>
          <w:noProof/>
        </w:rPr>
        <w:t>XX</w:t>
      </w:r>
      <w:r>
        <w:rPr>
          <w:noProof/>
        </w:rPr>
        <w:t xml:space="preserve"> an réimse beartais nó an teideal buiséid lena mbaineann.</w:t>
      </w:r>
    </w:p>
    <w:p w:rsidR="00526EFA" w:rsidRDefault="005C4D05">
      <w:pPr>
        <w:ind w:left="850"/>
        <w:rPr>
          <w:noProof/>
          <w:sz w:val="22"/>
        </w:rPr>
      </w:pPr>
      <w:r>
        <w:rPr>
          <w:noProof/>
          <w:sz w:val="22"/>
        </w:rPr>
        <w:t>Soláthrófar na hacmhainní daonna is gá le baill foirne ón Ard</w:t>
      </w:r>
      <w:r>
        <w:rPr>
          <w:noProof/>
          <w:sz w:val="22"/>
        </w:rPr>
        <w:noBreakHyphen/>
        <w:t>Stiúrthóireacht a bhfuil bainistíocht an bhirt faoina gcúram cheana agus/nó a ath</w:t>
      </w:r>
      <w:r>
        <w:rPr>
          <w:noProof/>
          <w:sz w:val="22"/>
        </w:rPr>
        <w:noBreakHyphen/>
        <w:t>imlonnófar laistigh den Ard</w:t>
      </w:r>
      <w:r>
        <w:rPr>
          <w:noProof/>
          <w:sz w:val="22"/>
        </w:rPr>
        <w:noBreakHyphen/>
        <w:t>Stiúrthóireacht, mar aon l</w:t>
      </w:r>
      <w:r>
        <w:rPr>
          <w:noProof/>
          <w:sz w:val="22"/>
        </w:rPr>
        <w:t>e haon leithdháileadh breise a d'fhéadfaí a thabhairt don Ard</w:t>
      </w:r>
      <w:r>
        <w:rPr>
          <w:noProof/>
          <w:sz w:val="22"/>
        </w:rPr>
        <w:noBreakHyphen/>
        <w:t>Stiúrthóireacht atá i mbun bainistíochta faoi chuimsiú an nós imeachta maidir le leithdháileadh bliantúil i bhfianaise na srianta buiséadacha.</w:t>
      </w:r>
    </w:p>
    <w:p w:rsidR="00526EFA" w:rsidRDefault="00526EFA">
      <w:pPr>
        <w:spacing w:before="60" w:after="60"/>
        <w:ind w:left="851"/>
        <w:rPr>
          <w:noProof/>
        </w:rPr>
      </w:pPr>
    </w:p>
    <w:p w:rsidR="00526EFA" w:rsidRDefault="00526EFA">
      <w:pPr>
        <w:spacing w:before="60" w:after="60"/>
        <w:ind w:left="851"/>
        <w:rPr>
          <w:noProof/>
        </w:rPr>
      </w:pPr>
    </w:p>
    <w:p w:rsidR="00526EFA" w:rsidRDefault="005C4D05">
      <w:pPr>
        <w:rPr>
          <w:noProof/>
          <w:sz w:val="20"/>
        </w:rPr>
      </w:pPr>
      <w:r>
        <w:rPr>
          <w:noProof/>
          <w:sz w:val="20"/>
        </w:rPr>
        <w:t>Tuairisc ar na cúraimí a bheidh le déanamh: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328"/>
        <w:gridCol w:w="6961"/>
      </w:tblGrid>
      <w:tr w:rsidR="00526EFA">
        <w:tc>
          <w:tcPr>
            <w:tcW w:w="1253" w:type="pct"/>
          </w:tcPr>
          <w:p w:rsidR="00526EFA" w:rsidRDefault="005C4D05">
            <w:pPr>
              <w:rPr>
                <w:noProof/>
                <w:sz w:val="20"/>
              </w:rPr>
            </w:pPr>
            <w:r>
              <w:rPr>
                <w:noProof/>
                <w:sz w:val="20"/>
              </w:rPr>
              <w:t>Oifig</w:t>
            </w:r>
            <w:r>
              <w:rPr>
                <w:noProof/>
                <w:sz w:val="20"/>
              </w:rPr>
              <w:t>igh agus pearsanra sealadach</w:t>
            </w:r>
          </w:p>
        </w:tc>
        <w:tc>
          <w:tcPr>
            <w:tcW w:w="3747" w:type="pct"/>
          </w:tcPr>
          <w:p w:rsidR="00526EFA" w:rsidRDefault="005C4D05">
            <w:pPr>
              <w:rPr>
                <w:noProof/>
                <w:sz w:val="20"/>
              </w:rPr>
            </w:pPr>
            <w:r>
              <w:rPr>
                <w:noProof/>
                <w:sz w:val="20"/>
              </w:rPr>
              <w:t>Ionadaíocht a dhéanamh thar ceann an Choimisiúin ar Bhord Bainistíochta na Gníomhaireachta. Tuairim an Choimisiúin ar an gclár oibre bliantúil a ullmhú agus faireachán a dhéanamh ar a chur chun feidhme. Maoirseacht a dhéanamh a</w:t>
            </w:r>
            <w:r>
              <w:rPr>
                <w:noProof/>
                <w:sz w:val="20"/>
              </w:rPr>
              <w:t>r ullmhú bhuiséad na Gníomhaireachta agus faireachán a dhéanamh ar chur chun feidhme an bhuiséid. Cabhrú leis an nGníomhaireacht a cuid gníomhaíochtaí a fhorbairt i gcomhréir le beartais an Aontais Eorpaigh, lena n</w:t>
            </w:r>
            <w:r>
              <w:rPr>
                <w:noProof/>
                <w:sz w:val="20"/>
              </w:rPr>
              <w:noBreakHyphen/>
              <w:t>áirítear trí bheith rannpháirteach i gcru</w:t>
            </w:r>
            <w:r>
              <w:rPr>
                <w:noProof/>
                <w:sz w:val="20"/>
              </w:rPr>
              <w:t xml:space="preserve">innithe le saineolaithe. </w:t>
            </w:r>
          </w:p>
        </w:tc>
      </w:tr>
      <w:tr w:rsidR="00526EFA">
        <w:tc>
          <w:tcPr>
            <w:tcW w:w="1253" w:type="pct"/>
          </w:tcPr>
          <w:p w:rsidR="00526EFA" w:rsidRDefault="005C4D05">
            <w:pPr>
              <w:spacing w:before="60" w:after="60"/>
              <w:rPr>
                <w:noProof/>
                <w:sz w:val="20"/>
              </w:rPr>
            </w:pPr>
            <w:r>
              <w:rPr>
                <w:noProof/>
                <w:sz w:val="20"/>
              </w:rPr>
              <w:t>Pearsanra seachtrach</w:t>
            </w:r>
          </w:p>
        </w:tc>
        <w:tc>
          <w:tcPr>
            <w:tcW w:w="3747" w:type="pct"/>
          </w:tcPr>
          <w:p w:rsidR="00526EFA" w:rsidRDefault="00526EFA">
            <w:pPr>
              <w:rPr>
                <w:noProof/>
                <w:sz w:val="20"/>
              </w:rPr>
            </w:pPr>
          </w:p>
        </w:tc>
      </w:tr>
    </w:tbl>
    <w:p w:rsidR="00526EFA" w:rsidRDefault="00526EFA">
      <w:pPr>
        <w:pStyle w:val="Text1"/>
        <w:ind w:left="720"/>
        <w:rPr>
          <w:noProof/>
        </w:rPr>
      </w:pPr>
    </w:p>
    <w:p w:rsidR="00526EFA" w:rsidRDefault="005C4D05">
      <w:pPr>
        <w:pStyle w:val="ManualHeading3"/>
        <w:rPr>
          <w:bCs/>
          <w:noProof/>
        </w:rPr>
      </w:pPr>
      <w:r>
        <w:rPr>
          <w:noProof/>
        </w:rPr>
        <w:t>3.2.4.</w:t>
      </w:r>
      <w:r>
        <w:rPr>
          <w:noProof/>
        </w:rPr>
        <w:tab/>
        <w:t>Comhoiriúnacht don chreat airgeadais ilbhliantúil reatha</w:t>
      </w:r>
    </w:p>
    <w:p w:rsidR="00526EFA" w:rsidRDefault="005C4D05">
      <w:pPr>
        <w:pStyle w:val="ListDash1"/>
        <w:rPr>
          <w:noProof/>
        </w:rPr>
      </w:pPr>
      <w:r>
        <w:rPr>
          <w:noProof/>
        </w:rPr>
        <w:sym w:font="Wingdings" w:char="F0A8"/>
      </w:r>
      <w:r>
        <w:rPr>
          <w:noProof/>
        </w:rPr>
        <w:tab/>
        <w:t>Tá an togra/tionscnamh comhoiriúnach don chreat airgeadais ilbhliantúil reatha.</w:t>
      </w:r>
    </w:p>
    <w:p w:rsidR="00526EFA" w:rsidRDefault="005C4D05">
      <w:pPr>
        <w:pStyle w:val="ListDash1"/>
        <w:rPr>
          <w:noProof/>
        </w:rPr>
      </w:pPr>
      <w:r>
        <w:rPr>
          <w:noProof/>
        </w:rPr>
        <w:sym w:font="Wingdings" w:char="F078"/>
      </w:r>
      <w:r>
        <w:rPr>
          <w:noProof/>
        </w:rPr>
        <w:t xml:space="preserve"> Beidh athchlárú an cheannteidil ábhartha sa chreat airgeadais ilbhliantúil ag gabháil leis an togra/tionscnamh seo.</w:t>
      </w:r>
    </w:p>
    <w:p w:rsidR="00526EFA" w:rsidRDefault="005C4D05">
      <w:pPr>
        <w:pStyle w:val="Text1"/>
        <w:pBdr>
          <w:top w:val="single" w:sz="4" w:space="1" w:color="auto"/>
          <w:left w:val="single" w:sz="4" w:space="4" w:color="auto"/>
          <w:bottom w:val="single" w:sz="4" w:space="1" w:color="auto"/>
          <w:right w:val="single" w:sz="4" w:space="0" w:color="auto"/>
        </w:pBdr>
        <w:rPr>
          <w:noProof/>
          <w:sz w:val="20"/>
        </w:rPr>
      </w:pPr>
      <w:r>
        <w:rPr>
          <w:noProof/>
          <w:sz w:val="20"/>
        </w:rPr>
        <w:t>Mínigh an cineál athchláraithe a bhfuil gá leis, agus sonraigh na línte buiséid lena mbaineann agus na méideanna comhfhreagracha.</w:t>
      </w:r>
    </w:p>
    <w:p w:rsidR="00526EFA" w:rsidRDefault="005C4D05">
      <w:pPr>
        <w:pStyle w:val="ListDash1"/>
        <w:rPr>
          <w:noProof/>
        </w:rPr>
      </w:pPr>
      <w:r>
        <w:rPr>
          <w:noProof/>
        </w:rPr>
        <w:sym w:font="Wingdings" w:char="F0A8"/>
      </w:r>
      <w:r>
        <w:rPr>
          <w:noProof/>
        </w:rPr>
        <w:tab/>
        <w:t>Teastaí</w:t>
      </w:r>
      <w:r>
        <w:rPr>
          <w:noProof/>
        </w:rPr>
        <w:t>onn ón togra/tionscnamh go gcuirfear an ionstraim sholúbthachta i bhfeidhm nó go ndéanfar athbhreithniú ar an gcreat airgeadais ilbhliantúil</w:t>
      </w:r>
      <w:r>
        <w:rPr>
          <w:rStyle w:val="FootnoteReference"/>
          <w:noProof/>
        </w:rPr>
        <w:footnoteReference w:id="72"/>
      </w:r>
      <w:r>
        <w:rPr>
          <w:noProof/>
        </w:rPr>
        <w:t>.</w:t>
      </w:r>
    </w:p>
    <w:p w:rsidR="00526EFA" w:rsidRDefault="005C4D05">
      <w:pPr>
        <w:pStyle w:val="Text1"/>
        <w:pBdr>
          <w:top w:val="single" w:sz="4" w:space="1" w:color="auto"/>
          <w:left w:val="single" w:sz="4" w:space="4" w:color="auto"/>
          <w:bottom w:val="single" w:sz="4" w:space="1" w:color="auto"/>
          <w:right w:val="single" w:sz="4" w:space="4" w:color="auto"/>
        </w:pBdr>
        <w:rPr>
          <w:noProof/>
        </w:rPr>
      </w:pPr>
      <w:r>
        <w:rPr>
          <w:noProof/>
          <w:sz w:val="20"/>
        </w:rPr>
        <w:t xml:space="preserve">Mínigh an méid a bhfuil gá leis, agus sonraigh na ceannteidil agus na línte buiséid lena mbaineann agus na </w:t>
      </w:r>
      <w:r>
        <w:rPr>
          <w:noProof/>
          <w:sz w:val="20"/>
        </w:rPr>
        <w:t>méideanna comhfhreagracha.</w:t>
      </w:r>
    </w:p>
    <w:p w:rsidR="00526EFA" w:rsidRDefault="005C4D05">
      <w:pPr>
        <w:pStyle w:val="ManualHeading3"/>
        <w:rPr>
          <w:bCs/>
          <w:noProof/>
        </w:rPr>
      </w:pPr>
      <w:r>
        <w:rPr>
          <w:noProof/>
        </w:rPr>
        <w:t>3.2.5.</w:t>
      </w:r>
      <w:r>
        <w:rPr>
          <w:noProof/>
        </w:rPr>
        <w:tab/>
        <w:t>Ranníocaíochtaí ó thríú páirtithe</w:t>
      </w:r>
    </w:p>
    <w:p w:rsidR="00526EFA" w:rsidRDefault="005C4D05">
      <w:pPr>
        <w:pStyle w:val="ListDash1"/>
        <w:keepNext/>
        <w:keepLines/>
        <w:rPr>
          <w:noProof/>
        </w:rPr>
      </w:pPr>
      <w:r>
        <w:rPr>
          <w:noProof/>
        </w:rPr>
        <w:sym w:font="Wingdings" w:char="F0A8"/>
      </w:r>
      <w:r>
        <w:rPr>
          <w:noProof/>
        </w:rPr>
        <w:tab/>
        <w:t>Ní dhéantar foráil sa togra/tionscnamh maidir le cómhaoiniú le tríú páirtithe.</w:t>
      </w:r>
    </w:p>
    <w:p w:rsidR="00526EFA" w:rsidRDefault="005C4D05">
      <w:pPr>
        <w:pStyle w:val="ListDash1"/>
        <w:keepNext/>
        <w:keepLines/>
        <w:rPr>
          <w:noProof/>
        </w:rPr>
      </w:pPr>
      <w:r>
        <w:rPr>
          <w:noProof/>
        </w:rPr>
        <w:sym w:font="Wingdings" w:char="F078"/>
      </w:r>
      <w:r>
        <w:rPr>
          <w:noProof/>
        </w:rPr>
        <w:t xml:space="preserve"> Déantar foráil sa togra/tionscnamh maidir le cómhaoiniú atá réamh</w:t>
      </w:r>
      <w:r>
        <w:rPr>
          <w:noProof/>
        </w:rPr>
        <w:noBreakHyphen/>
        <w:t>mheasta thíos:</w:t>
      </w:r>
    </w:p>
    <w:p w:rsidR="00526EFA" w:rsidRDefault="00526EFA">
      <w:pPr>
        <w:rPr>
          <w:noProof/>
        </w:rPr>
      </w:pPr>
    </w:p>
    <w:p w:rsidR="00526EFA" w:rsidRDefault="005C4D05">
      <w:pPr>
        <w:keepNext/>
        <w:keepLines/>
        <w:jc w:val="right"/>
        <w:rPr>
          <w:noProof/>
          <w:sz w:val="20"/>
        </w:rPr>
      </w:pPr>
      <w:r>
        <w:rPr>
          <w:noProof/>
          <w:sz w:val="20"/>
        </w:rPr>
        <w:t xml:space="preserve">Leithreasuithe in EUR </w:t>
      </w:r>
      <w:r>
        <w:rPr>
          <w:noProof/>
          <w:sz w:val="20"/>
        </w:rPr>
        <w:t>milliúin (go dtí an 3ú deachúil)</w:t>
      </w:r>
    </w:p>
    <w:tbl>
      <w:tblPr>
        <w:tblW w:w="283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575"/>
        <w:gridCol w:w="1687"/>
        <w:gridCol w:w="2010"/>
      </w:tblGrid>
      <w:tr w:rsidR="00526EFA">
        <w:trPr>
          <w:cantSplit/>
        </w:trPr>
        <w:tc>
          <w:tcPr>
            <w:tcW w:w="1494" w:type="pct"/>
          </w:tcPr>
          <w:p w:rsidR="00526EFA" w:rsidRDefault="00526EFA">
            <w:pPr>
              <w:keepNext/>
              <w:keepLines/>
              <w:spacing w:before="60" w:after="60"/>
              <w:rPr>
                <w:noProof/>
                <w:sz w:val="20"/>
              </w:rPr>
            </w:pPr>
          </w:p>
        </w:tc>
        <w:tc>
          <w:tcPr>
            <w:tcW w:w="1600" w:type="pct"/>
            <w:vAlign w:val="center"/>
          </w:tcPr>
          <w:p w:rsidR="00526EFA" w:rsidRDefault="005C4D05">
            <w:pPr>
              <w:keepNext/>
              <w:keepLines/>
              <w:jc w:val="center"/>
              <w:rPr>
                <w:noProof/>
              </w:rPr>
            </w:pPr>
            <w:r>
              <w:rPr>
                <w:noProof/>
                <w:sz w:val="20"/>
              </w:rPr>
              <w:t>Bliain</w:t>
            </w:r>
            <w:r>
              <w:rPr>
                <w:noProof/>
                <w:sz w:val="20"/>
              </w:rPr>
              <w:br/>
            </w:r>
            <w:r>
              <w:rPr>
                <w:b/>
                <w:noProof/>
                <w:sz w:val="20"/>
              </w:rPr>
              <w:t>2019</w:t>
            </w:r>
          </w:p>
        </w:tc>
        <w:tc>
          <w:tcPr>
            <w:tcW w:w="1906" w:type="pct"/>
            <w:vAlign w:val="center"/>
          </w:tcPr>
          <w:p w:rsidR="00526EFA" w:rsidRDefault="005C4D05">
            <w:pPr>
              <w:keepNext/>
              <w:keepLines/>
              <w:jc w:val="center"/>
              <w:rPr>
                <w:noProof/>
              </w:rPr>
            </w:pPr>
            <w:r>
              <w:rPr>
                <w:noProof/>
                <w:sz w:val="20"/>
              </w:rPr>
              <w:t>Bliain</w:t>
            </w:r>
            <w:r>
              <w:rPr>
                <w:noProof/>
                <w:sz w:val="20"/>
              </w:rPr>
              <w:br/>
            </w:r>
            <w:r>
              <w:rPr>
                <w:b/>
                <w:noProof/>
                <w:sz w:val="20"/>
              </w:rPr>
              <w:t>2020</w:t>
            </w:r>
          </w:p>
        </w:tc>
      </w:tr>
      <w:tr w:rsidR="00526EFA">
        <w:trPr>
          <w:cantSplit/>
        </w:trPr>
        <w:tc>
          <w:tcPr>
            <w:tcW w:w="1494" w:type="pct"/>
          </w:tcPr>
          <w:p w:rsidR="00526EFA" w:rsidRDefault="005C4D05">
            <w:pPr>
              <w:keepNext/>
              <w:keepLines/>
              <w:rPr>
                <w:noProof/>
              </w:rPr>
            </w:pPr>
            <w:r>
              <w:rPr>
                <w:noProof/>
                <w:sz w:val="20"/>
              </w:rPr>
              <w:t>CSTE</w:t>
            </w:r>
            <w:r>
              <w:rPr>
                <w:i/>
                <w:noProof/>
                <w:sz w:val="20"/>
              </w:rPr>
              <w:t xml:space="preserve"> </w:t>
            </w:r>
          </w:p>
        </w:tc>
        <w:tc>
          <w:tcPr>
            <w:tcW w:w="1600" w:type="pct"/>
            <w:vAlign w:val="center"/>
          </w:tcPr>
          <w:p w:rsidR="00526EFA" w:rsidRDefault="005C4D05">
            <w:pPr>
              <w:keepNext/>
              <w:keepLines/>
              <w:spacing w:before="60" w:after="60"/>
              <w:jc w:val="center"/>
              <w:rPr>
                <w:noProof/>
                <w:sz w:val="20"/>
              </w:rPr>
            </w:pPr>
            <w:r>
              <w:rPr>
                <w:noProof/>
                <w:sz w:val="20"/>
              </w:rPr>
              <w:t>p.m</w:t>
            </w:r>
            <w:r>
              <w:rPr>
                <w:rStyle w:val="FootnoteReference"/>
                <w:noProof/>
                <w:sz w:val="20"/>
              </w:rPr>
              <w:footnoteReference w:id="73"/>
            </w:r>
            <w:r>
              <w:rPr>
                <w:noProof/>
              </w:rPr>
              <w:t>.</w:t>
            </w:r>
          </w:p>
        </w:tc>
        <w:tc>
          <w:tcPr>
            <w:tcW w:w="1906" w:type="pct"/>
            <w:vAlign w:val="center"/>
          </w:tcPr>
          <w:p w:rsidR="00526EFA" w:rsidRDefault="005C4D05">
            <w:pPr>
              <w:keepNext/>
              <w:keepLines/>
              <w:spacing w:before="60" w:after="60"/>
              <w:jc w:val="center"/>
              <w:rPr>
                <w:noProof/>
                <w:sz w:val="20"/>
              </w:rPr>
            </w:pPr>
            <w:r>
              <w:rPr>
                <w:noProof/>
                <w:sz w:val="20"/>
              </w:rPr>
              <w:t>p.m.</w:t>
            </w:r>
          </w:p>
        </w:tc>
      </w:tr>
      <w:tr w:rsidR="00526EFA">
        <w:trPr>
          <w:cantSplit/>
        </w:trPr>
        <w:tc>
          <w:tcPr>
            <w:tcW w:w="1494" w:type="pct"/>
          </w:tcPr>
          <w:p w:rsidR="00526EFA" w:rsidRDefault="005C4D05">
            <w:pPr>
              <w:keepNext/>
              <w:keepLines/>
              <w:spacing w:before="60" w:after="60"/>
              <w:rPr>
                <w:noProof/>
                <w:sz w:val="20"/>
              </w:rPr>
            </w:pPr>
            <w:r>
              <w:rPr>
                <w:noProof/>
                <w:sz w:val="20"/>
              </w:rPr>
              <w:t>Ranníocaíochtaí eile (ó Bhallstáit, ÚNRanna, etc.)</w:t>
            </w:r>
          </w:p>
        </w:tc>
        <w:tc>
          <w:tcPr>
            <w:tcW w:w="1600" w:type="pct"/>
            <w:vAlign w:val="center"/>
          </w:tcPr>
          <w:p w:rsidR="00526EFA" w:rsidRDefault="005C4D05">
            <w:pPr>
              <w:keepNext/>
              <w:keepLines/>
              <w:spacing w:before="60" w:after="60"/>
              <w:jc w:val="center"/>
              <w:rPr>
                <w:noProof/>
                <w:sz w:val="20"/>
              </w:rPr>
            </w:pPr>
            <w:r>
              <w:rPr>
                <w:noProof/>
                <w:sz w:val="20"/>
              </w:rPr>
              <w:t>p.m.</w:t>
            </w:r>
          </w:p>
        </w:tc>
        <w:tc>
          <w:tcPr>
            <w:tcW w:w="1906" w:type="pct"/>
            <w:vAlign w:val="center"/>
          </w:tcPr>
          <w:p w:rsidR="00526EFA" w:rsidRDefault="005C4D05">
            <w:pPr>
              <w:keepNext/>
              <w:keepLines/>
              <w:spacing w:before="60" w:after="60"/>
              <w:jc w:val="center"/>
              <w:rPr>
                <w:noProof/>
                <w:sz w:val="20"/>
              </w:rPr>
            </w:pPr>
            <w:r>
              <w:rPr>
                <w:noProof/>
                <w:sz w:val="20"/>
              </w:rPr>
              <w:t>p.m.</w:t>
            </w:r>
          </w:p>
        </w:tc>
      </w:tr>
      <w:tr w:rsidR="00526EFA">
        <w:trPr>
          <w:cantSplit/>
        </w:trPr>
        <w:tc>
          <w:tcPr>
            <w:tcW w:w="1494" w:type="pct"/>
          </w:tcPr>
          <w:p w:rsidR="00526EFA" w:rsidRDefault="005C4D05">
            <w:pPr>
              <w:keepNext/>
              <w:keepLines/>
              <w:spacing w:before="60" w:after="60"/>
              <w:rPr>
                <w:noProof/>
              </w:rPr>
            </w:pPr>
            <w:r>
              <w:rPr>
                <w:noProof/>
                <w:sz w:val="20"/>
              </w:rPr>
              <w:t xml:space="preserve">IOMLÁN na leithreasuithe cómhaoinithe </w:t>
            </w:r>
          </w:p>
        </w:tc>
        <w:tc>
          <w:tcPr>
            <w:tcW w:w="1600" w:type="pct"/>
            <w:vAlign w:val="center"/>
          </w:tcPr>
          <w:p w:rsidR="00526EFA" w:rsidRDefault="005C4D05">
            <w:pPr>
              <w:keepNext/>
              <w:keepLines/>
              <w:spacing w:before="60" w:after="60"/>
              <w:jc w:val="center"/>
              <w:rPr>
                <w:noProof/>
                <w:sz w:val="20"/>
              </w:rPr>
            </w:pPr>
            <w:r>
              <w:rPr>
                <w:noProof/>
                <w:sz w:val="20"/>
              </w:rPr>
              <w:t>p.m.</w:t>
            </w:r>
          </w:p>
        </w:tc>
        <w:tc>
          <w:tcPr>
            <w:tcW w:w="1906" w:type="pct"/>
            <w:vAlign w:val="center"/>
          </w:tcPr>
          <w:p w:rsidR="00526EFA" w:rsidRDefault="005C4D05">
            <w:pPr>
              <w:keepNext/>
              <w:keepLines/>
              <w:spacing w:before="60" w:after="60"/>
              <w:jc w:val="center"/>
              <w:rPr>
                <w:noProof/>
                <w:sz w:val="20"/>
              </w:rPr>
            </w:pPr>
            <w:r>
              <w:rPr>
                <w:noProof/>
                <w:sz w:val="20"/>
              </w:rPr>
              <w:t>p.m.</w:t>
            </w:r>
          </w:p>
        </w:tc>
      </w:tr>
    </w:tbl>
    <w:p w:rsidR="00526EFA" w:rsidRDefault="005C4D05">
      <w:pPr>
        <w:pStyle w:val="ManualHeading2"/>
        <w:rPr>
          <w:bCs/>
          <w:noProof/>
        </w:rPr>
      </w:pPr>
      <w:r>
        <w:rPr>
          <w:noProof/>
        </w:rPr>
        <w:br w:type="page"/>
        <w:t>3.3.</w:t>
      </w:r>
      <w:r>
        <w:rPr>
          <w:noProof/>
        </w:rPr>
        <w:tab/>
        <w:t>An tionchar a mheastar a bheidh ar ioncam</w:t>
      </w:r>
    </w:p>
    <w:p w:rsidR="00526EFA" w:rsidRDefault="005C4D05">
      <w:pPr>
        <w:pStyle w:val="ListDash1"/>
        <w:rPr>
          <w:noProof/>
        </w:rPr>
      </w:pPr>
      <w:r>
        <w:rPr>
          <w:noProof/>
        </w:rPr>
        <w:sym w:font="Wingdings" w:char="F078"/>
      </w:r>
      <w:r>
        <w:rPr>
          <w:noProof/>
        </w:rPr>
        <w:tab/>
        <w:t xml:space="preserve">Ní bheidh </w:t>
      </w:r>
      <w:r>
        <w:rPr>
          <w:noProof/>
        </w:rPr>
        <w:t>tionchar airgeadais ar bith ag an togra/tionscnamh ar ioncam.</w:t>
      </w:r>
    </w:p>
    <w:p w:rsidR="00526EFA" w:rsidRDefault="005C4D05">
      <w:pPr>
        <w:pStyle w:val="ListDash1"/>
        <w:rPr>
          <w:noProof/>
        </w:rPr>
      </w:pPr>
      <w:r>
        <w:rPr>
          <w:noProof/>
        </w:rPr>
        <w:sym w:font="Wingdings" w:char="F0A8"/>
      </w:r>
      <w:r>
        <w:rPr>
          <w:noProof/>
        </w:rPr>
        <w:tab/>
        <w:t>Beidh an tionchar airgeadais seo a leanas ag an togra/tionscnamh:</w:t>
      </w:r>
    </w:p>
    <w:p w:rsidR="00526EFA" w:rsidRDefault="005C4D05">
      <w:pPr>
        <w:pStyle w:val="ListDash2"/>
        <w:rPr>
          <w:noProof/>
        </w:rPr>
      </w:pPr>
      <w:r>
        <w:rPr>
          <w:noProof/>
        </w:rPr>
        <w:sym w:font="Wingdings" w:char="F0A8"/>
      </w:r>
      <w:r>
        <w:rPr>
          <w:noProof/>
        </w:rPr>
        <w:tab/>
        <w:t>Maidir le hacmhainní dílse</w:t>
      </w:r>
    </w:p>
    <w:p w:rsidR="00526EFA" w:rsidRDefault="005C4D05">
      <w:pPr>
        <w:pStyle w:val="ListDash2"/>
        <w:rPr>
          <w:noProof/>
        </w:rPr>
      </w:pPr>
      <w:r>
        <w:rPr>
          <w:noProof/>
        </w:rPr>
        <w:sym w:font="Wingdings" w:char="F0A8"/>
      </w:r>
      <w:r>
        <w:rPr>
          <w:noProof/>
        </w:rPr>
        <w:tab/>
        <w:t>ar ioncam ilghnéitheach</w:t>
      </w:r>
    </w:p>
    <w:p w:rsidR="00526EFA" w:rsidRDefault="00526EFA">
      <w:pPr>
        <w:rPr>
          <w:noProof/>
        </w:rPr>
      </w:pPr>
    </w:p>
    <w:p w:rsidR="00526EFA" w:rsidRDefault="00526EFA">
      <w:pPr>
        <w:jc w:val="center"/>
        <w:rPr>
          <w:noProof/>
        </w:rPr>
      </w:pPr>
    </w:p>
    <w:p w:rsidR="00526EFA" w:rsidRDefault="00526EFA">
      <w:pPr>
        <w:jc w:val="center"/>
        <w:rPr>
          <w:noProof/>
        </w:rPr>
      </w:pPr>
    </w:p>
    <w:sectPr w:rsidR="00526EFA" w:rsidSect="005C4D05">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EFA" w:rsidRDefault="005C4D05">
      <w:pPr>
        <w:spacing w:before="0" w:after="0"/>
      </w:pPr>
      <w:r>
        <w:separator/>
      </w:r>
    </w:p>
  </w:endnote>
  <w:endnote w:type="continuationSeparator" w:id="0">
    <w:p w:rsidR="00526EFA" w:rsidRDefault="005C4D0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05" w:rsidRPr="005C4D05" w:rsidRDefault="005C4D05" w:rsidP="005C4D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EFA" w:rsidRPr="005C4D05" w:rsidRDefault="00526EFA" w:rsidP="005C4D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05" w:rsidRPr="005C4D05" w:rsidRDefault="005C4D05" w:rsidP="005C4D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EFA" w:rsidRDefault="005C4D05">
      <w:pPr>
        <w:spacing w:before="0" w:after="0"/>
      </w:pPr>
      <w:r>
        <w:separator/>
      </w:r>
    </w:p>
  </w:footnote>
  <w:footnote w:type="continuationSeparator" w:id="0">
    <w:p w:rsidR="00526EFA" w:rsidRDefault="005C4D05">
      <w:pPr>
        <w:spacing w:before="0" w:after="0"/>
      </w:pPr>
      <w:r>
        <w:continuationSeparator/>
      </w:r>
    </w:p>
  </w:footnote>
  <w:footnote w:id="1">
    <w:p w:rsidR="00526EFA" w:rsidRDefault="005C4D05">
      <w:pPr>
        <w:pStyle w:val="FootnoteText"/>
      </w:pPr>
      <w:r>
        <w:rPr>
          <w:rStyle w:val="FootnoteReference"/>
        </w:rPr>
        <w:footnoteRef/>
      </w:r>
      <w:r>
        <w:tab/>
        <w:t>COM(2015) 192 final.</w:t>
      </w:r>
    </w:p>
  </w:footnote>
  <w:footnote w:id="2">
    <w:p w:rsidR="00526EFA" w:rsidRDefault="005C4D05">
      <w:pPr>
        <w:pStyle w:val="FootnoteText"/>
      </w:pPr>
      <w:r>
        <w:rPr>
          <w:rStyle w:val="FootnoteReference"/>
        </w:rPr>
        <w:footnoteRef/>
      </w:r>
      <w:r>
        <w:tab/>
        <w:t>Rún ó Pharlaimint na hEorpa an 19 Eanáir 2016 maidir le "I dTreo Gníomh um Margadh Aonair Digiteach" (TA(2016)0009).</w:t>
      </w:r>
    </w:p>
  </w:footnote>
  <w:footnote w:id="3">
    <w:p w:rsidR="00526EFA" w:rsidRDefault="005C4D05">
      <w:pPr>
        <w:pStyle w:val="FootnoteText"/>
      </w:pPr>
      <w:r>
        <w:rPr>
          <w:rStyle w:val="FootnoteReference"/>
        </w:rPr>
        <w:footnoteRef/>
      </w:r>
      <w:r>
        <w:tab/>
        <w:t>Dearbhú comhpháirteach ó Pharlaimint na hEorpa, ón gCo</w:t>
      </w:r>
      <w:r>
        <w:t>mhairle agus ón gCoimisiún maidir le gníomhaireachtaí díláraithe an 19 Iúil 2012.</w:t>
      </w:r>
    </w:p>
  </w:footnote>
  <w:footnote w:id="4">
    <w:p w:rsidR="00526EFA" w:rsidRDefault="005C4D05">
      <w:pPr>
        <w:pStyle w:val="FootnoteText"/>
      </w:pPr>
      <w:r>
        <w:rPr>
          <w:rStyle w:val="FootnoteReference"/>
        </w:rPr>
        <w:footnoteRef/>
      </w:r>
      <w:r>
        <w:tab/>
        <w:t>Treoir 2002/58/CE ó Pharlaimint na hEorpa agus ón gComhairle an 12 Iúil 2002 maidir le sonraí pearsanta a phróiseáil agus maidir le cosaint príobháideachais san earnáil cum</w:t>
      </w:r>
      <w:r>
        <w:t>arsáide leictreonaí (IO L 201, 31.7.2002, lch. 37).</w:t>
      </w:r>
    </w:p>
  </w:footnote>
  <w:footnote w:id="5">
    <w:p w:rsidR="00526EFA" w:rsidRDefault="005C4D05">
      <w:pPr>
        <w:pStyle w:val="FootnoteText"/>
      </w:pPr>
      <w:r>
        <w:rPr>
          <w:rStyle w:val="FootnoteReference"/>
        </w:rPr>
        <w:footnoteRef/>
      </w:r>
      <w:r>
        <w:tab/>
        <w:t xml:space="preserve">Rinneadh an mheastóireacht sin i gcomhréir leis an gceanglas arna bhunú in Airteagal 15 den Rialachán maidir le BEREC: "Staidéar ar an meastóireacht a rinneadh ar BEREC agus ar Oifig BEREC" le PwC Meán </w:t>
      </w:r>
      <w:r>
        <w:t>Fómhair 2012, Doiciméad Inmheánach Oibre de chuid an Choimisiúin, Aibreán 2013 (SWD(2013) 152 final), agus Tuarascáil ó Pharlaimint na hEorpa, Samhain 2013 (2013/2053(INI), A7</w:t>
      </w:r>
      <w:r>
        <w:noBreakHyphen/>
        <w:t> 0378/2013). Ba cheart bheith faichilleach i dtaobh thorthaí na meastóireachta s</w:t>
      </w:r>
      <w:r>
        <w:t>in mar nach raibh roinnt de chúraimí BEREC tugtha i gcrích faoin am sin. Ní dhearnadh meastóireacht ar ailíniú féideartha Oifig BEREC leis an gcur chuige coiteann maidir le gníomhaireachtaí díláraithe.</w:t>
      </w:r>
    </w:p>
  </w:footnote>
  <w:footnote w:id="6">
    <w:p w:rsidR="00526EFA" w:rsidRDefault="005C4D05">
      <w:pPr>
        <w:pStyle w:val="FootnoteText"/>
      </w:pPr>
      <w:r>
        <w:rPr>
          <w:rStyle w:val="FootnoteReference"/>
        </w:rPr>
        <w:footnoteRef/>
      </w:r>
      <w:r>
        <w:tab/>
        <w:t>Tuairim ón mBord Rialálaithe BoR (15) 206, an 10 Nol</w:t>
      </w:r>
      <w:r>
        <w:t xml:space="preserve">laig 2015. </w:t>
      </w:r>
    </w:p>
  </w:footnote>
  <w:footnote w:id="7">
    <w:p w:rsidR="00526EFA" w:rsidRDefault="005C4D05">
      <w:pPr>
        <w:pStyle w:val="FootnoteText"/>
        <w:ind w:left="0" w:firstLine="0"/>
        <w:rPr>
          <w:sz w:val="18"/>
        </w:rPr>
      </w:pPr>
      <w:r>
        <w:rPr>
          <w:rStyle w:val="FootnoteReference"/>
        </w:rPr>
        <w:footnoteRef/>
      </w:r>
      <w:r>
        <w:tab/>
      </w:r>
      <w:hyperlink r:id="rId1">
        <w:r>
          <w:rPr>
            <w:rStyle w:val="Hyperlink"/>
            <w:sz w:val="18"/>
          </w:rPr>
          <w:t>http://berec.europa.eu/eng/document_register/subject_matte</w:t>
        </w:r>
        <w:r>
          <w:rPr>
            <w:rStyle w:val="Hyperlink"/>
            <w:sz w:val="18"/>
          </w:rPr>
          <w:t>r/berec/opinions/5577-berec-opinion</w:t>
        </w:r>
        <w:r>
          <w:rPr>
            <w:rStyle w:val="Hyperlink"/>
            <w:sz w:val="18"/>
          </w:rPr>
          <w:noBreakHyphen/>
          <w:t>on</w:t>
        </w:r>
        <w:r>
          <w:rPr>
            <w:rStyle w:val="Hyperlink"/>
            <w:sz w:val="18"/>
          </w:rPr>
          <w:noBreakHyphen/>
          <w:t>the-review-of-the-eu-electronic-communications-regulatory-framework</w:t>
        </w:r>
      </w:hyperlink>
      <w:r>
        <w:rPr>
          <w:rStyle w:val="Hyperlink"/>
          <w:sz w:val="18"/>
        </w:rPr>
        <w:t>.</w:t>
      </w:r>
    </w:p>
  </w:footnote>
  <w:footnote w:id="8">
    <w:p w:rsidR="00526EFA" w:rsidRDefault="005C4D05">
      <w:pPr>
        <w:pStyle w:val="FootnoteText"/>
        <w:ind w:left="0" w:firstLine="0"/>
        <w:rPr>
          <w:sz w:val="18"/>
        </w:rPr>
      </w:pPr>
      <w:r>
        <w:rPr>
          <w:rStyle w:val="FootnoteReference"/>
        </w:rPr>
        <w:footnoteRef/>
      </w:r>
      <w:r>
        <w:tab/>
      </w:r>
      <w:hyperlink r:id="rId2">
        <w:r>
          <w:rPr>
            <w:rStyle w:val="Hyperlink"/>
            <w:sz w:val="18"/>
          </w:rPr>
          <w:t>http://rspg-spectrum.eu/wp-content/uploads/2013/0</w:t>
        </w:r>
        <w:r>
          <w:rPr>
            <w:rStyle w:val="Hyperlink"/>
            <w:sz w:val="18"/>
          </w:rPr>
          <w:t>5/RSPG 16-001-DSM_opinion.pdf</w:t>
        </w:r>
      </w:hyperlink>
      <w:r>
        <w:rPr>
          <w:rStyle w:val="Hyperlink"/>
          <w:sz w:val="18"/>
        </w:rPr>
        <w:t>.</w:t>
      </w:r>
    </w:p>
  </w:footnote>
  <w:footnote w:id="9">
    <w:p w:rsidR="00526EFA" w:rsidRDefault="005C4D05">
      <w:pPr>
        <w:pStyle w:val="FootnoteText"/>
        <w:rPr>
          <w:sz w:val="18"/>
          <w:szCs w:val="18"/>
        </w:rPr>
      </w:pPr>
      <w:r>
        <w:rPr>
          <w:rStyle w:val="FootnoteReference"/>
        </w:rPr>
        <w:footnoteRef/>
      </w:r>
      <w:r>
        <w:tab/>
        <w:t>Rún ó Pharlaimint na hEorpa an 19 Eanáir 2016 maidir le 'I dTreo Gníomh um Margadh Aonair Digiteach' (</w:t>
      </w:r>
      <w:hyperlink r:id="rId3">
        <w:r>
          <w:rPr>
            <w:rStyle w:val="Hyperlink"/>
            <w:sz w:val="18"/>
          </w:rPr>
          <w:t>2015/2147</w:t>
        </w:r>
        <w:r>
          <w:rPr>
            <w:rStyle w:val="Hyperlink"/>
            <w:sz w:val="18"/>
          </w:rPr>
          <w:t>(INI)</w:t>
        </w:r>
      </w:hyperlink>
      <w:r>
        <w:rPr>
          <w:sz w:val="18"/>
        </w:rPr>
        <w:t>).</w:t>
      </w:r>
    </w:p>
  </w:footnote>
  <w:footnote w:id="10">
    <w:p w:rsidR="00526EFA" w:rsidRDefault="005C4D05">
      <w:pPr>
        <w:pStyle w:val="FootnoteText"/>
        <w:rPr>
          <w:sz w:val="18"/>
          <w:szCs w:val="18"/>
        </w:rPr>
      </w:pPr>
      <w:r>
        <w:rPr>
          <w:rStyle w:val="FootnoteReference"/>
        </w:rPr>
        <w:footnoteRef/>
      </w:r>
      <w:r>
        <w:tab/>
      </w:r>
      <w:r>
        <w:rPr>
          <w:sz w:val="18"/>
        </w:rPr>
        <w:t>Na Conclúidí ó chruinniú na Comhairle Eorpaí an 28 Meitheamh 2016 (EUCO 26/16)</w:t>
      </w:r>
    </w:p>
  </w:footnote>
  <w:footnote w:id="11">
    <w:p w:rsidR="00526EFA" w:rsidRDefault="005C4D05">
      <w:pPr>
        <w:pStyle w:val="FootnoteText"/>
      </w:pPr>
      <w:r>
        <w:rPr>
          <w:rStyle w:val="FootnoteReference"/>
        </w:rPr>
        <w:footnoteRef/>
      </w:r>
      <w:r>
        <w:tab/>
      </w:r>
      <w:r>
        <w:rPr>
          <w:sz w:val="18"/>
        </w:rPr>
        <w:t>Tá próifíl na saineolaithe agus tuaraisc ar an gcomhphlé in Iarscríbhinn 13 den Mheasúnú Tionchair.</w:t>
      </w:r>
    </w:p>
  </w:footnote>
  <w:footnote w:id="12">
    <w:p w:rsidR="00526EFA" w:rsidRDefault="005C4D05">
      <w:pPr>
        <w:pStyle w:val="FootnoteText"/>
        <w:rPr>
          <w:sz w:val="18"/>
          <w:szCs w:val="18"/>
        </w:rPr>
      </w:pPr>
      <w:r>
        <w:rPr>
          <w:rStyle w:val="FootnoteReference"/>
        </w:rPr>
        <w:footnoteRef/>
      </w:r>
      <w:r>
        <w:tab/>
      </w:r>
      <w:hyperlink r:id="rId4">
        <w:r>
          <w:rPr>
            <w:sz w:val="18"/>
          </w:rPr>
          <w:t>http://ec.europa.eu/smart</w:t>
        </w:r>
        <w:r>
          <w:rPr>
            <w:sz w:val="18"/>
          </w:rPr>
          <w:noBreakHyphen/>
          <w:t>regulation/impact/ia_carried_out/cia_2016_en.htm</w:t>
        </w:r>
      </w:hyperlink>
    </w:p>
    <w:p w:rsidR="00526EFA" w:rsidRDefault="00526EFA">
      <w:pPr>
        <w:pStyle w:val="FootnoteText"/>
      </w:pPr>
    </w:p>
  </w:footnote>
  <w:footnote w:id="13">
    <w:p w:rsidR="00526EFA" w:rsidRDefault="005C4D05">
      <w:pPr>
        <w:pStyle w:val="FootnoteText"/>
        <w:rPr>
          <w:sz w:val="18"/>
          <w:szCs w:val="18"/>
        </w:rPr>
      </w:pPr>
      <w:r>
        <w:rPr>
          <w:rStyle w:val="FootnoteReference"/>
        </w:rPr>
        <w:footnoteRef/>
      </w:r>
      <w:r>
        <w:tab/>
      </w:r>
      <w:r>
        <w:rPr>
          <w:sz w:val="18"/>
        </w:rPr>
        <w:t>Rinneadh anailís chun a fháil amach an bhféadfaí gnóthachain éifeachtúlachta agus sineirgíochtaí le gníomhaireachtaí eile an Aontais atá ann cheana</w:t>
      </w:r>
      <w:r>
        <w:rPr>
          <w:sz w:val="18"/>
        </w:rPr>
        <w:t xml:space="preserve"> a fhiosrú, go háirithe le Gníomhaireacht an Aontais Eorpaigh um Shlándáil Gréasáin agus Faisnéise. De bharr cúiseanna éagsúla, áfach, (easpa sainorduithe forluiteacha, sainorduithe méaduithe ó bhí 2007 ann, cineál leithleach cúraimí, rannpháirtíocht dhifr</w:t>
      </w:r>
      <w:r>
        <w:rPr>
          <w:sz w:val="18"/>
        </w:rPr>
        <w:t>iúil ar leibhéal an Bhoird, etc.) rinneadh cumasc féideartha an dá ghníomhaireacht a chur i leataobh.</w:t>
      </w:r>
    </w:p>
  </w:footnote>
  <w:footnote w:id="14">
    <w:p w:rsidR="00526EFA" w:rsidRDefault="005C4D05">
      <w:pPr>
        <w:pStyle w:val="FootnoteText"/>
      </w:pPr>
      <w:r>
        <w:rPr>
          <w:rStyle w:val="FootnoteReference"/>
        </w:rPr>
        <w:footnoteRef/>
      </w:r>
      <w:r>
        <w:tab/>
      </w:r>
      <w:r>
        <w:rPr>
          <w:sz w:val="18"/>
        </w:rPr>
        <w:t>Sa Ráiteas Airgeadais Reachtach, léirítear na figiúirí faoin gCreat Airgeadais Ilbhliantúil atá ann faoi láthair, agus tiocfaidh deireadh leis an gcreat</w:t>
      </w:r>
      <w:r>
        <w:rPr>
          <w:sz w:val="18"/>
        </w:rPr>
        <w:t xml:space="preserve"> sin in 2020. Déanfar measúnú ar riachtanais foirne BEREC faoi chuimse mholtaí an Choimisiúin don am atá le teacht tar éis 2020. </w:t>
      </w:r>
    </w:p>
  </w:footnote>
  <w:footnote w:id="15">
    <w:p w:rsidR="00526EFA" w:rsidRDefault="005C4D05">
      <w:pPr>
        <w:pStyle w:val="FootnoteText"/>
        <w:rPr>
          <w:sz w:val="18"/>
        </w:rPr>
      </w:pPr>
      <w:r>
        <w:rPr>
          <w:rStyle w:val="FootnoteReference"/>
        </w:rPr>
        <w:footnoteRef/>
      </w:r>
      <w:r>
        <w:tab/>
      </w:r>
      <w:r>
        <w:rPr>
          <w:sz w:val="18"/>
        </w:rPr>
        <w:t>An rogha ina maoineofaí BEREC (go hiomlán nó i bpáirt) trí tháillí a ghearradh, cuireadh i leataobh é de bharr chineál feidh</w:t>
      </w:r>
      <w:r>
        <w:rPr>
          <w:sz w:val="18"/>
        </w:rPr>
        <w:t>meanna na gníomhaireachta, ar feidhmeanna de shórt comhairleach iad d'ÚNRanna agus d'Institiúidí an Aontais Eorpaigh agus é mar aidhm leo comhleanúnachas rialála teileachumarsáide níos mó a áirithiú ar fud an Aontais in ionad aghaidh a thabhairt go díreach</w:t>
      </w:r>
      <w:r>
        <w:rPr>
          <w:sz w:val="18"/>
        </w:rPr>
        <w:t xml:space="preserve"> ar ghníomhaithe sa mhargadh.</w:t>
      </w:r>
    </w:p>
  </w:footnote>
  <w:footnote w:id="16">
    <w:p w:rsidR="00526EFA" w:rsidRDefault="005C4D05">
      <w:pPr>
        <w:pStyle w:val="FootnoteText"/>
        <w:rPr>
          <w:sz w:val="18"/>
        </w:rPr>
      </w:pPr>
      <w:r>
        <w:rPr>
          <w:rStyle w:val="FootnoteReference"/>
        </w:rPr>
        <w:footnoteRef/>
      </w:r>
      <w:r>
        <w:tab/>
      </w:r>
      <w:r>
        <w:rPr>
          <w:sz w:val="18"/>
        </w:rPr>
        <w:t>Sa Ráiteas Airgeadais Reachtach, léirítear na figiúirí faoin gCreat Airgeadais Ilbhliantúil atá ann faoi láthair; tiocfaidh deireadh leis an gcreat sin in 2020. Táthar ag tuar go mairfidh céim chur chun feidhme na gníomhaire</w:t>
      </w:r>
      <w:r>
        <w:rPr>
          <w:sz w:val="18"/>
        </w:rPr>
        <w:t>achta nua go dtí 2022</w:t>
      </w:r>
    </w:p>
  </w:footnote>
  <w:footnote w:id="17">
    <w:p w:rsidR="00526EFA" w:rsidRDefault="005C4D05">
      <w:pPr>
        <w:pStyle w:val="FootnoteText"/>
        <w:ind w:left="0" w:firstLine="0"/>
        <w:rPr>
          <w:sz w:val="18"/>
          <w:lang w:val="pt-PT"/>
        </w:rPr>
      </w:pPr>
      <w:r>
        <w:rPr>
          <w:rStyle w:val="FootnoteReference"/>
        </w:rPr>
        <w:footnoteRef/>
      </w:r>
      <w:r>
        <w:rPr>
          <w:lang w:val="pt-PT"/>
        </w:rPr>
        <w:tab/>
      </w:r>
      <w:r>
        <w:rPr>
          <w:sz w:val="18"/>
          <w:lang w:val="pt-PT"/>
        </w:rPr>
        <w:t xml:space="preserve">Tá na tuarascálacha ar fáil ag: </w:t>
      </w:r>
      <w:hyperlink r:id="rId5">
        <w:r>
          <w:rPr>
            <w:rStyle w:val="Hyperlink"/>
            <w:sz w:val="18"/>
            <w:lang w:val="pt-PT"/>
          </w:rPr>
          <w:t>https://ec.europa.eu/digital-single-market/en/digital-scoreboard</w:t>
        </w:r>
      </w:hyperlink>
      <w:r>
        <w:rPr>
          <w:sz w:val="18"/>
          <w:lang w:val="pt-PT"/>
        </w:rPr>
        <w:t>.</w:t>
      </w:r>
    </w:p>
  </w:footnote>
  <w:footnote w:id="18">
    <w:p w:rsidR="00526EFA" w:rsidRDefault="005C4D05">
      <w:pPr>
        <w:pStyle w:val="FootnoteText"/>
        <w:ind w:left="0" w:firstLine="0"/>
        <w:rPr>
          <w:sz w:val="18"/>
          <w:lang w:val="pt-PT"/>
        </w:rPr>
      </w:pPr>
      <w:r>
        <w:rPr>
          <w:rStyle w:val="FootnoteReference"/>
        </w:rPr>
        <w:footnoteRef/>
      </w:r>
      <w:r>
        <w:rPr>
          <w:lang w:val="pt-PT"/>
        </w:rPr>
        <w:tab/>
      </w:r>
      <w:r>
        <w:rPr>
          <w:sz w:val="18"/>
          <w:lang w:val="pt-PT"/>
        </w:rPr>
        <w:t xml:space="preserve">Tá an fhaisnéis uile ar fáil anseo: </w:t>
      </w:r>
      <w:r>
        <w:rPr>
          <w:sz w:val="18"/>
          <w:lang w:val="pt-PT"/>
        </w:rPr>
        <w:t>https://ec.europa.eu/digital-single-market/en/download</w:t>
      </w:r>
      <w:r>
        <w:rPr>
          <w:sz w:val="18"/>
          <w:lang w:val="pt-PT"/>
        </w:rPr>
        <w:noBreakHyphen/>
        <w:t>scoreboard</w:t>
      </w:r>
      <w:r>
        <w:rPr>
          <w:sz w:val="18"/>
          <w:lang w:val="pt-PT"/>
        </w:rPr>
        <w:noBreakHyphen/>
        <w:t>reports.</w:t>
      </w:r>
    </w:p>
  </w:footnote>
  <w:footnote w:id="19">
    <w:p w:rsidR="00526EFA" w:rsidRDefault="005C4D05">
      <w:pPr>
        <w:pStyle w:val="FootnoteText"/>
        <w:rPr>
          <w:lang w:val="pt-PT"/>
        </w:rPr>
      </w:pPr>
      <w:r>
        <w:rPr>
          <w:rStyle w:val="FootnoteReference"/>
        </w:rPr>
        <w:footnoteRef/>
      </w:r>
      <w:r>
        <w:rPr>
          <w:lang w:val="pt-PT"/>
        </w:rPr>
        <w:tab/>
        <w:t>IO C [</w:t>
      </w:r>
      <w:r>
        <w:rPr>
          <w:highlight w:val="yellow"/>
          <w:lang w:val="pt-PT"/>
        </w:rPr>
        <w:t>…</w:t>
      </w:r>
      <w:r>
        <w:rPr>
          <w:lang w:val="pt-PT"/>
        </w:rPr>
        <w:t>].</w:t>
      </w:r>
    </w:p>
  </w:footnote>
  <w:footnote w:id="20">
    <w:p w:rsidR="00526EFA" w:rsidRDefault="005C4D05">
      <w:pPr>
        <w:pStyle w:val="FootnoteText"/>
        <w:rPr>
          <w:lang w:val="pt-PT"/>
        </w:rPr>
      </w:pPr>
      <w:r>
        <w:rPr>
          <w:rStyle w:val="FootnoteReference"/>
        </w:rPr>
        <w:footnoteRef/>
      </w:r>
      <w:r>
        <w:rPr>
          <w:lang w:val="pt-PT"/>
        </w:rPr>
        <w:tab/>
        <w:t>IO C [</w:t>
      </w:r>
      <w:r>
        <w:rPr>
          <w:highlight w:val="yellow"/>
          <w:lang w:val="pt-PT"/>
        </w:rPr>
        <w:t>…</w:t>
      </w:r>
      <w:r>
        <w:rPr>
          <w:lang w:val="pt-PT"/>
        </w:rPr>
        <w:t>],.</w:t>
      </w:r>
    </w:p>
  </w:footnote>
  <w:footnote w:id="21">
    <w:p w:rsidR="00526EFA" w:rsidRDefault="005C4D05">
      <w:pPr>
        <w:pStyle w:val="FootnoteText"/>
        <w:rPr>
          <w:lang w:val="pt-PT"/>
        </w:rPr>
      </w:pPr>
      <w:r>
        <w:rPr>
          <w:rStyle w:val="FootnoteReference"/>
        </w:rPr>
        <w:footnoteRef/>
      </w:r>
      <w:r>
        <w:rPr>
          <w:lang w:val="pt-PT"/>
        </w:rPr>
        <w:tab/>
        <w:t>Treoir [</w:t>
      </w:r>
      <w:r>
        <w:rPr>
          <w:highlight w:val="yellow"/>
          <w:lang w:val="pt-PT"/>
        </w:rPr>
        <w:t>…</w:t>
      </w:r>
      <w:r>
        <w:rPr>
          <w:lang w:val="pt-PT"/>
        </w:rPr>
        <w:t>] ó Pharlaimint na hEorpa agus ón gComhairle an [</w:t>
      </w:r>
      <w:r>
        <w:rPr>
          <w:highlight w:val="yellow"/>
          <w:lang w:val="pt-PT"/>
        </w:rPr>
        <w:t>…</w:t>
      </w:r>
      <w:r>
        <w:rPr>
          <w:lang w:val="pt-PT"/>
        </w:rPr>
        <w:t>] lena mbunaítear an Cód um Chumarsáid Leictreonach Eorpach (IO L [</w:t>
      </w:r>
      <w:r>
        <w:rPr>
          <w:highlight w:val="yellow"/>
          <w:lang w:val="pt-PT"/>
        </w:rPr>
        <w:t>…</w:t>
      </w:r>
      <w:r>
        <w:rPr>
          <w:lang w:val="pt-PT"/>
        </w:rPr>
        <w:t>]).</w:t>
      </w:r>
    </w:p>
  </w:footnote>
  <w:footnote w:id="22">
    <w:p w:rsidR="00526EFA" w:rsidRDefault="005C4D05">
      <w:pPr>
        <w:pStyle w:val="FootnoteText"/>
        <w:rPr>
          <w:lang w:val="pt-PT"/>
        </w:rPr>
      </w:pPr>
      <w:r>
        <w:rPr>
          <w:rStyle w:val="FootnoteReference"/>
        </w:rPr>
        <w:footnoteRef/>
      </w:r>
      <w:r>
        <w:rPr>
          <w:lang w:val="pt-PT"/>
        </w:rPr>
        <w:tab/>
        <w:t xml:space="preserve">Treoir 2002/58/CE ó </w:t>
      </w:r>
      <w:r>
        <w:t>Р</w:t>
      </w:r>
      <w:r>
        <w:rPr>
          <w:lang w:val="pt-PT"/>
        </w:rPr>
        <w:t>harlaimint na h</w:t>
      </w:r>
      <w:r>
        <w:t>Е</w:t>
      </w:r>
      <w:r>
        <w:rPr>
          <w:lang w:val="pt-PT"/>
        </w:rPr>
        <w:t>orpa agus ón gComhairle an 12 Iúil 2002 maidir le sonraí pearsanta a phróiseáil agus maidir le príobháideachas a chosaint san earnáil cumarsáide leictreonaí (Treoir maidir le príobháideachas agus cumarsáid leictreonach) (IO L 201, 31.7.2002</w:t>
      </w:r>
      <w:r>
        <w:rPr>
          <w:lang w:val="pt-PT"/>
        </w:rPr>
        <w:t>, lch. 37).</w:t>
      </w:r>
    </w:p>
  </w:footnote>
  <w:footnote w:id="23">
    <w:p w:rsidR="00526EFA" w:rsidRDefault="005C4D05">
      <w:pPr>
        <w:pStyle w:val="FootnoteText"/>
        <w:rPr>
          <w:lang w:val="pt-PT"/>
        </w:rPr>
      </w:pPr>
      <w:r>
        <w:rPr>
          <w:rStyle w:val="FootnoteReference"/>
        </w:rPr>
        <w:footnoteRef/>
      </w:r>
      <w:r>
        <w:rPr>
          <w:lang w:val="pt-PT"/>
        </w:rPr>
        <w:tab/>
        <w:t>Rialachán (AE) Uimh. 531/2012 ó Pharlaimint na hEorpa agus ón gComhairle an 13 Meitheamh 2012 maidir le fánaíocht a dhéanamh ar líonraí poiblí cumarsáide soghluaiste laistigh den Aontas (IO L 172, 30.6.2012, lch. 10).</w:t>
      </w:r>
    </w:p>
  </w:footnote>
  <w:footnote w:id="24">
    <w:p w:rsidR="00526EFA" w:rsidRDefault="005C4D05">
      <w:pPr>
        <w:pStyle w:val="FootnoteText"/>
        <w:rPr>
          <w:lang w:val="pt-PT"/>
        </w:rPr>
      </w:pPr>
      <w:r>
        <w:rPr>
          <w:rStyle w:val="FootnoteReference"/>
        </w:rPr>
        <w:footnoteRef/>
      </w:r>
      <w:r>
        <w:rPr>
          <w:lang w:val="pt-PT"/>
        </w:rPr>
        <w:tab/>
        <w:t>Rialachán (AE) 2015/21</w:t>
      </w:r>
      <w:r>
        <w:rPr>
          <w:lang w:val="pt-PT"/>
        </w:rPr>
        <w:t>20 ó Pharlaimint na hEorpa agus ón gComhairle an 25 Samhain 2015</w:t>
      </w:r>
      <w:r>
        <w:rPr>
          <w:rStyle w:val="FootnoteReference"/>
        </w:rPr>
        <w:footnoteRef/>
      </w:r>
      <w:r>
        <w:rPr>
          <w:lang w:val="pt-PT"/>
        </w:rPr>
        <w:t xml:space="preserve"> lena leagtar síos bearta maidir le rochtain oscailte ar an idirlíon agus lena leasaítear Treoir 2002/22/CE maidir le seirbhís uilíoch agus cearta úsáideoirí a bhaineann le líonraí agus seirb</w:t>
      </w:r>
      <w:r>
        <w:rPr>
          <w:lang w:val="pt-PT"/>
        </w:rPr>
        <w:t>hísí cumarsáide leictreonaí (IO L 310, 26.11.2015, lch. 1).</w:t>
      </w:r>
    </w:p>
    <w:p w:rsidR="00526EFA" w:rsidRDefault="00526EFA">
      <w:pPr>
        <w:pStyle w:val="FootnoteText"/>
        <w:rPr>
          <w:rStyle w:val="FootnoteReference"/>
          <w:lang w:val="pt-PT"/>
        </w:rPr>
      </w:pPr>
    </w:p>
  </w:footnote>
  <w:footnote w:id="25">
    <w:p w:rsidR="00526EFA" w:rsidRDefault="005C4D05">
      <w:pPr>
        <w:pStyle w:val="FootnoteText"/>
        <w:rPr>
          <w:lang w:val="pt-PT"/>
        </w:rPr>
      </w:pPr>
      <w:r>
        <w:rPr>
          <w:rStyle w:val="FootnoteReference"/>
        </w:rPr>
        <w:footnoteRef/>
      </w:r>
      <w:r>
        <w:rPr>
          <w:lang w:val="pt-PT"/>
        </w:rPr>
        <w:tab/>
        <w:t>Rialachán (CE) Uimh. 1211/2009 ó Pharlaimint na hEorpa agus ón gComhairle an 25 Samhain 2009 lena mbunaítear Comhlacht na Rialálaithe Eorpacha um Chumarsáid Leictreonach (BEREC) agus an Oifig (</w:t>
      </w:r>
      <w:r>
        <w:rPr>
          <w:lang w:val="pt-PT"/>
        </w:rPr>
        <w:t>IO L 337, 18.12.2009, lch. 1).</w:t>
      </w:r>
    </w:p>
  </w:footnote>
  <w:footnote w:id="26">
    <w:p w:rsidR="00526EFA" w:rsidRDefault="005C4D05">
      <w:pPr>
        <w:pStyle w:val="FootnoteText"/>
        <w:rPr>
          <w:lang w:val="pt-PT"/>
        </w:rPr>
      </w:pPr>
      <w:r>
        <w:rPr>
          <w:rStyle w:val="FootnoteReference"/>
        </w:rPr>
        <w:footnoteRef/>
      </w:r>
      <w:r>
        <w:rPr>
          <w:lang w:val="pt-PT"/>
        </w:rPr>
        <w:tab/>
      </w:r>
      <w:r>
        <w:rPr>
          <w:rStyle w:val="Strong"/>
          <w:b w:val="0"/>
          <w:lang w:val="pt-PT"/>
        </w:rPr>
        <w:t>Cinneadh ón gCoimisiún 2002/627/CE an 29 Iúil 2002 lena mbunaítear Grúpa na Rialálaithe Eorpacha do Ghréasáin Chumarsáide Leictreonaí agus do Sheirbhísí Cumarsáide Leictreonaí (</w:t>
      </w:r>
      <w:r>
        <w:rPr>
          <w:lang w:val="pt-PT"/>
        </w:rPr>
        <w:t>IO L 200, 30.7.2002, lch. 38).</w:t>
      </w:r>
    </w:p>
  </w:footnote>
  <w:footnote w:id="27">
    <w:p w:rsidR="00526EFA" w:rsidRDefault="005C4D05">
      <w:pPr>
        <w:pStyle w:val="FootnoteText"/>
        <w:rPr>
          <w:lang w:val="pt-PT"/>
        </w:rPr>
      </w:pPr>
      <w:r>
        <w:rPr>
          <w:rStyle w:val="FootnoteReference"/>
        </w:rPr>
        <w:footnoteRef/>
      </w:r>
      <w:r>
        <w:rPr>
          <w:lang w:val="pt-PT"/>
        </w:rPr>
        <w:tab/>
        <w:t>COM(2015) 192</w:t>
      </w:r>
      <w:r>
        <w:rPr>
          <w:lang w:val="pt-PT"/>
        </w:rPr>
        <w:t xml:space="preserve"> final.</w:t>
      </w:r>
    </w:p>
  </w:footnote>
  <w:footnote w:id="28">
    <w:p w:rsidR="00526EFA" w:rsidRDefault="005C4D05">
      <w:pPr>
        <w:pStyle w:val="FootnoteText"/>
        <w:rPr>
          <w:lang w:val="pt-PT"/>
        </w:rPr>
      </w:pPr>
      <w:r>
        <w:rPr>
          <w:rStyle w:val="FootnoteReference"/>
        </w:rPr>
        <w:footnoteRef/>
      </w:r>
      <w:r>
        <w:rPr>
          <w:lang w:val="pt-PT"/>
        </w:rPr>
        <w:tab/>
        <w:t>Ráiteas comhpháirteach ón bParlaimint, ón gComhairle agus ón gCoimisiún maidir le gníomhaireachtaí díláraithe an 19 Iúil 2012.</w:t>
      </w:r>
    </w:p>
  </w:footnote>
  <w:footnote w:id="29">
    <w:p w:rsidR="00526EFA" w:rsidRDefault="005C4D05">
      <w:pPr>
        <w:pStyle w:val="FootnoteText"/>
        <w:rPr>
          <w:lang w:val="pt-PT"/>
        </w:rPr>
      </w:pPr>
      <w:r>
        <w:rPr>
          <w:rStyle w:val="FootnoteReference"/>
        </w:rPr>
        <w:footnoteRef/>
      </w:r>
      <w:r>
        <w:rPr>
          <w:lang w:val="pt-PT"/>
        </w:rPr>
        <w:tab/>
        <w:t xml:space="preserve">Cinneadh 2002/622/CE lena mbunaítear Grúpa um an mBeartas Radaispeictrim </w:t>
      </w:r>
      <w:r>
        <w:rPr>
          <w:b/>
          <w:lang w:val="pt-PT"/>
        </w:rPr>
        <w:t>(</w:t>
      </w:r>
      <w:r>
        <w:rPr>
          <w:lang w:val="pt-PT"/>
        </w:rPr>
        <w:t>IO L 198, 27.7.2002, lch. 49).</w:t>
      </w:r>
    </w:p>
  </w:footnote>
  <w:footnote w:id="30">
    <w:p w:rsidR="00526EFA" w:rsidRDefault="005C4D05">
      <w:pPr>
        <w:pStyle w:val="FootnoteText"/>
        <w:rPr>
          <w:lang w:val="pt-PT"/>
        </w:rPr>
      </w:pPr>
      <w:r>
        <w:rPr>
          <w:rStyle w:val="FootnoteReference"/>
        </w:rPr>
        <w:footnoteRef/>
      </w:r>
      <w:r>
        <w:rPr>
          <w:lang w:val="pt-PT"/>
        </w:rPr>
        <w:tab/>
        <w:t>Arna bhunú</w:t>
      </w:r>
      <w:r>
        <w:rPr>
          <w:lang w:val="pt-PT"/>
        </w:rPr>
        <w:t xml:space="preserve"> faoi Rialachán (AE) 2016/679 ó Pharlaimint na hEorpa agus ón gComhairle an 27 Aibreán 2016 maidir le daoine nádúrtha a chosaint i ndáil le sonraí pearsanta a phróiseáil agus maidir le saorghluaiseacht sonraí den sórt sin, agus lena n</w:t>
      </w:r>
      <w:r>
        <w:rPr>
          <w:lang w:val="pt-PT"/>
        </w:rPr>
        <w:noBreakHyphen/>
        <w:t>aisghairtear Treoir 9</w:t>
      </w:r>
      <w:r>
        <w:rPr>
          <w:lang w:val="pt-PT"/>
        </w:rPr>
        <w:t>5/46/CE (IO L 119, 4.5.2016, lch. 1).</w:t>
      </w:r>
    </w:p>
  </w:footnote>
  <w:footnote w:id="31">
    <w:p w:rsidR="00526EFA" w:rsidRDefault="005C4D05">
      <w:pPr>
        <w:pStyle w:val="FootnoteText"/>
        <w:rPr>
          <w:lang w:val="pt-PT"/>
        </w:rPr>
      </w:pPr>
      <w:r>
        <w:rPr>
          <w:rStyle w:val="FootnoteReference"/>
        </w:rPr>
        <w:footnoteRef/>
      </w:r>
      <w:r>
        <w:rPr>
          <w:lang w:val="pt-PT"/>
        </w:rPr>
        <w:tab/>
        <w:t>Treoir [</w:t>
      </w:r>
      <w:r>
        <w:rPr>
          <w:highlight w:val="yellow"/>
          <w:lang w:val="pt-PT"/>
        </w:rPr>
        <w:t>...</w:t>
      </w:r>
      <w:r>
        <w:rPr>
          <w:lang w:val="pt-PT"/>
        </w:rPr>
        <w:t>].</w:t>
      </w:r>
    </w:p>
  </w:footnote>
  <w:footnote w:id="32">
    <w:p w:rsidR="00526EFA" w:rsidRDefault="005C4D05">
      <w:pPr>
        <w:pStyle w:val="FootnoteText"/>
        <w:rPr>
          <w:lang w:val="pt-PT"/>
        </w:rPr>
      </w:pPr>
      <w:r>
        <w:rPr>
          <w:rStyle w:val="FootnoteReference"/>
        </w:rPr>
        <w:footnoteRef/>
      </w:r>
      <w:r>
        <w:rPr>
          <w:lang w:val="pt-PT"/>
        </w:rPr>
        <w:tab/>
        <w:t>Rialachán (AE) Uimh. 526/2013 ó Pharlaimint na hEorpa agus ón gComhairle an 21 Bealtaine 2013 maidir le Gníomhaireacht an Aontais Eorpaigh um Shlándáil Gréasáin agus Faisnéise (ENISA) agus lena n</w:t>
      </w:r>
      <w:r>
        <w:rPr>
          <w:lang w:val="pt-PT"/>
        </w:rPr>
        <w:noBreakHyphen/>
      </w:r>
      <w:r>
        <w:rPr>
          <w:lang w:val="pt-PT"/>
        </w:rPr>
        <w:t>aisghairtear Rialachán (CE) Uimh. 460/2004 (IO L 165, 18.6.2013, lch. 41).</w:t>
      </w:r>
    </w:p>
  </w:footnote>
  <w:footnote w:id="33">
    <w:p w:rsidR="00526EFA" w:rsidRDefault="005C4D05">
      <w:pPr>
        <w:pStyle w:val="FootnoteText"/>
        <w:rPr>
          <w:lang w:val="pt-PT"/>
        </w:rPr>
      </w:pPr>
      <w:r>
        <w:rPr>
          <w:rStyle w:val="FootnoteReference"/>
        </w:rPr>
        <w:footnoteRef/>
      </w:r>
      <w:r>
        <w:rPr>
          <w:lang w:val="pt-PT"/>
        </w:rPr>
        <w:tab/>
        <w:t>Rialachán (AE) Uimh. 182/2011 ó Pharlaimint na hEorpa agus ón gComhairle an 16 Feabhra 2011 lena leagtar síos na rialacha agus na prionsabail ghinearálta a bhaineann leis na sásra</w:t>
      </w:r>
      <w:r>
        <w:rPr>
          <w:lang w:val="pt-PT"/>
        </w:rPr>
        <w:t>í maidir le rialú ag na Ballstáit ar fheidhmiú cumhachtaí cur chun feidhme ag an gCoimisiún (IO L 55, 28.2.2011, lch. 13).</w:t>
      </w:r>
    </w:p>
  </w:footnote>
  <w:footnote w:id="34">
    <w:p w:rsidR="00526EFA" w:rsidRDefault="005C4D05">
      <w:pPr>
        <w:pStyle w:val="FootnoteText"/>
        <w:rPr>
          <w:lang w:val="pt-PT"/>
        </w:rPr>
      </w:pPr>
      <w:r>
        <w:rPr>
          <w:rStyle w:val="FootnoteReference"/>
        </w:rPr>
        <w:footnoteRef/>
      </w:r>
      <w:r>
        <w:rPr>
          <w:lang w:val="pt-PT"/>
        </w:rPr>
        <w:tab/>
        <w:t>Rialachán Tarmligthe (AE) Uimh. 1271/2013 ón gCoimisiún an 30 Meán Fómhair 2013 maidir leis an gcreat</w:t>
      </w:r>
      <w:r>
        <w:rPr>
          <w:lang w:val="pt-PT"/>
        </w:rPr>
        <w:noBreakHyphen/>
        <w:t>Rialachán airgeadais do na co</w:t>
      </w:r>
      <w:r>
        <w:rPr>
          <w:lang w:val="pt-PT"/>
        </w:rPr>
        <w:t>mhlachtaí dá dtagraítear in Airteagal 208 de Rialachán (AE, Euratom) Uimh. 966/2012 ó Pharlaimint na hEorpa agus ón gComhairle (IO L 328, 7.12.2013, lch. 42).</w:t>
      </w:r>
    </w:p>
  </w:footnote>
  <w:footnote w:id="35">
    <w:p w:rsidR="00526EFA" w:rsidRDefault="005C4D05">
      <w:pPr>
        <w:pStyle w:val="FootnoteText"/>
        <w:rPr>
          <w:lang w:val="pt-PT"/>
        </w:rPr>
      </w:pPr>
      <w:r>
        <w:rPr>
          <w:rStyle w:val="FootnoteReference"/>
        </w:rPr>
        <w:footnoteRef/>
      </w:r>
      <w:r>
        <w:rPr>
          <w:lang w:val="pt-PT"/>
        </w:rPr>
        <w:tab/>
        <w:t>Comhaontú Idirinstitiúideach an 2 Nollaig 2013 idir Parlaimint na hEorpa, an Chomhairle agus an</w:t>
      </w:r>
      <w:r>
        <w:rPr>
          <w:lang w:val="pt-PT"/>
        </w:rPr>
        <w:t xml:space="preserve"> Coimisiún maidir le smacht buiséadach, maidir le comhar i gcúrsaí buiséid agus maidir le bainistíocht fhónta airgeadais (IO C 373, 20.12.2013, lch. 1).</w:t>
      </w:r>
    </w:p>
  </w:footnote>
  <w:footnote w:id="36">
    <w:p w:rsidR="00526EFA" w:rsidRDefault="005C4D05">
      <w:pPr>
        <w:pStyle w:val="FootnoteText"/>
        <w:rPr>
          <w:lang w:val="pt-PT"/>
        </w:rPr>
      </w:pPr>
      <w:r>
        <w:rPr>
          <w:rStyle w:val="FootnoteReference"/>
        </w:rPr>
        <w:footnoteRef/>
      </w:r>
      <w:r>
        <w:rPr>
          <w:lang w:val="pt-PT"/>
        </w:rPr>
        <w:tab/>
        <w:t>Cinneadh Uimh. 243/2012/AE ó Pharlaimint na hEorpa agus ón gComhairle an 14 Márta 2012 lena mbunaítea</w:t>
      </w:r>
      <w:r>
        <w:rPr>
          <w:lang w:val="pt-PT"/>
        </w:rPr>
        <w:t>r clár beartais radaispeictrim ilbhliantúil (IO L 81, 21.3.2012, lch. 7).</w:t>
      </w:r>
    </w:p>
  </w:footnote>
  <w:footnote w:id="37">
    <w:p w:rsidR="00526EFA" w:rsidRDefault="005C4D05">
      <w:pPr>
        <w:pStyle w:val="FootnoteText"/>
        <w:rPr>
          <w:lang w:val="pt-PT"/>
        </w:rPr>
      </w:pPr>
      <w:r>
        <w:rPr>
          <w:rStyle w:val="FootnoteReference"/>
        </w:rPr>
        <w:footnoteRef/>
      </w:r>
      <w:r>
        <w:rPr>
          <w:lang w:val="pt-PT"/>
        </w:rPr>
        <w:tab/>
        <w:t>Rialachán (CEE, Euratom, CEGC) Uimh. 259/68 ón gComhairle an 29 Feabhra 1968 lena leagtar síos Rialacháin Foirne Oifigigh na gComhphobal Eorpach agus Coinníollacha Fostaíochta Shei</w:t>
      </w:r>
      <w:r>
        <w:rPr>
          <w:lang w:val="pt-PT"/>
        </w:rPr>
        <w:t>rbhísigh eile na gComhphobal Eorpach agus lena dtionscnaítear bearta speisialta is infheidhme ar bhonn sealadach maidir le hoifigigh an Choimisiúin (IO L 56, 4.3.1968, lch. 1).</w:t>
      </w:r>
    </w:p>
  </w:footnote>
  <w:footnote w:id="38">
    <w:p w:rsidR="00526EFA" w:rsidRDefault="005C4D05">
      <w:pPr>
        <w:pStyle w:val="FootnoteText"/>
        <w:rPr>
          <w:lang w:val="pt-PT"/>
        </w:rPr>
      </w:pPr>
      <w:r>
        <w:rPr>
          <w:rStyle w:val="FootnoteReference"/>
        </w:rPr>
        <w:footnoteRef/>
      </w:r>
      <w:r>
        <w:rPr>
          <w:lang w:val="pt-PT"/>
        </w:rPr>
        <w:tab/>
        <w:t>Teachtaireacht ón gCoimisiún maidir leis na treoirlínte do dhoiciméad clársce</w:t>
      </w:r>
      <w:r>
        <w:rPr>
          <w:lang w:val="pt-PT"/>
        </w:rPr>
        <w:t>idealaithe le haghaidh gníomhaireachtaí díláraithe agus an teimpléad don tuarascáil ghníomhaíochta bhliantúil chomhdhlúite le haghaidh gníomhaireachtaí díláraithe (C(2014) 9641).</w:t>
      </w:r>
    </w:p>
  </w:footnote>
  <w:footnote w:id="39">
    <w:p w:rsidR="00526EFA" w:rsidRDefault="005C4D05">
      <w:pPr>
        <w:pStyle w:val="Default"/>
        <w:ind w:left="720" w:hanging="720"/>
        <w:rPr>
          <w:lang w:val="pt-PT"/>
        </w:rPr>
      </w:pPr>
      <w:r>
        <w:rPr>
          <w:rStyle w:val="FootnoteReference"/>
        </w:rPr>
        <w:footnoteRef/>
      </w:r>
      <w:r>
        <w:rPr>
          <w:lang w:val="pt-PT"/>
        </w:rPr>
        <w:tab/>
      </w:r>
      <w:r>
        <w:rPr>
          <w:color w:val="auto"/>
          <w:sz w:val="20"/>
          <w:lang w:val="pt-PT"/>
        </w:rPr>
        <w:t xml:space="preserve">Rialachán (AE, Euratom) Uimh. 966/2012 ó Pharlaimint na hEorpa agus ón </w:t>
      </w:r>
      <w:r>
        <w:rPr>
          <w:color w:val="auto"/>
          <w:sz w:val="20"/>
          <w:lang w:val="pt-PT"/>
        </w:rPr>
        <w:t>gComhairle an 25 Deireadh Fómhair 2012 maidir leis na rialacha airgeadais is infheidhme maidir le buiséad ginearálta an Aontais agus lena n</w:t>
      </w:r>
      <w:r>
        <w:rPr>
          <w:color w:val="auto"/>
          <w:sz w:val="20"/>
          <w:lang w:val="pt-PT"/>
        </w:rPr>
        <w:noBreakHyphen/>
        <w:t>aisghairtear Rialachán (CE, Euratom) Uimh. 1605/2002 ón gComhairle (IO L 298, 26.10.2012).</w:t>
      </w:r>
    </w:p>
  </w:footnote>
  <w:footnote w:id="40">
    <w:p w:rsidR="00526EFA" w:rsidRDefault="005C4D05">
      <w:pPr>
        <w:pStyle w:val="FootnoteText"/>
        <w:rPr>
          <w:lang w:val="pt-PT"/>
        </w:rPr>
      </w:pPr>
      <w:r>
        <w:rPr>
          <w:rStyle w:val="FootnoteReference"/>
        </w:rPr>
        <w:footnoteRef/>
      </w:r>
      <w:r>
        <w:rPr>
          <w:lang w:val="pt-PT"/>
        </w:rPr>
        <w:tab/>
        <w:t>Rialachán (CE) Uimh. 10</w:t>
      </w:r>
      <w:r>
        <w:rPr>
          <w:lang w:val="pt-PT"/>
        </w:rPr>
        <w:t>49/2001 ó Pharlaimint na hEorpa agus ón gComhairle an 30 Bealtaine 2001 maidir le rochtain phoiblí ar dhoiciméid ó Pharlaimint na hEorpa, ón gComhairle agus ón gCoimisiún (IO L 145, 31.5.2001, lch. 43).</w:t>
      </w:r>
    </w:p>
  </w:footnote>
  <w:footnote w:id="41">
    <w:p w:rsidR="00526EFA" w:rsidRDefault="005C4D05">
      <w:pPr>
        <w:pStyle w:val="FootnoteText"/>
        <w:rPr>
          <w:lang w:val="pt-PT"/>
        </w:rPr>
      </w:pPr>
      <w:r>
        <w:rPr>
          <w:rStyle w:val="FootnoteReference"/>
        </w:rPr>
        <w:footnoteRef/>
      </w:r>
      <w:r>
        <w:rPr>
          <w:lang w:val="pt-PT"/>
        </w:rPr>
        <w:tab/>
        <w:t>Rialachán (CE) Uimh. 45/2001 ó Pharlaimint na hEorp</w:t>
      </w:r>
      <w:r>
        <w:rPr>
          <w:lang w:val="pt-PT"/>
        </w:rPr>
        <w:t>a agus ón gComhairle an 18 Nollaig 2000 maidir le daoine aonair a chosaint i ndáil le próiseáil sonraí pearsanta ag institiúidí agus comhlachtaí an Chomhphobail agus maidir le saorghluaiseacht sonraí den sórt sin (IO L 8, 12.1.2001, lch. 1).</w:t>
      </w:r>
    </w:p>
  </w:footnote>
  <w:footnote w:id="42">
    <w:p w:rsidR="00526EFA" w:rsidRDefault="005C4D05">
      <w:pPr>
        <w:pStyle w:val="FootnoteText"/>
        <w:rPr>
          <w:lang w:val="pt-PT"/>
        </w:rPr>
      </w:pPr>
      <w:r>
        <w:rPr>
          <w:rStyle w:val="FootnoteReference"/>
        </w:rPr>
        <w:footnoteRef/>
      </w:r>
      <w:r>
        <w:rPr>
          <w:lang w:val="pt-PT"/>
        </w:rPr>
        <w:tab/>
        <w:t>Cinneadh (AE</w:t>
      </w:r>
      <w:r>
        <w:rPr>
          <w:lang w:val="pt-PT"/>
        </w:rPr>
        <w:t>, Euratom) 2015/443 ón gCoimisiún an 13 Márta 2015 maidir le slándáil sa Choimisiún (IO L 72, 17.3.2015, lch. 41).</w:t>
      </w:r>
    </w:p>
  </w:footnote>
  <w:footnote w:id="43">
    <w:p w:rsidR="00526EFA" w:rsidRDefault="005C4D05">
      <w:pPr>
        <w:pStyle w:val="FootnoteText"/>
        <w:rPr>
          <w:lang w:val="pt-PT"/>
        </w:rPr>
      </w:pPr>
      <w:r>
        <w:rPr>
          <w:rStyle w:val="FootnoteReference"/>
        </w:rPr>
        <w:footnoteRef/>
      </w:r>
      <w:r>
        <w:rPr>
          <w:lang w:val="pt-PT"/>
        </w:rPr>
        <w:tab/>
        <w:t>Cinneadh (AE, Euratom) 2015/444 ón gCoimisiún an 13 Márta 2015 maidir leis na rialacha slándála chun faisnéis rúnaicmithe AE a chosaint. (I</w:t>
      </w:r>
      <w:r>
        <w:rPr>
          <w:lang w:val="pt-PT"/>
        </w:rPr>
        <w:t>O L 72, 17.3.2015, lch. 53).</w:t>
      </w:r>
    </w:p>
  </w:footnote>
  <w:footnote w:id="44">
    <w:p w:rsidR="00526EFA" w:rsidRDefault="005C4D05">
      <w:pPr>
        <w:pStyle w:val="Default"/>
        <w:ind w:left="720" w:hanging="720"/>
        <w:rPr>
          <w:color w:val="auto"/>
          <w:sz w:val="20"/>
          <w:szCs w:val="20"/>
          <w:lang w:val="pt-PT"/>
        </w:rPr>
      </w:pPr>
      <w:r>
        <w:rPr>
          <w:rStyle w:val="FootnoteReference"/>
        </w:rPr>
        <w:footnoteRef/>
      </w:r>
      <w:r>
        <w:rPr>
          <w:lang w:val="pt-PT"/>
        </w:rPr>
        <w:tab/>
      </w:r>
      <w:r>
        <w:rPr>
          <w:color w:val="auto"/>
          <w:sz w:val="20"/>
          <w:lang w:val="pt-PT"/>
        </w:rPr>
        <w:t>Rialachán (AE, Euratom) Uimh. 883/2013 ó Pharlaimint na hEorpa agus ón gComhairle an 11 Méan Fómhair 2013 maidir le himscrúduithe arna ndéanamh ag an Oifig Eorpach Frith</w:t>
      </w:r>
      <w:r>
        <w:rPr>
          <w:color w:val="auto"/>
          <w:sz w:val="20"/>
          <w:lang w:val="pt-PT"/>
        </w:rPr>
        <w:noBreakHyphen/>
        <w:t>Chalaoise (OLAF) agus lena n</w:t>
      </w:r>
      <w:r>
        <w:rPr>
          <w:color w:val="auto"/>
          <w:sz w:val="20"/>
          <w:lang w:val="pt-PT"/>
        </w:rPr>
        <w:noBreakHyphen/>
        <w:t>aisghairtear Rialachán (CE</w:t>
      </w:r>
      <w:r>
        <w:rPr>
          <w:color w:val="auto"/>
          <w:sz w:val="20"/>
          <w:lang w:val="pt-PT"/>
        </w:rPr>
        <w:t>) Uimh. 1073/1999 ó Pharlaimint na hEorpa agus ón gComhairle agus Rialachán (Euratom) Uimh. 1074/1999 ón gComhairle (IO L 248, 18.9.2013, lch. 1).</w:t>
      </w:r>
    </w:p>
  </w:footnote>
  <w:footnote w:id="45">
    <w:p w:rsidR="00526EFA" w:rsidRDefault="005C4D05">
      <w:pPr>
        <w:pStyle w:val="FootnoteText"/>
        <w:rPr>
          <w:lang w:val="pt-PT"/>
        </w:rPr>
      </w:pPr>
      <w:r>
        <w:rPr>
          <w:rStyle w:val="FootnoteReference"/>
        </w:rPr>
        <w:footnoteRef/>
      </w:r>
      <w:r>
        <w:rPr>
          <w:lang w:val="pt-PT"/>
        </w:rPr>
        <w:tab/>
        <w:t>Rialachán (Euratom, CE) Uimh. 2185/1996 ón gComhairle an 11 Samhain 1996 maidir le seiceálacha agus cigirea</w:t>
      </w:r>
      <w:r>
        <w:rPr>
          <w:lang w:val="pt-PT"/>
        </w:rPr>
        <w:t>chtaí ar an láthair arna ndéanamh ag an gCoimisiún chun leasanna airgeadais na gComhphobal Eorpach a chosaint in aghaidh calaoise agus neamhrialtachtaí eile (IO L 292, 15.11.1996, lch. 2).</w:t>
      </w:r>
    </w:p>
  </w:footnote>
  <w:footnote w:id="46">
    <w:p w:rsidR="00526EFA" w:rsidRDefault="005C4D05">
      <w:pPr>
        <w:pStyle w:val="FootnoteText"/>
        <w:rPr>
          <w:lang w:val="pt-PT"/>
        </w:rPr>
      </w:pPr>
      <w:r>
        <w:rPr>
          <w:rStyle w:val="FootnoteReference"/>
        </w:rPr>
        <w:footnoteRef/>
      </w:r>
      <w:r>
        <w:rPr>
          <w:lang w:val="pt-PT"/>
        </w:rPr>
        <w:tab/>
        <w:t>Rialachán Uimh. 1 ón gComhairle lena gcinntear na teangacha atá l</w:t>
      </w:r>
      <w:r>
        <w:rPr>
          <w:lang w:val="pt-PT"/>
        </w:rPr>
        <w:t>e húsáid ag Comhphobal Eacnamaíochta na hEorpa (IO P 17, 6.10.1958, lch. 385).</w:t>
      </w:r>
    </w:p>
  </w:footnote>
  <w:footnote w:id="47">
    <w:p w:rsidR="00526EFA" w:rsidRDefault="005C4D05">
      <w:pPr>
        <w:pStyle w:val="FootnoteText"/>
        <w:rPr>
          <w:szCs w:val="24"/>
          <w:lang w:val="pt-PT"/>
        </w:rPr>
      </w:pPr>
      <w:r>
        <w:rPr>
          <w:rStyle w:val="FootnoteReference"/>
        </w:rPr>
        <w:footnoteRef/>
      </w:r>
      <w:r>
        <w:rPr>
          <w:lang w:val="pt-PT"/>
        </w:rPr>
        <w:tab/>
      </w:r>
      <w:r>
        <w:rPr>
          <w:rStyle w:val="FootnoteReference"/>
        </w:rPr>
        <w:footnoteRef/>
      </w:r>
      <w:r>
        <w:rPr>
          <w:lang w:val="pt-PT"/>
        </w:rPr>
        <w:t>ABM: Bainistiú de réir gníomhaíochtaí – ABB: Buiséadú de réir gníomhaíochtaí.</w:t>
      </w:r>
    </w:p>
  </w:footnote>
  <w:footnote w:id="48">
    <w:p w:rsidR="00526EFA" w:rsidRDefault="005C4D05">
      <w:pPr>
        <w:pStyle w:val="FootnoteText"/>
        <w:rPr>
          <w:szCs w:val="24"/>
          <w:lang w:val="pt-PT"/>
        </w:rPr>
      </w:pPr>
      <w:r>
        <w:rPr>
          <w:rStyle w:val="FootnoteReference"/>
        </w:rPr>
        <w:footnoteRef/>
      </w:r>
      <w:r>
        <w:rPr>
          <w:lang w:val="pt-PT"/>
        </w:rPr>
        <w:tab/>
      </w:r>
      <w:r>
        <w:rPr>
          <w:rStyle w:val="FootnoteReference"/>
        </w:rPr>
        <w:footnoteRef/>
      </w:r>
      <w:r>
        <w:rPr>
          <w:lang w:val="pt-PT"/>
        </w:rPr>
        <w:t>Mar a thagraítear dó in Airteagal 54(2)(a) nó (b) den Rialachán Airgeadais</w:t>
      </w:r>
    </w:p>
  </w:footnote>
  <w:footnote w:id="49">
    <w:p w:rsidR="00526EFA" w:rsidRDefault="005C4D05">
      <w:pPr>
        <w:pStyle w:val="FootnoteText"/>
        <w:rPr>
          <w:lang w:val="pt-PT"/>
        </w:rPr>
      </w:pPr>
      <w:r>
        <w:rPr>
          <w:rStyle w:val="FootnoteReference"/>
        </w:rPr>
        <w:footnoteRef/>
      </w:r>
      <w:r>
        <w:rPr>
          <w:lang w:val="pt-PT"/>
        </w:rPr>
        <w:tab/>
        <w:t>Teachtaireacht a</w:t>
      </w:r>
      <w:r>
        <w:rPr>
          <w:lang w:val="pt-PT"/>
        </w:rPr>
        <w:t>n 6 Bealtaine 2015 ón gCoimisiún "Straitéis maidir le Margadh Aonair Digiteach don Eoraip" COM (2015) 192 final.</w:t>
      </w:r>
    </w:p>
  </w:footnote>
  <w:footnote w:id="50">
    <w:p w:rsidR="00526EFA" w:rsidRDefault="005C4D05">
      <w:pPr>
        <w:pStyle w:val="FootnoteText"/>
        <w:rPr>
          <w:lang w:val="pt-PT"/>
        </w:rPr>
      </w:pPr>
      <w:r>
        <w:rPr>
          <w:rStyle w:val="FootnoteReference"/>
        </w:rPr>
        <w:footnoteRef/>
      </w:r>
      <w:r>
        <w:rPr>
          <w:lang w:val="pt-PT"/>
        </w:rPr>
        <w:tab/>
        <w:t>Féach faoi: http://europa.eu/agencies/documents/joint_statement_and_common_approach_2012_en.pdf.</w:t>
      </w:r>
    </w:p>
  </w:footnote>
  <w:footnote w:id="51">
    <w:p w:rsidR="00526EFA" w:rsidRDefault="005C4D05">
      <w:pPr>
        <w:pStyle w:val="FootnoteText"/>
        <w:rPr>
          <w:lang w:val="pt-PT"/>
        </w:rPr>
      </w:pPr>
      <w:r>
        <w:rPr>
          <w:rStyle w:val="FootnoteReference"/>
        </w:rPr>
        <w:footnoteRef/>
      </w:r>
      <w:r>
        <w:rPr>
          <w:lang w:val="pt-PT"/>
        </w:rPr>
        <w:tab/>
        <w:t>Tosófar ar an gcur chun feidhme in 2019 ag</w:t>
      </w:r>
      <w:r>
        <w:rPr>
          <w:lang w:val="pt-PT"/>
        </w:rPr>
        <w:t>us leanfar de go dtí 2022 faoin gcéad Chreat Airgeadais Ilbhliantúil eile.</w:t>
      </w:r>
    </w:p>
  </w:footnote>
  <w:footnote w:id="52">
    <w:p w:rsidR="00526EFA" w:rsidRDefault="005C4D05">
      <w:pPr>
        <w:pStyle w:val="FootnoteText"/>
        <w:rPr>
          <w:szCs w:val="24"/>
          <w:lang w:val="pt-PT"/>
        </w:rPr>
      </w:pPr>
      <w:r>
        <w:rPr>
          <w:rStyle w:val="FootnoteReference"/>
        </w:rPr>
        <w:footnoteRef/>
      </w:r>
      <w:r>
        <w:rPr>
          <w:lang w:val="pt-PT"/>
        </w:rPr>
        <w:tab/>
      </w:r>
      <w:r>
        <w:rPr>
          <w:rStyle w:val="FootnoteReference"/>
        </w:rPr>
        <w:footnoteRef/>
      </w:r>
      <w:r>
        <w:rPr>
          <w:lang w:val="pt-PT"/>
        </w:rPr>
        <w:t>https://myintracomm.ec.europa.eu/budgweb/EN/man/budgmanag/Pages/budgmanag.aspx http://www.cc.cec/budg/man/budgmanag/budgmanag_en.html.</w:t>
      </w:r>
    </w:p>
  </w:footnote>
  <w:footnote w:id="53">
    <w:p w:rsidR="00526EFA" w:rsidRDefault="005C4D05">
      <w:pPr>
        <w:pStyle w:val="FootnoteText"/>
        <w:rPr>
          <w:lang w:val="pt-PT"/>
        </w:rPr>
      </w:pPr>
      <w:r>
        <w:rPr>
          <w:rStyle w:val="FootnoteReference"/>
        </w:rPr>
        <w:footnoteRef/>
      </w:r>
      <w:r>
        <w:rPr>
          <w:lang w:val="pt-PT"/>
        </w:rPr>
        <w:tab/>
        <w:t>http://www.europarl.europa.eu/sides/getDo</w:t>
      </w:r>
      <w:r>
        <w:rPr>
          <w:lang w:val="pt-PT"/>
        </w:rPr>
        <w:t>c.do?type=TA&amp;reference=P7- TA-2013-0536&amp;language=EN.</w:t>
      </w:r>
    </w:p>
  </w:footnote>
  <w:footnote w:id="54">
    <w:p w:rsidR="00526EFA" w:rsidRDefault="005C4D05">
      <w:pPr>
        <w:autoSpaceDE w:val="0"/>
        <w:autoSpaceDN w:val="0"/>
        <w:rPr>
          <w:lang w:val="pt-PT"/>
        </w:rPr>
      </w:pPr>
      <w:r>
        <w:rPr>
          <w:rStyle w:val="FootnoteReference"/>
        </w:rPr>
        <w:footnoteRef/>
      </w:r>
      <w:r>
        <w:rPr>
          <w:lang w:val="pt-PT"/>
        </w:rPr>
        <w:tab/>
      </w:r>
      <w:r>
        <w:rPr>
          <w:sz w:val="20"/>
          <w:lang w:val="pt-PT"/>
        </w:rPr>
        <w:t>SMART 2015/0003</w:t>
      </w:r>
      <w:r>
        <w:rPr>
          <w:color w:val="000000"/>
          <w:lang w:val="pt-PT"/>
        </w:rPr>
        <w:t>.</w:t>
      </w:r>
    </w:p>
  </w:footnote>
  <w:footnote w:id="55">
    <w:p w:rsidR="00526EFA" w:rsidRDefault="005C4D05">
      <w:pPr>
        <w:pStyle w:val="FootnoteText"/>
        <w:rPr>
          <w:lang w:val="pt-PT"/>
        </w:rPr>
      </w:pPr>
      <w:r>
        <w:rPr>
          <w:rStyle w:val="FootnoteReference"/>
        </w:rPr>
        <w:footnoteRef/>
      </w:r>
      <w:r>
        <w:rPr>
          <w:lang w:val="pt-PT"/>
        </w:rPr>
        <w:tab/>
        <w:t>SMART 2015/002.</w:t>
      </w:r>
    </w:p>
  </w:footnote>
  <w:footnote w:id="56">
    <w:p w:rsidR="00526EFA" w:rsidRDefault="005C4D05">
      <w:pPr>
        <w:pStyle w:val="FootnoteText"/>
        <w:rPr>
          <w:lang w:val="pt-PT"/>
        </w:rPr>
      </w:pPr>
      <w:r>
        <w:rPr>
          <w:rStyle w:val="FootnoteReference"/>
        </w:rPr>
        <w:footnoteRef/>
      </w:r>
      <w:r>
        <w:rPr>
          <w:lang w:val="pt-PT"/>
        </w:rPr>
        <w:tab/>
        <w:t>SMART 2015/005.</w:t>
      </w:r>
    </w:p>
  </w:footnote>
  <w:footnote w:id="57">
    <w:p w:rsidR="00526EFA" w:rsidRDefault="005C4D05">
      <w:pPr>
        <w:pStyle w:val="FootnoteText"/>
        <w:rPr>
          <w:szCs w:val="24"/>
          <w:lang w:val="pt-PT"/>
        </w:rPr>
      </w:pPr>
      <w:r>
        <w:rPr>
          <w:rStyle w:val="FootnoteReference"/>
        </w:rPr>
        <w:footnoteRef/>
      </w:r>
      <w:r>
        <w:rPr>
          <w:lang w:val="pt-PT"/>
        </w:rPr>
        <w:tab/>
      </w:r>
      <w:r>
        <w:rPr>
          <w:rStyle w:val="FootnoteReference"/>
        </w:rPr>
        <w:footnoteRef/>
      </w:r>
      <w:r>
        <w:rPr>
          <w:lang w:val="pt-PT"/>
        </w:rPr>
        <w:t>LD = Leithreasuithe difreáilte / LN = Leithreasuithe neamhdhifreáilte</w:t>
      </w:r>
    </w:p>
  </w:footnote>
  <w:footnote w:id="58">
    <w:p w:rsidR="00526EFA" w:rsidRDefault="005C4D05">
      <w:pPr>
        <w:pStyle w:val="FootnoteText"/>
        <w:rPr>
          <w:szCs w:val="24"/>
          <w:lang w:val="pt-PT"/>
        </w:rPr>
      </w:pPr>
      <w:r>
        <w:rPr>
          <w:rStyle w:val="FootnoteReference"/>
        </w:rPr>
        <w:footnoteRef/>
      </w:r>
      <w:r>
        <w:rPr>
          <w:lang w:val="pt-PT"/>
        </w:rPr>
        <w:tab/>
      </w:r>
      <w:r>
        <w:rPr>
          <w:rStyle w:val="FootnoteReference"/>
        </w:rPr>
        <w:footnoteRef/>
      </w:r>
      <w:r>
        <w:rPr>
          <w:lang w:val="pt-PT"/>
        </w:rPr>
        <w:t xml:space="preserve">Comhlachas Saorthrádála na hEorpa. Comhlachas Saorthrádála na hEorpa. </w:t>
      </w:r>
    </w:p>
  </w:footnote>
  <w:footnote w:id="59">
    <w:p w:rsidR="00526EFA" w:rsidRDefault="005C4D05">
      <w:pPr>
        <w:pStyle w:val="FootnoteText"/>
        <w:rPr>
          <w:szCs w:val="24"/>
          <w:lang w:val="pt-PT"/>
        </w:rPr>
      </w:pPr>
      <w:r>
        <w:rPr>
          <w:rStyle w:val="FootnoteReference"/>
        </w:rPr>
        <w:footnoteRef/>
      </w:r>
      <w:r>
        <w:rPr>
          <w:lang w:val="pt-PT"/>
        </w:rPr>
        <w:tab/>
        <w:t>Tíortha is iarrthóirí agus, más infheidhme, tíortha ó na Balcáin Thiar a d'fhéadfadh bheith ina n</w:t>
      </w:r>
      <w:r>
        <w:rPr>
          <w:lang w:val="pt-PT"/>
        </w:rPr>
        <w:noBreakHyphen/>
        <w:t>iarrthóirí.</w:t>
      </w:r>
    </w:p>
  </w:footnote>
  <w:footnote w:id="60">
    <w:p w:rsidR="00526EFA" w:rsidRDefault="005C4D05">
      <w:pPr>
        <w:pStyle w:val="FootnoteText"/>
        <w:rPr>
          <w:lang w:val="pt-PT"/>
        </w:rPr>
      </w:pPr>
      <w:r>
        <w:rPr>
          <w:rStyle w:val="FootnoteReference"/>
        </w:rPr>
        <w:footnoteRef/>
      </w:r>
      <w:r>
        <w:rPr>
          <w:lang w:val="pt-PT"/>
        </w:rPr>
        <w:tab/>
        <w:t>Is chun críocha comparáide amháin atá cás bonnlíne 2017 curtha ar fáil agus is léiriú é ar na figiúirí i nDréachtbhuiséad 2017 (Oifig BEREC). I</w:t>
      </w:r>
      <w:r>
        <w:rPr>
          <w:lang w:val="pt-PT"/>
        </w:rPr>
        <w:t>s ioncam sannta é EUR 220 000 den tsuim sin.</w:t>
      </w:r>
    </w:p>
  </w:footnote>
  <w:footnote w:id="61">
    <w:p w:rsidR="00526EFA" w:rsidRDefault="005C4D05">
      <w:pPr>
        <w:pStyle w:val="FootnoteText"/>
        <w:rPr>
          <w:lang w:val="pt-PT"/>
        </w:rPr>
      </w:pPr>
      <w:r>
        <w:rPr>
          <w:rStyle w:val="FootnoteReference"/>
        </w:rPr>
        <w:footnoteRef/>
      </w:r>
      <w:r>
        <w:rPr>
          <w:lang w:val="pt-PT"/>
        </w:rPr>
        <w:tab/>
        <w:t>An éifeachtúlacht bhreise agus an choigilt a d'fhéadfadh bheith mar shochar ag na Ballstáit, go háirithe maidir leis na cumhachtaí méadaithe a bhronnfaí ar an ngníomhaireacht, agus ag an gCoimisiún, rinneadh a</w:t>
      </w:r>
      <w:r>
        <w:rPr>
          <w:lang w:val="pt-PT"/>
        </w:rPr>
        <w:t>nailísiú orthu mar chuid den Mheasúnú Tionchair. Táthar ag súil go leanfaidh an ghníomhaireacht nua de na comhaontuithe seirbhíse atá ann faoi láthair leis an gCoimisiún (oifigeach cuntasaíochta agus ríomhchláir agus uirlisí áirithe a bheith ann) agus le g</w:t>
      </w:r>
      <w:r>
        <w:rPr>
          <w:lang w:val="pt-PT"/>
        </w:rPr>
        <w:t>níomhaireachtaí eile de chuid an Aontais (le ENISA maidir le stóráil sheachtrach sonraí cúltaca agus maidir leis an gcomhordaitheoir um rialú inmheánach), agus d'fhéadfaí na comhaontuithe sin a leathnú arís eile go gcumhdódh siad réimsí nua.</w:t>
      </w:r>
    </w:p>
  </w:footnote>
  <w:footnote w:id="62">
    <w:p w:rsidR="00526EFA" w:rsidRDefault="005C4D05">
      <w:pPr>
        <w:pStyle w:val="FootnoteText"/>
        <w:rPr>
          <w:lang w:val="pt-PT"/>
        </w:rPr>
      </w:pPr>
      <w:r>
        <w:rPr>
          <w:rStyle w:val="FootnoteReference"/>
        </w:rPr>
        <w:footnoteRef/>
      </w:r>
      <w:r>
        <w:rPr>
          <w:lang w:val="pt-PT"/>
        </w:rPr>
        <w:tab/>
        <w:t>Is chun crío</w:t>
      </w:r>
      <w:r>
        <w:rPr>
          <w:lang w:val="pt-PT"/>
        </w:rPr>
        <w:t>cha comparáide amháin atá bonnlíne 2017 curtha ar fáil.</w:t>
      </w:r>
    </w:p>
  </w:footnote>
  <w:footnote w:id="63">
    <w:p w:rsidR="00526EFA" w:rsidRDefault="005C4D05">
      <w:pPr>
        <w:pStyle w:val="FootnoteText"/>
        <w:rPr>
          <w:lang w:val="pt-PT"/>
        </w:rPr>
      </w:pPr>
      <w:r>
        <w:rPr>
          <w:rStyle w:val="FootnoteReference"/>
        </w:rPr>
        <w:footnoteRef/>
      </w:r>
      <w:r>
        <w:rPr>
          <w:lang w:val="pt-PT"/>
        </w:rPr>
        <w:tab/>
        <w:t>Níor athraíodh leibhéal reatha acmhainní AS CNECT. Táthar ag súil, áfach, gur lú an tacaíocht a bheidh de dhíth ar BEREC óna máthair</w:t>
      </w:r>
      <w:r>
        <w:rPr>
          <w:lang w:val="pt-PT"/>
        </w:rPr>
        <w:noBreakHyphen/>
        <w:t>Ard</w:t>
      </w:r>
      <w:r>
        <w:rPr>
          <w:lang w:val="pt-PT"/>
        </w:rPr>
        <w:noBreakHyphen/>
        <w:t>Stiúrthóireacht ó thaobh cúraimí riaracháin agus ó thaobh bhe</w:t>
      </w:r>
      <w:r>
        <w:rPr>
          <w:lang w:val="pt-PT"/>
        </w:rPr>
        <w:t>ith i gcomhréir le rialacha an Aontais Eorpaigh maidir le gníomhaireachtaí díláraithe agus gur mó an tacaíocht a bheidh de dhíth uirthi ó thaobh na réimsí oibríochtúla nua chomh maith le leibhéal ardaithe rannpháirteachais ar leibhéal an Bhoird Bainistíoch</w:t>
      </w:r>
      <w:r>
        <w:rPr>
          <w:lang w:val="pt-PT"/>
        </w:rPr>
        <w:t>ta (dhá ionadaí seachas ionadaí amháin).</w:t>
      </w:r>
    </w:p>
  </w:footnote>
  <w:footnote w:id="64">
    <w:p w:rsidR="00526EFA" w:rsidRDefault="005C4D05">
      <w:pPr>
        <w:pStyle w:val="FootnoteText"/>
        <w:rPr>
          <w:lang w:val="pt-PT"/>
        </w:rPr>
      </w:pPr>
      <w:r>
        <w:rPr>
          <w:rStyle w:val="FootnoteReference"/>
        </w:rPr>
        <w:footnoteRef/>
      </w:r>
      <w:r>
        <w:rPr>
          <w:lang w:val="pt-PT"/>
        </w:rPr>
        <w:tab/>
        <w:t xml:space="preserve">Is chun críocha comparáide amháin atá bonnlíne 2017 curtha ar fáil. </w:t>
      </w:r>
    </w:p>
  </w:footnote>
  <w:footnote w:id="65">
    <w:p w:rsidR="00526EFA" w:rsidRDefault="005C4D05">
      <w:pPr>
        <w:pStyle w:val="FootnoteText"/>
        <w:rPr>
          <w:lang w:val="pt-PT"/>
        </w:rPr>
      </w:pPr>
      <w:r>
        <w:rPr>
          <w:rStyle w:val="FootnoteReference"/>
        </w:rPr>
        <w:footnoteRef/>
      </w:r>
      <w:r>
        <w:rPr>
          <w:lang w:val="pt-PT"/>
        </w:rPr>
        <w:tab/>
        <w:t>Níl ar taispeáint sa tábla seo ach caiteachas oibríochtúil de réir Theideal 3</w:t>
      </w:r>
    </w:p>
  </w:footnote>
  <w:footnote w:id="66">
    <w:p w:rsidR="00526EFA" w:rsidRDefault="005C4D05">
      <w:pPr>
        <w:pStyle w:val="FootnoteText"/>
        <w:rPr>
          <w:lang w:val="pt-PT"/>
        </w:rPr>
      </w:pPr>
      <w:r>
        <w:rPr>
          <w:rStyle w:val="FootnoteReference"/>
        </w:rPr>
        <w:footnoteRef/>
      </w:r>
      <w:r>
        <w:rPr>
          <w:lang w:val="pt-PT"/>
        </w:rPr>
        <w:tab/>
        <w:t xml:space="preserve">Roimhe seo ní athraítí na hacmhainní a cuireadh i leataobh </w:t>
      </w:r>
      <w:r>
        <w:rPr>
          <w:lang w:val="pt-PT"/>
        </w:rPr>
        <w:t>d'Oifig BEREC (an ghníomhaireacht de chuid an Aontais a thugadh tacaíocht don Bhord Rialálaithe) nuair a shanntaí cúraimí nua do BEREC.</w:t>
      </w:r>
    </w:p>
  </w:footnote>
  <w:footnote w:id="67">
    <w:p w:rsidR="00526EFA" w:rsidRDefault="005C4D05">
      <w:pPr>
        <w:pStyle w:val="FootnoteText"/>
        <w:rPr>
          <w:lang w:val="pt-PT"/>
        </w:rPr>
      </w:pPr>
      <w:r>
        <w:rPr>
          <w:rStyle w:val="FootnoteReference"/>
        </w:rPr>
        <w:footnoteRef/>
      </w:r>
      <w:r>
        <w:rPr>
          <w:lang w:val="pt-PT"/>
        </w:rPr>
        <w:tab/>
        <w:t>Is chun críocha comparáide amháin atá bonnlíne 2017 curtha ar fáil.</w:t>
      </w:r>
    </w:p>
  </w:footnote>
  <w:footnote w:id="68">
    <w:p w:rsidR="00526EFA" w:rsidRDefault="005C4D05">
      <w:pPr>
        <w:pStyle w:val="FootnoteText"/>
        <w:rPr>
          <w:lang w:val="pt-PT"/>
        </w:rPr>
      </w:pPr>
      <w:r>
        <w:rPr>
          <w:rStyle w:val="FootnoteReference"/>
        </w:rPr>
        <w:footnoteRef/>
      </w:r>
      <w:r>
        <w:rPr>
          <w:lang w:val="pt-PT"/>
        </w:rPr>
        <w:tab/>
        <w:t>De réir mar atá luaite faoi phointe 1.6, tosófar</w:t>
      </w:r>
      <w:r>
        <w:rPr>
          <w:lang w:val="pt-PT"/>
        </w:rPr>
        <w:t xml:space="preserve"> ar an gcur chun feidhme in 2019 agus leanfar de go dtí 2022 faoin gcéad Chreat Airgeadais Ilbhliantúil eile. Mar gheall ar na srianta ar acmhainní atá ann faoi láthair, is acmhainní CA agus SNE iad na hacmhainní daonna atá beartaithe don tréimhse 2019</w:t>
      </w:r>
      <w:r>
        <w:rPr>
          <w:lang w:val="pt-PT"/>
        </w:rPr>
        <w:noBreakHyphen/>
        <w:t>202</w:t>
      </w:r>
      <w:r>
        <w:rPr>
          <w:lang w:val="pt-PT"/>
        </w:rPr>
        <w:t>2. Ar bhonn an Mheasúnaithe Tionchair, meastar go mbeidh 60 FTE ar an iomlán de dhíth ar BEREC chun a chúraimí nua a chur i gcrích faoin sainordú méadaithe ag deireadh na tréimhse chur chun feidhme 2019-2022.</w:t>
      </w:r>
    </w:p>
  </w:footnote>
  <w:footnote w:id="69">
    <w:p w:rsidR="00526EFA" w:rsidRDefault="005C4D05">
      <w:pPr>
        <w:pStyle w:val="FootnoteText"/>
        <w:rPr>
          <w:lang w:val="pt-PT"/>
        </w:rPr>
      </w:pPr>
      <w:r>
        <w:rPr>
          <w:rStyle w:val="FootnoteReference"/>
        </w:rPr>
        <w:footnoteRef/>
      </w:r>
      <w:r>
        <w:rPr>
          <w:lang w:val="pt-PT"/>
        </w:rPr>
        <w:tab/>
        <w:t>Is chun críocha comparáide amháin atá bonnlín</w:t>
      </w:r>
      <w:r>
        <w:rPr>
          <w:lang w:val="pt-PT"/>
        </w:rPr>
        <w:t>e 2017 curtha ar fáil. Tá an ríomh ar chaiteachas foirne do 2019 agus 2020 bunaithe ar mheánchostas foirne ag a bhfuil 'habillage' (Ares(2015)5703479 an 9 Nollaig 2015), rud a léireodh an chúis le cuid den mhéadú ar chaiteachas ó 2017 go dtí 2019.</w:t>
      </w:r>
    </w:p>
  </w:footnote>
  <w:footnote w:id="70">
    <w:p w:rsidR="00526EFA" w:rsidRDefault="005C4D05">
      <w:pPr>
        <w:pStyle w:val="FootnoteText"/>
        <w:rPr>
          <w:szCs w:val="24"/>
          <w:lang w:val="pt-PT"/>
        </w:rPr>
      </w:pPr>
      <w:r>
        <w:rPr>
          <w:rStyle w:val="FootnoteReference"/>
        </w:rPr>
        <w:footnoteRef/>
      </w:r>
      <w:r>
        <w:rPr>
          <w:lang w:val="pt-PT"/>
        </w:rPr>
        <w:tab/>
        <w:t>Ar bho</w:t>
      </w:r>
      <w:r>
        <w:rPr>
          <w:lang w:val="pt-PT"/>
        </w:rPr>
        <w:t>nn an Mheasúnaithe Tionchair, agus gan dochar don chéad Chreat Airgeadais Ilbhliantúil eile, meastar go mbeidh 34 FTE breise ar an iomlán de dhíth ar BEREC, is é sin le rá 60 FTE ar an iomlán ag obair in BEREC, chun a cúraimí nua a chur i gcrích faoin sain</w:t>
      </w:r>
      <w:r>
        <w:rPr>
          <w:lang w:val="pt-PT"/>
        </w:rPr>
        <w:t>ordú méadaithe ag deireadh na tréimhse chur chun feidhme 2019</w:t>
      </w:r>
      <w:r>
        <w:rPr>
          <w:lang w:val="pt-PT"/>
        </w:rPr>
        <w:noBreakHyphen/>
        <w:t>2022.</w:t>
      </w:r>
    </w:p>
    <w:p w:rsidR="00526EFA" w:rsidRDefault="00526EFA">
      <w:pPr>
        <w:pStyle w:val="FootnoteText"/>
        <w:rPr>
          <w:lang w:val="pt-PT"/>
        </w:rPr>
      </w:pPr>
    </w:p>
  </w:footnote>
  <w:footnote w:id="71">
    <w:p w:rsidR="00526EFA" w:rsidRDefault="005C4D05">
      <w:pPr>
        <w:pStyle w:val="FootnoteText"/>
        <w:rPr>
          <w:szCs w:val="24"/>
          <w:lang w:val="pt-PT"/>
        </w:rPr>
      </w:pPr>
      <w:r>
        <w:rPr>
          <w:rStyle w:val="FootnoteReference"/>
        </w:rPr>
        <w:footnoteRef/>
      </w:r>
      <w:r>
        <w:rPr>
          <w:lang w:val="pt-PT"/>
        </w:rPr>
        <w:tab/>
        <w:t>AC = Gníomhaire ar Conradh; AL = Ball foirne áitiúil; END = Saineolaí Náisiúnta ar Iasacht; INT = Ball foirne gníomhaireachta; JED = Saineolaithe sóisearacha i dtoscaireacht. .</w:t>
      </w:r>
    </w:p>
  </w:footnote>
  <w:footnote w:id="72">
    <w:p w:rsidR="00526EFA" w:rsidRDefault="005C4D05">
      <w:pPr>
        <w:pStyle w:val="FootnoteText"/>
        <w:rPr>
          <w:szCs w:val="24"/>
          <w:lang w:val="pt-PT"/>
        </w:rPr>
      </w:pPr>
      <w:r>
        <w:rPr>
          <w:rStyle w:val="FootnoteReference"/>
        </w:rPr>
        <w:footnoteRef/>
      </w:r>
      <w:r>
        <w:rPr>
          <w:lang w:val="pt-PT"/>
        </w:rPr>
        <w:tab/>
        <w:t xml:space="preserve">Féach </w:t>
      </w:r>
      <w:r>
        <w:rPr>
          <w:lang w:val="pt-PT"/>
        </w:rPr>
        <w:t>pointe 19 agus pointe 24 den Chomhaontú Idirinstitiúideach.</w:t>
      </w:r>
    </w:p>
  </w:footnote>
  <w:footnote w:id="73">
    <w:p w:rsidR="00526EFA" w:rsidRDefault="005C4D05">
      <w:pPr>
        <w:pStyle w:val="FootnoteText"/>
        <w:rPr>
          <w:lang w:val="pt-PT"/>
        </w:rPr>
      </w:pPr>
      <w:r>
        <w:rPr>
          <w:rStyle w:val="FootnoteReference"/>
        </w:rPr>
        <w:footnoteRef/>
      </w:r>
      <w:r>
        <w:rPr>
          <w:lang w:val="pt-PT"/>
        </w:rPr>
        <w:tab/>
        <w:t>Beidh a fhios cén méid go cruinn a bheidh de dhíth do na blianta ina dhiaidh sin nuair a shocrófar fachtóir comhréireachta CSTE don bhliain lena mbaineann.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05" w:rsidRPr="005C4D05" w:rsidRDefault="005C4D05" w:rsidP="005C4D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05" w:rsidRPr="005C4D05" w:rsidRDefault="005C4D05" w:rsidP="005C4D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05" w:rsidRPr="005C4D05" w:rsidRDefault="005C4D05" w:rsidP="005C4D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946A54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49AD5F8"/>
    <w:lvl w:ilvl="0">
      <w:start w:val="1"/>
      <w:numFmt w:val="decimal"/>
      <w:pStyle w:val="ListNumber3"/>
      <w:lvlText w:val="%1."/>
      <w:lvlJc w:val="left"/>
      <w:pPr>
        <w:tabs>
          <w:tab w:val="num" w:pos="926"/>
        </w:tabs>
        <w:ind w:left="926" w:hanging="360"/>
      </w:pPr>
    </w:lvl>
  </w:abstractNum>
  <w:abstractNum w:abstractNumId="2">
    <w:nsid w:val="FFFFFF7F"/>
    <w:multiLevelType w:val="singleLevel"/>
    <w:tmpl w:val="FD9CCFF8"/>
    <w:lvl w:ilvl="0">
      <w:start w:val="1"/>
      <w:numFmt w:val="decimal"/>
      <w:pStyle w:val="ListNumber2"/>
      <w:lvlText w:val="%1."/>
      <w:lvlJc w:val="left"/>
      <w:pPr>
        <w:tabs>
          <w:tab w:val="num" w:pos="643"/>
        </w:tabs>
        <w:ind w:left="643" w:hanging="360"/>
      </w:pPr>
    </w:lvl>
  </w:abstractNum>
  <w:abstractNum w:abstractNumId="3">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4A9CB24C"/>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75084E24"/>
    <w:lvl w:ilvl="0">
      <w:start w:val="1"/>
      <w:numFmt w:val="bullet"/>
      <w:pStyle w:val="ListBullet3"/>
      <w:lvlText w:val=""/>
      <w:lvlJc w:val="left"/>
      <w:pPr>
        <w:tabs>
          <w:tab w:val="num" w:pos="926"/>
        </w:tabs>
        <w:ind w:left="926" w:hanging="360"/>
      </w:pPr>
      <w:rPr>
        <w:rFonts w:ascii="Symbol" w:hAnsi="Symbol" w:hint="default"/>
      </w:rPr>
    </w:lvl>
  </w:abstractNum>
  <w:abstractNum w:abstractNumId="6">
    <w:nsid w:val="FFFFFF83"/>
    <w:multiLevelType w:val="singleLevel"/>
    <w:tmpl w:val="68725F88"/>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8"/>
    <w:multiLevelType w:val="singleLevel"/>
    <w:tmpl w:val="3EE6821C"/>
    <w:lvl w:ilvl="0">
      <w:start w:val="1"/>
      <w:numFmt w:val="decimal"/>
      <w:pStyle w:val="ListNumber"/>
      <w:lvlText w:val="%1."/>
      <w:lvlJc w:val="left"/>
      <w:pPr>
        <w:tabs>
          <w:tab w:val="num" w:pos="360"/>
        </w:tabs>
        <w:ind w:left="360" w:hanging="360"/>
      </w:pPr>
    </w:lvl>
  </w:abstractNum>
  <w:abstractNum w:abstractNumId="8">
    <w:nsid w:val="FFFFFF89"/>
    <w:multiLevelType w:val="singleLevel"/>
    <w:tmpl w:val="5DCCBFA0"/>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3650526F"/>
    <w:multiLevelType w:val="multilevel"/>
    <w:tmpl w:val="08090025"/>
    <w:styleLink w:val="ArticleSection"/>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D0C058A"/>
    <w:multiLevelType w:val="singleLevel"/>
    <w:tmpl w:val="BAE8D90E"/>
    <w:lvl w:ilvl="0">
      <w:start w:val="1"/>
      <w:numFmt w:val="bullet"/>
      <w:lvlText w:val="–"/>
      <w:lvlJc w:val="left"/>
      <w:pPr>
        <w:tabs>
          <w:tab w:val="num" w:pos="1134"/>
        </w:tabs>
        <w:ind w:left="1134" w:hanging="283"/>
      </w:pPr>
      <w:rPr>
        <w:rFonts w:ascii="Times New Roman" w:hAnsi="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96D67A1"/>
    <w:multiLevelType w:val="singleLevel"/>
    <w:tmpl w:val="9AC8831A"/>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4">
    <w:nsid w:val="62A8042C"/>
    <w:multiLevelType w:val="singleLevel"/>
    <w:tmpl w:val="CCF20C06"/>
    <w:name w:val="List Dash 1"/>
    <w:lvl w:ilvl="0">
      <w:start w:val="1"/>
      <w:numFmt w:val="bullet"/>
      <w:pStyle w:val="ListDash1"/>
      <w:lvlText w:val="–"/>
      <w:lvlJc w:val="left"/>
      <w:pPr>
        <w:tabs>
          <w:tab w:val="num" w:pos="4678"/>
        </w:tabs>
        <w:ind w:left="4678" w:hanging="283"/>
      </w:pPr>
      <w:rPr>
        <w:rFonts w:ascii="Times New Roman" w:hAnsi="Times New Roman"/>
      </w:rPr>
    </w:lvl>
  </w:abstractNum>
  <w:abstractNum w:abstractNumId="25">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nsid w:val="6A6901C1"/>
    <w:multiLevelType w:val="singleLevel"/>
    <w:tmpl w:val="208841AE"/>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6"/>
  </w:num>
  <w:num w:numId="3">
    <w:abstractNumId w:val="5"/>
  </w:num>
  <w:num w:numId="4">
    <w:abstractNumId w:val="4"/>
  </w:num>
  <w:num w:numId="5">
    <w:abstractNumId w:val="7"/>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7"/>
  </w:num>
  <w:num w:numId="12">
    <w:abstractNumId w:val="24"/>
  </w:num>
  <w:num w:numId="13">
    <w:abstractNumId w:val="19"/>
  </w:num>
  <w:num w:numId="14">
    <w:abstractNumId w:val="17"/>
  </w:num>
  <w:num w:numId="15">
    <w:abstractNumId w:val="3"/>
  </w:num>
  <w:num w:numId="16">
    <w:abstractNumId w:val="23"/>
  </w:num>
  <w:num w:numId="17">
    <w:abstractNumId w:val="16"/>
    <w:lvlOverride w:ilvl="0">
      <w:startOverride w:val="1"/>
    </w:lvlOverride>
  </w:num>
  <w:num w:numId="18">
    <w:abstractNumId w:val="14"/>
    <w:lvlOverride w:ilvl="0">
      <w:startOverride w:val="1"/>
    </w:lvlOverride>
  </w:num>
  <w:num w:numId="19">
    <w:abstractNumId w:val="22"/>
    <w:lvlOverride w:ilvl="0">
      <w:startOverride w:val="1"/>
    </w:lvlOverride>
  </w:num>
  <w:num w:numId="20">
    <w:abstractNumId w:val="20"/>
    <w:lvlOverride w:ilvl="0">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4"/>
  </w:num>
  <w:num w:numId="27">
    <w:abstractNumId w:val="26"/>
  </w:num>
  <w:num w:numId="28">
    <w:abstractNumId w:val="12"/>
  </w:num>
  <w:num w:numId="29">
    <w:abstractNumId w:val="15"/>
  </w:num>
  <w:num w:numId="30">
    <w:abstractNumId w:val="10"/>
  </w:num>
  <w:num w:numId="31">
    <w:abstractNumId w:val="25"/>
  </w:num>
  <w:num w:numId="32">
    <w:abstractNumId w:val="9"/>
  </w:num>
  <w:num w:numId="33">
    <w:abstractNumId w:val="16"/>
  </w:num>
  <w:num w:numId="34">
    <w:abstractNumId w:val="20"/>
  </w:num>
  <w:num w:numId="35">
    <w:abstractNumId w:val="21"/>
  </w:num>
  <w:num w:numId="36">
    <w:abstractNumId w:val="11"/>
  </w:num>
  <w:num w:numId="37">
    <w:abstractNumId w:val="18"/>
  </w:num>
  <w:num w:numId="38">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12 12:21:2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9"/>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10"/>
    <w:docVar w:name="DQCStatus" w:val="Yellow"/>
    <w:docVar w:name="DQCVersion" w:val="3"/>
    <w:docVar w:name="DQCWithWarnings" w:val="0"/>
    <w:docVar w:name="LW_CONFIDENCE" w:val=" "/>
    <w:docVar w:name="LW_CONST_RESTREINT_UE" w:val="RESTREINT UE/EU RESTRICTED"/>
    <w:docVar w:name="LW_CORRIGENDUM" w:val="&lt;UNUSED&gt;"/>
    <w:docVar w:name="LW_COVERPAGE_GUID" w:val="A7A8DCD2EA284D0F9ED02FF2C2B57895"/>
    <w:docVar w:name="LW_CROSSREFERENCE" w:val="{SWD(2016) 303}_x000a_{SWD(2016) 304}"/>
    <w:docVar w:name="LW_DocType" w:val="COM"/>
    <w:docVar w:name="LW_EMISSION" w:val="14.9.2016"/>
    <w:docVar w:name="LW_EMISSION_ISODATE" w:val="2016-09-14"/>
    <w:docVar w:name="LW_EMISSION_LOCATION" w:val="BRX"/>
    <w:docVar w:name="LW_EMISSION_PREFIX" w:val="An Bhruiséil,"/>
    <w:docVar w:name="LW_EMISSION_SUFFIX" w:val=" "/>
    <w:docVar w:name="LW_ID_DOCMODEL" w:val="SJ-023"/>
    <w:docVar w:name="LW_ID_DOCSIGNATURE" w:val="SJ-023"/>
    <w:docVar w:name="LW_ID_DOCSTRUCTURE" w:val="COM/PL/ORG"/>
    <w:docVar w:name="LW_ID_DOCTYPE" w:val="SJ-023"/>
    <w:docVar w:name="LW_ID_STATUT" w:val="SJ-023"/>
    <w:docVar w:name="LW_INTERETEEE.CP" w:val="(Téacs atá ábhartha maidir le LEE)"/>
    <w:docVar w:name="LW_LANGUE" w:val="GA"/>
    <w:docVar w:name="LW_MARKING" w:val="&lt;UNUSED&gt;"/>
    <w:docVar w:name="LW_NOM.INST" w:val="AN COIMISIÚN EORPACH"/>
    <w:docVar w:name="LW_NOM.INST_JOINTDOC" w:val="&lt;EMPTY&gt;"/>
    <w:docVar w:name="LW_PART_NBR" w:val="1"/>
    <w:docVar w:name="LW_PART_NBR_TOTAL" w:val="1"/>
    <w:docVar w:name="LW_REF.II.NEW.CP" w:val="COD"/>
    <w:docVar w:name="LW_REF.II.NEW.CP_NUMBER" w:val="0286"/>
    <w:docVar w:name="LW_REF.II.NEW.CP_YEAR" w:val="2016"/>
    <w:docVar w:name="LW_REF.INST.NEW" w:val="COM"/>
    <w:docVar w:name="LW_REF.INST.NEW_ADOPTED" w:val="final"/>
    <w:docVar w:name="LW_REF.INST.NEW_TEXT" w:val="(2016) 591"/>
    <w:docVar w:name="LW_REF.INTERNE" w:val="&lt;UNUSED&gt;"/>
    <w:docVar w:name="LW_SOUS.TITRE.OBJ.CP" w:val="&lt;UNUSED&gt;"/>
    <w:docVar w:name="LW_STATUT.CP" w:val="Togra le haghaidh"/>
    <w:docVar w:name="LW_SUPERTITRE" w:val="&lt;UNUSED&gt;"/>
    <w:docVar w:name="LW_TITRE.OBJ.CP" w:val="lena mbunaítear Comhlacht na Rialálaithe Eorpacha um Chumarsáid Leictreonach"/>
    <w:docVar w:name="LW_TYPE.DOC.CP" w:val="RIALACHÁN Ó PHARLAIMINT NA hEORPA AGUS ÓN gCOMHAIRLE"/>
    <w:docVar w:name="Stamp" w:val="\\dossiers.dgt.cec.eu.int\dossiers\CNECT\CNECT-2016-00068\CNECT-2016-00068-00-00-EN-REV-00.201608111256166007267.DOCX"/>
  </w:docVars>
  <w:rsids>
    <w:rsidRoot w:val="00526EFA"/>
    <w:rsid w:val="00526EFA"/>
    <w:rsid w:val="005C4D0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endnote reference" w:uiPriority="0"/>
    <w:lsdException w:name="endnote text" w:uiPriority="0"/>
    <w:lsdException w:name="List Number" w:uiPriority="0"/>
    <w:lsdException w:name="List Bullet 3" w:uiPriority="0"/>
    <w:lsdException w:name="List Bullet 5"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paragraph" w:styleId="Heading5">
    <w:name w:val="heading 5"/>
    <w:basedOn w:val="Normal"/>
    <w:link w:val="Heading5Char"/>
    <w:semiHidden/>
    <w:unhideWhenUsed/>
    <w:qFormat/>
    <w:pPr>
      <w:keepNext/>
      <w:spacing w:before="480" w:after="240" w:line="312" w:lineRule="atLeast"/>
      <w:ind w:left="1008" w:hanging="432"/>
      <w:jc w:val="left"/>
      <w:outlineLvl w:val="4"/>
    </w:pPr>
    <w:rPr>
      <w:rFonts w:ascii="Arial" w:eastAsia="Times New Roman" w:hAnsi="Arial"/>
      <w:sz w:val="22"/>
      <w:szCs w:val="20"/>
      <w:lang w:eastAsia="de-DE"/>
    </w:rPr>
  </w:style>
  <w:style w:type="paragraph" w:styleId="Heading6">
    <w:name w:val="heading 6"/>
    <w:basedOn w:val="Normal"/>
    <w:next w:val="NormalIndent"/>
    <w:link w:val="Heading6Char"/>
    <w:semiHidden/>
    <w:unhideWhenUsed/>
    <w:qFormat/>
    <w:pPr>
      <w:keepNext/>
      <w:spacing w:before="240" w:after="240" w:line="312" w:lineRule="atLeast"/>
      <w:ind w:left="1152" w:hanging="432"/>
      <w:outlineLvl w:val="5"/>
    </w:pPr>
    <w:rPr>
      <w:rFonts w:ascii="Arial" w:eastAsia="Times New Roman" w:hAnsi="Arial"/>
      <w:sz w:val="22"/>
      <w:szCs w:val="20"/>
      <w:lang w:eastAsia="de-DE"/>
    </w:rPr>
  </w:style>
  <w:style w:type="paragraph" w:styleId="Heading7">
    <w:name w:val="heading 7"/>
    <w:basedOn w:val="Normal"/>
    <w:next w:val="NormalIndent"/>
    <w:link w:val="Heading7Char"/>
    <w:uiPriority w:val="99"/>
    <w:semiHidden/>
    <w:unhideWhenUsed/>
    <w:qFormat/>
    <w:pPr>
      <w:keepNext/>
      <w:tabs>
        <w:tab w:val="left" w:pos="1418"/>
      </w:tabs>
      <w:spacing w:before="240" w:after="240" w:line="312" w:lineRule="atLeast"/>
      <w:ind w:left="1296" w:hanging="288"/>
      <w:outlineLvl w:val="6"/>
    </w:pPr>
    <w:rPr>
      <w:rFonts w:ascii="Arial" w:eastAsia="Times New Roman" w:hAnsi="Arial"/>
      <w:sz w:val="22"/>
      <w:szCs w:val="20"/>
      <w:lang w:eastAsia="de-DE"/>
    </w:rPr>
  </w:style>
  <w:style w:type="paragraph" w:styleId="Heading8">
    <w:name w:val="heading 8"/>
    <w:basedOn w:val="Normal"/>
    <w:next w:val="NormalIndent"/>
    <w:link w:val="Heading8Char"/>
    <w:uiPriority w:val="99"/>
    <w:semiHidden/>
    <w:unhideWhenUsed/>
    <w:qFormat/>
    <w:pPr>
      <w:spacing w:before="0" w:after="240" w:line="312" w:lineRule="atLeast"/>
      <w:ind w:left="1440" w:hanging="432"/>
      <w:outlineLvl w:val="7"/>
    </w:pPr>
    <w:rPr>
      <w:rFonts w:ascii="Times" w:eastAsia="Times New Roman" w:hAnsi="Times"/>
      <w:i/>
      <w:sz w:val="20"/>
      <w:szCs w:val="20"/>
      <w:lang w:eastAsia="de-DE"/>
    </w:rPr>
  </w:style>
  <w:style w:type="paragraph" w:styleId="Heading9">
    <w:name w:val="heading 9"/>
    <w:basedOn w:val="Normal"/>
    <w:next w:val="NormalIndent"/>
    <w:link w:val="Heading9Char"/>
    <w:uiPriority w:val="99"/>
    <w:semiHidden/>
    <w:unhideWhenUsed/>
    <w:qFormat/>
    <w:pPr>
      <w:spacing w:before="0" w:after="240" w:line="312" w:lineRule="atLeast"/>
      <w:ind w:left="1584" w:hanging="144"/>
      <w:outlineLvl w:val="8"/>
    </w:pPr>
    <w:rPr>
      <w:rFonts w:ascii="Times" w:eastAsia="Times New Roman" w:hAnsi="Times"/>
      <w:i/>
      <w:sz w:val="20"/>
      <w:szCs w:val="20"/>
      <w:lang w:eastAsia="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LegislativeText">
    <w:name w:val="Legislative Text"/>
    <w:basedOn w:val="NoSpacing"/>
    <w:qFormat/>
    <w:pPr>
      <w:jc w:val="left"/>
    </w:pPr>
    <w:rPr>
      <w:rFonts w:cstheme="minorBidi"/>
      <w:sz w:val="22"/>
    </w:rPr>
  </w:style>
  <w:style w:type="paragraph" w:styleId="NoSpacing">
    <w:name w:val="No Spacing"/>
    <w:uiPriority w:val="1"/>
    <w:qFormat/>
    <w:pPr>
      <w:spacing w:after="0" w:line="240" w:lineRule="auto"/>
      <w:jc w:val="both"/>
    </w:pPr>
    <w:rPr>
      <w:rFonts w:ascii="Times New Roman" w:hAnsi="Times New Roman" w:cs="Times New Roman"/>
      <w:sz w:val="24"/>
      <w:lang w:val="en-GB"/>
    </w:rPr>
  </w:style>
  <w:style w:type="paragraph" w:styleId="ListParagraph">
    <w:name w:val="List Paragraph"/>
    <w:aliases w:val="Paragraphe de liste 2,Reference list,Normal bullet 2,Bullet list,Numbered List,List Paragraph1,1st level - Bullet List Paragraph,Lettre d'introduction,Paragrafo elenco,Paragraph,Bullet EY,List Paragraph11,Normal bullet 21,Puce focus"/>
    <w:basedOn w:val="Normal"/>
    <w:link w:val="ListParagraphChar"/>
    <w:uiPriority w:val="34"/>
    <w:qFormat/>
    <w:pPr>
      <w:ind w:left="720"/>
      <w:contextualSpacing/>
    </w:pPr>
  </w:style>
  <w:style w:type="character" w:styleId="CommentReference">
    <w:name w:val="annotation reference"/>
    <w:basedOn w:val="DefaultParagraphFont"/>
    <w:uiPriority w:val="99"/>
    <w:unhideWhenUsed/>
    <w:rPr>
      <w:sz w:val="16"/>
      <w:szCs w:val="16"/>
    </w:rPr>
  </w:style>
  <w:style w:type="paragraph" w:styleId="NormalWeb">
    <w:name w:val="Normal (Web)"/>
    <w:basedOn w:val="Normal"/>
    <w:uiPriority w:val="99"/>
    <w:pPr>
      <w:spacing w:before="100" w:beforeAutospacing="1" w:after="100" w:afterAutospacing="1"/>
      <w:jc w:val="left"/>
    </w:pPr>
    <w:rPr>
      <w:rFonts w:eastAsia="Times New Roman"/>
      <w:szCs w:val="24"/>
      <w:lang w:eastAsia="en-GB"/>
    </w:rPr>
  </w:style>
  <w:style w:type="table" w:styleId="TableGrid">
    <w:name w:val="Table Grid"/>
    <w:basedOn w:val="TableNormal"/>
    <w:uiPriority w:val="5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customStyle="1" w:styleId="Body">
    <w:name w:val="Body"/>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character" w:customStyle="1" w:styleId="ListParagraphChar">
    <w:name w:val="List Paragraph Char"/>
    <w:aliases w:val="Paragraphe de liste 2 Char,Reference list Char,Normal bullet 2 Char,Bullet list Char,Numbered List Char,List Paragraph1 Char,1st level - Bullet List Paragraph Char,Lettre d'introduction Char,Paragrafo elenco Char,Paragraph Char"/>
    <w:basedOn w:val="DefaultParagraphFont"/>
    <w:link w:val="ListParagraph"/>
    <w:uiPriority w:val="34"/>
    <w:qFormat/>
    <w:locked/>
    <w:rPr>
      <w:rFonts w:ascii="Times New Roman" w:hAnsi="Times New Roman" w:cs="Times New Roman"/>
      <w:sz w:val="24"/>
      <w:lang w:val="en-GB"/>
    </w:rPr>
  </w:style>
  <w:style w:type="character" w:customStyle="1" w:styleId="None">
    <w:name w:val="None"/>
  </w:style>
  <w:style w:type="character" w:customStyle="1" w:styleId="Heading5Char">
    <w:name w:val="Heading 5 Char"/>
    <w:basedOn w:val="DefaultParagraphFont"/>
    <w:link w:val="Heading5"/>
    <w:semiHidden/>
    <w:rPr>
      <w:rFonts w:ascii="Arial" w:eastAsia="Times New Roman" w:hAnsi="Arial" w:cs="Times New Roman"/>
      <w:szCs w:val="20"/>
      <w:lang w:val="en-GB" w:eastAsia="de-DE"/>
    </w:rPr>
  </w:style>
  <w:style w:type="character" w:customStyle="1" w:styleId="Heading6Char">
    <w:name w:val="Heading 6 Char"/>
    <w:basedOn w:val="DefaultParagraphFont"/>
    <w:link w:val="Heading6"/>
    <w:semiHidden/>
    <w:rPr>
      <w:rFonts w:ascii="Arial" w:eastAsia="Times New Roman" w:hAnsi="Arial" w:cs="Times New Roman"/>
      <w:szCs w:val="20"/>
      <w:lang w:val="en-GB" w:eastAsia="de-DE"/>
    </w:rPr>
  </w:style>
  <w:style w:type="character" w:customStyle="1" w:styleId="Heading7Char">
    <w:name w:val="Heading 7 Char"/>
    <w:basedOn w:val="DefaultParagraphFont"/>
    <w:link w:val="Heading7"/>
    <w:uiPriority w:val="99"/>
    <w:semiHidden/>
    <w:rPr>
      <w:rFonts w:ascii="Arial" w:eastAsia="Times New Roman" w:hAnsi="Arial" w:cs="Times New Roman"/>
      <w:szCs w:val="20"/>
      <w:lang w:val="en-GB" w:eastAsia="de-DE"/>
    </w:rPr>
  </w:style>
  <w:style w:type="character" w:customStyle="1" w:styleId="Heading8Char">
    <w:name w:val="Heading 8 Char"/>
    <w:basedOn w:val="DefaultParagraphFont"/>
    <w:link w:val="Heading8"/>
    <w:uiPriority w:val="99"/>
    <w:semiHidden/>
    <w:rPr>
      <w:rFonts w:ascii="Times" w:eastAsia="Times New Roman" w:hAnsi="Times" w:cs="Times New Roman"/>
      <w:i/>
      <w:sz w:val="20"/>
      <w:szCs w:val="20"/>
      <w:lang w:val="en-GB" w:eastAsia="de-DE"/>
    </w:rPr>
  </w:style>
  <w:style w:type="character" w:customStyle="1" w:styleId="Heading9Char">
    <w:name w:val="Heading 9 Char"/>
    <w:basedOn w:val="DefaultParagraphFont"/>
    <w:link w:val="Heading9"/>
    <w:uiPriority w:val="99"/>
    <w:semiHidden/>
    <w:rPr>
      <w:rFonts w:ascii="Times" w:eastAsia="Times New Roman" w:hAnsi="Times" w:cs="Times New Roman"/>
      <w:i/>
      <w:sz w:val="20"/>
      <w:szCs w:val="20"/>
      <w:lang w:val="en-GB" w:eastAsia="de-DE"/>
    </w:rPr>
  </w:style>
  <w:style w:type="numbering" w:styleId="ArticleSection">
    <w:name w:val="Outline List 3"/>
    <w:basedOn w:val="NoList"/>
    <w:uiPriority w:val="99"/>
    <w:semiHidden/>
    <w:unhideWhenUsed/>
    <w:pPr>
      <w:numPr>
        <w:numId w:val="10"/>
      </w:numPr>
    </w:pPr>
  </w:style>
  <w:style w:type="paragraph" w:styleId="NormalIndent">
    <w:name w:val="Normal Indent"/>
    <w:basedOn w:val="Normal"/>
    <w:uiPriority w:val="99"/>
    <w:semiHidden/>
    <w:unhideWhenUsed/>
    <w:pPr>
      <w:ind w:left="720"/>
    </w:pPr>
  </w:style>
  <w:style w:type="paragraph" w:customStyle="1" w:styleId="ListBullet1">
    <w:name w:val="List Bullet 1"/>
    <w:basedOn w:val="Normal"/>
    <w:pPr>
      <w:numPr>
        <w:numId w:val="11"/>
      </w:numPr>
    </w:pPr>
    <w:rPr>
      <w:rFonts w:eastAsia="Times New Roman"/>
      <w:szCs w:val="24"/>
      <w:lang w:eastAsia="en-GB"/>
    </w:rPr>
  </w:style>
  <w:style w:type="paragraph" w:customStyle="1" w:styleId="ListDash1">
    <w:name w:val="List Dash 1"/>
    <w:basedOn w:val="Normal"/>
    <w:pPr>
      <w:numPr>
        <w:numId w:val="12"/>
      </w:numPr>
    </w:pPr>
    <w:rPr>
      <w:rFonts w:eastAsia="Times New Roman"/>
      <w:szCs w:val="24"/>
      <w:lang w:eastAsia="en-GB"/>
    </w:rPr>
  </w:style>
  <w:style w:type="paragraph" w:customStyle="1" w:styleId="ListDash2">
    <w:name w:val="List Dash 2"/>
    <w:basedOn w:val="Normal"/>
    <w:pPr>
      <w:numPr>
        <w:numId w:val="13"/>
      </w:numPr>
    </w:pPr>
    <w:rPr>
      <w:rFonts w:eastAsia="Times New Roman"/>
      <w:szCs w:val="24"/>
      <w:lang w:eastAsia="en-GB"/>
    </w:rPr>
  </w:style>
  <w:style w:type="paragraph" w:customStyle="1" w:styleId="ListNumberLevel2">
    <w:name w:val="List Number (Level 2)"/>
    <w:basedOn w:val="Normal"/>
    <w:pPr>
      <w:tabs>
        <w:tab w:val="num" w:pos="1417"/>
      </w:tabs>
      <w:ind w:left="1417" w:hanging="708"/>
    </w:pPr>
    <w:rPr>
      <w:rFonts w:eastAsia="Times New Roman"/>
      <w:szCs w:val="24"/>
      <w:lang w:eastAsia="en-GB"/>
    </w:rPr>
  </w:style>
  <w:style w:type="paragraph" w:customStyle="1" w:styleId="ListNumberLevel3">
    <w:name w:val="List Number (Level 3)"/>
    <w:basedOn w:val="Normal"/>
    <w:pPr>
      <w:tabs>
        <w:tab w:val="num" w:pos="2126"/>
      </w:tabs>
      <w:ind w:left="2126" w:hanging="709"/>
    </w:pPr>
    <w:rPr>
      <w:rFonts w:eastAsia="Times New Roman"/>
      <w:szCs w:val="24"/>
      <w:lang w:eastAsia="en-GB"/>
    </w:rPr>
  </w:style>
  <w:style w:type="paragraph" w:customStyle="1" w:styleId="ListNumberLevel4">
    <w:name w:val="List Number (Level 4)"/>
    <w:basedOn w:val="Normal"/>
    <w:pPr>
      <w:tabs>
        <w:tab w:val="num" w:pos="2835"/>
      </w:tabs>
      <w:ind w:left="2835" w:hanging="709"/>
    </w:pPr>
    <w:rPr>
      <w:rFonts w:eastAsia="Times New Roman"/>
      <w:szCs w:val="24"/>
      <w:lang w:eastAsia="en-GB"/>
    </w:rPr>
  </w:style>
  <w:style w:type="paragraph" w:customStyle="1" w:styleId="Fichefinancirestandardtitre">
    <w:name w:val="Fiche financière (standard) titre"/>
    <w:basedOn w:val="Normal"/>
    <w:next w:val="Normal"/>
    <w:pPr>
      <w:jc w:val="center"/>
    </w:pPr>
    <w:rPr>
      <w:rFonts w:eastAsia="Times New Roman"/>
      <w:b/>
      <w:szCs w:val="24"/>
      <w:u w:val="single"/>
      <w:lang w:eastAsia="en-GB"/>
    </w:rPr>
  </w:style>
  <w:style w:type="character" w:customStyle="1" w:styleId="tw4winMark">
    <w:name w:val="tw4winMark"/>
    <w:rPr>
      <w:vanish/>
      <w:color w:val="800080"/>
      <w:vertAlign w:val="subscript"/>
    </w:rPr>
  </w:style>
  <w:style w:type="paragraph" w:styleId="EndnoteText">
    <w:name w:val="endnote text"/>
    <w:basedOn w:val="Normal"/>
    <w:link w:val="EndnoteTextChar"/>
    <w:pPr>
      <w:spacing w:before="0" w:after="0"/>
      <w:jc w:val="left"/>
    </w:pPr>
    <w:rPr>
      <w:rFonts w:eastAsia="Times New Roman"/>
      <w:sz w:val="20"/>
      <w:szCs w:val="20"/>
      <w:lang w:eastAsia="en-GB"/>
    </w:rPr>
  </w:style>
  <w:style w:type="character" w:customStyle="1" w:styleId="EndnoteTextChar">
    <w:name w:val="Endnote Text Char"/>
    <w:basedOn w:val="DefaultParagraphFont"/>
    <w:link w:val="EndnoteText"/>
    <w:rPr>
      <w:rFonts w:ascii="Times New Roman" w:eastAsia="Times New Roman" w:hAnsi="Times New Roman" w:cs="Times New Roman"/>
      <w:sz w:val="20"/>
      <w:szCs w:val="20"/>
      <w:lang w:val="en-GB" w:eastAsia="en-GB"/>
    </w:rPr>
  </w:style>
  <w:style w:type="character" w:styleId="EndnoteReference">
    <w:name w:val="endnote reference"/>
    <w:rPr>
      <w:vertAlign w:val="superscript"/>
    </w:rPr>
  </w:style>
  <w:style w:type="character" w:styleId="FollowedHyperlink">
    <w:name w:val="FollowedHyperlink"/>
    <w:uiPriority w:val="99"/>
    <w:unhideWhenUsed/>
    <w:rPr>
      <w:color w:val="800080"/>
      <w:u w:val="single"/>
    </w:rPr>
  </w:style>
  <w:style w:type="character" w:styleId="Emphasis">
    <w:name w:val="Emphasis"/>
    <w:uiPriority w:val="20"/>
    <w:qFormat/>
    <w:rPr>
      <w:b/>
      <w:bCs/>
      <w:i w:val="0"/>
      <w:iCs w:val="0"/>
    </w:rPr>
  </w:style>
  <w:style w:type="paragraph" w:styleId="PlainText">
    <w:name w:val="Plain Text"/>
    <w:basedOn w:val="Normal"/>
    <w:link w:val="PlainTextChar"/>
    <w:uiPriority w:val="99"/>
    <w:unhideWhenUsed/>
    <w:pPr>
      <w:spacing w:before="0" w:after="0"/>
      <w:jc w:val="left"/>
    </w:pPr>
    <w:rPr>
      <w:rFonts w:ascii="Consolas" w:eastAsia="Calibri" w:hAnsi="Consolas"/>
      <w:sz w:val="21"/>
      <w:szCs w:val="21"/>
    </w:rPr>
  </w:style>
  <w:style w:type="character" w:customStyle="1" w:styleId="PlainTextChar">
    <w:name w:val="Plain Text Char"/>
    <w:basedOn w:val="DefaultParagraphFont"/>
    <w:link w:val="PlainText"/>
    <w:uiPriority w:val="99"/>
    <w:rPr>
      <w:rFonts w:ascii="Consolas" w:eastAsia="Calibri" w:hAnsi="Consolas" w:cs="Times New Roman"/>
      <w:sz w:val="21"/>
      <w:szCs w:val="21"/>
      <w:lang w:val="en-GB"/>
    </w:rPr>
  </w:style>
  <w:style w:type="paragraph" w:customStyle="1" w:styleId="Mainpara">
    <w:name w:val="Main para"/>
    <w:basedOn w:val="Normal"/>
    <w:pPr>
      <w:spacing w:before="0"/>
    </w:pPr>
    <w:rPr>
      <w:rFonts w:eastAsia="Times New Roman"/>
      <w:szCs w:val="20"/>
      <w:lang w:eastAsia="en-GB"/>
    </w:rPr>
  </w:style>
  <w:style w:type="character" w:styleId="PlaceholderText">
    <w:name w:val="Placeholder Text"/>
    <w:uiPriority w:val="99"/>
    <w:semiHidden/>
    <w:rPr>
      <w:color w:val="808080"/>
    </w:rPr>
  </w:style>
  <w:style w:type="character" w:customStyle="1" w:styleId="testo1">
    <w:name w:val="testo1"/>
    <w:rPr>
      <w:rFonts w:ascii="Arial" w:hAnsi="Arial" w:cs="Arial" w:hint="default"/>
      <w:strike w:val="0"/>
      <w:dstrike w:val="0"/>
      <w:color w:val="666666"/>
      <w:sz w:val="18"/>
      <w:szCs w:val="18"/>
      <w:u w:val="none"/>
      <w:effect w:val="none"/>
    </w:rPr>
  </w:style>
  <w:style w:type="character" w:styleId="Strong">
    <w:name w:val="Strong"/>
    <w:uiPriority w:val="22"/>
    <w:qFormat/>
    <w:rPr>
      <w:b/>
      <w:bCs/>
    </w:rPr>
  </w:style>
  <w:style w:type="paragraph" w:styleId="ListBullet5">
    <w:name w:val="List Bullet 5"/>
    <w:basedOn w:val="Normal"/>
    <w:autoRedefine/>
    <w:pPr>
      <w:numPr>
        <w:numId w:val="15"/>
      </w:numPr>
      <w:spacing w:before="0" w:after="240"/>
    </w:pPr>
    <w:rPr>
      <w:rFonts w:eastAsia="Times New Roman"/>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lang w:val="en-GB" w:eastAsia="en-GB"/>
    </w:rPr>
  </w:style>
  <w:style w:type="character" w:customStyle="1" w:styleId="st1">
    <w:name w:val="st1"/>
    <w:basedOn w:val="DefaultParagraphFont"/>
  </w:style>
  <w:style w:type="character" w:customStyle="1" w:styleId="CRMarker">
    <w:name w:val="CR Marker"/>
    <w:uiPriority w:val="99"/>
    <w:rPr>
      <w:rFonts w:ascii="Wingdings" w:hAnsi="Wingdings" w:cs="Wingdings"/>
    </w:rPr>
  </w:style>
  <w:style w:type="paragraph" w:customStyle="1" w:styleId="CM4">
    <w:name w:val="CM4"/>
    <w:basedOn w:val="Default"/>
    <w:next w:val="Default"/>
    <w:uiPriority w:val="99"/>
    <w:rPr>
      <w:rFonts w:ascii="EUAlbertina" w:hAnsi="EUAlbertina" w:cstheme="minorBidi"/>
      <w:color w:val="auto"/>
    </w:rPr>
  </w:style>
  <w:style w:type="character" w:customStyle="1" w:styleId="apple-converted-space">
    <w:name w:val="apple-converted-space"/>
    <w:basedOn w:val="DefaultParagraphFont"/>
  </w:style>
  <w:style w:type="paragraph" w:styleId="Header">
    <w:name w:val="header"/>
    <w:basedOn w:val="Normal"/>
    <w:link w:val="HeaderChar"/>
    <w:uiPriority w:val="99"/>
    <w:unhideWhenUsed/>
    <w:rsid w:val="005C4D05"/>
    <w:pPr>
      <w:tabs>
        <w:tab w:val="center" w:pos="4535"/>
        <w:tab w:val="right" w:pos="9071"/>
      </w:tabs>
      <w:spacing w:before="0"/>
    </w:pPr>
  </w:style>
  <w:style w:type="character" w:customStyle="1" w:styleId="HeaderChar">
    <w:name w:val="Header Char"/>
    <w:basedOn w:val="DefaultParagraphFont"/>
    <w:link w:val="Header"/>
    <w:uiPriority w:val="99"/>
    <w:rsid w:val="005C4D05"/>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endnote reference" w:uiPriority="0"/>
    <w:lsdException w:name="endnote text" w:uiPriority="0"/>
    <w:lsdException w:name="List Number" w:uiPriority="0"/>
    <w:lsdException w:name="List Bullet 3" w:uiPriority="0"/>
    <w:lsdException w:name="List Bullet 5"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paragraph" w:styleId="Heading5">
    <w:name w:val="heading 5"/>
    <w:basedOn w:val="Normal"/>
    <w:link w:val="Heading5Char"/>
    <w:semiHidden/>
    <w:unhideWhenUsed/>
    <w:qFormat/>
    <w:pPr>
      <w:keepNext/>
      <w:spacing w:before="480" w:after="240" w:line="312" w:lineRule="atLeast"/>
      <w:ind w:left="1008" w:hanging="432"/>
      <w:jc w:val="left"/>
      <w:outlineLvl w:val="4"/>
    </w:pPr>
    <w:rPr>
      <w:rFonts w:ascii="Arial" w:eastAsia="Times New Roman" w:hAnsi="Arial"/>
      <w:sz w:val="22"/>
      <w:szCs w:val="20"/>
      <w:lang w:eastAsia="de-DE"/>
    </w:rPr>
  </w:style>
  <w:style w:type="paragraph" w:styleId="Heading6">
    <w:name w:val="heading 6"/>
    <w:basedOn w:val="Normal"/>
    <w:next w:val="NormalIndent"/>
    <w:link w:val="Heading6Char"/>
    <w:semiHidden/>
    <w:unhideWhenUsed/>
    <w:qFormat/>
    <w:pPr>
      <w:keepNext/>
      <w:spacing w:before="240" w:after="240" w:line="312" w:lineRule="atLeast"/>
      <w:ind w:left="1152" w:hanging="432"/>
      <w:outlineLvl w:val="5"/>
    </w:pPr>
    <w:rPr>
      <w:rFonts w:ascii="Arial" w:eastAsia="Times New Roman" w:hAnsi="Arial"/>
      <w:sz w:val="22"/>
      <w:szCs w:val="20"/>
      <w:lang w:eastAsia="de-DE"/>
    </w:rPr>
  </w:style>
  <w:style w:type="paragraph" w:styleId="Heading7">
    <w:name w:val="heading 7"/>
    <w:basedOn w:val="Normal"/>
    <w:next w:val="NormalIndent"/>
    <w:link w:val="Heading7Char"/>
    <w:uiPriority w:val="99"/>
    <w:semiHidden/>
    <w:unhideWhenUsed/>
    <w:qFormat/>
    <w:pPr>
      <w:keepNext/>
      <w:tabs>
        <w:tab w:val="left" w:pos="1418"/>
      </w:tabs>
      <w:spacing w:before="240" w:after="240" w:line="312" w:lineRule="atLeast"/>
      <w:ind w:left="1296" w:hanging="288"/>
      <w:outlineLvl w:val="6"/>
    </w:pPr>
    <w:rPr>
      <w:rFonts w:ascii="Arial" w:eastAsia="Times New Roman" w:hAnsi="Arial"/>
      <w:sz w:val="22"/>
      <w:szCs w:val="20"/>
      <w:lang w:eastAsia="de-DE"/>
    </w:rPr>
  </w:style>
  <w:style w:type="paragraph" w:styleId="Heading8">
    <w:name w:val="heading 8"/>
    <w:basedOn w:val="Normal"/>
    <w:next w:val="NormalIndent"/>
    <w:link w:val="Heading8Char"/>
    <w:uiPriority w:val="99"/>
    <w:semiHidden/>
    <w:unhideWhenUsed/>
    <w:qFormat/>
    <w:pPr>
      <w:spacing w:before="0" w:after="240" w:line="312" w:lineRule="atLeast"/>
      <w:ind w:left="1440" w:hanging="432"/>
      <w:outlineLvl w:val="7"/>
    </w:pPr>
    <w:rPr>
      <w:rFonts w:ascii="Times" w:eastAsia="Times New Roman" w:hAnsi="Times"/>
      <w:i/>
      <w:sz w:val="20"/>
      <w:szCs w:val="20"/>
      <w:lang w:eastAsia="de-DE"/>
    </w:rPr>
  </w:style>
  <w:style w:type="paragraph" w:styleId="Heading9">
    <w:name w:val="heading 9"/>
    <w:basedOn w:val="Normal"/>
    <w:next w:val="NormalIndent"/>
    <w:link w:val="Heading9Char"/>
    <w:uiPriority w:val="99"/>
    <w:semiHidden/>
    <w:unhideWhenUsed/>
    <w:qFormat/>
    <w:pPr>
      <w:spacing w:before="0" w:after="240" w:line="312" w:lineRule="atLeast"/>
      <w:ind w:left="1584" w:hanging="144"/>
      <w:outlineLvl w:val="8"/>
    </w:pPr>
    <w:rPr>
      <w:rFonts w:ascii="Times" w:eastAsia="Times New Roman" w:hAnsi="Times"/>
      <w:i/>
      <w:sz w:val="20"/>
      <w:szCs w:val="20"/>
      <w:lang w:eastAsia="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LegislativeText">
    <w:name w:val="Legislative Text"/>
    <w:basedOn w:val="NoSpacing"/>
    <w:qFormat/>
    <w:pPr>
      <w:jc w:val="left"/>
    </w:pPr>
    <w:rPr>
      <w:rFonts w:cstheme="minorBidi"/>
      <w:sz w:val="22"/>
    </w:rPr>
  </w:style>
  <w:style w:type="paragraph" w:styleId="NoSpacing">
    <w:name w:val="No Spacing"/>
    <w:uiPriority w:val="1"/>
    <w:qFormat/>
    <w:pPr>
      <w:spacing w:after="0" w:line="240" w:lineRule="auto"/>
      <w:jc w:val="both"/>
    </w:pPr>
    <w:rPr>
      <w:rFonts w:ascii="Times New Roman" w:hAnsi="Times New Roman" w:cs="Times New Roman"/>
      <w:sz w:val="24"/>
      <w:lang w:val="en-GB"/>
    </w:rPr>
  </w:style>
  <w:style w:type="paragraph" w:styleId="ListParagraph">
    <w:name w:val="List Paragraph"/>
    <w:aliases w:val="Paragraphe de liste 2,Reference list,Normal bullet 2,Bullet list,Numbered List,List Paragraph1,1st level - Bullet List Paragraph,Lettre d'introduction,Paragrafo elenco,Paragraph,Bullet EY,List Paragraph11,Normal bullet 21,Puce focus"/>
    <w:basedOn w:val="Normal"/>
    <w:link w:val="ListParagraphChar"/>
    <w:uiPriority w:val="34"/>
    <w:qFormat/>
    <w:pPr>
      <w:ind w:left="720"/>
      <w:contextualSpacing/>
    </w:pPr>
  </w:style>
  <w:style w:type="character" w:styleId="CommentReference">
    <w:name w:val="annotation reference"/>
    <w:basedOn w:val="DefaultParagraphFont"/>
    <w:uiPriority w:val="99"/>
    <w:unhideWhenUsed/>
    <w:rPr>
      <w:sz w:val="16"/>
      <w:szCs w:val="16"/>
    </w:rPr>
  </w:style>
  <w:style w:type="paragraph" w:styleId="NormalWeb">
    <w:name w:val="Normal (Web)"/>
    <w:basedOn w:val="Normal"/>
    <w:uiPriority w:val="99"/>
    <w:pPr>
      <w:spacing w:before="100" w:beforeAutospacing="1" w:after="100" w:afterAutospacing="1"/>
      <w:jc w:val="left"/>
    </w:pPr>
    <w:rPr>
      <w:rFonts w:eastAsia="Times New Roman"/>
      <w:szCs w:val="24"/>
      <w:lang w:eastAsia="en-GB"/>
    </w:rPr>
  </w:style>
  <w:style w:type="table" w:styleId="TableGrid">
    <w:name w:val="Table Grid"/>
    <w:basedOn w:val="TableNormal"/>
    <w:uiPriority w:val="5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customStyle="1" w:styleId="Body">
    <w:name w:val="Body"/>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character" w:customStyle="1" w:styleId="ListParagraphChar">
    <w:name w:val="List Paragraph Char"/>
    <w:aliases w:val="Paragraphe de liste 2 Char,Reference list Char,Normal bullet 2 Char,Bullet list Char,Numbered List Char,List Paragraph1 Char,1st level - Bullet List Paragraph Char,Lettre d'introduction Char,Paragrafo elenco Char,Paragraph Char"/>
    <w:basedOn w:val="DefaultParagraphFont"/>
    <w:link w:val="ListParagraph"/>
    <w:uiPriority w:val="34"/>
    <w:qFormat/>
    <w:locked/>
    <w:rPr>
      <w:rFonts w:ascii="Times New Roman" w:hAnsi="Times New Roman" w:cs="Times New Roman"/>
      <w:sz w:val="24"/>
      <w:lang w:val="en-GB"/>
    </w:rPr>
  </w:style>
  <w:style w:type="character" w:customStyle="1" w:styleId="None">
    <w:name w:val="None"/>
  </w:style>
  <w:style w:type="character" w:customStyle="1" w:styleId="Heading5Char">
    <w:name w:val="Heading 5 Char"/>
    <w:basedOn w:val="DefaultParagraphFont"/>
    <w:link w:val="Heading5"/>
    <w:semiHidden/>
    <w:rPr>
      <w:rFonts w:ascii="Arial" w:eastAsia="Times New Roman" w:hAnsi="Arial" w:cs="Times New Roman"/>
      <w:szCs w:val="20"/>
      <w:lang w:val="en-GB" w:eastAsia="de-DE"/>
    </w:rPr>
  </w:style>
  <w:style w:type="character" w:customStyle="1" w:styleId="Heading6Char">
    <w:name w:val="Heading 6 Char"/>
    <w:basedOn w:val="DefaultParagraphFont"/>
    <w:link w:val="Heading6"/>
    <w:semiHidden/>
    <w:rPr>
      <w:rFonts w:ascii="Arial" w:eastAsia="Times New Roman" w:hAnsi="Arial" w:cs="Times New Roman"/>
      <w:szCs w:val="20"/>
      <w:lang w:val="en-GB" w:eastAsia="de-DE"/>
    </w:rPr>
  </w:style>
  <w:style w:type="character" w:customStyle="1" w:styleId="Heading7Char">
    <w:name w:val="Heading 7 Char"/>
    <w:basedOn w:val="DefaultParagraphFont"/>
    <w:link w:val="Heading7"/>
    <w:uiPriority w:val="99"/>
    <w:semiHidden/>
    <w:rPr>
      <w:rFonts w:ascii="Arial" w:eastAsia="Times New Roman" w:hAnsi="Arial" w:cs="Times New Roman"/>
      <w:szCs w:val="20"/>
      <w:lang w:val="en-GB" w:eastAsia="de-DE"/>
    </w:rPr>
  </w:style>
  <w:style w:type="character" w:customStyle="1" w:styleId="Heading8Char">
    <w:name w:val="Heading 8 Char"/>
    <w:basedOn w:val="DefaultParagraphFont"/>
    <w:link w:val="Heading8"/>
    <w:uiPriority w:val="99"/>
    <w:semiHidden/>
    <w:rPr>
      <w:rFonts w:ascii="Times" w:eastAsia="Times New Roman" w:hAnsi="Times" w:cs="Times New Roman"/>
      <w:i/>
      <w:sz w:val="20"/>
      <w:szCs w:val="20"/>
      <w:lang w:val="en-GB" w:eastAsia="de-DE"/>
    </w:rPr>
  </w:style>
  <w:style w:type="character" w:customStyle="1" w:styleId="Heading9Char">
    <w:name w:val="Heading 9 Char"/>
    <w:basedOn w:val="DefaultParagraphFont"/>
    <w:link w:val="Heading9"/>
    <w:uiPriority w:val="99"/>
    <w:semiHidden/>
    <w:rPr>
      <w:rFonts w:ascii="Times" w:eastAsia="Times New Roman" w:hAnsi="Times" w:cs="Times New Roman"/>
      <w:i/>
      <w:sz w:val="20"/>
      <w:szCs w:val="20"/>
      <w:lang w:val="en-GB" w:eastAsia="de-DE"/>
    </w:rPr>
  </w:style>
  <w:style w:type="numbering" w:styleId="ArticleSection">
    <w:name w:val="Outline List 3"/>
    <w:basedOn w:val="NoList"/>
    <w:uiPriority w:val="99"/>
    <w:semiHidden/>
    <w:unhideWhenUsed/>
    <w:pPr>
      <w:numPr>
        <w:numId w:val="10"/>
      </w:numPr>
    </w:pPr>
  </w:style>
  <w:style w:type="paragraph" w:styleId="NormalIndent">
    <w:name w:val="Normal Indent"/>
    <w:basedOn w:val="Normal"/>
    <w:uiPriority w:val="99"/>
    <w:semiHidden/>
    <w:unhideWhenUsed/>
    <w:pPr>
      <w:ind w:left="720"/>
    </w:pPr>
  </w:style>
  <w:style w:type="paragraph" w:customStyle="1" w:styleId="ListBullet1">
    <w:name w:val="List Bullet 1"/>
    <w:basedOn w:val="Normal"/>
    <w:pPr>
      <w:numPr>
        <w:numId w:val="11"/>
      </w:numPr>
    </w:pPr>
    <w:rPr>
      <w:rFonts w:eastAsia="Times New Roman"/>
      <w:szCs w:val="24"/>
      <w:lang w:eastAsia="en-GB"/>
    </w:rPr>
  </w:style>
  <w:style w:type="paragraph" w:customStyle="1" w:styleId="ListDash1">
    <w:name w:val="List Dash 1"/>
    <w:basedOn w:val="Normal"/>
    <w:pPr>
      <w:numPr>
        <w:numId w:val="12"/>
      </w:numPr>
    </w:pPr>
    <w:rPr>
      <w:rFonts w:eastAsia="Times New Roman"/>
      <w:szCs w:val="24"/>
      <w:lang w:eastAsia="en-GB"/>
    </w:rPr>
  </w:style>
  <w:style w:type="paragraph" w:customStyle="1" w:styleId="ListDash2">
    <w:name w:val="List Dash 2"/>
    <w:basedOn w:val="Normal"/>
    <w:pPr>
      <w:numPr>
        <w:numId w:val="13"/>
      </w:numPr>
    </w:pPr>
    <w:rPr>
      <w:rFonts w:eastAsia="Times New Roman"/>
      <w:szCs w:val="24"/>
      <w:lang w:eastAsia="en-GB"/>
    </w:rPr>
  </w:style>
  <w:style w:type="paragraph" w:customStyle="1" w:styleId="ListNumberLevel2">
    <w:name w:val="List Number (Level 2)"/>
    <w:basedOn w:val="Normal"/>
    <w:pPr>
      <w:tabs>
        <w:tab w:val="num" w:pos="1417"/>
      </w:tabs>
      <w:ind w:left="1417" w:hanging="708"/>
    </w:pPr>
    <w:rPr>
      <w:rFonts w:eastAsia="Times New Roman"/>
      <w:szCs w:val="24"/>
      <w:lang w:eastAsia="en-GB"/>
    </w:rPr>
  </w:style>
  <w:style w:type="paragraph" w:customStyle="1" w:styleId="ListNumberLevel3">
    <w:name w:val="List Number (Level 3)"/>
    <w:basedOn w:val="Normal"/>
    <w:pPr>
      <w:tabs>
        <w:tab w:val="num" w:pos="2126"/>
      </w:tabs>
      <w:ind w:left="2126" w:hanging="709"/>
    </w:pPr>
    <w:rPr>
      <w:rFonts w:eastAsia="Times New Roman"/>
      <w:szCs w:val="24"/>
      <w:lang w:eastAsia="en-GB"/>
    </w:rPr>
  </w:style>
  <w:style w:type="paragraph" w:customStyle="1" w:styleId="ListNumberLevel4">
    <w:name w:val="List Number (Level 4)"/>
    <w:basedOn w:val="Normal"/>
    <w:pPr>
      <w:tabs>
        <w:tab w:val="num" w:pos="2835"/>
      </w:tabs>
      <w:ind w:left="2835" w:hanging="709"/>
    </w:pPr>
    <w:rPr>
      <w:rFonts w:eastAsia="Times New Roman"/>
      <w:szCs w:val="24"/>
      <w:lang w:eastAsia="en-GB"/>
    </w:rPr>
  </w:style>
  <w:style w:type="paragraph" w:customStyle="1" w:styleId="Fichefinancirestandardtitre">
    <w:name w:val="Fiche financière (standard) titre"/>
    <w:basedOn w:val="Normal"/>
    <w:next w:val="Normal"/>
    <w:pPr>
      <w:jc w:val="center"/>
    </w:pPr>
    <w:rPr>
      <w:rFonts w:eastAsia="Times New Roman"/>
      <w:b/>
      <w:szCs w:val="24"/>
      <w:u w:val="single"/>
      <w:lang w:eastAsia="en-GB"/>
    </w:rPr>
  </w:style>
  <w:style w:type="character" w:customStyle="1" w:styleId="tw4winMark">
    <w:name w:val="tw4winMark"/>
    <w:rPr>
      <w:vanish/>
      <w:color w:val="800080"/>
      <w:vertAlign w:val="subscript"/>
    </w:rPr>
  </w:style>
  <w:style w:type="paragraph" w:styleId="EndnoteText">
    <w:name w:val="endnote text"/>
    <w:basedOn w:val="Normal"/>
    <w:link w:val="EndnoteTextChar"/>
    <w:pPr>
      <w:spacing w:before="0" w:after="0"/>
      <w:jc w:val="left"/>
    </w:pPr>
    <w:rPr>
      <w:rFonts w:eastAsia="Times New Roman"/>
      <w:sz w:val="20"/>
      <w:szCs w:val="20"/>
      <w:lang w:eastAsia="en-GB"/>
    </w:rPr>
  </w:style>
  <w:style w:type="character" w:customStyle="1" w:styleId="EndnoteTextChar">
    <w:name w:val="Endnote Text Char"/>
    <w:basedOn w:val="DefaultParagraphFont"/>
    <w:link w:val="EndnoteText"/>
    <w:rPr>
      <w:rFonts w:ascii="Times New Roman" w:eastAsia="Times New Roman" w:hAnsi="Times New Roman" w:cs="Times New Roman"/>
      <w:sz w:val="20"/>
      <w:szCs w:val="20"/>
      <w:lang w:val="en-GB" w:eastAsia="en-GB"/>
    </w:rPr>
  </w:style>
  <w:style w:type="character" w:styleId="EndnoteReference">
    <w:name w:val="endnote reference"/>
    <w:rPr>
      <w:vertAlign w:val="superscript"/>
    </w:rPr>
  </w:style>
  <w:style w:type="character" w:styleId="FollowedHyperlink">
    <w:name w:val="FollowedHyperlink"/>
    <w:uiPriority w:val="99"/>
    <w:unhideWhenUsed/>
    <w:rPr>
      <w:color w:val="800080"/>
      <w:u w:val="single"/>
    </w:rPr>
  </w:style>
  <w:style w:type="character" w:styleId="Emphasis">
    <w:name w:val="Emphasis"/>
    <w:uiPriority w:val="20"/>
    <w:qFormat/>
    <w:rPr>
      <w:b/>
      <w:bCs/>
      <w:i w:val="0"/>
      <w:iCs w:val="0"/>
    </w:rPr>
  </w:style>
  <w:style w:type="paragraph" w:styleId="PlainText">
    <w:name w:val="Plain Text"/>
    <w:basedOn w:val="Normal"/>
    <w:link w:val="PlainTextChar"/>
    <w:uiPriority w:val="99"/>
    <w:unhideWhenUsed/>
    <w:pPr>
      <w:spacing w:before="0" w:after="0"/>
      <w:jc w:val="left"/>
    </w:pPr>
    <w:rPr>
      <w:rFonts w:ascii="Consolas" w:eastAsia="Calibri" w:hAnsi="Consolas"/>
      <w:sz w:val="21"/>
      <w:szCs w:val="21"/>
    </w:rPr>
  </w:style>
  <w:style w:type="character" w:customStyle="1" w:styleId="PlainTextChar">
    <w:name w:val="Plain Text Char"/>
    <w:basedOn w:val="DefaultParagraphFont"/>
    <w:link w:val="PlainText"/>
    <w:uiPriority w:val="99"/>
    <w:rPr>
      <w:rFonts w:ascii="Consolas" w:eastAsia="Calibri" w:hAnsi="Consolas" w:cs="Times New Roman"/>
      <w:sz w:val="21"/>
      <w:szCs w:val="21"/>
      <w:lang w:val="en-GB"/>
    </w:rPr>
  </w:style>
  <w:style w:type="paragraph" w:customStyle="1" w:styleId="Mainpara">
    <w:name w:val="Main para"/>
    <w:basedOn w:val="Normal"/>
    <w:pPr>
      <w:spacing w:before="0"/>
    </w:pPr>
    <w:rPr>
      <w:rFonts w:eastAsia="Times New Roman"/>
      <w:szCs w:val="20"/>
      <w:lang w:eastAsia="en-GB"/>
    </w:rPr>
  </w:style>
  <w:style w:type="character" w:styleId="PlaceholderText">
    <w:name w:val="Placeholder Text"/>
    <w:uiPriority w:val="99"/>
    <w:semiHidden/>
    <w:rPr>
      <w:color w:val="808080"/>
    </w:rPr>
  </w:style>
  <w:style w:type="character" w:customStyle="1" w:styleId="testo1">
    <w:name w:val="testo1"/>
    <w:rPr>
      <w:rFonts w:ascii="Arial" w:hAnsi="Arial" w:cs="Arial" w:hint="default"/>
      <w:strike w:val="0"/>
      <w:dstrike w:val="0"/>
      <w:color w:val="666666"/>
      <w:sz w:val="18"/>
      <w:szCs w:val="18"/>
      <w:u w:val="none"/>
      <w:effect w:val="none"/>
    </w:rPr>
  </w:style>
  <w:style w:type="character" w:styleId="Strong">
    <w:name w:val="Strong"/>
    <w:uiPriority w:val="22"/>
    <w:qFormat/>
    <w:rPr>
      <w:b/>
      <w:bCs/>
    </w:rPr>
  </w:style>
  <w:style w:type="paragraph" w:styleId="ListBullet5">
    <w:name w:val="List Bullet 5"/>
    <w:basedOn w:val="Normal"/>
    <w:autoRedefine/>
    <w:pPr>
      <w:numPr>
        <w:numId w:val="15"/>
      </w:numPr>
      <w:spacing w:before="0" w:after="240"/>
    </w:pPr>
    <w:rPr>
      <w:rFonts w:eastAsia="Times New Roman"/>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lang w:val="en-GB" w:eastAsia="en-GB"/>
    </w:rPr>
  </w:style>
  <w:style w:type="character" w:customStyle="1" w:styleId="st1">
    <w:name w:val="st1"/>
    <w:basedOn w:val="DefaultParagraphFont"/>
  </w:style>
  <w:style w:type="character" w:customStyle="1" w:styleId="CRMarker">
    <w:name w:val="CR Marker"/>
    <w:uiPriority w:val="99"/>
    <w:rPr>
      <w:rFonts w:ascii="Wingdings" w:hAnsi="Wingdings" w:cs="Wingdings"/>
    </w:rPr>
  </w:style>
  <w:style w:type="paragraph" w:customStyle="1" w:styleId="CM4">
    <w:name w:val="CM4"/>
    <w:basedOn w:val="Default"/>
    <w:next w:val="Default"/>
    <w:uiPriority w:val="99"/>
    <w:rPr>
      <w:rFonts w:ascii="EUAlbertina" w:hAnsi="EUAlbertina" w:cstheme="minorBidi"/>
      <w:color w:val="auto"/>
    </w:rPr>
  </w:style>
  <w:style w:type="character" w:customStyle="1" w:styleId="apple-converted-space">
    <w:name w:val="apple-converted-space"/>
    <w:basedOn w:val="DefaultParagraphFont"/>
  </w:style>
  <w:style w:type="paragraph" w:styleId="Header">
    <w:name w:val="header"/>
    <w:basedOn w:val="Normal"/>
    <w:link w:val="HeaderChar"/>
    <w:uiPriority w:val="99"/>
    <w:unhideWhenUsed/>
    <w:rsid w:val="005C4D05"/>
    <w:pPr>
      <w:tabs>
        <w:tab w:val="center" w:pos="4535"/>
        <w:tab w:val="right" w:pos="9071"/>
      </w:tabs>
      <w:spacing w:before="0"/>
    </w:pPr>
  </w:style>
  <w:style w:type="character" w:customStyle="1" w:styleId="HeaderChar">
    <w:name w:val="Header Char"/>
    <w:basedOn w:val="DefaultParagraphFont"/>
    <w:link w:val="Header"/>
    <w:uiPriority w:val="99"/>
    <w:rsid w:val="005C4D05"/>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084743">
      <w:bodyDiv w:val="1"/>
      <w:marLeft w:val="0"/>
      <w:marRight w:val="0"/>
      <w:marTop w:val="0"/>
      <w:marBottom w:val="0"/>
      <w:divBdr>
        <w:top w:val="none" w:sz="0" w:space="0" w:color="auto"/>
        <w:left w:val="none" w:sz="0" w:space="0" w:color="auto"/>
        <w:bottom w:val="none" w:sz="0" w:space="0" w:color="auto"/>
        <w:right w:val="none" w:sz="0" w:space="0" w:color="auto"/>
      </w:divBdr>
      <w:divsChild>
        <w:div w:id="491871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820482">
              <w:marLeft w:val="0"/>
              <w:marRight w:val="0"/>
              <w:marTop w:val="0"/>
              <w:marBottom w:val="0"/>
              <w:divBdr>
                <w:top w:val="none" w:sz="0" w:space="0" w:color="auto"/>
                <w:left w:val="none" w:sz="0" w:space="0" w:color="auto"/>
                <w:bottom w:val="none" w:sz="0" w:space="0" w:color="auto"/>
                <w:right w:val="none" w:sz="0" w:space="0" w:color="auto"/>
              </w:divBdr>
              <w:divsChild>
                <w:div w:id="37712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881974">
      <w:bodyDiv w:val="1"/>
      <w:marLeft w:val="0"/>
      <w:marRight w:val="0"/>
      <w:marTop w:val="0"/>
      <w:marBottom w:val="0"/>
      <w:divBdr>
        <w:top w:val="none" w:sz="0" w:space="0" w:color="auto"/>
        <w:left w:val="none" w:sz="0" w:space="0" w:color="auto"/>
        <w:bottom w:val="none" w:sz="0" w:space="0" w:color="auto"/>
        <w:right w:val="none" w:sz="0" w:space="0" w:color="auto"/>
      </w:divBdr>
    </w:div>
    <w:div w:id="1177185929">
      <w:bodyDiv w:val="1"/>
      <w:marLeft w:val="0"/>
      <w:marRight w:val="0"/>
      <w:marTop w:val="0"/>
      <w:marBottom w:val="0"/>
      <w:divBdr>
        <w:top w:val="none" w:sz="0" w:space="0" w:color="auto"/>
        <w:left w:val="none" w:sz="0" w:space="0" w:color="auto"/>
        <w:bottom w:val="none" w:sz="0" w:space="0" w:color="auto"/>
        <w:right w:val="none" w:sz="0" w:space="0" w:color="auto"/>
      </w:divBdr>
    </w:div>
    <w:div w:id="1187058898">
      <w:bodyDiv w:val="1"/>
      <w:marLeft w:val="0"/>
      <w:marRight w:val="0"/>
      <w:marTop w:val="0"/>
      <w:marBottom w:val="0"/>
      <w:divBdr>
        <w:top w:val="none" w:sz="0" w:space="0" w:color="auto"/>
        <w:left w:val="none" w:sz="0" w:space="0" w:color="auto"/>
        <w:bottom w:val="none" w:sz="0" w:space="0" w:color="auto"/>
        <w:right w:val="none" w:sz="0" w:space="0" w:color="auto"/>
      </w:divBdr>
    </w:div>
    <w:div w:id="1211377142">
      <w:bodyDiv w:val="1"/>
      <w:marLeft w:val="0"/>
      <w:marRight w:val="0"/>
      <w:marTop w:val="0"/>
      <w:marBottom w:val="0"/>
      <w:divBdr>
        <w:top w:val="none" w:sz="0" w:space="0" w:color="auto"/>
        <w:left w:val="none" w:sz="0" w:space="0" w:color="auto"/>
        <w:bottom w:val="none" w:sz="0" w:space="0" w:color="auto"/>
        <w:right w:val="none" w:sz="0" w:space="0" w:color="auto"/>
      </w:divBdr>
    </w:div>
    <w:div w:id="1417897754">
      <w:bodyDiv w:val="1"/>
      <w:marLeft w:val="0"/>
      <w:marRight w:val="0"/>
      <w:marTop w:val="0"/>
      <w:marBottom w:val="0"/>
      <w:divBdr>
        <w:top w:val="none" w:sz="0" w:space="0" w:color="auto"/>
        <w:left w:val="none" w:sz="0" w:space="0" w:color="auto"/>
        <w:bottom w:val="none" w:sz="0" w:space="0" w:color="auto"/>
        <w:right w:val="none" w:sz="0" w:space="0" w:color="auto"/>
      </w:divBdr>
    </w:div>
    <w:div w:id="1810514879">
      <w:bodyDiv w:val="1"/>
      <w:marLeft w:val="0"/>
      <w:marRight w:val="0"/>
      <w:marTop w:val="0"/>
      <w:marBottom w:val="0"/>
      <w:divBdr>
        <w:top w:val="none" w:sz="0" w:space="0" w:color="auto"/>
        <w:left w:val="none" w:sz="0" w:space="0" w:color="auto"/>
        <w:bottom w:val="none" w:sz="0" w:space="0" w:color="auto"/>
        <w:right w:val="none" w:sz="0" w:space="0" w:color="auto"/>
      </w:divBdr>
    </w:div>
    <w:div w:id="1932201363">
      <w:bodyDiv w:val="1"/>
      <w:marLeft w:val="0"/>
      <w:marRight w:val="0"/>
      <w:marTop w:val="0"/>
      <w:marBottom w:val="0"/>
      <w:divBdr>
        <w:top w:val="none" w:sz="0" w:space="0" w:color="auto"/>
        <w:left w:val="none" w:sz="0" w:space="0" w:color="auto"/>
        <w:bottom w:val="none" w:sz="0" w:space="0" w:color="auto"/>
        <w:right w:val="none" w:sz="0" w:space="0" w:color="auto"/>
      </w:divBdr>
    </w:div>
    <w:div w:id="202724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eur-lex.europa.eu/legal-content/GA/TXT/?uri=celex:32009R1211" TargetMode="Externa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eur-lex.europa.eu/legal-content/GA/TXT/?uri=celex:32009R121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eur-lex.europa.eu/legal-content/EN/TXT/?uri=celex:32009R121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eur-lex.europa.eu/budget/data/D2007_VOL4/EN/nmc-titleN1529D/nmc-chapterN1557F/articles/index.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uroparl.europa.eu/oeil/popups/ficheprocedure.do?lang=en&amp;reference=2015/2147(INI)" TargetMode="External"/><Relationship Id="rId2" Type="http://schemas.openxmlformats.org/officeDocument/2006/relationships/hyperlink" Target="http://rspg-spectrum.eu/wp-content/uploads/2013/05/RSPG16-001-DSM_opinion.pdf" TargetMode="External"/><Relationship Id="rId1" Type="http://schemas.openxmlformats.org/officeDocument/2006/relationships/hyperlink" Target="http://berec.europa.eu/eng/document_register/subject_matter/berec/opinions/5577-berec-opinion-on-the-review-of-the-eu-electronic-communications-regulatory-framework" TargetMode="External"/><Relationship Id="rId5" Type="http://schemas.openxmlformats.org/officeDocument/2006/relationships/hyperlink" Target="https://ec.europa.eu/digital-single-market/en/digital-scoreboard" TargetMode="External"/><Relationship Id="rId4" Type="http://schemas.openxmlformats.org/officeDocument/2006/relationships/hyperlink" Target="http://ec.europa.eu/smart-regulation/impact/ia_carried_out/cia_2016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FF65168B058A774899EB229F4688081F" ma:contentTypeVersion="9" ma:contentTypeDescription="Create a new document." ma:contentTypeScope="" ma:versionID="6856da9ada1f12f76e10930093ca0912">
  <xsd:schema xmlns:xsd="http://www.w3.org/2001/XMLSchema" xmlns:xs="http://www.w3.org/2001/XMLSchema" xmlns:p="http://schemas.microsoft.com/office/2006/metadata/properties" xmlns:ns3="bc257be0-d5eb-4f72-acc9-a28f7e6f25fa" targetNamespace="http://schemas.microsoft.com/office/2006/metadata/properties" ma:root="true" ma:fieldsID="810a70e73a4944d21842648c3f3873e7" ns3:_="">
    <xsd:import namespace="bc257be0-d5eb-4f72-acc9-a28f7e6f25fa"/>
    <xsd:element name="properties">
      <xsd:complexType>
        <xsd:sequence>
          <xsd:element name="documentManagement">
            <xsd:complexType>
              <xsd:all>
                <xsd:element ref="ns3:EC_Collab_Reference" minOccurs="0"/>
                <xsd:element ref="ns3:EC_Collab_Document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57be0-d5eb-4f72-acc9-a28f7e6f25f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Reference xmlns="bc257be0-d5eb-4f72-acc9-a28f7e6f25fa" xsi:nil="true"/>
    <EC_Collab_DocumentLanguage xmlns="bc257be0-d5eb-4f72-acc9-a28f7e6f25fa">EN</EC_Collab_DocumentLangu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C4411-4627-4146-8960-7C1FCD07D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57be0-d5eb-4f72-acc9-a28f7e6f2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054F61-9042-4C0C-A0A8-388F6ABB53BC}">
  <ds:schemaRefs>
    <ds:schemaRef ds:uri="http://schemas.microsoft.com/office/2006/metadata/properties"/>
    <ds:schemaRef ds:uri="http://schemas.microsoft.com/office/infopath/2007/PartnerControls"/>
    <ds:schemaRef ds:uri="bc257be0-d5eb-4f72-acc9-a28f7e6f25fa"/>
  </ds:schemaRefs>
</ds:datastoreItem>
</file>

<file path=customXml/itemProps3.xml><?xml version="1.0" encoding="utf-8"?>
<ds:datastoreItem xmlns:ds="http://schemas.openxmlformats.org/officeDocument/2006/customXml" ds:itemID="{0F1CF3F5-C35D-4248-815C-9BEB3F709190}">
  <ds:schemaRefs>
    <ds:schemaRef ds:uri="http://schemas.microsoft.com/sharepoint/v3/contenttype/forms"/>
  </ds:schemaRefs>
</ds:datastoreItem>
</file>

<file path=customXml/itemProps4.xml><?xml version="1.0" encoding="utf-8"?>
<ds:datastoreItem xmlns:ds="http://schemas.openxmlformats.org/officeDocument/2006/customXml" ds:itemID="{2C2BA791-7B77-4086-AFA6-4CCF842B6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Pages>
  <Words>24594</Words>
  <Characters>136256</Characters>
  <Application>Microsoft Office Word</Application>
  <DocSecurity>0</DocSecurity>
  <Lines>2725</Lines>
  <Paragraphs>1209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PAGANELI Erifili (SG)</cp:lastModifiedBy>
  <cp:revision>19</cp:revision>
  <cp:lastPrinted>2016-09-09T08:45:00Z</cp:lastPrinted>
  <dcterms:created xsi:type="dcterms:W3CDTF">2016-10-10T14:25:00Z</dcterms:created>
  <dcterms:modified xsi:type="dcterms:W3CDTF">2016-10-12T13:23:00Z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0x010100258AA79CEB83498886A3A0868112325000FF65168B058A774899EB229F4688081F</vt:lpwstr>
  </property>
  <property fmtid="{D5CDD505-2E9C-101B-9397-08002B2CF9AE}" pid="11" name="EC_Collab_Reference">
    <vt:lpwstr/>
  </property>
  <property fmtid="{D5CDD505-2E9C-101B-9397-08002B2CF9AE}" pid="12" name="EC_Collab_DocumentLanguage">
    <vt:lpwstr>EN</vt:lpwstr>
  </property>
  <property fmtid="{D5CDD505-2E9C-101B-9397-08002B2CF9AE}" pid="13" name="DQCStatus">
    <vt:lpwstr>Yellow (DQC version 03)</vt:lpwstr>
  </property>
</Properties>
</file>