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67E00206E4441B8AE3AF3703B6BD080" style="width:450.7pt;height:35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ind w:left="851" w:hanging="851"/>
        <w:rPr>
          <w:noProof/>
        </w:rPr>
      </w:pPr>
      <w:r>
        <w:rPr>
          <w:noProof/>
        </w:rPr>
        <w:t>1.</w:t>
      </w:r>
      <w:r>
        <w:rPr>
          <w:noProof/>
        </w:rPr>
        <w:tab/>
        <w:t>SOUVISLOSTI NÁVRHU</w:t>
      </w:r>
    </w:p>
    <w:p>
      <w:pPr>
        <w:pStyle w:val="ManualHeading2"/>
        <w:ind w:left="851" w:hanging="851"/>
        <w:rPr>
          <w:rFonts w:eastAsia="Arial Unicode MS"/>
          <w:noProof/>
        </w:rPr>
      </w:pPr>
      <w:r>
        <w:rPr>
          <w:noProof/>
          <w:color w:val="000000"/>
          <w:u w:color="000000"/>
          <w:bdr w:val="nil"/>
        </w:rPr>
        <w:t>•</w:t>
      </w:r>
      <w:r>
        <w:rPr>
          <w:noProof/>
        </w:rPr>
        <w:tab/>
        <w:t>Odůvodnění a cíle návrhu</w:t>
      </w:r>
    </w:p>
    <w:p>
      <w:pPr>
        <w:rPr>
          <w:noProof/>
          <w:szCs w:val="24"/>
        </w:rPr>
      </w:pPr>
      <w:r>
        <w:rPr>
          <w:noProof/>
        </w:rPr>
        <w:t xml:space="preserve">Dne 7. června 2016 přijala Komise sdělení o </w:t>
      </w:r>
      <w:r>
        <w:rPr>
          <w:i/>
          <w:noProof/>
        </w:rPr>
        <w:t>zřízení nového rámce pro partnerství se třetími zeměmi v Evropském programu o migraci</w:t>
      </w:r>
      <w:r>
        <w:rPr>
          <w:rStyle w:val="FootnoteReference"/>
          <w:noProof/>
        </w:rPr>
        <w:footnoteReference w:id="2"/>
      </w:r>
      <w:r>
        <w:rPr>
          <w:noProof/>
        </w:rPr>
        <w:t xml:space="preserve">. Kromě řady navrhovaných opatření k řešení nejnaléhavějších potřeb uprchlíků a podpory hostitelských společenství Komise požaduje dlouhodobou strategii, jejímž prostřednictvím bude EU podporovat cíle udržitelného rozvoje Agendy 2030, a pokračovat tak v řešení hlavních příčin migrace. </w:t>
      </w:r>
    </w:p>
    <w:p>
      <w:pPr>
        <w:rPr>
          <w:noProof/>
          <w:szCs w:val="24"/>
        </w:rPr>
      </w:pPr>
      <w:r>
        <w:rPr>
          <w:noProof/>
        </w:rPr>
        <w:t>To je rovněž v souladu s globální strategií EU pro zahraniční a bezpečnostní politiku, jež zahrnuje výzvy, jako je migrace, do celkového rámce své zahraniční politiky a zajišťuje soudržnost a synergie s evropskou rozvojovou politikou a politikou sousedství a evropskou hospodářskou diplomacií.</w:t>
      </w:r>
    </w:p>
    <w:p>
      <w:pPr>
        <w:rPr>
          <w:rFonts w:eastAsia="Times New Roman"/>
          <w:noProof/>
        </w:rPr>
      </w:pPr>
      <w:r>
        <w:rPr>
          <w:noProof/>
        </w:rPr>
        <w:t>Evropská rada na svém zasedání dne 28. června 2016 vyzvala Komisi, aby do září 2016 předložila návrh ambiciózního plánu vnějších investic (EIP). EIP bude vycházet ze tří součinných pilířů: nového investičního fondu (pilíř 1); technické pomoci (pilíř 2) na podporu místních orgánů a společností při vytváření většího počtu udržitelných projektů a přilákání investorů a konečně řady specializovaných tematických, národních a regionálních programů rozvojové spolupráce EU v kombinaci se strukturovaným politickým dialogem zaměřeným na zlepšování investičního prostředí a celkového politického prostředí v dotčených zemích (pilíř 3). Pilíř 3 EIP spojuje Evropský fond pro udržitelný rozvoj (EFSD) a široké partnerství mezi EU a jejími partnerskými zeměmi. Realizace tohoto partnerství probíhá v oblasti politického dialogu a dialogu o politikách, které Komise provádí prostřednictvím delegací EU a politických kontaktů.</w:t>
      </w:r>
    </w:p>
    <w:p>
      <w:pPr>
        <w:widowControl w:val="0"/>
        <w:shd w:val="clear" w:color="auto" w:fill="FFFFFF"/>
        <w:autoSpaceDE w:val="0"/>
        <w:autoSpaceDN w:val="0"/>
        <w:adjustRightInd w:val="0"/>
        <w:ind w:right="86"/>
        <w:rPr>
          <w:noProof/>
          <w:szCs w:val="24"/>
        </w:rPr>
      </w:pPr>
      <w:r>
        <w:rPr>
          <w:noProof/>
        </w:rPr>
        <w:t>Pilíř 1 bude prováděn prostřednictvím EFSD. Hlavním cílem EFSD bude zajistit integrovaný finanční balíček k financování investic započínajících v regionech Afriky a zemích sousedství</w:t>
      </w:r>
      <w:r>
        <w:rPr>
          <w:rStyle w:val="FootnoteReference"/>
          <w:noProof/>
        </w:rPr>
        <w:t xml:space="preserve"> </w:t>
      </w:r>
      <w:r>
        <w:rPr>
          <w:rStyle w:val="FootnoteReference"/>
          <w:noProof/>
        </w:rPr>
        <w:footnoteReference w:id="3"/>
      </w:r>
      <w:r>
        <w:rPr>
          <w:noProof/>
        </w:rPr>
        <w:t xml:space="preserve">. </w:t>
      </w:r>
    </w:p>
    <w:p>
      <w:pPr>
        <w:rPr>
          <w:noProof/>
          <w:szCs w:val="24"/>
        </w:rPr>
      </w:pPr>
      <w:r>
        <w:rPr>
          <w:noProof/>
        </w:rPr>
        <w:t>EFSD budou tvořit regionální investiční platformy, které budou kombinovat financování ze stávajících nástrojů kombinovaného financování</w:t>
      </w:r>
      <w:r>
        <w:rPr>
          <w:rStyle w:val="FootnoteReference"/>
          <w:noProof/>
        </w:rPr>
        <w:footnoteReference w:id="4"/>
      </w:r>
      <w:r>
        <w:rPr>
          <w:noProof/>
        </w:rPr>
        <w:t xml:space="preserve"> a záruku EFSD. Bude fungovat jako „jednotné kontaktní místo“ pro přijímaní návrhů na financování od finančních institucí a veřejných nebo soukromých investorů a poskytovat široké spektrum finanční podpory pro způsobilé investice.</w:t>
      </w:r>
    </w:p>
    <w:p>
      <w:pPr>
        <w:rPr>
          <w:noProof/>
        </w:rPr>
      </w:pPr>
      <w:r>
        <w:rPr>
          <w:noProof/>
        </w:rPr>
        <w:t>Hlavním cílem EFSD je poskytnout integrovaný finanční balíček za účelem financování investic započínajících v regionech Afriky pro země, které jsou stranami Dohody o partnerství mezi africkými, karibskými a tichomořskými státy (státy AKT) na jedné straně a Evropským společenstvím a jeho členskými státy na straně druhé, podepsané v Cotonou dne 23. června 2000 (dále jen „dohoda z Cotonou“)</w:t>
      </w:r>
      <w:r>
        <w:rPr>
          <w:rStyle w:val="FootnoteReference"/>
          <w:noProof/>
        </w:rPr>
        <w:footnoteReference w:id="5"/>
      </w:r>
      <w:r>
        <w:rPr>
          <w:noProof/>
        </w:rPr>
        <w:t xml:space="preserve">, a v zemích sousedství, a přispět tak k růstu a vytváření pracovních příležitostí, maximalizaci adicionality, výrobě inovativních produktů a zapojení finančních prostředků ze soukromého sektoru. Očekává se, že EFSD do roku 2020 uvolní až </w:t>
      </w:r>
      <w:r>
        <w:rPr>
          <w:noProof/>
        </w:rPr>
        <w:lastRenderedPageBreak/>
        <w:t xml:space="preserve">44 000 000 000 EUR na investice z prostředků souhrnného rozpočtu Unie a jiné zdroje ve výši 3 350 000 000 EUR. </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rPr>
          <w:noProof/>
        </w:rPr>
      </w:pPr>
      <w:r>
        <w:rPr>
          <w:noProof/>
        </w:rPr>
        <w:t>V rámci zásad a cílů vnější činnosti Unie, revidované evropské politiky sousedství</w:t>
      </w:r>
      <w:r>
        <w:rPr>
          <w:rStyle w:val="FootnoteReference"/>
          <w:noProof/>
        </w:rPr>
        <w:footnoteReference w:id="6"/>
      </w:r>
      <w:r>
        <w:rPr>
          <w:noProof/>
        </w:rPr>
        <w:t>, Evropského konsensu o rozvoji</w:t>
      </w:r>
      <w:r>
        <w:rPr>
          <w:rStyle w:val="FootnoteReference"/>
          <w:noProof/>
        </w:rPr>
        <w:footnoteReference w:id="7"/>
      </w:r>
      <w:r>
        <w:rPr>
          <w:noProof/>
        </w:rPr>
        <w:t xml:space="preserve"> a Agendy pro změnu</w:t>
      </w:r>
      <w:r>
        <w:rPr>
          <w:rStyle w:val="FootnoteReference"/>
          <w:noProof/>
        </w:rPr>
        <w:footnoteReference w:id="8"/>
      </w:r>
      <w:r>
        <w:rPr>
          <w:noProof/>
        </w:rPr>
        <w:t xml:space="preserve"> a následných změn a dodatků by hlavním cílem spolupráce podle tohoto nařízení mělo být snížení a v dlouhodobém výhledu vymýcení chudoby v souladu s článkem 208 Smlouvy o fungování Evropské unie (SFEU), čímž se řeší hlavní příčiny migrace. Kromě toho by spolupráce podle tohoto nařízení měla rovněž přispět k: posílení udržitelného hospodářského, sociálního a environmentálního rozvoje podporujícího začlenění, upevňování a podpoře demokracie, právního státu, řádné správy věcí veřejných, lidských práv, rovnosti žen a mužů a příslušných zásad mezinárodního práva; uplatňování přístupu založeného na právech a zahrnujícího všechna lidská práva v souladu s hlavními zásadami (transparentnost, účast, nediskriminace, odpovědnost) a provádění akčního plánu pro rovnost žen a mužů</w:t>
      </w:r>
      <w:r>
        <w:rPr>
          <w:rStyle w:val="FootnoteReference"/>
          <w:noProof/>
        </w:rPr>
        <w:footnoteReference w:id="9"/>
      </w:r>
      <w:r>
        <w:rPr>
          <w:noProof/>
        </w:rPr>
        <w:t>.</w:t>
      </w:r>
    </w:p>
    <w:p>
      <w:pPr>
        <w:pBdr>
          <w:top w:val="nil"/>
          <w:left w:val="nil"/>
          <w:bottom w:val="nil"/>
          <w:right w:val="nil"/>
          <w:between w:val="nil"/>
          <w:bar w:val="nil"/>
        </w:pBdr>
        <w:rPr>
          <w:noProof/>
        </w:rPr>
      </w:pPr>
      <w:r>
        <w:rPr>
          <w:noProof/>
        </w:rPr>
        <w:t>EFSD se zaměřuje na podporu investic započínajících v regionech Afriky pro země, které jsou signatáři dohody z Cotonou a evropského nástroje sousedství jakožto nástroje pro dosažení cílů v oblasti udržitelného rozvoje, čímž se řeší základní příčiny migrace a nabízí udržitelné znovuzačlenění navrácených migrantů v zemích jejich původu. Proto je v souladu s nástroji Unie pro financování vnější činnosti a se stávajícími investičními facilitami.</w:t>
      </w:r>
    </w:p>
    <w:p>
      <w:pPr>
        <w:pBdr>
          <w:top w:val="nil"/>
          <w:left w:val="nil"/>
          <w:bottom w:val="nil"/>
          <w:right w:val="nil"/>
          <w:between w:val="nil"/>
          <w:bar w:val="nil"/>
        </w:pBdr>
        <w:rPr>
          <w:rFonts w:eastAsia="Arial Unicode MS"/>
          <w:noProof/>
        </w:rPr>
      </w:pPr>
      <w:r>
        <w:rPr>
          <w:noProof/>
        </w:rPr>
        <w:t>Díky důrazu na zapojení soukromého sektoru EFSD rovněž podpoří cíle zmíněné ve sdělení „Posílení úlohy soukromého sektoru při dosahování udržitelného růstu podporujícího začlenění v rozvojových zemích“</w:t>
      </w:r>
      <w:r>
        <w:rPr>
          <w:rStyle w:val="FootnoteReference"/>
          <w:noProof/>
        </w:rPr>
        <w:footnoteReference w:id="10"/>
      </w:r>
      <w:r>
        <w:rPr>
          <w:noProof/>
        </w:rPr>
        <w:t>.</w:t>
      </w:r>
    </w:p>
    <w:p>
      <w:pPr>
        <w:pStyle w:val="ManualHeading2"/>
        <w:rPr>
          <w:rFonts w:eastAsia="Arial Unicode MS"/>
          <w:noProof/>
        </w:rPr>
      </w:pPr>
      <w:r>
        <w:rPr>
          <w:noProof/>
          <w:color w:val="000000"/>
          <w:u w:color="000000"/>
          <w:bdr w:val="nil"/>
        </w:rPr>
        <w:t>•</w:t>
      </w:r>
      <w:r>
        <w:rPr>
          <w:noProof/>
        </w:rPr>
        <w:tab/>
        <w:t>Soulad s ostatními politikami Unie</w:t>
      </w:r>
    </w:p>
    <w:p>
      <w:pPr>
        <w:rPr>
          <w:noProof/>
        </w:rPr>
      </w:pPr>
      <w:r>
        <w:rPr>
          <w:noProof/>
        </w:rPr>
        <w:t xml:space="preserve">EIP je součástí nového rámce EU pro partnerství se třetími zeměmi v Evropském programu o migraci. </w:t>
      </w:r>
    </w:p>
    <w:p>
      <w:pPr>
        <w:rPr>
          <w:noProof/>
        </w:rPr>
      </w:pPr>
      <w:r>
        <w:rPr>
          <w:noProof/>
        </w:rPr>
        <w:t>Plán je v souladu s revidovanou evropskou politikou sousedství (EPS)</w:t>
      </w:r>
      <w:r>
        <w:rPr>
          <w:rStyle w:val="FootnoteReference"/>
          <w:noProof/>
        </w:rPr>
        <w:footnoteReference w:id="11"/>
      </w:r>
      <w:r>
        <w:rPr>
          <w:noProof/>
        </w:rPr>
        <w:t>, jež se zaměřuje na podporu hospodářského rozvoje v partnerských zemích s cílem postupně dosáhnout stabilizace a přechodu od mimořádné situace ke strukturální reakci.</w:t>
      </w:r>
      <w:r>
        <w:rPr>
          <w:noProof/>
          <w:color w:val="000000"/>
        </w:rPr>
        <w:t xml:space="preserve"> </w:t>
      </w:r>
      <w:r>
        <w:rPr>
          <w:noProof/>
        </w:rPr>
        <w:t xml:space="preserve">Je rovněž v souladu s cíli akčního programu z Addis Abeby o financování rozvoje. </w:t>
      </w:r>
    </w:p>
    <w:p>
      <w:pPr>
        <w:rPr>
          <w:noProof/>
        </w:rPr>
      </w:pPr>
      <w:r>
        <w:rPr>
          <w:noProof/>
        </w:rPr>
        <w:t>EFSD je v souladu s politikami EU v oblasti změny klimatu, neboť přispěje k provádění Pařížské dohodě o změně klimatu (COP 21)</w:t>
      </w:r>
      <w:r>
        <w:rPr>
          <w:rStyle w:val="FootnoteReference"/>
          <w:noProof/>
        </w:rPr>
        <w:footnoteReference w:id="12"/>
      </w:r>
      <w:r>
        <w:rPr>
          <w:noProof/>
        </w:rPr>
        <w:t xml:space="preserve">, včetně jejích mezinárodních finančních závazků v oblasti klimatu. Jak je vysvětleno ve sdělení Komise </w:t>
      </w:r>
      <w:r>
        <w:rPr>
          <w:i/>
          <w:noProof/>
        </w:rPr>
        <w:t>Po pařížské konferenci: posouzení dopadů Pařížské dohody</w:t>
      </w:r>
      <w:r>
        <w:rPr>
          <w:rStyle w:val="FootnoteReference"/>
          <w:noProof/>
        </w:rPr>
        <w:footnoteReference w:id="13"/>
      </w:r>
      <w:r>
        <w:rPr>
          <w:noProof/>
        </w:rPr>
        <w:t xml:space="preserve">, Pařížská dohoda představuje příležitost pro hospodářskou transformaci, zaměstnanost a růst. Je ústředním prvkem pro dosažení obecnějších cílů udržitelného rozvoje, jakož i priorit EU v oblasti investic, konkurenceschopnosti, oběhového hospodářství, výzkumu, inovací a transformace energetiky. </w:t>
      </w:r>
    </w:p>
    <w:p>
      <w:pPr>
        <w:pStyle w:val="ManualHeading1"/>
        <w:ind w:left="851" w:hanging="85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rPr>
          <w:rFonts w:eastAsia="Arial Unicode MS"/>
          <w:noProof/>
        </w:rPr>
      </w:pPr>
      <w:r>
        <w:rPr>
          <w:noProof/>
        </w:rPr>
        <w:t>Jelikož cílem EFSD je posílit investice v rozvojových i v ostatních třetích zemích, právní základ pro činnosti v rámci spolupráce je tudíž čl. 209 odst. 1 (v rozvojových zemích) a čl. 212 odst. 2 (v ostatních třetích zemích) Smlouvy o fungování Evropské unie.</w:t>
      </w:r>
    </w:p>
    <w:p>
      <w:pPr>
        <w:pStyle w:val="ManualHeading2"/>
        <w:rPr>
          <w:rFonts w:eastAsia="Arial Unicode MS"/>
          <w:noProof/>
          <w:u w:color="000000"/>
          <w:bdr w:val="nil"/>
        </w:rPr>
      </w:pPr>
      <w:r>
        <w:rPr>
          <w:noProof/>
        </w:rPr>
        <w:t>•</w:t>
      </w:r>
      <w:r>
        <w:rPr>
          <w:noProof/>
        </w:rPr>
        <w:tab/>
        <w:t xml:space="preserve"> Subsidiarita (v případě nevýlučné pravomoci) a proporcionalita</w:t>
      </w:r>
    </w:p>
    <w:p>
      <w:pPr>
        <w:pBdr>
          <w:top w:val="nil"/>
          <w:left w:val="nil"/>
          <w:bottom w:val="nil"/>
          <w:right w:val="nil"/>
          <w:between w:val="nil"/>
          <w:bar w:val="nil"/>
        </w:pBdr>
        <w:rPr>
          <w:rFonts w:eastAsia="Arial Unicode MS"/>
          <w:noProof/>
        </w:rPr>
      </w:pPr>
      <w:r>
        <w:rPr>
          <w:noProof/>
        </w:rPr>
        <w:t>V souladu se zásadou subsidiarity a proporcionality ve smyslu článku 5 SFEU nemůže být cílů navrhovaných opatření uspokojivě dosaženo na úrovni členských států, a proto jich může být lépe dosaženo na úrovni EU. Sledovaných cílů lze lépe dosáhnout opatřeními na úrovni Unie – díky jejich rozsahu a účinkům. Konkrétně zásah na úrovni EU podnítí soukromé investice z celé EU a třetích zemí a pro tento účel nejlépe využije odborných zkušeností a znalostí evropských institucí. Zřízení strategické rady zajistí soulad a soudržnost mezi různými programy a iniciativami na evropské úrovni. Multiplikační efekt a reálný dopad tak budou značně větší, než by mohly být dosaženy „investiční ofenzívou“ v jednom členském státě nebo skupině členských států.</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rPr>
          <w:rFonts w:eastAsia="Arial Unicode MS"/>
          <w:noProof/>
        </w:rPr>
      </w:pPr>
      <w:r>
        <w:rPr>
          <w:noProof/>
        </w:rPr>
        <w:t xml:space="preserve">Navrhuje se zřídit EFSD a zavést záruční fond EFSD přijetím nařízení Evropského parlamentu a Rady v rámci řádného legislativního postupu. Zřízení záruky obsahující podmíněný závazek Unie musí provést zákonodárce. Komise navrhuje souběžně revizi nařízení Evropského parlamentu a Rady (EU, Euratom) č. 966/2012. </w:t>
      </w:r>
    </w:p>
    <w:p>
      <w:pPr>
        <w:pStyle w:val="ManualHeading1"/>
        <w:ind w:left="851" w:hanging="851"/>
        <w:rPr>
          <w:noProof/>
        </w:rPr>
      </w:pPr>
      <w:r>
        <w:rPr>
          <w:noProof/>
        </w:rPr>
        <w:t>3.</w:t>
      </w:r>
      <w:r>
        <w:rPr>
          <w:noProof/>
        </w:rPr>
        <w:tab/>
        <w:t xml:space="preserve">KONZULTACE SE ZÚČASTNĚNÝMI STRANAMI A SBĚR VÝSLEDKŮ ODBORNÝCH KONZULTACÍ </w:t>
      </w:r>
    </w:p>
    <w:p>
      <w:pPr>
        <w:pStyle w:val="ManualHeading2"/>
        <w:rPr>
          <w:rFonts w:eastAsia="Arial Unicode MS"/>
          <w:noProof/>
          <w:u w:color="000000"/>
          <w:bdr w:val="nil"/>
        </w:rPr>
      </w:pPr>
      <w:r>
        <w:rPr>
          <w:noProof/>
        </w:rPr>
        <w:t>•</w:t>
      </w:r>
      <w:r>
        <w:rPr>
          <w:noProof/>
        </w:rPr>
        <w:tab/>
        <w:t>Konzultace se zúčastněnými stranami</w:t>
      </w:r>
    </w:p>
    <w:p>
      <w:pPr>
        <w:pBdr>
          <w:top w:val="nil"/>
          <w:left w:val="nil"/>
          <w:bottom w:val="nil"/>
          <w:right w:val="nil"/>
          <w:between w:val="nil"/>
          <w:bar w:val="nil"/>
        </w:pBdr>
        <w:rPr>
          <w:rFonts w:eastAsia="Arial Unicode MS"/>
          <w:noProof/>
        </w:rPr>
      </w:pPr>
      <w:r>
        <w:rPr>
          <w:noProof/>
        </w:rPr>
        <w:t xml:space="preserve">Uskutečnily se neformální průzkumné konzultace s Evropskou investiční bankou (EIB), finančními institucemi členských států, Evropskou bankou pro obnovu a rozvoj (EBRD) a Skupinou Světové banky. Rovněž byla konzultována platforma EU pro kombinování zdrojů ve vnější spolupráci (EUBEC), jakož i soukromý sektor a organizace občanské společnosti. </w:t>
      </w:r>
    </w:p>
    <w:p>
      <w:pPr>
        <w:pStyle w:val="ManualHeading2"/>
        <w:rPr>
          <w:rFonts w:eastAsia="Arial Unicode MS"/>
          <w:noProof/>
          <w:u w:color="000000"/>
          <w:bdr w:val="nil"/>
        </w:rPr>
      </w:pPr>
      <w:r>
        <w:rPr>
          <w:noProof/>
        </w:rPr>
        <w:t>•</w:t>
      </w:r>
      <w:r>
        <w:rPr>
          <w:noProof/>
        </w:rPr>
        <w:tab/>
        <w:t>Sběr a využití výsledků odborných konzultací</w:t>
      </w:r>
    </w:p>
    <w:p>
      <w:pPr>
        <w:rPr>
          <w:rFonts w:eastAsia="Arial Unicode MS"/>
          <w:noProof/>
        </w:rPr>
      </w:pPr>
      <w:r>
        <w:rPr>
          <w:noProof/>
        </w:rPr>
        <w:t>Komise získala rozsáhlé zkušenosti s podobnými nástroji, jako je Evropský fond pro strategické investice (EFSI)</w:t>
      </w:r>
      <w:r>
        <w:rPr>
          <w:rStyle w:val="FootnoteReference"/>
          <w:noProof/>
        </w:rPr>
        <w:footnoteReference w:id="14"/>
      </w:r>
      <w:r>
        <w:rPr>
          <w:noProof/>
        </w:rPr>
        <w:t xml:space="preserve"> pro vnitřní politiky EU a několik finančních nástrojů a strukturovaných grantů podporovaných nástroji kombinovaného financování EU pro vnější politiky EU</w:t>
      </w:r>
      <w:r>
        <w:rPr>
          <w:rStyle w:val="FootnoteReference"/>
          <w:noProof/>
        </w:rPr>
        <w:footnoteReference w:id="15"/>
      </w:r>
      <w:r>
        <w:rPr>
          <w:noProof/>
        </w:rPr>
        <w:t xml:space="preserve">. Cílem bylo mobilizovat další investice, zejména soukromých investorů, poskytnutím částečných záruk nebo zmírnění rizika na základě první ztráty nebo na rovnocenném základě finančním institucím, obvykle veřejným finančním institucím, jež jsou v současné době přítomné v kombinování zdrojů EU ve vnější činnosti a které samy poskytují podporu (prostřednictvím úvěrů, záruk, kapitálových či podobných produktů). </w:t>
      </w: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rPr>
          <w:rFonts w:eastAsia="Arial Unicode MS"/>
          <w:noProof/>
        </w:rPr>
      </w:pPr>
      <w:r>
        <w:rPr>
          <w:noProof/>
        </w:rPr>
        <w:t>Projekty využívající záruk v rámci EFSD budou posouzeny z hlediska svého dopadu na základní práva. V rámci zásad a cílů vnější činnosti Unie, revidované evropské politiky sousedství</w:t>
      </w:r>
      <w:r>
        <w:rPr>
          <w:rStyle w:val="FootnoteReference"/>
          <w:noProof/>
        </w:rPr>
        <w:footnoteReference w:id="16"/>
      </w:r>
      <w:r>
        <w:rPr>
          <w:noProof/>
        </w:rPr>
        <w:t>, Evropského konsensu o rozvoji</w:t>
      </w:r>
      <w:r>
        <w:rPr>
          <w:rStyle w:val="FootnoteReference"/>
          <w:noProof/>
        </w:rPr>
        <w:footnoteReference w:id="17"/>
      </w:r>
      <w:r>
        <w:rPr>
          <w:noProof/>
        </w:rPr>
        <w:t xml:space="preserve"> a Agendy pro změnu</w:t>
      </w:r>
      <w:r>
        <w:rPr>
          <w:rStyle w:val="FootnoteReference"/>
          <w:noProof/>
        </w:rPr>
        <w:footnoteReference w:id="18"/>
      </w:r>
      <w:r>
        <w:rPr>
          <w:noProof/>
        </w:rPr>
        <w:t xml:space="preserve"> a následných změn a dodatků: a) bude hlavním cílem spolupráce podle tohoto nařízení snížení a v dlouhodobém výhledu vymýcení chudoby, čímž se řeší hlavní příčiny migrace; b) spolupráce podle tohoto nařízení rovněž přispěje k: i) posílení udržitelného hospodářského, sociálního a environmentálního rozvoje podporujícího začlenění; ii) upevňování a podpoře demokracie, právního státu, řádné správy věcí veřejných, lidských práv, rovnosti žen a mužů a příslušných zásad mezinárodního práva; iii) uplatňování přístupu založeného na právech a zahrnujícího všechna lidská práva v souladu s hlavními zásadami (transparentnost, účast, nediskriminace, odpovědnost); iv) provádění akčního plánu pro rovnost žen a mužů</w:t>
      </w:r>
      <w:r>
        <w:rPr>
          <w:rStyle w:val="FootnoteReference"/>
          <w:noProof/>
        </w:rPr>
        <w:footnoteReference w:id="19"/>
      </w:r>
      <w:r>
        <w:rPr>
          <w:noProof/>
        </w:rPr>
        <w:t xml:space="preserve">. Dosažení těchto cílů se bude měřit pomocí příslušných ukazatelů, včetně ukazatelů lidského rozvoje, zejména cílů udržitelného rozvoje a dalších ukazatelů sjednaných na mezinárodní úrovni Unií a jejími členskými státy (např. obecné zásady OSN v oblasti podnikání a lidských práv). </w:t>
      </w:r>
    </w:p>
    <w:p>
      <w:pPr>
        <w:pStyle w:val="ManualHeading1"/>
        <w:ind w:left="851" w:hanging="851"/>
        <w:rPr>
          <w:noProof/>
        </w:rPr>
      </w:pPr>
      <w:r>
        <w:rPr>
          <w:noProof/>
        </w:rPr>
        <w:t>4.</w:t>
      </w:r>
      <w:r>
        <w:rPr>
          <w:noProof/>
        </w:rPr>
        <w:tab/>
        <w:t>ROZPOČTOVÉ DŮSLEDKY</w:t>
      </w:r>
    </w:p>
    <w:p>
      <w:pPr>
        <w:pBdr>
          <w:top w:val="nil"/>
          <w:left w:val="nil"/>
          <w:bottom w:val="nil"/>
          <w:right w:val="nil"/>
          <w:between w:val="nil"/>
          <w:bar w:val="nil"/>
        </w:pBdr>
        <w:rPr>
          <w:rFonts w:eastAsia="Arial Unicode MS"/>
          <w:noProof/>
        </w:rPr>
      </w:pPr>
      <w:r>
        <w:rPr>
          <w:noProof/>
        </w:rPr>
        <w:t>Unie poskytne celkem 750 000 000 EUR na záruku EFSD do roku 2020 ze souhrnného rozpočtu Unie i z 11. Evropského rozvojového fondu (ERF)</w:t>
      </w:r>
      <w:r>
        <w:rPr>
          <w:rStyle w:val="FootnoteReference"/>
          <w:noProof/>
        </w:rPr>
        <w:footnoteReference w:id="20"/>
      </w:r>
      <w:r>
        <w:rPr>
          <w:noProof/>
        </w:rPr>
        <w:t>. Mohlo by se počítat i s dalším financováním. Komise má v úmyslu navrhnout uvolnění prostředků z rozpětí pro nepředvídané události s cílem poskytnout částku ve výši 250 000 000 EUR. Ostatní příspěvky z rozpočtu Unie by byly realizovány přerozdělením nebo přesměrováním vyhrazených prostředků. Další financování by mohlo rovněž zahrnovat další příspěvky jiných přispěvatelů, například členských států.</w:t>
      </w:r>
    </w:p>
    <w:p>
      <w:pPr>
        <w:pStyle w:val="ManualHeading1"/>
        <w:ind w:left="851" w:hanging="85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Plány provádění a monitorování, hodnocení a podávání zpráv</w:t>
      </w:r>
    </w:p>
    <w:p>
      <w:pPr>
        <w:pBdr>
          <w:top w:val="nil"/>
          <w:left w:val="nil"/>
          <w:bottom w:val="nil"/>
          <w:right w:val="nil"/>
          <w:between w:val="nil"/>
          <w:bar w:val="nil"/>
        </w:pBdr>
        <w:rPr>
          <w:rFonts w:eastAsia="Arial Unicode MS"/>
          <w:noProof/>
        </w:rPr>
      </w:pPr>
      <w:r>
        <w:rPr>
          <w:noProof/>
        </w:rPr>
        <w:t>EFSD bude řízen Komisí a prováděn prostřednictvím regionálních investičních platforem, jež budou kombinovat financování ze stávajících nástrojů kombinovaného financování pro Afriku a evropské sousedství a poskytnutí záruky EFSD.</w:t>
      </w:r>
    </w:p>
    <w:p>
      <w:pPr>
        <w:pStyle w:val="ManualHeading2"/>
        <w:rPr>
          <w:rFonts w:eastAsia="Arial Unicode MS"/>
          <w:noProof/>
          <w:u w:color="000000"/>
          <w:bdr w:val="nil"/>
        </w:rPr>
      </w:pPr>
      <w:r>
        <w:rPr>
          <w:noProof/>
        </w:rPr>
        <w:t>•</w:t>
      </w:r>
      <w:r>
        <w:rPr>
          <w:noProof/>
        </w:rPr>
        <w:tab/>
        <w:t>Podrobné vysvětlení konkrétních ustanovení návrhu</w:t>
      </w:r>
    </w:p>
    <w:p>
      <w:pPr>
        <w:pBdr>
          <w:top w:val="nil"/>
          <w:left w:val="nil"/>
          <w:bottom w:val="nil"/>
          <w:right w:val="nil"/>
          <w:between w:val="nil"/>
          <w:bar w:val="nil"/>
        </w:pBdr>
        <w:rPr>
          <w:noProof/>
        </w:rPr>
      </w:pPr>
      <w:r>
        <w:rPr>
          <w:noProof/>
        </w:rPr>
        <w:t>EFSD bude sestávat z regionálních investičních platforem, jež budou kombinovat financování ze stávajících nástrojů kombinovaného financování pro Afriku a pro evropské sousedství a poskytnutí záruky EFSD.</w:t>
      </w:r>
    </w:p>
    <w:p>
      <w:pPr>
        <w:pBdr>
          <w:top w:val="nil"/>
          <w:left w:val="nil"/>
          <w:bottom w:val="nil"/>
          <w:right w:val="nil"/>
          <w:between w:val="nil"/>
          <w:bar w:val="nil"/>
        </w:pBdr>
        <w:rPr>
          <w:noProof/>
        </w:rPr>
      </w:pPr>
      <w:r>
        <w:rPr>
          <w:noProof/>
        </w:rPr>
        <w:t xml:space="preserve">Regionální investiční platformy budou zaměřeny na dosažení cílů udržitelného rozvoje a na lepší řešení hlavních příčin migrace. </w:t>
      </w:r>
    </w:p>
    <w:p>
      <w:pPr>
        <w:pBdr>
          <w:top w:val="nil"/>
          <w:left w:val="nil"/>
          <w:bottom w:val="nil"/>
          <w:right w:val="nil"/>
          <w:between w:val="nil"/>
          <w:bar w:val="nil"/>
        </w:pBdr>
        <w:rPr>
          <w:noProof/>
        </w:rPr>
      </w:pPr>
      <w:r>
        <w:rPr>
          <w:noProof/>
        </w:rPr>
        <w:t>Pro účely iniciativy EFSD bude pozměněno zaměření cílů investiční facility pro Afriku</w:t>
      </w:r>
      <w:r>
        <w:rPr>
          <w:rStyle w:val="FootnoteReference"/>
          <w:noProof/>
        </w:rPr>
        <w:footnoteReference w:id="21"/>
      </w:r>
      <w:r>
        <w:rPr>
          <w:noProof/>
        </w:rPr>
        <w:t xml:space="preserve"> a investičního nástroje sousedství</w:t>
      </w:r>
      <w:r>
        <w:rPr>
          <w:rStyle w:val="FootnoteReference"/>
          <w:noProof/>
        </w:rPr>
        <w:footnoteReference w:id="22"/>
      </w:r>
      <w:r>
        <w:rPr>
          <w:noProof/>
        </w:rPr>
        <w:t>, jež budou přejmenovány a stanou se novými příslušnými regionálními investičními platformami vycházejícími ze stávajících struktur. To bude provedeno prostřednictvím rozhodnutí Komise.</w:t>
      </w:r>
    </w:p>
    <w:p>
      <w:pPr>
        <w:pBdr>
          <w:top w:val="nil"/>
          <w:left w:val="nil"/>
          <w:bottom w:val="nil"/>
          <w:right w:val="nil"/>
          <w:between w:val="nil"/>
          <w:bar w:val="nil"/>
        </w:pBdr>
        <w:rPr>
          <w:noProof/>
        </w:rPr>
      </w:pPr>
      <w:r>
        <w:rPr>
          <w:noProof/>
        </w:rPr>
        <w:t xml:space="preserve">Regionální investiční platformy budou mít stejné struktury jako stávající kombinované financování. </w:t>
      </w:r>
    </w:p>
    <w:p>
      <w:pPr>
        <w:spacing w:line="100" w:lineRule="atLeast"/>
        <w:rPr>
          <w:noProof/>
          <w:szCs w:val="24"/>
        </w:rPr>
      </w:pPr>
      <w:r>
        <w:rPr>
          <w:noProof/>
        </w:rPr>
        <w:t>Komisi bude nápomocna strategická rada a dvě provozní rady, každá pro jednu regionální investiční platformu.</w:t>
      </w:r>
      <w:r>
        <w:rPr>
          <w:b/>
          <w:noProof/>
        </w:rPr>
        <w:t xml:space="preserve"> </w:t>
      </w:r>
      <w:r>
        <w:rPr>
          <w:noProof/>
        </w:rPr>
        <w:t>Sekretariát EFSD, který zajistí plnění všech úkolů a funkcí potřebných ke splnění cílů plánu vnějších investic, bude spravovat Komise. Strategická rada, jíž budou společně předsedat zástupci Komise a vysoké představitelky Unie pro zahraniční věci a bezpečnostní politiku a která bude složena ze zástupců členských států a EIB, bude poskytovat strategické pokyny a pomáhat Komisi při stanovování celkových investičních cílů, pokud jde o využívání záruky EFSD, při zajištění koordinace a soudržnosti mezi regionálními investičními platformami a mandátem k poskytování úvěrů třetím zemím, iniciativou na podporu odolnosti a investiční facilitou AKT, které jsou spravovány EIB. EIB se bude aktivně podílet prostřednictvím poradenství poskytovaného Komisi ohledně provozního řízení záruky.</w:t>
      </w:r>
    </w:p>
    <w:p>
      <w:pPr>
        <w:spacing w:line="100" w:lineRule="atLeast"/>
        <w:rPr>
          <w:rFonts w:ascii="Calibri" w:hAnsi="Calibri"/>
          <w:noProof/>
          <w:sz w:val="22"/>
        </w:rPr>
      </w:pPr>
      <w:r>
        <w:rPr>
          <w:noProof/>
        </w:rPr>
        <w:t xml:space="preserve">Bude zajištěno řádné technické posouzení a hloubková analýza jednotlivých projektů, jakož i jejich urychlená realizace. V zájmu zajištění důvěryhodnosti vůči soukromému sektoru a před schválením investičních návrhů Komisí posoudí způsobilé zainteresované partnerské strany možnost bankovního financování a rizikovost projektů, které následně ověří ještě nezávislí odborníci. Podrobné praktické aspekty provádění záruky budou rozhodnuty pro každé investiční okno zvlášť. </w:t>
      </w:r>
    </w:p>
    <w:p>
      <w:pPr>
        <w:pBdr>
          <w:top w:val="nil"/>
          <w:left w:val="nil"/>
          <w:bottom w:val="nil"/>
          <w:right w:val="nil"/>
          <w:between w:val="nil"/>
          <w:bar w:val="nil"/>
        </w:pBdr>
        <w:rPr>
          <w:noProof/>
        </w:rPr>
      </w:pPr>
      <w:r>
        <w:rPr>
          <w:noProof/>
        </w:rPr>
        <w:t>V budoucnu lze zvážit vytvoření dodatečné investiční platformy.</w:t>
      </w:r>
    </w:p>
    <w:p>
      <w:pPr>
        <w:pBdr>
          <w:top w:val="nil"/>
          <w:left w:val="nil"/>
          <w:bottom w:val="nil"/>
          <w:right w:val="nil"/>
          <w:between w:val="nil"/>
          <w:bar w:val="nil"/>
        </w:pBdr>
        <w:rPr>
          <w:noProof/>
        </w:rPr>
      </w:pPr>
      <w:r>
        <w:rPr>
          <w:noProof/>
        </w:rPr>
        <w:t xml:space="preserve">Záruka EFSD je jednou ze složek EFSD. Cílem záruky EFSD je vytvořit garanční kapacitu pro úvěrové posílení, které bude v konečném důsledku přínosem pro konečné investice a umožní sdílení rizik s ostatními investory, zejména soukromými subjekty. Bude aktivovat dodatečné financování, zejména ze soukromého sektoru, tím, že se zaměří na klíčové faktory, které umožňují zapojení soukromých investic. </w:t>
      </w:r>
    </w:p>
    <w:p>
      <w:pPr>
        <w:pBdr>
          <w:top w:val="nil"/>
          <w:left w:val="nil"/>
          <w:bottom w:val="nil"/>
          <w:right w:val="nil"/>
          <w:between w:val="nil"/>
          <w:bar w:val="nil"/>
        </w:pBdr>
        <w:rPr>
          <w:noProof/>
        </w:rPr>
      </w:pPr>
      <w:r>
        <w:rPr>
          <w:noProof/>
        </w:rPr>
        <w:t xml:space="preserve">Záruční fond EFSD bude poskytovat likviditu v případě, že budou muset být vyplaceny prostředky ze záruky EFSD k pokrytí ztrát vzniklých v rámci záručních dohod. Záruční fond EFSD bude financován z rozpočtu EU a ERF a případně dalších přispěvatelů a bude využíván s cílem absorbovat případné ztráty vzniklé způsobilým zainteresovaným partnerským stranám, jako jsou mezinárodní finanční instituce, rozvojové banky a investoři ze soukromého sektoru. </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2016/0281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o Evropském fondu pro udržitelný rozvoj (EFSD) a o zřízení záruky EFSD a záručního fondu EFSD</w:t>
      </w:r>
    </w:p>
    <w:p>
      <w:pPr>
        <w:pStyle w:val="Institutionquiagit"/>
        <w:rPr>
          <w:noProof/>
        </w:rPr>
      </w:pPr>
      <w:r>
        <w:rPr>
          <w:noProof/>
        </w:rPr>
        <w:t>EVROPSKÝ PARLAMENT A RADA EVROPSKÉ UNIE,</w:t>
      </w:r>
    </w:p>
    <w:p>
      <w:pPr>
        <w:rPr>
          <w:noProof/>
        </w:rPr>
      </w:pPr>
      <w:r>
        <w:rPr>
          <w:noProof/>
        </w:rPr>
        <w:t>s ohledem na Smlouvu o fungování Evropské unie, a zejména na čl. 209 odst. 1 a čl. 212 odst. 2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Ambiciózní plán vnějších investic (EIP) Unie je nutný pro podporu započínajících investic v Africe a v zemích sousedství jako prostředek k prosazování cílů udržitelného rozvoje Agendy OSN pro udržitelný rozvoj 2030 („Agenda 2030“), jakož i závazků v rámci nedávno revidované evropské politiky sousedství, čímž se řeší hlavní příčiny migrace. Rovněž by měl přispět k provádění Pařížské dohody o změně klimatu (COP 21).</w:t>
      </w:r>
    </w:p>
    <w:p>
      <w:pPr>
        <w:pStyle w:val="ManualConsidrant"/>
        <w:rPr>
          <w:noProof/>
        </w:rPr>
      </w:pPr>
      <w:r>
        <w:t>(2)</w:t>
      </w:r>
      <w:r>
        <w:tab/>
      </w:r>
      <w:r>
        <w:rPr>
          <w:noProof/>
        </w:rPr>
        <w:t xml:space="preserve">EIP by měl zahrnovat závazek Unie v rámci akčního programu z Addis Abeby o financování rozvoje. Rovněž by měl umožnit evropským investorům a soukromým společnostem, včetně malých a středních podniků, účinněji se podílet na udržitelném rozvoji v partnerských zemích. </w:t>
      </w:r>
    </w:p>
    <w:p>
      <w:pPr>
        <w:pStyle w:val="ManualConsidrant"/>
        <w:rPr>
          <w:noProof/>
        </w:rPr>
      </w:pPr>
      <w:r>
        <w:t>(3)</w:t>
      </w:r>
      <w:r>
        <w:tab/>
      </w:r>
      <w:r>
        <w:rPr>
          <w:noProof/>
        </w:rPr>
        <w:t>To je v souladu s globální strategií Unie pro zahraniční a bezpečnostní politiku, jež zahrnuje výzvy, jako je migrace a odolnost, do celkového rámce zahraniční politiky EU a zajišťuje soudržnost a synergie s evropskou rozvojovou politikou a politikou sousedství.</w:t>
      </w:r>
    </w:p>
    <w:p>
      <w:pPr>
        <w:pStyle w:val="ManualConsidrant"/>
        <w:rPr>
          <w:noProof/>
        </w:rPr>
      </w:pPr>
      <w:r>
        <w:t>(4)</w:t>
      </w:r>
      <w:r>
        <w:tab/>
      </w:r>
      <w:r>
        <w:rPr>
          <w:noProof/>
        </w:rPr>
        <w:t>EIP by měl poskytnout integrovaný finanční balíček za účelem financování investic započínajících v regionech Afriky pro země, které jsou stranami Dohody o partnerství mezi africkými, karibskými a tichomořskými státy na jedné straně a Evropským společenstvím a jeho členskými státy na straně druhé, podepsané v Cotonou dne 23. června 2000</w:t>
      </w:r>
      <w:r>
        <w:rPr>
          <w:rStyle w:val="FootnoteReference"/>
          <w:noProof/>
        </w:rPr>
        <w:footnoteReference w:id="23"/>
      </w:r>
      <w:r>
        <w:rPr>
          <w:noProof/>
        </w:rPr>
        <w:t>, a v zemích evropského sousedství, a přispět tak k růstu a vytváření pracovních příležitostí, maximalizaci adicionality, výrobě inovativních produktů a zapojení finančních prostředků ze soukromého sektoru.</w:t>
      </w:r>
    </w:p>
    <w:p>
      <w:pPr>
        <w:pStyle w:val="ManualConsidrant"/>
        <w:rPr>
          <w:noProof/>
        </w:rPr>
      </w:pPr>
      <w:r>
        <w:t>(5)</w:t>
      </w:r>
      <w:r>
        <w:tab/>
      </w:r>
      <w:r>
        <w:rPr>
          <w:noProof/>
        </w:rPr>
        <w:t>Evropský fond pro udržitelný rozvoj (EFSD) by měly tvořit regionální investiční platformy, které budou kombinovat financování ze stávajících nástrojů kombinovaného financování a záruku EFSD. Stávající nástroje kombinovaného financování pro Afriku byly zřízeny rozhodnutím Komise C(2015) 5210 a prováděcím rozhodnutím Komise C(2016) 3436 pro sousedství. Každá regionální investiční platforma by měla mít provozní radu, jež je nápomocna Komisi při definování regionálních a odvětvových investičních cílů, regionálních, odvětvových a tematických investičních oken, vypracovává stanoviska týkající se operací souvisejících s kombinováním zdrojů a projednává používání záruky EFSD v souladu s investičními okny, která mají být stanovena.</w:t>
      </w:r>
    </w:p>
    <w:p>
      <w:pPr>
        <w:pStyle w:val="ManualConsidrant"/>
        <w:rPr>
          <w:noProof/>
        </w:rPr>
      </w:pPr>
      <w:r>
        <w:t>(6)</w:t>
      </w:r>
      <w:r>
        <w:tab/>
      </w:r>
      <w:r>
        <w:rPr>
          <w:noProof/>
        </w:rPr>
        <w:t xml:space="preserve">Kromě toho by měl EFSD fungovat jako „jednotné kontaktní místo“ pro přijímaní návrhů na financování od finančních institucí a veřejných nebo soukromých investorů a poskytovat široké spektrum finanční podpory pro způsobilé investice. Záruka EFSD by měla být zaštítěna záručním fondem EFSD. EFSD by měl využívat inovační nástroje na podporu investic a zapojit soukromý sektor. </w:t>
      </w:r>
    </w:p>
    <w:p>
      <w:pPr>
        <w:pStyle w:val="ManualConsidrant"/>
        <w:rPr>
          <w:noProof/>
        </w:rPr>
      </w:pPr>
      <w:r>
        <w:t>(7)</w:t>
      </w:r>
      <w:r>
        <w:tab/>
      </w:r>
      <w:r>
        <w:rPr>
          <w:noProof/>
        </w:rPr>
        <w:t>Koordinace a soudržnost EFSD s mandátem k poskytování úvěrů třetím zemím Evropské investiční banky (EIB) podle rozhodnutí [jež má být přijato], včetně iniciativy EIB na podporu odolnosti, jakož i s investiční facilitou AKT</w:t>
      </w:r>
      <w:r>
        <w:rPr>
          <w:rStyle w:val="FootnoteReference"/>
          <w:noProof/>
        </w:rPr>
        <w:footnoteReference w:id="24"/>
      </w:r>
      <w:r>
        <w:rPr>
          <w:noProof/>
        </w:rPr>
        <w:t xml:space="preserve">, by měla být zajištěna prostřednictvím strategické rady EFSD. </w:t>
      </w:r>
    </w:p>
    <w:p>
      <w:pPr>
        <w:pStyle w:val="ManualConsidrant"/>
        <w:rPr>
          <w:noProof/>
        </w:rPr>
      </w:pPr>
      <w:r>
        <w:t>(8)</w:t>
      </w:r>
      <w:r>
        <w:tab/>
      </w:r>
      <w:r>
        <w:rPr>
          <w:noProof/>
        </w:rPr>
        <w:t>Kromě toho by strategická rada měla podporovat Komisi při stanovování strategických pokynů a celkových investičních cílů. Strategická rada by měla rovněž podporovat koordinaci a soudržnost mezi regionálními platformami. Tím by se měla zajistit doplňkovost různých nástrojů vnější činnosti. Strategické radě by měla společně předsedat Komise a vysoká představitelka Unie pro zahraniční věci a bezpečnostní politiku, aby se zajistila jednotnost a soulad s cíli vnější politiky Unie a s rámci partnerství s třetími zeměmi.</w:t>
      </w:r>
    </w:p>
    <w:p>
      <w:pPr>
        <w:pStyle w:val="ManualConsidrant"/>
        <w:rPr>
          <w:noProof/>
        </w:rPr>
      </w:pPr>
      <w:r>
        <w:t>(9)</w:t>
      </w:r>
      <w:r>
        <w:tab/>
      </w:r>
      <w:r>
        <w:rPr>
          <w:noProof/>
        </w:rPr>
        <w:t xml:space="preserve">Záruka EFSD by měla být poskytována způsobilým zainteresovaným partnerským stranám k financování a investičním operacím nebo pro záruční nástroje na počáteční investiční období do 31. prosince 2020. </w:t>
      </w:r>
    </w:p>
    <w:p>
      <w:pPr>
        <w:pStyle w:val="ManualConsidrant"/>
        <w:rPr>
          <w:noProof/>
        </w:rPr>
      </w:pPr>
      <w:r>
        <w:t>(10)</w:t>
      </w:r>
      <w:r>
        <w:tab/>
      </w:r>
      <w:r>
        <w:rPr>
          <w:noProof/>
        </w:rPr>
        <w:t>Aby byla umožněna flexibilita, zvýšila se přitažlivost pro soukromý sektor a maximalizoval dopad investic, je vhodné stanovit odchylku od čl. 58 odst. 1 písm. c) bod vii) nařízení Evropského parlamentu a Rady (EU) č. 966/2012</w:t>
      </w:r>
      <w:r>
        <w:rPr>
          <w:rStyle w:val="FootnoteReference"/>
          <w:noProof/>
        </w:rPr>
        <w:footnoteReference w:id="25"/>
      </w:r>
      <w:r>
        <w:rPr>
          <w:noProof/>
        </w:rPr>
        <w:t xml:space="preserve">, na jejímž základě by způsobilé zainteresované partnerské strany, které jsou soukromoprávními subjekty, mohly rovněž být subjekty, které nejsou pověřeny uskutečňováním partnerství veřejného a soukromého sektoru, a mohly by být rovněž soukromoprávními subjekty v partnerské zemi. </w:t>
      </w:r>
    </w:p>
    <w:p>
      <w:pPr>
        <w:pStyle w:val="ManualConsidrant"/>
        <w:rPr>
          <w:noProof/>
        </w:rPr>
      </w:pPr>
      <w:r>
        <w:t>(11)</w:t>
      </w:r>
      <w:r>
        <w:tab/>
      </w:r>
      <w:r>
        <w:rPr>
          <w:noProof/>
        </w:rPr>
        <w:t>Komise by měla uzavřít záruční dohody se způsobilými zainteresovanými partnerskými stranami, jež stanoví konkrétní pravidla, podle kterých jim bude záruka EFSD poskytována. Tyto záruční dohody by měly poskytnout právní základ pro přiměřené sdílení rizik, čímž by vytvořily pobídky pro způsobilé zainteresované partnerské strany k poskytování financování, jakož i mechanismů a postupů pro možné čerpání záruky EFSD.</w:t>
      </w:r>
    </w:p>
    <w:p>
      <w:pPr>
        <w:pStyle w:val="ManualConsidrant"/>
        <w:rPr>
          <w:noProof/>
        </w:rPr>
      </w:pPr>
      <w:r>
        <w:t>(12)</w:t>
      </w:r>
      <w:r>
        <w:tab/>
      </w:r>
      <w:r>
        <w:rPr>
          <w:noProof/>
        </w:rPr>
        <w:t xml:space="preserve">Unie by měla dát k dispozici záruku ve výši 1 500 000 000 EUR na vytvoření záruky EFSD. Členské státy a další přispěvatelé se vyzývají, aby nadále přispívali za účelem podpory záručního fondu EFSD ve formě hotovosti (členské státy a další přispěvatelé) či záruk (členské státy) pro zvýšení likvidní rezervy, čímž by se umožnilo zvýšení celkového objemu záruky EFSD. Unie by měla dát k dispozici záruku ve výši 1 500 000 000 EUR na vytvoření záruky EFSD. Členské státy, veřejné finanční instituce a další přispěvatelé by měli být vyzváni k poskytnutí dalších finančních prostředků do záručního fondu EFSD za podmínek, které by měly být stanoveny v dohodě, jež by měla být uzavřena mezi Komisí jménem Unie a všemi přispěvateli. </w:t>
      </w:r>
    </w:p>
    <w:p>
      <w:pPr>
        <w:pStyle w:val="ManualConsidrant"/>
        <w:rPr>
          <w:noProof/>
        </w:rPr>
      </w:pPr>
      <w:r>
        <w:t>(13)</w:t>
      </w:r>
      <w:r>
        <w:tab/>
      </w:r>
      <w:r>
        <w:rPr>
          <w:noProof/>
        </w:rPr>
        <w:t xml:space="preserve">Záruční fond EFSD by měl být zřízen jako likvidní rezerva v případě čerpání záruky EFSD. Pro dosažení takové úrovně, která přiměřeně odráží finanční závazky EU týkající se záruky EFSD, by Unie měla uvolnit částku 750 000 000 EUR. </w:t>
      </w:r>
    </w:p>
    <w:p>
      <w:pPr>
        <w:pStyle w:val="ManualConsidrant"/>
        <w:rPr>
          <w:noProof/>
        </w:rPr>
      </w:pPr>
      <w:r>
        <w:t>(14)</w:t>
      </w:r>
      <w:r>
        <w:tab/>
      </w:r>
      <w:r>
        <w:rPr>
          <w:noProof/>
        </w:rPr>
        <w:t xml:space="preserve">Aby se zvýšil dopad záruky EFSD s ohledem na potřeby dotčených regionů, měly by mít členské státy možnost poskytovat příspěvky v podobě záruky nebo v hotovosti. Tyto příspěvky by mohly být určeny podle regionů, odvětví nebo investičního okna. </w:t>
      </w:r>
    </w:p>
    <w:p>
      <w:pPr>
        <w:pStyle w:val="ManualConsidrant"/>
        <w:rPr>
          <w:noProof/>
        </w:rPr>
      </w:pPr>
      <w:r>
        <w:t>(15)</w:t>
      </w:r>
      <w:r>
        <w:tab/>
      </w:r>
      <w:r>
        <w:rPr>
          <w:noProof/>
        </w:rPr>
        <w:t>Jelikož financování ERF je třeba využít pro země způsobilé v rámci 11. Evropského rozvojového fondu (ERF)</w:t>
      </w:r>
      <w:r>
        <w:rPr>
          <w:rStyle w:val="FootnoteReference"/>
          <w:noProof/>
        </w:rPr>
        <w:footnoteReference w:id="26"/>
      </w:r>
      <w:r>
        <w:rPr>
          <w:noProof/>
        </w:rPr>
        <w:t xml:space="preserve">, vyžaduje se přidělení nejméně 400 000 000 EUR na krytí záruky EFSD na investice po celou dobu provádění záruky EFSD. Záruka EFSD by měla být dostupná teprve po vyčlenění prostředků ve výši 400 000 000 EUR z 11. ERF do záručního fondu EFSD. </w:t>
      </w:r>
    </w:p>
    <w:p>
      <w:pPr>
        <w:pStyle w:val="ManualConsidrant"/>
        <w:rPr>
          <w:noProof/>
        </w:rPr>
      </w:pPr>
      <w:r>
        <w:t>(16)</w:t>
      </w:r>
      <w:r>
        <w:tab/>
      </w:r>
      <w:r>
        <w:rPr>
          <w:noProof/>
        </w:rPr>
        <w:t xml:space="preserve">Komise by v zájmu zajištění odpovědnosti vůči evropským občanům měla každoročně podávat zprávu Evropskému parlamentu a Radě o finančních a investičních operacích, na něž se vztahuje záruka EFSD. Zpráva by měla být zveřejněna s cílem umožnit příslušným zúčastněným stranám, včetně občanské společnosti, vyjádřit své stanovisko. Komise by v zájmu zajištění odpovědnosti a transparentnosti měla každoročně podávat zprávu Evropskému parlamentu a Radě o řízení záručního fondu EFSD. </w:t>
      </w:r>
    </w:p>
    <w:p>
      <w:pPr>
        <w:pStyle w:val="ManualConsidrant"/>
        <w:rPr>
          <w:noProof/>
        </w:rPr>
      </w:pPr>
      <w:r>
        <w:t>(17)</w:t>
      </w:r>
      <w:r>
        <w:tab/>
      </w:r>
      <w:r>
        <w:rPr>
          <w:noProof/>
        </w:rPr>
        <w:t xml:space="preserve">Aby se zohlednily získané zkušenosti a umožnil další vývoj EFSD, mělo by být fungování EFSD a využívání záručního fondu EFSD vyhodnoceno Komisí. Uplatňování tohoto nařízení by mělo být posouzeno samostatně, aby bylo možno posoudit úroveň souladu provádění s právním základem, ale také stanovit použitelnost a proveditelnost nařízení v dosažení jeho cílů. </w:t>
      </w:r>
    </w:p>
    <w:p>
      <w:pPr>
        <w:pStyle w:val="ManualConsidrant"/>
        <w:rPr>
          <w:noProof/>
        </w:rPr>
      </w:pPr>
      <w:r>
        <w:t>(18)</w:t>
      </w:r>
      <w:r>
        <w:tab/>
      </w:r>
      <w:r>
        <w:rPr>
          <w:noProof/>
        </w:rPr>
        <w:t>Za účelem ochrany finančních zájmů Unie, s cílem zjistit, zda nedošlo k podvodu, korupci, praní peněz nebo jinému protiprávnímu jednání ohrožujícímu finanční zájmy Unie v souvislosti s jakoukoli finanční a investiční operací, na niž se vztahuje toto nařízení, je oprávněn Evropský úřad pro boj proti podvodům (OLAF) provádět vyšetřování v souladu s nařízením Evropského parlamentu a Rady (EU, Euratom) č. 883/2013</w:t>
      </w:r>
      <w:r>
        <w:rPr>
          <w:rStyle w:val="FootnoteReference"/>
          <w:noProof/>
        </w:rPr>
        <w:footnoteReference w:id="27"/>
      </w:r>
      <w:r>
        <w:rPr>
          <w:noProof/>
        </w:rPr>
        <w:t>, nařízením Rady (Euratom, ES) č. 2185/96</w:t>
      </w:r>
      <w:r>
        <w:rPr>
          <w:rStyle w:val="FootnoteReference"/>
          <w:noProof/>
        </w:rPr>
        <w:footnoteReference w:id="28"/>
      </w:r>
      <w:r>
        <w:rPr>
          <w:noProof/>
        </w:rPr>
        <w:t xml:space="preserve"> a nařízením Rady (ES, Euratom) č. 2988/95</w:t>
      </w:r>
      <w:r>
        <w:rPr>
          <w:rStyle w:val="FootnoteReference"/>
          <w:noProof/>
        </w:rPr>
        <w:footnoteReference w:id="29"/>
      </w:r>
      <w:r>
        <w:rPr>
          <w:noProof/>
        </w:rPr>
        <w:t>.</w:t>
      </w:r>
    </w:p>
    <w:p>
      <w:pPr>
        <w:pStyle w:val="ManualConsidrant"/>
        <w:rPr>
          <w:noProof/>
        </w:rPr>
      </w:pPr>
      <w:r>
        <w:t>(19)</w:t>
      </w:r>
      <w:r>
        <w:tab/>
      </w:r>
      <w:r>
        <w:rPr>
          <w:noProof/>
        </w:rPr>
        <w:t>S cílem přispět k mezinárodnímu boji proti daňovým podvodům, daňovým únikům a praní peněz by zainteresované partnerské strany neměly podporovat žádné činnosti sloužící protiprávním účelům a neměly by se podílet na žádné finanční nebo investiční operaci prostřednictvím subjektu umístěného v nespolupracující jurisdikci.</w:t>
      </w:r>
    </w:p>
    <w:p>
      <w:pPr>
        <w:pStyle w:val="ManualConsidrant"/>
        <w:rPr>
          <w:noProof/>
        </w:rPr>
      </w:pPr>
      <w:r>
        <w:t>(20)</w:t>
      </w:r>
      <w:r>
        <w:tab/>
      </w:r>
      <w:r>
        <w:rPr>
          <w:noProof/>
        </w:rPr>
        <w:t>Za účelem plnění politických závazků EU týkajících se obnovitelné energie a klimatických změn by měl být minimální podíl 20 % prostředků přidělených v rámci EFSD určen na finanční a investiční operace související s těmito odvětvími,</w:t>
      </w:r>
    </w:p>
    <w:p>
      <w:pPr>
        <w:pStyle w:val="Formuledadoption"/>
        <w:rPr>
          <w:noProof/>
        </w:rPr>
      </w:pPr>
      <w:r>
        <w:rPr>
          <w:noProof/>
        </w:rPr>
        <w:t>PŘIJALY TOTO NAŘÍZENÍ:</w:t>
      </w:r>
    </w:p>
    <w:p>
      <w:pPr>
        <w:spacing w:before="360"/>
        <w:jc w:val="center"/>
        <w:rPr>
          <w:noProof/>
        </w:rPr>
      </w:pPr>
      <w:r>
        <w:rPr>
          <w:noProof/>
        </w:rPr>
        <w:t>KAPITOLA I</w:t>
      </w:r>
    </w:p>
    <w:p>
      <w:pPr>
        <w:jc w:val="center"/>
        <w:rPr>
          <w:noProof/>
        </w:rPr>
      </w:pPr>
      <w:r>
        <w:rPr>
          <w:noProof/>
        </w:rPr>
        <w:t>ÚVODNÍ USTANOVENÍ</w:t>
      </w:r>
    </w:p>
    <w:p>
      <w:pPr>
        <w:pStyle w:val="Titrearticle"/>
        <w:rPr>
          <w:b/>
          <w:noProof/>
        </w:rPr>
      </w:pPr>
      <w:r>
        <w:rPr>
          <w:b/>
          <w:noProof/>
        </w:rPr>
        <w:t>Článek 1</w:t>
      </w:r>
      <w:r>
        <w:rPr>
          <w:b/>
          <w:noProof/>
        </w:rPr>
        <w:br/>
        <w:t>Předmět</w:t>
      </w:r>
    </w:p>
    <w:p>
      <w:pPr>
        <w:rPr>
          <w:noProof/>
        </w:rPr>
      </w:pPr>
      <w:r>
        <w:rPr>
          <w:noProof/>
        </w:rPr>
        <w:t xml:space="preserve">1. Tímto nařízením se zřizuje Evropský fond pro udržitelný rozvoj (EFSD), záruka EFSD a záruční fond EFSD. </w:t>
      </w:r>
    </w:p>
    <w:p>
      <w:pPr>
        <w:rPr>
          <w:noProof/>
        </w:rPr>
      </w:pPr>
      <w:r>
        <w:rPr>
          <w:noProof/>
        </w:rPr>
        <w:t xml:space="preserve">2. Pro účely odstavce 1 toto nařízení stanoví, že Komise jménem Unie uzavírá záruční dohody se způsobilými zainteresovanými partnerskými stranami podle definice v článku 10. </w:t>
      </w:r>
    </w:p>
    <w:p>
      <w:pPr>
        <w:pStyle w:val="Titrearticle"/>
        <w:rPr>
          <w:b/>
          <w:noProof/>
        </w:rPr>
      </w:pPr>
      <w:r>
        <w:rPr>
          <w:b/>
          <w:noProof/>
        </w:rPr>
        <w:t>Článek 2</w:t>
      </w:r>
      <w:r>
        <w:rPr>
          <w:b/>
          <w:noProof/>
        </w:rPr>
        <w:br/>
        <w:t>Definice</w:t>
      </w:r>
    </w:p>
    <w:p>
      <w:pPr>
        <w:rPr>
          <w:noProof/>
        </w:rPr>
      </w:pPr>
      <w:r>
        <w:rPr>
          <w:noProof/>
        </w:rPr>
        <w:t>Pro účely tohoto nařízení se:</w:t>
      </w:r>
    </w:p>
    <w:p>
      <w:pPr>
        <w:spacing w:after="240"/>
        <w:rPr>
          <w:noProof/>
        </w:rPr>
      </w:pPr>
      <w:r>
        <w:rPr>
          <w:noProof/>
        </w:rPr>
        <w:t>1) „regionálními investičními platformami“ rozumí nástroje kombinovaného financování v souladu s čl. 4 odst. 1 písm. e) nařízení Evropského parlamentu a Rady (EU) č. 236/2014</w:t>
      </w:r>
      <w:r>
        <w:rPr>
          <w:rStyle w:val="FootnoteReference"/>
          <w:noProof/>
        </w:rPr>
        <w:footnoteReference w:id="30"/>
      </w:r>
      <w:r>
        <w:rPr>
          <w:noProof/>
        </w:rPr>
        <w:t xml:space="preserve"> a článkem 40 nařízení Rady (EU) 2015/323</w:t>
      </w:r>
      <w:r>
        <w:rPr>
          <w:rStyle w:val="FootnoteReference"/>
          <w:noProof/>
        </w:rPr>
        <w:footnoteReference w:id="31"/>
      </w:r>
      <w:r>
        <w:rPr>
          <w:noProof/>
        </w:rPr>
        <w:t xml:space="preserve"> pro příspěvek z 11. Evropského rozvojového fondu (ERF) v kombinaci s poskytnutím záruky EFSD stanovené v článku 6; </w:t>
      </w:r>
    </w:p>
    <w:p>
      <w:pPr>
        <w:spacing w:after="240"/>
        <w:rPr>
          <w:noProof/>
        </w:rPr>
      </w:pPr>
      <w:r>
        <w:rPr>
          <w:noProof/>
        </w:rPr>
        <w:t xml:space="preserve">2) „investičním oknem“ rozumí cílová oblast pro podporu ze záruky EFSD investičním portfoliím v konkrétních regionech, zemích nebo odvětvích, prováděnou prostřednictvím regionálních investičních platforem; </w:t>
      </w:r>
    </w:p>
    <w:p>
      <w:pPr>
        <w:spacing w:after="240"/>
        <w:rPr>
          <w:noProof/>
        </w:rPr>
      </w:pPr>
      <w:r>
        <w:rPr>
          <w:noProof/>
        </w:rPr>
        <w:t xml:space="preserve">3) „přispěvatelem“ rozumí členský stát, mezinárodní finanční instituce nebo veřejnoprávní instituce členského státu, veřejný orgán nebo jiné subjekty přispívající v hotovosti nebo ve formě záruky do záručního fondu EFSD; </w:t>
      </w:r>
    </w:p>
    <w:p>
      <w:pPr>
        <w:rPr>
          <w:noProof/>
          <w:szCs w:val="24"/>
        </w:rPr>
      </w:pPr>
      <w:r>
        <w:rPr>
          <w:noProof/>
        </w:rPr>
        <w:t>4) „partnerskými zeměmi“ rozumí země, které jsou stranami Dohody o partnerství mezi africkými, karibskými a tichomořskými státy na jedné straně a Evropským společenstvím a jeho členskými státy na straně druhé, podepsané v Cotonou dne 23. června 2000</w:t>
      </w:r>
      <w:r>
        <w:rPr>
          <w:rStyle w:val="FootnoteReference"/>
          <w:noProof/>
        </w:rPr>
        <w:footnoteReference w:id="32"/>
      </w:r>
      <w:r>
        <w:rPr>
          <w:noProof/>
        </w:rPr>
        <w:t>, země uvedené v příloze I nařízení Evropského parlamentu a Rady (EU) č. 232/2014</w:t>
      </w:r>
      <w:r>
        <w:rPr>
          <w:rStyle w:val="FootnoteReference"/>
          <w:noProof/>
        </w:rPr>
        <w:footnoteReference w:id="33"/>
      </w:r>
      <w:r>
        <w:rPr>
          <w:noProof/>
        </w:rPr>
        <w:t xml:space="preserve"> a země způsobilé pro zeměpisnou spolupráci podle nařízení Evropského parlamentu a Rady (EU) č. 233/2014</w:t>
      </w:r>
      <w:r>
        <w:rPr>
          <w:rStyle w:val="FootnoteReference"/>
          <w:noProof/>
        </w:rPr>
        <w:footnoteReference w:id="34"/>
      </w:r>
      <w:r>
        <w:rPr>
          <w:noProof/>
        </w:rPr>
        <w:t>.</w:t>
      </w:r>
    </w:p>
    <w:p>
      <w:pPr>
        <w:spacing w:after="240"/>
        <w:rPr>
          <w:noProof/>
        </w:rPr>
      </w:pPr>
      <w:r>
        <w:rPr>
          <w:noProof/>
        </w:rPr>
        <w:t>5) „adicionalitou“ rozumí zásada, jež zajišťuje, že cílem podpory ze záruky EFSD nemůže být nahrazení podpory členského státu, soukromého financování či jiných finančních zásahů Unie a že jejím cílem je řešit selhání trhu a vyhnout se vytěsňování jiných veřejných či soukromých investic.</w:t>
      </w:r>
    </w:p>
    <w:p>
      <w:pPr>
        <w:keepNext/>
        <w:keepLines/>
        <w:spacing w:before="360"/>
        <w:jc w:val="center"/>
        <w:rPr>
          <w:noProof/>
        </w:rPr>
      </w:pPr>
      <w:r>
        <w:rPr>
          <w:noProof/>
        </w:rPr>
        <w:t>KAPITOLA II</w:t>
      </w:r>
    </w:p>
    <w:p>
      <w:pPr>
        <w:keepNext/>
        <w:keepLines/>
        <w:jc w:val="center"/>
        <w:rPr>
          <w:noProof/>
        </w:rPr>
      </w:pPr>
      <w:r>
        <w:rPr>
          <w:noProof/>
        </w:rPr>
        <w:t>EVROPSKÝ FOND PRO UDRŽITELNÝ ROZVOJ</w:t>
      </w:r>
    </w:p>
    <w:p>
      <w:pPr>
        <w:pStyle w:val="Titrearticle"/>
        <w:rPr>
          <w:b/>
          <w:noProof/>
        </w:rPr>
      </w:pPr>
      <w:r>
        <w:rPr>
          <w:b/>
          <w:noProof/>
        </w:rPr>
        <w:t>Článek 3</w:t>
      </w:r>
      <w:r>
        <w:rPr>
          <w:b/>
          <w:noProof/>
        </w:rPr>
        <w:br/>
        <w:t xml:space="preserve">Cíl </w:t>
      </w:r>
    </w:p>
    <w:p>
      <w:pPr>
        <w:rPr>
          <w:noProof/>
        </w:rPr>
      </w:pPr>
      <w:r>
        <w:rPr>
          <w:noProof/>
        </w:rPr>
        <w:t xml:space="preserve">1. Cílem EFSD jakožto integrovaného finančního balíčku je podpořit poskytnutím kapacity financování ve formě grantů, záruk a jiných finančních nástrojů způsobilým zainteresovaným partnerským stranám investice a lepší přístup k financování započínajícímu v partnerských zemích Africky a v zemích evropského sousedství. </w:t>
      </w:r>
    </w:p>
    <w:p>
      <w:pPr>
        <w:rPr>
          <w:noProof/>
        </w:rPr>
      </w:pPr>
      <w:r>
        <w:rPr>
          <w:noProof/>
        </w:rPr>
        <w:t xml:space="preserve">2. EFSD přispívá k plnění cílů udržitelného rozvoje Agendy 2030 se zvláštním zaměřením na udržitelný růst, vytváření pracovních míst, socioekonomická odvětví a na podporu mikropodniků a malých a středních podniků, čímž se řeší základní příčiny migrace a přispívá k udržitelnému znovuzačlenění navrácených migrantů v zemích jejich původu a zároveň k maximalizaci adicionality, výrobě inovativních produktů a zapojení finančních prostředků ze soukromého sektoru. </w:t>
      </w:r>
    </w:p>
    <w:p>
      <w:pPr>
        <w:pStyle w:val="Titrearticle"/>
        <w:rPr>
          <w:b/>
          <w:noProof/>
        </w:rPr>
      </w:pPr>
      <w:r>
        <w:rPr>
          <w:b/>
          <w:noProof/>
        </w:rPr>
        <w:t>Článek 4</w:t>
      </w:r>
      <w:r>
        <w:rPr>
          <w:b/>
          <w:noProof/>
        </w:rPr>
        <w:br/>
        <w:t>Struktura EFSD</w:t>
      </w:r>
    </w:p>
    <w:p>
      <w:pPr>
        <w:rPr>
          <w:noProof/>
        </w:rPr>
      </w:pPr>
      <w:r>
        <w:rPr>
          <w:noProof/>
        </w:rPr>
        <w:t xml:space="preserve">1. EFSD tvoří regionální investiční platformy, které budou kombinovat financování ze stávajících nástrojů kombinovaného financování a záruku EFSD. </w:t>
      </w:r>
    </w:p>
    <w:p>
      <w:pPr>
        <w:rPr>
          <w:noProof/>
        </w:rPr>
      </w:pPr>
      <w:r>
        <w:rPr>
          <w:noProof/>
        </w:rPr>
        <w:t xml:space="preserve">2. Řízení EFSD je zajištěno Komisí. </w:t>
      </w:r>
    </w:p>
    <w:p>
      <w:pPr>
        <w:pStyle w:val="Titrearticle"/>
        <w:rPr>
          <w:b/>
          <w:noProof/>
        </w:rPr>
      </w:pPr>
      <w:r>
        <w:rPr>
          <w:b/>
          <w:noProof/>
        </w:rPr>
        <w:t>Článek 5</w:t>
      </w:r>
      <w:r>
        <w:rPr>
          <w:b/>
          <w:noProof/>
        </w:rPr>
        <w:br/>
        <w:t>Strategická rada EFSD</w:t>
      </w:r>
    </w:p>
    <w:p>
      <w:pPr>
        <w:rPr>
          <w:noProof/>
        </w:rPr>
      </w:pPr>
      <w:r>
        <w:rPr>
          <w:noProof/>
        </w:rPr>
        <w:t xml:space="preserve">1. V řízení EFSD je Komisi nápomocna strategická rada. </w:t>
      </w:r>
    </w:p>
    <w:p>
      <w:pPr>
        <w:rPr>
          <w:noProof/>
        </w:rPr>
      </w:pPr>
      <w:r>
        <w:rPr>
          <w:noProof/>
        </w:rPr>
        <w:t>Poskytuje strategické pokyny a podporuje Komisi při stanovování celkových investičních cílů, pokud jde o využívání záruky EFSD. Strategický výbor rovněž podporuje celkovou koordinaci a soudržnost mezi regionálními investičními platformami a s operacemi v rámci mandátu k poskytování úvěrů třetím zemím řízenými EIB, včetně iniciativy EIB na podporu odolnosti.</w:t>
      </w:r>
    </w:p>
    <w:p>
      <w:pPr>
        <w:rPr>
          <w:noProof/>
        </w:rPr>
      </w:pPr>
      <w:r>
        <w:rPr>
          <w:noProof/>
        </w:rPr>
        <w:t>2. Strategický výbor sestává ze zástupců Komise a vysokého představitele Unie pro zahraniční věci a bezpečnostní politiku (dále jen „vysoká představitelka“), členských států a EIB. Komise může přizvat další přispěvatele, aby se stali členy strategické rady, ve vhodných případech s ohledem na názor strategické rady. Partnerským zemím a příslušným regionálním organizacím, způsobilým zainteresovaným partnerským stranám a Evropskému parlamentu může být případně udělen status pozorovatele. Strategické radě společně předsedá Komise a vysoká představitelka.</w:t>
      </w:r>
    </w:p>
    <w:p>
      <w:pPr>
        <w:keepNext/>
        <w:keepLines/>
        <w:spacing w:before="360"/>
        <w:jc w:val="center"/>
        <w:rPr>
          <w:noProof/>
        </w:rPr>
      </w:pPr>
      <w:r>
        <w:rPr>
          <w:noProof/>
        </w:rPr>
        <w:t>KAPITOLA III</w:t>
      </w:r>
    </w:p>
    <w:p>
      <w:pPr>
        <w:keepNext/>
        <w:keepLines/>
        <w:jc w:val="center"/>
        <w:rPr>
          <w:noProof/>
        </w:rPr>
      </w:pPr>
      <w:r>
        <w:rPr>
          <w:noProof/>
        </w:rPr>
        <w:t>ZÁRUKA EFSD A ZÁRUČNÍ FOND EFSD</w:t>
      </w:r>
    </w:p>
    <w:p>
      <w:pPr>
        <w:pStyle w:val="Titrearticle"/>
        <w:rPr>
          <w:b/>
          <w:noProof/>
        </w:rPr>
      </w:pPr>
      <w:r>
        <w:rPr>
          <w:b/>
          <w:noProof/>
        </w:rPr>
        <w:t>Článek 6</w:t>
      </w:r>
      <w:r>
        <w:rPr>
          <w:b/>
          <w:noProof/>
        </w:rPr>
        <w:br/>
        <w:t>Záruka EFSD</w:t>
      </w:r>
    </w:p>
    <w:p>
      <w:pPr>
        <w:rPr>
          <w:noProof/>
        </w:rPr>
      </w:pPr>
      <w:r>
        <w:rPr>
          <w:noProof/>
        </w:rPr>
        <w:t xml:space="preserve">1. Unie poskytne neodvolatelnou a bezpodmínečnou záruku na první žádost způsobilé zainteresované partnerské straně pro finanční a investiční operace, na něž se vztahuje toto nařízení, započínající v partnerských zemích Afriky a v zemích evropského sousedství. </w:t>
      </w:r>
    </w:p>
    <w:p>
      <w:pPr>
        <w:rPr>
          <w:noProof/>
        </w:rPr>
      </w:pPr>
      <w:r>
        <w:rPr>
          <w:noProof/>
        </w:rPr>
        <w:t xml:space="preserve">2. Záruka EFSD se poskytuje jako záruka na první žádost pro nástroje uvedené v článku 9 a v souladu s kritérii způsobilosti uvedenými v článku 8. </w:t>
      </w:r>
    </w:p>
    <w:p>
      <w:pPr>
        <w:pStyle w:val="Titrearticle"/>
        <w:rPr>
          <w:b/>
          <w:noProof/>
        </w:rPr>
      </w:pPr>
      <w:r>
        <w:rPr>
          <w:b/>
          <w:noProof/>
        </w:rPr>
        <w:t>Článek 7</w:t>
      </w:r>
      <w:r>
        <w:rPr>
          <w:b/>
          <w:noProof/>
        </w:rPr>
        <w:br/>
        <w:t>Požadavky pro využívání záruky EFSD</w:t>
      </w:r>
    </w:p>
    <w:p>
      <w:pPr>
        <w:rPr>
          <w:noProof/>
        </w:rPr>
      </w:pPr>
      <w:r>
        <w:rPr>
          <w:noProof/>
        </w:rPr>
        <w:t xml:space="preserve">1. Poskytnutí záruky EFSD podléhá uzavření příslušné dohody o záruce EFSD mezi Komisí jménem Unie a způsobilou zainteresovanou partnerskou stranou. </w:t>
      </w:r>
    </w:p>
    <w:p>
      <w:pPr>
        <w:rPr>
          <w:noProof/>
        </w:rPr>
      </w:pPr>
      <w:r>
        <w:rPr>
          <w:noProof/>
        </w:rPr>
        <w:t>2. Počáteční investiční období, během něhož lze dohody o záruce EFSD na podporu finančních a investičních operací se způsobilými zainteresovanými partnerskými stranami uzavřít, trvá do 31. prosince 2020.</w:t>
      </w:r>
    </w:p>
    <w:p>
      <w:pPr>
        <w:rPr>
          <w:noProof/>
        </w:rPr>
      </w:pPr>
      <w:r>
        <w:rPr>
          <w:noProof/>
        </w:rPr>
        <w:t>3. Maximální lhůta pro uzavření dohod mezi způsobilými zainteresovanými partnerskými stranami a finančními zprostředkovateli nebo konečnými příjemci činí čtyři roky od uzavření příslušné dohody o záruce.</w:t>
      </w:r>
    </w:p>
    <w:p>
      <w:pPr>
        <w:pStyle w:val="Titrearticle"/>
        <w:rPr>
          <w:b/>
          <w:noProof/>
        </w:rPr>
      </w:pPr>
      <w:r>
        <w:rPr>
          <w:b/>
          <w:noProof/>
        </w:rPr>
        <w:t>Článek 8</w:t>
      </w:r>
      <w:r>
        <w:rPr>
          <w:b/>
          <w:noProof/>
        </w:rPr>
        <w:br/>
        <w:t> Kritéria způsobilosti pro využívání záruky EFSD</w:t>
      </w:r>
    </w:p>
    <w:p>
      <w:pPr>
        <w:rPr>
          <w:noProof/>
        </w:rPr>
      </w:pPr>
      <w:r>
        <w:rPr>
          <w:noProof/>
        </w:rPr>
        <w:t xml:space="preserve">1. Finanční a investiční operace způsobilé pro podporu prostřednictvím záruky EFSD musí být v souladu s politikami Unie, konkrétně s rozvojovou politikou a politikou sousedství Unie, se strategiemi a politikami partnerských zemí, přičemž jejich účelem je podpořit tyto obecné cíle: </w:t>
      </w:r>
    </w:p>
    <w:p>
      <w:pPr>
        <w:pStyle w:val="Point0"/>
        <w:rPr>
          <w:noProof/>
        </w:rPr>
      </w:pPr>
      <w:r>
        <w:rPr>
          <w:noProof/>
        </w:rPr>
        <w:t>a)</w:t>
      </w:r>
      <w:r>
        <w:rPr>
          <w:noProof/>
        </w:rPr>
        <w:tab/>
        <w:t>přispívat k hospodářskému a sociálnímu rozvoji se zvláštním zaměřením na udržitelnost a vytváření pracovních míst (zejména pro mladé lidi a ženy), čímž se řeší základní příčiny migrace a přispívá k udržitelnému znovuzačlenění navrácených migrantů v zemích jejich původu;</w:t>
      </w:r>
    </w:p>
    <w:p>
      <w:pPr>
        <w:pStyle w:val="Point0"/>
        <w:rPr>
          <w:noProof/>
        </w:rPr>
      </w:pPr>
      <w:r>
        <w:rPr>
          <w:noProof/>
        </w:rPr>
        <w:t>b)</w:t>
      </w:r>
      <w:r>
        <w:rPr>
          <w:noProof/>
        </w:rPr>
        <w:tab/>
        <w:t xml:space="preserve">zaměřit se na socioekonomická odvětví, zejména na infrastrukturu, včetně udržitelné energetiky, vodohospodářství, dopravy, informačních a komunikačních technologií, životního prostředí, udržitelného využívání přírodních zdrojů a modrého růstu, sociální infrastruktury, lidského kapitálu za účelem zlepšení socioekonomického prostředí; </w:t>
      </w:r>
    </w:p>
    <w:p>
      <w:pPr>
        <w:pStyle w:val="Point0"/>
        <w:rPr>
          <w:noProof/>
          <w:szCs w:val="24"/>
        </w:rPr>
      </w:pPr>
      <w:r>
        <w:rPr>
          <w:noProof/>
        </w:rPr>
        <w:t>c)</w:t>
      </w:r>
      <w:r>
        <w:rPr>
          <w:noProof/>
        </w:rPr>
        <w:tab/>
        <w:t>poskytnout financování pro mikropodniky a malé a střední podniky se zvláštním důrazem na rozvoj soukromého sektoru;</w:t>
      </w:r>
    </w:p>
    <w:p>
      <w:pPr>
        <w:pStyle w:val="Point0"/>
        <w:rPr>
          <w:noProof/>
        </w:rPr>
      </w:pPr>
      <w:r>
        <w:rPr>
          <w:noProof/>
        </w:rPr>
        <w:t>d)</w:t>
      </w:r>
      <w:r>
        <w:rPr>
          <w:noProof/>
        </w:rPr>
        <w:tab/>
        <w:t xml:space="preserve">poskytnout finanční nástroje, jejichž cílem je řešit překážky pro soukromé investice, včetně záruky na první ztrátu u záruk portfolií pro projekty soukromého sektoru, jako jsou úvěrové záruky pro malé a střední podniky a záruky pro specifická rizika pro projekty infrastruktury a jiný rizikový kapitál; </w:t>
      </w:r>
    </w:p>
    <w:p>
      <w:pPr>
        <w:pStyle w:val="Point0"/>
        <w:rPr>
          <w:noProof/>
        </w:rPr>
      </w:pPr>
      <w:r>
        <w:rPr>
          <w:noProof/>
        </w:rPr>
        <w:t>e)</w:t>
      </w:r>
      <w:r>
        <w:rPr>
          <w:noProof/>
        </w:rPr>
        <w:tab/>
        <w:t>maximalizovat pákový efekt soukromého sektoru řešením překážek pro investice.</w:t>
      </w:r>
    </w:p>
    <w:p>
      <w:pPr>
        <w:spacing w:before="0" w:after="0"/>
        <w:rPr>
          <w:noProof/>
        </w:rPr>
      </w:pPr>
      <w:r>
        <w:rPr>
          <w:noProof/>
        </w:rPr>
        <w:t>2. Záruka EFSD podporuje finanční a investiční operace, které konkrétně:</w:t>
      </w:r>
    </w:p>
    <w:p>
      <w:pPr>
        <w:pStyle w:val="Point0"/>
        <w:rPr>
          <w:noProof/>
        </w:rPr>
      </w:pPr>
      <w:r>
        <w:rPr>
          <w:noProof/>
        </w:rPr>
        <w:t>a)</w:t>
      </w:r>
      <w:r>
        <w:rPr>
          <w:noProof/>
        </w:rPr>
        <w:tab/>
        <w:t>zajišťují adicionalitu;</w:t>
      </w:r>
    </w:p>
    <w:p>
      <w:pPr>
        <w:pStyle w:val="Point0"/>
        <w:rPr>
          <w:noProof/>
        </w:rPr>
      </w:pPr>
      <w:r>
        <w:rPr>
          <w:noProof/>
        </w:rPr>
        <w:t>b)</w:t>
      </w:r>
      <w:r>
        <w:rPr>
          <w:noProof/>
        </w:rPr>
        <w:tab/>
        <w:t>zajišťují sladění zájmů tím, že umožňují přiměřené sdílení rizik příslušnou způsobilou zainteresovanou partnerskou stranou a dalšími potenciálními partnery;</w:t>
      </w:r>
    </w:p>
    <w:p>
      <w:pPr>
        <w:pStyle w:val="Point0"/>
        <w:rPr>
          <w:noProof/>
        </w:rPr>
      </w:pPr>
      <w:r>
        <w:rPr>
          <w:noProof/>
        </w:rPr>
        <w:t>c)</w:t>
      </w:r>
      <w:r>
        <w:rPr>
          <w:noProof/>
        </w:rPr>
        <w:tab/>
        <w:t xml:space="preserve">jsou ekonomicky a finančně životaschopné, rovněž s přihlédnutím k možné podpoře a spolufinancování ze strany soukromých i veřejných partnerů projektu; </w:t>
      </w:r>
    </w:p>
    <w:p>
      <w:pPr>
        <w:pStyle w:val="Point0"/>
        <w:rPr>
          <w:noProof/>
        </w:rPr>
      </w:pPr>
      <w:r>
        <w:rPr>
          <w:noProof/>
        </w:rPr>
        <w:t>d)</w:t>
      </w:r>
      <w:r>
        <w:rPr>
          <w:noProof/>
        </w:rPr>
        <w:tab/>
        <w:t>jsou technicky proveditelné a jsou udržitelné z environmentálního a sociálního hlediska; a</w:t>
      </w:r>
    </w:p>
    <w:p>
      <w:pPr>
        <w:pStyle w:val="Point0"/>
        <w:rPr>
          <w:noProof/>
        </w:rPr>
      </w:pPr>
      <w:r>
        <w:rPr>
          <w:noProof/>
        </w:rPr>
        <w:t>e)</w:t>
      </w:r>
      <w:r>
        <w:rPr>
          <w:noProof/>
        </w:rPr>
        <w:tab/>
        <w:t>maximalizují mobilizaci kapitálu soukromého sektoru.</w:t>
      </w:r>
    </w:p>
    <w:p>
      <w:pPr>
        <w:spacing w:before="0" w:after="0"/>
        <w:rPr>
          <w:noProof/>
          <w:szCs w:val="24"/>
        </w:rPr>
      </w:pPr>
      <w:r>
        <w:rPr>
          <w:noProof/>
        </w:rPr>
        <w:t>3. Případ od případu může Komise povolit kombinované financování z různých nástrojů Unie.</w:t>
      </w:r>
    </w:p>
    <w:p>
      <w:pPr>
        <w:spacing w:before="0" w:after="0"/>
        <w:rPr>
          <w:noProof/>
        </w:rPr>
      </w:pPr>
      <w:r>
        <w:rPr>
          <w:noProof/>
        </w:rPr>
        <w:t xml:space="preserve">4. Komise může stanovit investiční okna pro konkrétní regiony nebo partnerské země nebo pro oboje, pro konkrétní odvětví, pro konkrétní projekty nebo pro konkrétní kategorie konečných příjemců nebo pro oboje, jež mají být financována prostřednictvím nástrojů uvedených v článku 9, na které se vztahuje záruka EFSD až do stanovené výše. Veškeré žádosti o finanční podporu v rámci investičních oken se podávají Komisi. </w:t>
      </w:r>
    </w:p>
    <w:p>
      <w:pPr>
        <w:pStyle w:val="Titrearticle"/>
        <w:rPr>
          <w:b/>
          <w:noProof/>
        </w:rPr>
      </w:pPr>
      <w:r>
        <w:rPr>
          <w:b/>
          <w:noProof/>
        </w:rPr>
        <w:t>Článek 9</w:t>
      </w:r>
      <w:r>
        <w:rPr>
          <w:b/>
          <w:noProof/>
        </w:rPr>
        <w:br/>
        <w:t>Způsobilé nástroje pro záruku EFSD</w:t>
      </w:r>
    </w:p>
    <w:p>
      <w:pPr>
        <w:rPr>
          <w:noProof/>
        </w:rPr>
      </w:pPr>
      <w:r>
        <w:rPr>
          <w:noProof/>
        </w:rPr>
        <w:t>1. Záruka EFSD se použije na krytí rizik pro tyto nástroje:</w:t>
      </w:r>
    </w:p>
    <w:p>
      <w:pPr>
        <w:pStyle w:val="Point0"/>
        <w:rPr>
          <w:noProof/>
        </w:rPr>
      </w:pPr>
      <w:r>
        <w:rPr>
          <w:noProof/>
        </w:rPr>
        <w:t>a)</w:t>
      </w:r>
      <w:r>
        <w:rPr>
          <w:noProof/>
        </w:rPr>
        <w:tab/>
        <w:t>úvěry;</w:t>
      </w:r>
    </w:p>
    <w:p>
      <w:pPr>
        <w:pStyle w:val="Point0"/>
        <w:rPr>
          <w:noProof/>
        </w:rPr>
      </w:pPr>
      <w:r>
        <w:rPr>
          <w:noProof/>
        </w:rPr>
        <w:t>b)</w:t>
      </w:r>
      <w:r>
        <w:rPr>
          <w:noProof/>
        </w:rPr>
        <w:tab/>
        <w:t>záruky;</w:t>
      </w:r>
    </w:p>
    <w:p>
      <w:pPr>
        <w:pStyle w:val="Point0"/>
        <w:rPr>
          <w:noProof/>
        </w:rPr>
      </w:pPr>
      <w:r>
        <w:rPr>
          <w:noProof/>
        </w:rPr>
        <w:t>c)</w:t>
      </w:r>
      <w:r>
        <w:rPr>
          <w:noProof/>
        </w:rPr>
        <w:tab/>
        <w:t>protizáruky;</w:t>
      </w:r>
    </w:p>
    <w:p>
      <w:pPr>
        <w:pStyle w:val="Point0"/>
        <w:rPr>
          <w:noProof/>
        </w:rPr>
      </w:pPr>
      <w:r>
        <w:rPr>
          <w:noProof/>
        </w:rPr>
        <w:t>d)</w:t>
      </w:r>
      <w:r>
        <w:rPr>
          <w:noProof/>
        </w:rPr>
        <w:tab/>
        <w:t>nástroje kapitálového trhu;</w:t>
      </w:r>
    </w:p>
    <w:p>
      <w:pPr>
        <w:pStyle w:val="Point0"/>
        <w:rPr>
          <w:noProof/>
        </w:rPr>
      </w:pPr>
      <w:r>
        <w:rPr>
          <w:noProof/>
        </w:rPr>
        <w:t>e)</w:t>
      </w:r>
      <w:r>
        <w:rPr>
          <w:noProof/>
        </w:rPr>
        <w:tab/>
        <w:t>jakákoli jiná forma financování nebo úvěrového posílení, kapitálové nebo kvazikapitálové účasti.</w:t>
      </w:r>
    </w:p>
    <w:p>
      <w:pPr>
        <w:rPr>
          <w:noProof/>
        </w:rPr>
      </w:pPr>
      <w:r>
        <w:rPr>
          <w:noProof/>
        </w:rPr>
        <w:t xml:space="preserve">2. Nástroje uvedené v odstavci 1 mohou být poskytnuty způsobilými zainteresovanými partnerskými stranami nebo přispěvateli, včetně soukromých investorů v rámci investičního okna nebo individuálního projektu spravovaného způsobilou zainteresovanou partnerskou stranou ve prospěch partnerských zemí, včetně nestabilních zemí a zemí zasažených konfliktem, a orgánů těchto partnerských zemí, včetně jejich veřejných národních i soukromých místních bank a finančních institucí, jakož i subjektů soukromého sektoru partnerských zemí. </w:t>
      </w:r>
    </w:p>
    <w:p>
      <w:pPr>
        <w:pStyle w:val="Titrearticle"/>
        <w:rPr>
          <w:b/>
          <w:noProof/>
        </w:rPr>
      </w:pPr>
      <w:r>
        <w:rPr>
          <w:b/>
          <w:noProof/>
        </w:rPr>
        <w:t xml:space="preserve">Článek 10 </w:t>
      </w:r>
      <w:r>
        <w:rPr>
          <w:b/>
          <w:noProof/>
        </w:rPr>
        <w:br/>
        <w:t xml:space="preserve">Způsobilost a výběr zainteresovaných partnerských stran </w:t>
      </w:r>
    </w:p>
    <w:p>
      <w:pPr>
        <w:rPr>
          <w:noProof/>
        </w:rPr>
      </w:pPr>
      <w:r>
        <w:rPr>
          <w:noProof/>
        </w:rPr>
        <w:t xml:space="preserve">1. Způsobilými zainteresovanými partnerskými stranami pro účely záruky EFSD jsou: </w:t>
      </w:r>
    </w:p>
    <w:p>
      <w:pPr>
        <w:pStyle w:val="Point0"/>
        <w:rPr>
          <w:noProof/>
        </w:rPr>
      </w:pPr>
      <w:r>
        <w:rPr>
          <w:noProof/>
        </w:rPr>
        <w:t>a)</w:t>
      </w:r>
      <w:r>
        <w:rPr>
          <w:noProof/>
        </w:rPr>
        <w:tab/>
        <w:t xml:space="preserve">Evropská investiční banka a Evropský investiční fond; </w:t>
      </w:r>
    </w:p>
    <w:p>
      <w:pPr>
        <w:pStyle w:val="Point0"/>
        <w:rPr>
          <w:noProof/>
        </w:rPr>
      </w:pPr>
      <w:r>
        <w:rPr>
          <w:noProof/>
        </w:rPr>
        <w:t>b)</w:t>
      </w:r>
      <w:r>
        <w:rPr>
          <w:noProof/>
        </w:rPr>
        <w:tab/>
        <w:t>veřejnoprávní subjekty;</w:t>
      </w:r>
    </w:p>
    <w:p>
      <w:pPr>
        <w:pStyle w:val="Point0"/>
        <w:rPr>
          <w:noProof/>
        </w:rPr>
      </w:pPr>
      <w:r>
        <w:rPr>
          <w:noProof/>
        </w:rPr>
        <w:t>c)</w:t>
      </w:r>
      <w:r>
        <w:rPr>
          <w:noProof/>
        </w:rPr>
        <w:tab/>
        <w:t>mezinárodní organizace a jejich agentury;</w:t>
      </w:r>
    </w:p>
    <w:p>
      <w:pPr>
        <w:pStyle w:val="Point0"/>
        <w:rPr>
          <w:noProof/>
        </w:rPr>
      </w:pPr>
      <w:r>
        <w:rPr>
          <w:noProof/>
        </w:rPr>
        <w:t>d)</w:t>
      </w:r>
      <w:r>
        <w:rPr>
          <w:noProof/>
        </w:rPr>
        <w:tab/>
        <w:t>soukromoprávní subjekty pověřené výkonem veřejné služby v rozsahu, v jakém poskytují dostatečné finanční záruky;</w:t>
      </w:r>
    </w:p>
    <w:p>
      <w:pPr>
        <w:pStyle w:val="Point0"/>
        <w:rPr>
          <w:noProof/>
        </w:rPr>
      </w:pPr>
      <w:r>
        <w:rPr>
          <w:noProof/>
        </w:rPr>
        <w:t>e)</w:t>
      </w:r>
      <w:r>
        <w:rPr>
          <w:noProof/>
        </w:rPr>
        <w:tab/>
        <w:t xml:space="preserve">soukromoprávní subjekty členského státu, které poskytují dostatečné finanční záruky, odchylně od ustanovení čl. 58 odst. 1 písm. c) bodu vii) nařízení (EU) č. 966/2012; </w:t>
      </w:r>
    </w:p>
    <w:p>
      <w:pPr>
        <w:pStyle w:val="Point0"/>
        <w:rPr>
          <w:noProof/>
        </w:rPr>
      </w:pPr>
      <w:r>
        <w:rPr>
          <w:noProof/>
        </w:rPr>
        <w:t>f)</w:t>
      </w:r>
      <w:r>
        <w:rPr>
          <w:noProof/>
        </w:rPr>
        <w:tab/>
        <w:t>soukromoprávní subjekty partnerské země, které poskytují dostatečné finanční záruky, odchylně od ustanovení čl. 58 odst. 1 písm. c) bodu vii) nařízení (EU) č. 966/2012.</w:t>
      </w:r>
    </w:p>
    <w:p>
      <w:pPr>
        <w:spacing w:before="0" w:after="200"/>
        <w:rPr>
          <w:noProof/>
          <w:szCs w:val="24"/>
        </w:rPr>
      </w:pPr>
      <w:r>
        <w:rPr>
          <w:noProof/>
        </w:rPr>
        <w:t xml:space="preserve">2. Způsobilé zainteresované partnerské strany musí být v souladu s pravidly a podmínkami stanovenými v článku 60 nařízení (EU, Euratom) č. 966/2012. </w:t>
      </w:r>
    </w:p>
    <w:p>
      <w:pPr>
        <w:spacing w:before="0" w:after="200"/>
        <w:rPr>
          <w:noProof/>
          <w:szCs w:val="24"/>
        </w:rPr>
      </w:pPr>
      <w:r>
        <w:rPr>
          <w:noProof/>
        </w:rPr>
        <w:t>3. Komise vybere způsobilé zainteresované partnerské strany podle článku 61 nařízení (EU, Euratom) č. 966/2012.</w:t>
      </w:r>
    </w:p>
    <w:p>
      <w:pPr>
        <w:pStyle w:val="Titrearticle"/>
        <w:rPr>
          <w:b/>
          <w:noProof/>
        </w:rPr>
      </w:pPr>
      <w:r>
        <w:rPr>
          <w:b/>
          <w:noProof/>
        </w:rPr>
        <w:t>Článek 11</w:t>
      </w:r>
      <w:r>
        <w:rPr>
          <w:b/>
          <w:noProof/>
        </w:rPr>
        <w:br/>
        <w:t>Krytí a podmínky dohod o záruce EFSD</w:t>
      </w:r>
    </w:p>
    <w:p>
      <w:pPr>
        <w:rPr>
          <w:noProof/>
        </w:rPr>
      </w:pPr>
      <w:r>
        <w:rPr>
          <w:noProof/>
        </w:rPr>
        <w:t xml:space="preserve">1. Aniž je dotčen odstavec 2, záruka EFSD nesmí nikdy přesáhnout částku 1 500 000 000 EUR. </w:t>
      </w:r>
    </w:p>
    <w:p>
      <w:pPr>
        <w:rPr>
          <w:b/>
          <w:noProof/>
          <w:szCs w:val="24"/>
        </w:rPr>
      </w:pPr>
      <w:r>
        <w:rPr>
          <w:noProof/>
        </w:rPr>
        <w:t>2. Členské státy mohou přispívat do záručního fondu EFSD v podobě záruk nebo v hotovosti. Jiní přispěvatelé mohou s výhradou schválení Komisí přispívat v hotovosti.</w:t>
      </w:r>
    </w:p>
    <w:p>
      <w:pPr>
        <w:rPr>
          <w:noProof/>
          <w:szCs w:val="24"/>
        </w:rPr>
      </w:pPr>
      <w:r>
        <w:rPr>
          <w:noProof/>
        </w:rPr>
        <w:t>Výše záruky přesahující částku uvedenou v odstavci 1 se uděluje jménem Unie.</w:t>
      </w:r>
    </w:p>
    <w:p>
      <w:pPr>
        <w:rPr>
          <w:noProof/>
          <w:szCs w:val="24"/>
        </w:rPr>
      </w:pPr>
      <w:r>
        <w:rPr>
          <w:noProof/>
        </w:rPr>
        <w:t xml:space="preserve">Souhrnné čisté platby ze souhrnného rozpočtu Unie v rámci záruky EFSD nesmějí překročit částku 1 500 000 000 EUR. Platby týkající se čerpání záruky provádí v případě potřeby přispívající členské státy nebo jiní přispěvatelé na rovnocenném základě s Unií, aniž je dotčen odstavec 4. </w:t>
      </w:r>
    </w:p>
    <w:p>
      <w:pPr>
        <w:rPr>
          <w:noProof/>
          <w:szCs w:val="24"/>
        </w:rPr>
      </w:pPr>
      <w:r>
        <w:rPr>
          <w:noProof/>
        </w:rPr>
        <w:t>Dohoda o příspěvcích se uzavírá mezi Komisí jednající jménem Unie a přispěvatelem a obsahuje zejména ustanovení týkající se platebních podmínek.</w:t>
      </w:r>
    </w:p>
    <w:p>
      <w:pPr>
        <w:spacing w:before="0" w:after="200"/>
        <w:rPr>
          <w:noProof/>
        </w:rPr>
      </w:pPr>
      <w:r>
        <w:rPr>
          <w:noProof/>
        </w:rPr>
        <w:t>3. Záruka EFSD bude dostupná teprve po potvrzení příspěvku v hotovosti ve výši 400 000 000 EUR z 11. Evropského rozvojového fondu (ERF)</w:t>
      </w:r>
      <w:r>
        <w:rPr>
          <w:rStyle w:val="FootnoteReference"/>
          <w:noProof/>
        </w:rPr>
        <w:footnoteReference w:id="35"/>
      </w:r>
      <w:r>
        <w:rPr>
          <w:noProof/>
        </w:rPr>
        <w:t xml:space="preserve"> do souhrnného rozpočtu Unie. </w:t>
      </w:r>
    </w:p>
    <w:p>
      <w:pPr>
        <w:spacing w:before="0" w:after="200"/>
        <w:rPr>
          <w:noProof/>
        </w:rPr>
      </w:pPr>
      <w:r>
        <w:rPr>
          <w:noProof/>
        </w:rPr>
        <w:t xml:space="preserve">Členské státy mohou přispívat do záruky EFSD v podobě záruk nebo v hotovosti. </w:t>
      </w:r>
    </w:p>
    <w:p>
      <w:pPr>
        <w:spacing w:before="0" w:after="200"/>
        <w:rPr>
          <w:noProof/>
          <w:szCs w:val="24"/>
        </w:rPr>
      </w:pPr>
      <w:r>
        <w:rPr>
          <w:noProof/>
        </w:rPr>
        <w:t>Komise o potvrzených příspěvcích uvědomí Evropský parlament a Radu.</w:t>
      </w:r>
    </w:p>
    <w:p>
      <w:pPr>
        <w:spacing w:before="0" w:after="200"/>
        <w:rPr>
          <w:noProof/>
          <w:szCs w:val="24"/>
          <w:highlight w:val="yellow"/>
        </w:rPr>
      </w:pPr>
      <w:r>
        <w:rPr>
          <w:noProof/>
        </w:rPr>
        <w:t>4. Z příspěvků členských států v podobě záruky lze čerpat pro účely plateb v rámci čerpání záruky teprve poté, co bylo financování ze souhrnného rozpočtu Unie zvýšené o další příspěvky v hotovosti použito na platby čerpání záruk.</w:t>
      </w:r>
    </w:p>
    <w:p>
      <w:pPr>
        <w:spacing w:before="0" w:after="200"/>
        <w:rPr>
          <w:noProof/>
          <w:szCs w:val="24"/>
        </w:rPr>
      </w:pPr>
      <w:r>
        <w:rPr>
          <w:noProof/>
        </w:rPr>
        <w:t>Na žádost členských států mohou být jejich příspěvky vyčleněny na zahájení projektů v konkrétních regionech, zemích, odvětvích nebo investičních oknech.</w:t>
      </w:r>
    </w:p>
    <w:p>
      <w:pPr>
        <w:spacing w:before="0" w:after="200"/>
        <w:rPr>
          <w:noProof/>
          <w:szCs w:val="24"/>
        </w:rPr>
      </w:pPr>
      <w:r>
        <w:rPr>
          <w:noProof/>
        </w:rPr>
        <w:t>Jakýkoli příspěvek lze použít na pokrytí čerpání záruky bez ohledu na vyčlenění.</w:t>
      </w:r>
    </w:p>
    <w:p>
      <w:pPr>
        <w:spacing w:before="0" w:after="200"/>
        <w:rPr>
          <w:noProof/>
          <w:szCs w:val="24"/>
        </w:rPr>
      </w:pPr>
      <w:r>
        <w:rPr>
          <w:noProof/>
        </w:rPr>
        <w:t xml:space="preserve">5. Po celou dobu provádění záruky EFSD bude na investice v partnerských zemích způsobilých v rámci 11. ERF přiděleno krytí záruky EFSD ve výši nejméně 400 000 000 EUR. </w:t>
      </w:r>
    </w:p>
    <w:p>
      <w:pPr>
        <w:pStyle w:val="Titrearticle"/>
        <w:rPr>
          <w:noProof/>
        </w:rPr>
      </w:pPr>
      <w:r>
        <w:rPr>
          <w:b/>
          <w:noProof/>
        </w:rPr>
        <w:t>Článek 12</w:t>
      </w:r>
      <w:r>
        <w:rPr>
          <w:b/>
          <w:noProof/>
        </w:rPr>
        <w:br/>
        <w:t>Provádění dohod o záruce EFSD</w:t>
      </w:r>
    </w:p>
    <w:p>
      <w:pPr>
        <w:rPr>
          <w:noProof/>
        </w:rPr>
      </w:pPr>
      <w:r>
        <w:rPr>
          <w:noProof/>
        </w:rPr>
        <w:t xml:space="preserve"> 1. Komise jménem Unie uzavře dohody o záruce EFSD se způsobilými zainteresovanými partnerskými stranami vybranými v souladu s čl. 10 a odst. 4, a to o poskytnutí záruky EFSD, která je bezpodmínečná, neodvolatelná, na první žádost ve prospěch vybrané způsobilé zainteresované partnerské strany.</w:t>
      </w:r>
    </w:p>
    <w:p>
      <w:pPr>
        <w:spacing w:before="0" w:after="200"/>
        <w:rPr>
          <w:noProof/>
          <w:szCs w:val="24"/>
        </w:rPr>
      </w:pPr>
      <w:r>
        <w:rPr>
          <w:noProof/>
        </w:rPr>
        <w:t>2. Pro každé investiční okno se mezi Komisí a vybranou způsobilou zainteresovanou partnerskou stranou nebo vybranými způsobilými zainteresovanými partnerskými stranami uzavírá jedna nebo více záručních dohod. Za účelem řešení specifických potřeb může být záruka EFSD poskytnuta pro jednotlivé finanční nebo investiční operace. Dohody mohou být uzavřeny s konsorciem dvou nebo více způsobilých zainteresovaných partnerských stran.</w:t>
      </w:r>
    </w:p>
    <w:p>
      <w:pPr>
        <w:rPr>
          <w:noProof/>
        </w:rPr>
      </w:pPr>
      <w:r>
        <w:rPr>
          <w:noProof/>
        </w:rPr>
        <w:t>3. Záruční dohody musí obsahovat zejména ustanovení týkající se:</w:t>
      </w:r>
    </w:p>
    <w:p>
      <w:pPr>
        <w:pStyle w:val="Point0"/>
        <w:rPr>
          <w:noProof/>
        </w:rPr>
      </w:pPr>
      <w:r>
        <w:rPr>
          <w:noProof/>
        </w:rPr>
        <w:t>a)</w:t>
      </w:r>
      <w:r>
        <w:rPr>
          <w:noProof/>
        </w:rPr>
        <w:tab/>
        <w:t xml:space="preserve">podrobných pravidel pro poskytování záruky EFSD, včetně způsobů krytí a jejího vymezeného krytí portfolií a projektů konkrétních druhů nástrojů; </w:t>
      </w:r>
    </w:p>
    <w:p>
      <w:pPr>
        <w:pStyle w:val="Point0"/>
        <w:rPr>
          <w:noProof/>
        </w:rPr>
      </w:pPr>
      <w:r>
        <w:rPr>
          <w:noProof/>
        </w:rPr>
        <w:t>b)</w:t>
      </w:r>
      <w:r>
        <w:rPr>
          <w:noProof/>
        </w:rPr>
        <w:tab/>
        <w:t xml:space="preserve">protiplnění za záruku; </w:t>
      </w:r>
    </w:p>
    <w:p>
      <w:pPr>
        <w:pStyle w:val="Point0"/>
        <w:rPr>
          <w:noProof/>
        </w:rPr>
      </w:pPr>
      <w:r>
        <w:rPr>
          <w:noProof/>
        </w:rPr>
        <w:t>c)</w:t>
      </w:r>
      <w:r>
        <w:rPr>
          <w:noProof/>
        </w:rPr>
        <w:tab/>
        <w:t xml:space="preserve">požadavků pro využívání záruky EFSD, včetně platebních podmínek, jako jsou zvláštní časové rámce, úroky ze splatných částek, náklady a náklady spojené s vymáháním a případně nezbytná ustanovení týkající se likvidity; </w:t>
      </w:r>
    </w:p>
    <w:p>
      <w:pPr>
        <w:pStyle w:val="Point0"/>
        <w:rPr>
          <w:noProof/>
        </w:rPr>
      </w:pPr>
      <w:r>
        <w:rPr>
          <w:noProof/>
        </w:rPr>
        <w:t>d)</w:t>
      </w:r>
      <w:r>
        <w:rPr>
          <w:noProof/>
        </w:rPr>
        <w:tab/>
        <w:t xml:space="preserve">ustanovení a postupů o vymáhání pohledávek; </w:t>
      </w:r>
    </w:p>
    <w:p>
      <w:pPr>
        <w:pStyle w:val="Point0"/>
        <w:rPr>
          <w:noProof/>
        </w:rPr>
      </w:pPr>
      <w:r>
        <w:rPr>
          <w:noProof/>
        </w:rPr>
        <w:t>e)</w:t>
      </w:r>
      <w:r>
        <w:rPr>
          <w:noProof/>
        </w:rPr>
        <w:tab/>
        <w:t>ustanovení ohledně povinnosti monitorování, podávání zpráv a hodnocení podle článků 15 a 16.</w:t>
      </w:r>
    </w:p>
    <w:p>
      <w:pPr>
        <w:spacing w:before="0" w:after="200"/>
        <w:rPr>
          <w:noProof/>
          <w:szCs w:val="24"/>
        </w:rPr>
      </w:pPr>
      <w:r>
        <w:rPr>
          <w:noProof/>
        </w:rPr>
        <w:t>4. Komise při rozhodování, zda uzavře záruční dohody se způsobilými zainteresovanými partnerskými stranami, náležitě zohlední:</w:t>
      </w:r>
    </w:p>
    <w:p>
      <w:pPr>
        <w:pStyle w:val="Point0"/>
        <w:rPr>
          <w:noProof/>
        </w:rPr>
      </w:pPr>
      <w:r>
        <w:rPr>
          <w:noProof/>
        </w:rPr>
        <w:t>a)</w:t>
      </w:r>
      <w:r>
        <w:rPr>
          <w:noProof/>
        </w:rPr>
        <w:tab/>
        <w:t>cíle investičního okna;</w:t>
      </w:r>
    </w:p>
    <w:p>
      <w:pPr>
        <w:pStyle w:val="Point0"/>
        <w:rPr>
          <w:noProof/>
        </w:rPr>
      </w:pPr>
      <w:r>
        <w:rPr>
          <w:noProof/>
        </w:rPr>
        <w:t>b)</w:t>
      </w:r>
      <w:r>
        <w:rPr>
          <w:noProof/>
        </w:rPr>
        <w:tab/>
        <w:t>zkušenosti a provozní a finanční způsobilost zainteresované partnerské strany;</w:t>
      </w:r>
    </w:p>
    <w:p>
      <w:pPr>
        <w:pStyle w:val="Point0"/>
        <w:rPr>
          <w:noProof/>
        </w:rPr>
      </w:pPr>
      <w:r>
        <w:rPr>
          <w:noProof/>
        </w:rPr>
        <w:t>c)</w:t>
      </w:r>
      <w:r>
        <w:rPr>
          <w:noProof/>
        </w:rPr>
        <w:tab/>
        <w:t>výši vlastních zdrojů, které je zainteresovaná partnerská strana připravena mobilizovat pro investiční okno.</w:t>
      </w:r>
    </w:p>
    <w:p>
      <w:pPr>
        <w:spacing w:before="0" w:after="200"/>
        <w:rPr>
          <w:noProof/>
          <w:szCs w:val="24"/>
        </w:rPr>
      </w:pPr>
      <w:r>
        <w:rPr>
          <w:noProof/>
        </w:rPr>
        <w:t>5. Schválení finančních a investičních operací provádí způsobilá zainteresovaná partnerská strana podle svých vlastních pravidel a postupů a v souladu s podmínkami záruční dohody.</w:t>
      </w:r>
    </w:p>
    <w:p>
      <w:pPr>
        <w:spacing w:before="0" w:after="200" w:line="276" w:lineRule="auto"/>
        <w:jc w:val="left"/>
        <w:rPr>
          <w:noProof/>
        </w:rPr>
      </w:pPr>
      <w:r>
        <w:rPr>
          <w:noProof/>
        </w:rPr>
        <w:t>6. Záruka EFSD může pokrývat:</w:t>
      </w:r>
    </w:p>
    <w:p>
      <w:pPr>
        <w:pStyle w:val="Point0"/>
        <w:rPr>
          <w:noProof/>
        </w:rPr>
      </w:pPr>
      <w:r>
        <w:rPr>
          <w:noProof/>
        </w:rPr>
        <w:t>a)</w:t>
      </w:r>
      <w:r>
        <w:rPr>
          <w:noProof/>
        </w:rPr>
        <w:tab/>
        <w:t xml:space="preserve">v případě dluhových nástrojů jistiny a veškeré úroky a částky, které jsou splatné ve prospěch vybrané způsobilé zainteresované partnerské strany, které však tato strana v souladu s podmínkami finančních operací po okamžiku selhání neobdržela; </w:t>
      </w:r>
    </w:p>
    <w:p>
      <w:pPr>
        <w:pStyle w:val="Point0"/>
        <w:rPr>
          <w:noProof/>
        </w:rPr>
      </w:pPr>
      <w:r>
        <w:rPr>
          <w:noProof/>
        </w:rPr>
        <w:t>b)</w:t>
      </w:r>
      <w:r>
        <w:rPr>
          <w:noProof/>
        </w:rPr>
        <w:tab/>
        <w:t xml:space="preserve">v případě kapitálových investic investované částky a s nimi spojené finanční náklady; </w:t>
      </w:r>
    </w:p>
    <w:p>
      <w:pPr>
        <w:pStyle w:val="Point0"/>
        <w:rPr>
          <w:noProof/>
        </w:rPr>
      </w:pPr>
      <w:r>
        <w:rPr>
          <w:noProof/>
        </w:rPr>
        <w:t>c)</w:t>
      </w:r>
      <w:r>
        <w:rPr>
          <w:noProof/>
        </w:rPr>
        <w:tab/>
        <w:t xml:space="preserve">v případě ostatních finančních a investičních operací podle čl. 8 odst. 2 použité částky a s nimi spojené finanční náklady; </w:t>
      </w:r>
    </w:p>
    <w:p>
      <w:pPr>
        <w:pStyle w:val="Point0"/>
        <w:rPr>
          <w:noProof/>
          <w:szCs w:val="24"/>
        </w:rPr>
      </w:pPr>
      <w:r>
        <w:rPr>
          <w:noProof/>
        </w:rPr>
        <w:t>d)</w:t>
      </w:r>
      <w:r>
        <w:rPr>
          <w:noProof/>
        </w:rPr>
        <w:tab/>
        <w:t xml:space="preserve">veškeré související náklady a náklady spojené s vymáháním týkajícím se selhání, pokud nejsou odečteny od výnosů z vymáhání. </w:t>
      </w:r>
    </w:p>
    <w:p>
      <w:pPr>
        <w:rPr>
          <w:noProof/>
        </w:rPr>
      </w:pPr>
      <w:r>
        <w:rPr>
          <w:noProof/>
        </w:rPr>
        <w:t>7. Záruční dohody stanoví podrobná pravidla týkající se krytí, požadavků, způsobilosti, způsobilých zainteresovaných partnerských stran a postupů.</w:t>
      </w:r>
    </w:p>
    <w:p>
      <w:pPr>
        <w:pStyle w:val="Titrearticle"/>
        <w:rPr>
          <w:b/>
          <w:noProof/>
        </w:rPr>
      </w:pPr>
      <w:r>
        <w:rPr>
          <w:b/>
          <w:noProof/>
        </w:rPr>
        <w:t>Článek 13</w:t>
      </w:r>
      <w:r>
        <w:rPr>
          <w:b/>
          <w:noProof/>
        </w:rPr>
        <w:br/>
        <w:t>Záruční fond EFSD</w:t>
      </w:r>
    </w:p>
    <w:p>
      <w:pPr>
        <w:rPr>
          <w:noProof/>
        </w:rPr>
      </w:pPr>
      <w:r>
        <w:rPr>
          <w:noProof/>
        </w:rPr>
        <w:t xml:space="preserve">1. Záruční fond EFSD představuje likvidní rezervu, z níž jsou způsobilé zainteresované partnerské strany vyplaceny v případě čerpání záruky EFSD v souladu s příslušnou dohodou o záruce EFSD. </w:t>
      </w:r>
    </w:p>
    <w:p>
      <w:pPr>
        <w:rPr>
          <w:noProof/>
        </w:rPr>
      </w:pPr>
      <w:r>
        <w:rPr>
          <w:noProof/>
        </w:rPr>
        <w:t xml:space="preserve">2. Záruční fond EFSD je financován: </w:t>
      </w:r>
    </w:p>
    <w:p>
      <w:pPr>
        <w:pStyle w:val="Point0"/>
        <w:rPr>
          <w:noProof/>
        </w:rPr>
      </w:pPr>
      <w:r>
        <w:rPr>
          <w:noProof/>
        </w:rPr>
        <w:t>a)</w:t>
      </w:r>
      <w:r>
        <w:rPr>
          <w:noProof/>
        </w:rPr>
        <w:tab/>
        <w:t xml:space="preserve">příspěvky ze souhrnného rozpočtu Unie a z dalších zdrojů; </w:t>
      </w:r>
    </w:p>
    <w:p>
      <w:pPr>
        <w:pStyle w:val="Point0"/>
        <w:rPr>
          <w:noProof/>
        </w:rPr>
      </w:pPr>
      <w:r>
        <w:rPr>
          <w:noProof/>
        </w:rPr>
        <w:t>b)</w:t>
      </w:r>
      <w:r>
        <w:rPr>
          <w:noProof/>
        </w:rPr>
        <w:tab/>
        <w:t xml:space="preserve">případnými příspěvky členských států a jiných přispěvatelů; </w:t>
      </w:r>
    </w:p>
    <w:p>
      <w:pPr>
        <w:pStyle w:val="Point0"/>
        <w:rPr>
          <w:noProof/>
        </w:rPr>
      </w:pPr>
      <w:r>
        <w:rPr>
          <w:noProof/>
        </w:rPr>
        <w:t>c)</w:t>
      </w:r>
      <w:r>
        <w:rPr>
          <w:noProof/>
        </w:rPr>
        <w:tab/>
        <w:t xml:space="preserve">návratností investovaných zdrojů záručního fondu EFSD; </w:t>
      </w:r>
    </w:p>
    <w:p>
      <w:pPr>
        <w:pStyle w:val="Point0"/>
        <w:rPr>
          <w:noProof/>
        </w:rPr>
      </w:pPr>
      <w:r>
        <w:rPr>
          <w:noProof/>
        </w:rPr>
        <w:t>d)</w:t>
      </w:r>
      <w:r>
        <w:rPr>
          <w:noProof/>
        </w:rPr>
        <w:tab/>
        <w:t xml:space="preserve">částkami získanými od dlužníků v selhání v souladu s ustanoveními o vymáhání záručních dohod; </w:t>
      </w:r>
    </w:p>
    <w:p>
      <w:pPr>
        <w:pStyle w:val="Point0"/>
        <w:rPr>
          <w:noProof/>
        </w:rPr>
      </w:pPr>
      <w:r>
        <w:rPr>
          <w:noProof/>
        </w:rPr>
        <w:t>e)</w:t>
      </w:r>
      <w:r>
        <w:rPr>
          <w:noProof/>
        </w:rPr>
        <w:tab/>
        <w:t>příjmy a jakýmikoli dalšími platbami, které Unie obdrží v souladu se záručními dohodami.</w:t>
      </w:r>
    </w:p>
    <w:p>
      <w:pPr>
        <w:rPr>
          <w:noProof/>
        </w:rPr>
      </w:pPr>
      <w:r>
        <w:rPr>
          <w:noProof/>
        </w:rPr>
        <w:t>3. Příjmy záručního fondu EFSD stanovené v odst. 2 písm. c) a e) představují vnitřní účelově vázané příjmy v souladu s čl. 21 odst. 4 nařízení (EU, Euratom) č. 966/2012.</w:t>
      </w:r>
    </w:p>
    <w:p>
      <w:pPr>
        <w:rPr>
          <w:noProof/>
        </w:rPr>
      </w:pPr>
      <w:r>
        <w:rPr>
          <w:noProof/>
        </w:rPr>
        <w:t>4. Zdroje záručního fondu EFSD uvedené v odstavci 2 jsou přímo řízeny Komisí a investovány v souladu se zásadou řádného finančního řízení a s náležitými obezřetnostními pravidly.</w:t>
      </w:r>
    </w:p>
    <w:p>
      <w:pPr>
        <w:rPr>
          <w:noProof/>
        </w:rPr>
      </w:pPr>
      <w:r>
        <w:rPr>
          <w:noProof/>
        </w:rPr>
        <w:t xml:space="preserve">5. Prostředky pro záruční fond EFSD musí být využity tak, aby byla dosažena náležitá úroveň poskytování prostředků k pokrytí celkových závazků ze záruky EFSD. Míra poskytování prostředků činí 50 % celkových závazků ze záruky EFSD krytých z prostředků souhrnného rozpočtu Unie. </w:t>
      </w:r>
    </w:p>
    <w:p>
      <w:pPr>
        <w:rPr>
          <w:noProof/>
        </w:rPr>
      </w:pPr>
      <w:r>
        <w:rPr>
          <w:noProof/>
        </w:rPr>
        <w:t>6. V návaznosti na posouzení přiměřenosti výše záručního fondu EFSD v souladu se zprávou podle čl. 15 odst. 3 se provedou tyto platby:</w:t>
      </w:r>
    </w:p>
    <w:p>
      <w:pPr>
        <w:pStyle w:val="Point0"/>
        <w:rPr>
          <w:noProof/>
        </w:rPr>
      </w:pPr>
      <w:r>
        <w:rPr>
          <w:noProof/>
        </w:rPr>
        <w:t>a)</w:t>
      </w:r>
      <w:r>
        <w:rPr>
          <w:noProof/>
        </w:rPr>
        <w:tab/>
        <w:t xml:space="preserve">případný přebytek se vyplatí do souhrnného rozpočtu Unie; </w:t>
      </w:r>
    </w:p>
    <w:p>
      <w:pPr>
        <w:pStyle w:val="Point0"/>
        <w:rPr>
          <w:noProof/>
        </w:rPr>
      </w:pPr>
      <w:r>
        <w:rPr>
          <w:noProof/>
        </w:rPr>
        <w:t>b)</w:t>
      </w:r>
      <w:r>
        <w:rPr>
          <w:noProof/>
        </w:rPr>
        <w:tab/>
        <w:t>případné doplnění záručního fondu EFSD se vyplatí v ročních splátkách během období nejvýše tří let počínaje rokem n+1.</w:t>
      </w:r>
    </w:p>
    <w:p>
      <w:pPr>
        <w:rPr>
          <w:noProof/>
        </w:rPr>
      </w:pPr>
      <w:r>
        <w:rPr>
          <w:noProof/>
        </w:rPr>
        <w:t xml:space="preserve">7. Počínaje 1. lednem 2021, pokud v důsledku čerpání záruky EFSD klesne výše zdrojů v záručním fondu pod 50 % míry poskytování prostředků uvedené v odstavci 5, předloží Komise zprávu o mimořádných opatřeních, která mohou být nutná k doplnění záručního fondu EFSD. </w:t>
      </w:r>
    </w:p>
    <w:p>
      <w:pPr>
        <w:rPr>
          <w:noProof/>
        </w:rPr>
      </w:pPr>
      <w:r>
        <w:rPr>
          <w:noProof/>
        </w:rPr>
        <w:t xml:space="preserve">8. Po čerpání záruky EFSD se prostředky pro záruční fond EFSD uvedené v odst. 2 písm. c), d) a e) přesahující zdroje potřebné k dosažení míry poskytování prostředků na úrovni uvedené v odstavci 5 použijí v rámci počátečního investičního období stanoveného v čl. 7 odst. 2 pro obnovení záruky EFSD až do její původní výše. </w:t>
      </w:r>
    </w:p>
    <w:p>
      <w:pPr>
        <w:pStyle w:val="Titrearticle"/>
        <w:rPr>
          <w:b/>
          <w:noProof/>
        </w:rPr>
      </w:pPr>
      <w:r>
        <w:rPr>
          <w:b/>
          <w:noProof/>
        </w:rPr>
        <w:t>Článek 14</w:t>
      </w:r>
      <w:r>
        <w:rPr>
          <w:b/>
          <w:noProof/>
        </w:rPr>
        <w:br/>
        <w:t xml:space="preserve">Financování záručního fondu EFSD ze souhrnného rozpočtu Unie </w:t>
      </w:r>
    </w:p>
    <w:p>
      <w:pPr>
        <w:rPr>
          <w:noProof/>
        </w:rPr>
      </w:pPr>
      <w:r>
        <w:rPr>
          <w:noProof/>
        </w:rPr>
        <w:t xml:space="preserve">Ze souhrnného rozpočtu Unie bude poskytnut příspěvek ve výši 350 000 000 EUR. </w:t>
      </w:r>
    </w:p>
    <w:p>
      <w:pPr>
        <w:keepNext/>
        <w:keepLines/>
        <w:spacing w:before="360"/>
        <w:jc w:val="center"/>
        <w:rPr>
          <w:noProof/>
        </w:rPr>
      </w:pPr>
      <w:r>
        <w:rPr>
          <w:noProof/>
        </w:rPr>
        <w:t>KAPITOLA IV</w:t>
      </w:r>
    </w:p>
    <w:p>
      <w:pPr>
        <w:keepNext/>
        <w:keepLines/>
        <w:jc w:val="center"/>
        <w:rPr>
          <w:noProof/>
        </w:rPr>
      </w:pPr>
      <w:r>
        <w:rPr>
          <w:noProof/>
        </w:rPr>
        <w:t>PODÁVÁNÍ ZPRÁV, ÚČETNICTVÍ A HODNOCENÍ</w:t>
      </w:r>
    </w:p>
    <w:p>
      <w:pPr>
        <w:pStyle w:val="Titrearticle"/>
        <w:rPr>
          <w:b/>
          <w:noProof/>
        </w:rPr>
      </w:pPr>
      <w:r>
        <w:rPr>
          <w:b/>
          <w:noProof/>
        </w:rPr>
        <w:t xml:space="preserve">Článek 15 </w:t>
      </w:r>
      <w:r>
        <w:rPr>
          <w:b/>
          <w:noProof/>
        </w:rPr>
        <w:br/>
        <w:t>Podávání zpráv a účetnictví</w:t>
      </w:r>
    </w:p>
    <w:p>
      <w:pPr>
        <w:rPr>
          <w:noProof/>
        </w:rPr>
      </w:pPr>
      <w:r>
        <w:rPr>
          <w:noProof/>
        </w:rPr>
        <w:t>1. Komise předloží každý rok Evropskému parlamentu a Radě zprávu o finančních a investičních operacích krytých zárukou EFSD. Tato zpráva se zveřejňuje. Mimo jiné zahrnuje:</w:t>
      </w:r>
    </w:p>
    <w:p>
      <w:pPr>
        <w:pStyle w:val="Point0"/>
        <w:rPr>
          <w:noProof/>
        </w:rPr>
      </w:pPr>
      <w:r>
        <w:rPr>
          <w:noProof/>
        </w:rPr>
        <w:t>a)</w:t>
      </w:r>
      <w:r>
        <w:rPr>
          <w:noProof/>
        </w:rPr>
        <w:tab/>
        <w:t>posouzení finančních a investičních operací, jež probíhají a které jsou kryté zárukou EFSD, podle odvětví, země a regionu a jejich souladu s tímto nařízením;</w:t>
      </w:r>
    </w:p>
    <w:p>
      <w:pPr>
        <w:pStyle w:val="Point0"/>
        <w:rPr>
          <w:noProof/>
        </w:rPr>
      </w:pPr>
      <w:r>
        <w:rPr>
          <w:noProof/>
        </w:rPr>
        <w:t>b)</w:t>
      </w:r>
      <w:r>
        <w:rPr>
          <w:noProof/>
        </w:rPr>
        <w:tab/>
        <w:t>posouzení přidané hodnoty, mobilizace zdrojů soukromého sektoru, odhadovaných a skutečných výstupů a výsledků a dopadu finančních a investičních operací krytých zárukou EFSD na souhrnném základě, včetně dopadu na tvorbu pracovních míst;</w:t>
      </w:r>
    </w:p>
    <w:p>
      <w:pPr>
        <w:pStyle w:val="Point0"/>
        <w:rPr>
          <w:noProof/>
        </w:rPr>
      </w:pPr>
      <w:r>
        <w:rPr>
          <w:noProof/>
        </w:rPr>
        <w:t>c)</w:t>
      </w:r>
      <w:r>
        <w:rPr>
          <w:noProof/>
        </w:rPr>
        <w:tab/>
        <w:t>posouzení dodržování požadavků týkajících se využití záruky EFSD a klíčových ukazatelů výkonnosti stanovených pro každý předložený návrh;</w:t>
      </w:r>
    </w:p>
    <w:p>
      <w:pPr>
        <w:pStyle w:val="Point0"/>
        <w:rPr>
          <w:noProof/>
        </w:rPr>
      </w:pPr>
      <w:r>
        <w:rPr>
          <w:noProof/>
        </w:rPr>
        <w:t>d)</w:t>
      </w:r>
      <w:r>
        <w:rPr>
          <w:noProof/>
        </w:rPr>
        <w:tab/>
        <w:t>posouzení pákového efektu dosaženého operacemi krytými zárukou EFSD;</w:t>
      </w:r>
    </w:p>
    <w:p>
      <w:pPr>
        <w:pStyle w:val="Point0"/>
        <w:rPr>
          <w:noProof/>
        </w:rPr>
      </w:pPr>
      <w:r>
        <w:rPr>
          <w:noProof/>
        </w:rPr>
        <w:t>e)</w:t>
      </w:r>
      <w:r>
        <w:rPr>
          <w:noProof/>
        </w:rPr>
        <w:tab/>
        <w:t>finanční částku, která byla převedena příjemcům, a posouzení finančních a investičních operací každé zainteresované partnerské strany na souhrnném základě;</w:t>
      </w:r>
    </w:p>
    <w:p>
      <w:pPr>
        <w:pStyle w:val="Point0"/>
        <w:rPr>
          <w:noProof/>
        </w:rPr>
      </w:pPr>
      <w:r>
        <w:rPr>
          <w:noProof/>
        </w:rPr>
        <w:t>f)</w:t>
      </w:r>
      <w:r>
        <w:rPr>
          <w:noProof/>
        </w:rPr>
        <w:tab/>
        <w:t>posouzení přidané hodnoty finančních a investičních operací způsobilých zainteresovaných partnerských stran a souhrnného rizika spojeného s těmito operacemi;</w:t>
      </w:r>
    </w:p>
    <w:p>
      <w:pPr>
        <w:pStyle w:val="Point0"/>
        <w:rPr>
          <w:noProof/>
        </w:rPr>
      </w:pPr>
      <w:r>
        <w:rPr>
          <w:noProof/>
        </w:rPr>
        <w:t>g)</w:t>
      </w:r>
      <w:r>
        <w:rPr>
          <w:noProof/>
        </w:rPr>
        <w:tab/>
        <w:t>podrobné informace o čerpání záruky EFSD, ztrátách, výnosech, zpětně získaných částkách a jakýchkoli dalších obdržených platbách;</w:t>
      </w:r>
    </w:p>
    <w:p>
      <w:pPr>
        <w:pStyle w:val="Point0"/>
        <w:rPr>
          <w:noProof/>
        </w:rPr>
      </w:pPr>
      <w:r>
        <w:rPr>
          <w:noProof/>
        </w:rPr>
        <w:t>h)</w:t>
      </w:r>
      <w:r>
        <w:rPr>
          <w:noProof/>
        </w:rPr>
        <w:tab/>
        <w:t>finanční zprávy o finančních a investičních operacích způsobilých zainteresovaných partnerských stran, na něž se vztahuje toto nařízení, auditované nezávislým externím auditorem.</w:t>
      </w:r>
    </w:p>
    <w:p>
      <w:pPr>
        <w:rPr>
          <w:noProof/>
        </w:rPr>
      </w:pPr>
      <w:r>
        <w:rPr>
          <w:noProof/>
        </w:rPr>
        <w:t>2. Pro účely kontroly účetnictví, podávání zpráv o rizicích krytých zárukou EFSD a řízení záručního fondu EFSD ze strany Komise předkládají způsobilé zainteresované partnerské strany, s nimiž byla uzavřena záruční dohoda, Komisi a Účetnímu dvoru jednou ročně finanční zprávy o finančních a investičních operacích, na něž se vztahuje toto nařízení, auditované nezávislým externím auditorem, obsahující mimo jiné informace o:</w:t>
      </w:r>
    </w:p>
    <w:p>
      <w:pPr>
        <w:pStyle w:val="Point0"/>
        <w:rPr>
          <w:noProof/>
        </w:rPr>
      </w:pPr>
      <w:r>
        <w:rPr>
          <w:noProof/>
        </w:rPr>
        <w:t>a)</w:t>
      </w:r>
      <w:r>
        <w:rPr>
          <w:noProof/>
        </w:rPr>
        <w:tab/>
        <w:t>posouzení rizik finančních a investičních operací způsobilých zainteresovaných partnerských stran</w:t>
      </w:r>
      <w:r>
        <w:rPr>
          <w:rStyle w:val="Bodytext2"/>
          <w:rFonts w:eastAsiaTheme="minorHAnsi"/>
          <w:noProof/>
          <w:sz w:val="24"/>
        </w:rPr>
        <w:t>, včetně informací týkajících se závazků Unie měřených v souladu s účetními pravidly Unie stanovenými účetním Komise na základě mezinárodně uznávaných účetních standardů pro veřejný sektor</w:t>
      </w:r>
      <w:r>
        <w:rPr>
          <w:noProof/>
        </w:rPr>
        <w:t>;</w:t>
      </w:r>
    </w:p>
    <w:p>
      <w:pPr>
        <w:pStyle w:val="Point0"/>
        <w:rPr>
          <w:noProof/>
        </w:rPr>
      </w:pPr>
      <w:r>
        <w:rPr>
          <w:noProof/>
        </w:rPr>
        <w:t>b)</w:t>
      </w:r>
      <w:r>
        <w:rPr>
          <w:noProof/>
        </w:rPr>
        <w:tab/>
        <w:t>neuhrazených finančních závazcích Unie vyplývajících ze záruky EFSD poskytnuté způsobilým zainteresovaným partnerským stranám na jejich finanční a investiční operace, rozčleněné podle jednotlivých operací.</w:t>
      </w:r>
      <w:r>
        <w:rPr>
          <w:noProof/>
        </w:rPr>
        <w:br/>
      </w:r>
      <w:r>
        <w:rPr>
          <w:noProof/>
        </w:rPr>
        <w:br/>
      </w:r>
      <w:r>
        <w:rPr>
          <w:rStyle w:val="Bodytext2"/>
          <w:rFonts w:eastAsiaTheme="minorHAnsi"/>
          <w:noProof/>
          <w:sz w:val="24"/>
        </w:rPr>
        <w:t>Zainteresované partnerské strany na vyžádání poskytnou Komisi veškeré další informace nezbytné k plnění povinností Komise v souvislosti s tímto nařízením.</w:t>
      </w:r>
    </w:p>
    <w:p>
      <w:pPr>
        <w:rPr>
          <w:rStyle w:val="Bodytext2"/>
          <w:rFonts w:eastAsiaTheme="minorHAnsi"/>
          <w:noProof/>
          <w:sz w:val="24"/>
          <w:szCs w:val="24"/>
        </w:rPr>
      </w:pPr>
      <w:r>
        <w:rPr>
          <w:rStyle w:val="Bodytext2"/>
          <w:rFonts w:eastAsiaTheme="minorHAnsi"/>
          <w:noProof/>
          <w:sz w:val="24"/>
        </w:rPr>
        <w:t xml:space="preserve">3. Komise každoročně do 31. března předloží Evropskému parlamentu, Radě a Účetnímu dvoru v souvislosti se svými finančními výkazy požadované informace o situaci záručního fondu EFSD. Kromě toho do 31. května každého roku předloží Komise Evropskému parlamentu, Radě a Účetnímu dvoru výroční zprávu o řízení záručního fondu EFSD v předchozím kalendářním roce, včetně posouzení adekvátnosti poskytování prostředků, objemu záručního fondu a nutnosti jeho doplnění. </w:t>
      </w:r>
    </w:p>
    <w:p>
      <w:pPr>
        <w:rPr>
          <w:noProof/>
        </w:rPr>
      </w:pPr>
      <w:r>
        <w:rPr>
          <w:rStyle w:val="Bodytext2"/>
          <w:rFonts w:eastAsiaTheme="minorHAnsi"/>
          <w:noProof/>
          <w:sz w:val="24"/>
        </w:rPr>
        <w:t>Výroční zpráva zahrnuje informace o finanční situaci záručního fondu EFSD na konci předchozího kalendářního roku, finančních tocích během předchozího kalendářního roku, jakož i o významných transakcích a veškeré příslušné informace týkající se finančních účtů. Zpráva rovněž obsahuje informace o finančním řízení, výsledcích a riziku záručního fondu ke konci předchozího kalendářního roku.</w:t>
      </w:r>
    </w:p>
    <w:p>
      <w:pPr>
        <w:pStyle w:val="Titrearticle"/>
        <w:rPr>
          <w:b/>
          <w:noProof/>
        </w:rPr>
      </w:pPr>
      <w:r>
        <w:rPr>
          <w:b/>
          <w:noProof/>
        </w:rPr>
        <w:t>Článek 16</w:t>
      </w:r>
      <w:r>
        <w:rPr>
          <w:b/>
          <w:noProof/>
        </w:rPr>
        <w:br/>
        <w:t>Hodnocení a přezkum</w:t>
      </w:r>
    </w:p>
    <w:p>
      <w:pPr>
        <w:rPr>
          <w:rFonts w:eastAsia="Times New Roman"/>
          <w:noProof/>
          <w:szCs w:val="24"/>
        </w:rPr>
      </w:pPr>
      <w:r>
        <w:rPr>
          <w:noProof/>
        </w:rPr>
        <w:t>1. Komise do 31. prosince 2020 zhodnotí fungování EFSD. Komise předloží Evropskému parlamentu a Radě hodnotící zprávu obsahující nezávislé hodnocení uplatňování tohoto nařízení. Tuto zprávu Komise předloží neprodleně v případě, že schválené finanční a investiční operace dostupnou výši záruky EFSD plně vyčerpají před 30. červnem 2020.</w:t>
      </w:r>
    </w:p>
    <w:p>
      <w:pPr>
        <w:rPr>
          <w:noProof/>
        </w:rPr>
      </w:pPr>
      <w:r>
        <w:rPr>
          <w:noProof/>
        </w:rPr>
        <w:t>2. Do 31. prosince 2020 a poté každé tři roky Komise posoudí využívání záručního fondu EFSD. Komise svou hodnotící zprávu předloží Evropskému parlamentu a Radě. K této hodnotící zprávě bude připojeno stanovisko Účetního dvora.</w:t>
      </w:r>
    </w:p>
    <w:p>
      <w:pPr>
        <w:spacing w:before="360"/>
        <w:jc w:val="center"/>
        <w:rPr>
          <w:noProof/>
        </w:rPr>
      </w:pPr>
      <w:r>
        <w:rPr>
          <w:noProof/>
        </w:rPr>
        <w:t>KAPITOLA V</w:t>
      </w:r>
    </w:p>
    <w:p>
      <w:pPr>
        <w:jc w:val="center"/>
        <w:rPr>
          <w:noProof/>
        </w:rPr>
      </w:pPr>
      <w:r>
        <w:rPr>
          <w:noProof/>
        </w:rPr>
        <w:t>OBECNÁ USTANOVENÍ</w:t>
      </w:r>
    </w:p>
    <w:p>
      <w:pPr>
        <w:pStyle w:val="Titrearticle"/>
        <w:rPr>
          <w:b/>
          <w:noProof/>
        </w:rPr>
      </w:pPr>
      <w:r>
        <w:rPr>
          <w:b/>
          <w:noProof/>
        </w:rPr>
        <w:t>Článek 17</w:t>
      </w:r>
      <w:r>
        <w:rPr>
          <w:b/>
          <w:noProof/>
        </w:rPr>
        <w:br/>
        <w:t>Transparentnost a zveřejňování informací</w:t>
      </w:r>
    </w:p>
    <w:p>
      <w:pPr>
        <w:widowControl w:val="0"/>
        <w:spacing w:before="0" w:after="0"/>
        <w:rPr>
          <w:b/>
          <w:noProof/>
        </w:rPr>
      </w:pPr>
      <w:r>
        <w:rPr>
          <w:noProof/>
        </w:rPr>
        <w:t>Způsobilé zainteresované partnerské strany v souladu se svou politikou transparentnosti a s obecnými zásadami Unie ohledně přístupu k dokumentům a informacím zveřejní na svých internetových stránkách informace týkající se všech finančních a investičních operací způsobilých zainteresovaných partnerských stran, na něž se vztahuje záruka EFSD v rámci tohoto nařízení, týkající se zejména toho, jakým způsobem přispívají tyto operace k dosažení požadavků tohoto nařízení.</w:t>
      </w:r>
    </w:p>
    <w:p>
      <w:pPr>
        <w:pStyle w:val="Titrearticle"/>
        <w:rPr>
          <w:b/>
          <w:noProof/>
        </w:rPr>
      </w:pPr>
      <w:r>
        <w:rPr>
          <w:b/>
          <w:noProof/>
        </w:rPr>
        <w:t>Článek 18</w:t>
      </w:r>
      <w:r>
        <w:rPr>
          <w:b/>
          <w:noProof/>
        </w:rPr>
        <w:br/>
        <w:t>Kontrola Účetním dvorem</w:t>
      </w:r>
    </w:p>
    <w:p>
      <w:pPr>
        <w:rPr>
          <w:noProof/>
        </w:rPr>
      </w:pPr>
      <w:r>
        <w:rPr>
          <w:noProof/>
        </w:rPr>
        <w:t>1. Externí audit činností prováděných podle tohoto nařízení provádí Účetní dvůr v souladu s článkem 287 Smlouvy o fungování Evropské unie (SFEU).</w:t>
      </w:r>
    </w:p>
    <w:p>
      <w:pPr>
        <w:rPr>
          <w:noProof/>
        </w:rPr>
      </w:pPr>
      <w:r>
        <w:rPr>
          <w:noProof/>
        </w:rPr>
        <w:t>2. Pro účely odstavce 1 tohoto článku bude Účetnímu dvoru na jeho žádost a v souladu s čl. 287 odst. 3 Smlouvy o fungování EU zajištěn přístup k jakémukoli dokumentu či informacím nezbytným k tomu, aby mohl plnit své úkoly.</w:t>
      </w:r>
    </w:p>
    <w:p>
      <w:pPr>
        <w:pStyle w:val="Titrearticle"/>
        <w:rPr>
          <w:b/>
          <w:noProof/>
        </w:rPr>
      </w:pPr>
      <w:r>
        <w:rPr>
          <w:b/>
          <w:noProof/>
        </w:rPr>
        <w:t>Článek 19</w:t>
      </w:r>
      <w:r>
        <w:rPr>
          <w:b/>
          <w:noProof/>
        </w:rPr>
        <w:br/>
        <w:t xml:space="preserve">Opatření proti podvodům </w:t>
      </w:r>
    </w:p>
    <w:p>
      <w:pPr>
        <w:rPr>
          <w:noProof/>
        </w:rPr>
      </w:pPr>
      <w:r>
        <w:rPr>
          <w:noProof/>
        </w:rPr>
        <w:t>1. Komise nebo způsobilé zainteresované partnerské strany neprodleně informují Evropský úřad pro boj proti podvodům (OLAF) a poskytnou mu potřebné informace, pokud mají v jakékoli fázi přípravy, provádění nebo ukončování finančních a investičních operací, na něž se vztahuje toto nařízení, důvod se domnívat, že došlo k podvodu, korupci, praní peněz nebo jinému protiprávnímu jednání, které může ohrozit finanční zájmy Unie.</w:t>
      </w:r>
    </w:p>
    <w:p>
      <w:pPr>
        <w:rPr>
          <w:noProof/>
        </w:rPr>
      </w:pPr>
      <w:r>
        <w:rPr>
          <w:noProof/>
        </w:rPr>
        <w:t>2. OLAF může provádět vyšetřování, včetně kontrol a inspekcí na místě, v souladu s předpisy a postupy stanovenými v nařízení Evropského parlamentu a Rady (EU, Euratom) č. 883/2013, nařízení Rady (Euratom, ES) č. 2185/96 a nařízení Rady (ES, Euratom) č. 2988/95 za účelem ochrany finančních zájmů Unie, s cílem zjistit, zda nedošlo k podvodu, korupci, praní peněz nebo jinému protiprávnímu jednání ohrožujícímu finanční zájmy Unie v souvislosti s jakoukoli finanční a investiční operací, na níž se vztahuje toto nařízení. Informace získané během svých vyšetřování může OLAF předávat příslušným orgánům dotčených členských států.</w:t>
      </w:r>
    </w:p>
    <w:p>
      <w:pPr>
        <w:rPr>
          <w:noProof/>
        </w:rPr>
      </w:pPr>
      <w:r>
        <w:rPr>
          <w:noProof/>
        </w:rPr>
        <w:t>Jestliže se takové protiprávní jednání potvrdí, způsobilé zainteresované partnerské strany vymáhají pohledávky v souvislosti se svými finančními a investičními operacemi, na něž se vztahuje toto nařízení a jež jsou těmito činnostmi dotčeny.</w:t>
      </w:r>
    </w:p>
    <w:p>
      <w:pPr>
        <w:pStyle w:val="Titrearticle"/>
        <w:rPr>
          <w:b/>
          <w:noProof/>
        </w:rPr>
      </w:pPr>
      <w:r>
        <w:rPr>
          <w:b/>
          <w:noProof/>
        </w:rPr>
        <w:t>Článek 20</w:t>
      </w:r>
      <w:r>
        <w:rPr>
          <w:b/>
          <w:noProof/>
        </w:rPr>
        <w:br/>
        <w:t>Vyloučené činnosti a nespolupracující jurisdikce</w:t>
      </w:r>
    </w:p>
    <w:p>
      <w:pPr>
        <w:rPr>
          <w:noProof/>
        </w:rPr>
      </w:pPr>
      <w:r>
        <w:rPr>
          <w:noProof/>
        </w:rPr>
        <w:t>1. Způsobilé zainteresované partnerské strany v rámci svých finančních a investičních operací nepodpoří žádné činnosti sloužící protiprávním účelům, včetně praní peněz, financování terorismu, organizované trestné činnosti, daňových podvodů nebo daňových úniků, korupce a podvodů ovlivňujících finanční zájmy Unie. Způsobilé zainteresované partnerské strany se v souladu se svou politikou vůči nedostatečně regulovaným nebo nespolupracujícím jurisdikcím na základě politik Unie, Organizace pro hospodářskou spolupráci a rozvoj a Finančního akčního výboru nesmí podílet na žádné finanční nebo investiční operaci prostřednictvím subjektu umístěného v nespolupracující jurisdikci.</w:t>
      </w:r>
    </w:p>
    <w:p>
      <w:pPr>
        <w:rPr>
          <w:noProof/>
        </w:rPr>
      </w:pPr>
      <w:r>
        <w:rPr>
          <w:noProof/>
        </w:rPr>
        <w:t>2. Při svých finančních a investičních operacích uplatňuje způsobilá zainteresovaná partnerská strana zásady a standardy stanovené právními předpisy Unie o předcházení zneužití finančního systému k praní peněz a financování terorismu a zejména nařízením Evropského parlamentu a Rady (EU) 2015/847</w:t>
      </w:r>
      <w:r>
        <w:rPr>
          <w:rStyle w:val="FootnoteReference"/>
          <w:noProof/>
        </w:rPr>
        <w:footnoteReference w:id="36"/>
      </w:r>
      <w:r>
        <w:rPr>
          <w:noProof/>
        </w:rPr>
        <w:t xml:space="preserve"> a směrnice Evropského parlamentu a Rady (EU) 2015/849</w:t>
      </w:r>
      <w:r>
        <w:rPr>
          <w:rStyle w:val="FootnoteReference"/>
          <w:noProof/>
        </w:rPr>
        <w:footnoteReference w:id="37"/>
      </w:r>
      <w:r>
        <w:rPr>
          <w:noProof/>
        </w:rPr>
        <w:t>. Způsobilé zainteresované partnerské strany podmíní přímé i zprostředkované financování podle tohoto nařízení zveřejněním informací o skutečném vlastnictví v souladu se směrnicí (EU) 2015/849.</w:t>
      </w:r>
    </w:p>
    <w:p>
      <w:pPr>
        <w:spacing w:before="360"/>
        <w:jc w:val="center"/>
        <w:rPr>
          <w:noProof/>
        </w:rPr>
      </w:pPr>
      <w:r>
        <w:rPr>
          <w:noProof/>
        </w:rPr>
        <w:t>KAPITOLA VI</w:t>
      </w:r>
    </w:p>
    <w:p>
      <w:pPr>
        <w:jc w:val="center"/>
        <w:rPr>
          <w:noProof/>
        </w:rPr>
      </w:pPr>
      <w:r>
        <w:rPr>
          <w:noProof/>
        </w:rPr>
        <w:t>ZÁVĚREČNÁ USTANOVENÍ</w:t>
      </w:r>
    </w:p>
    <w:p>
      <w:pPr>
        <w:pStyle w:val="Titrearticle"/>
        <w:rPr>
          <w:b/>
          <w:noProof/>
        </w:rPr>
      </w:pPr>
      <w:r>
        <w:rPr>
          <w:b/>
          <w:noProof/>
        </w:rPr>
        <w:t>Článek 21</w:t>
      </w:r>
      <w:r>
        <w:rPr>
          <w:b/>
          <w:noProof/>
        </w:rPr>
        <w:br/>
        <w:t xml:space="preserve">Vstup v platnost </w:t>
      </w:r>
    </w:p>
    <w:p>
      <w:pPr>
        <w:rPr>
          <w:noProof/>
        </w:rPr>
      </w:pPr>
      <w:r>
        <w:rPr>
          <w:noProof/>
        </w:rPr>
        <w:t xml:space="preserve">Toto nařízení vstupuje v platnost dvacátým dnem po vyhlášení v </w:t>
      </w:r>
      <w:r>
        <w:rPr>
          <w:i/>
          <w:noProof/>
        </w:rPr>
        <w:t>Úředním věstníku Evropské unie</w:t>
      </w:r>
      <w:r>
        <w:rPr>
          <w:noProof/>
        </w:rPr>
        <w:t>.</w:t>
      </w:r>
    </w:p>
    <w:p>
      <w:pPr>
        <w:pStyle w:val="Applicationdirecte"/>
        <w:keepNext/>
        <w:keepLines/>
        <w:rPr>
          <w:noProof/>
        </w:rPr>
      </w:pPr>
      <w:r>
        <w:rPr>
          <w:noProof/>
        </w:rPr>
        <w:t>Toto nařízení je závazné v celém rozsahu a přímo použitelné ve všech členských státech.</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 / předsedkyně</w:t>
      </w:r>
      <w:r>
        <w:rPr>
          <w:noProof/>
        </w:rPr>
        <w:tab/>
        <w:t>předseda / předsedkyně</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LEGISLATIVNÍ FINANČNÍ VÝKAZ</w:t>
      </w:r>
    </w:p>
    <w:p>
      <w:pPr>
        <w:pStyle w:val="ManualHeading1"/>
        <w:rPr>
          <w:noProof/>
        </w:rPr>
      </w:pPr>
      <w:r>
        <w:rPr>
          <w:noProof/>
        </w:rPr>
        <w:t>1.</w:t>
      </w:r>
      <w:r>
        <w:rPr>
          <w:noProof/>
        </w:rPr>
        <w:tab/>
        <w:t xml:space="preserve">RÁMEC NÁVRHU/PODNĚTU </w:t>
      </w:r>
    </w:p>
    <w:p>
      <w:pPr>
        <w:pStyle w:val="ManualHeading2"/>
        <w:rPr>
          <w:b w:val="0"/>
          <w:noProof/>
        </w:rPr>
      </w:pPr>
      <w:r>
        <w:rPr>
          <w:noProof/>
        </w:rPr>
        <w:tab/>
      </w:r>
      <w:r>
        <w:rPr>
          <w:b w:val="0"/>
          <w:noProof/>
        </w:rPr>
        <w:t>1.1</w:t>
      </w:r>
      <w:r>
        <w:rPr>
          <w:noProof/>
        </w:rPr>
        <w:tab/>
      </w:r>
      <w:r>
        <w:rPr>
          <w:b w:val="0"/>
          <w:noProof/>
        </w:rPr>
        <w:t xml:space="preserve">Název návrhu/podnětu </w:t>
      </w:r>
    </w:p>
    <w:p>
      <w:pPr>
        <w:pStyle w:val="ManualHeading2"/>
        <w:rPr>
          <w:b w:val="0"/>
          <w:noProof/>
        </w:rPr>
      </w:pPr>
      <w:r>
        <w:rPr>
          <w:noProof/>
        </w:rPr>
        <w:tab/>
      </w:r>
      <w:r>
        <w:rPr>
          <w:b w:val="0"/>
          <w:noProof/>
        </w:rPr>
        <w:t>1.2</w:t>
      </w:r>
      <w:r>
        <w:rPr>
          <w:noProof/>
        </w:rPr>
        <w:tab/>
      </w:r>
      <w:r>
        <w:rPr>
          <w:b w:val="0"/>
          <w:noProof/>
        </w:rPr>
        <w:t>Příslušné oblasti politik podle členění ABM/ABB</w:t>
      </w:r>
    </w:p>
    <w:p>
      <w:pPr>
        <w:pStyle w:val="ManualHeading2"/>
        <w:rPr>
          <w:b w:val="0"/>
          <w:noProof/>
        </w:rPr>
      </w:pPr>
      <w:r>
        <w:rPr>
          <w:noProof/>
        </w:rPr>
        <w:tab/>
      </w:r>
      <w:r>
        <w:rPr>
          <w:b w:val="0"/>
          <w:noProof/>
        </w:rPr>
        <w:t>1.3</w:t>
      </w:r>
      <w:r>
        <w:rPr>
          <w:noProof/>
        </w:rPr>
        <w:tab/>
      </w:r>
      <w:r>
        <w:rPr>
          <w:b w:val="0"/>
          <w:noProof/>
        </w:rPr>
        <w:t xml:space="preserve">Povaha návrhu/podnětu </w:t>
      </w:r>
    </w:p>
    <w:p>
      <w:pPr>
        <w:pStyle w:val="ManualHeading2"/>
        <w:rPr>
          <w:b w:val="0"/>
          <w:noProof/>
        </w:rPr>
      </w:pPr>
      <w:r>
        <w:rPr>
          <w:noProof/>
        </w:rPr>
        <w:tab/>
      </w:r>
      <w:r>
        <w:rPr>
          <w:b w:val="0"/>
          <w:noProof/>
        </w:rPr>
        <w:t>1.4</w:t>
      </w:r>
      <w:r>
        <w:rPr>
          <w:noProof/>
        </w:rPr>
        <w:tab/>
      </w:r>
      <w:r>
        <w:rPr>
          <w:b w:val="0"/>
          <w:noProof/>
        </w:rPr>
        <w:t xml:space="preserve">Cíle </w:t>
      </w:r>
    </w:p>
    <w:p>
      <w:pPr>
        <w:pStyle w:val="ManualHeading2"/>
        <w:rPr>
          <w:b w:val="0"/>
          <w:noProof/>
        </w:rPr>
      </w:pPr>
      <w:r>
        <w:rPr>
          <w:noProof/>
        </w:rPr>
        <w:tab/>
      </w:r>
      <w:r>
        <w:rPr>
          <w:b w:val="0"/>
          <w:noProof/>
        </w:rPr>
        <w:t>1.5</w:t>
      </w:r>
      <w:r>
        <w:rPr>
          <w:noProof/>
        </w:rPr>
        <w:tab/>
      </w:r>
      <w:r>
        <w:rPr>
          <w:b w:val="0"/>
          <w:noProof/>
        </w:rPr>
        <w:t xml:space="preserve">Odůvodnění návrhu/podnětu </w:t>
      </w:r>
    </w:p>
    <w:p>
      <w:pPr>
        <w:pStyle w:val="ManualHeading2"/>
        <w:rPr>
          <w:b w:val="0"/>
          <w:noProof/>
        </w:rPr>
      </w:pPr>
      <w:r>
        <w:rPr>
          <w:noProof/>
        </w:rPr>
        <w:tab/>
      </w:r>
      <w:r>
        <w:rPr>
          <w:b w:val="0"/>
          <w:noProof/>
        </w:rPr>
        <w:t>1.6</w:t>
      </w:r>
      <w:r>
        <w:rPr>
          <w:noProof/>
        </w:rPr>
        <w:tab/>
      </w:r>
      <w:r>
        <w:rPr>
          <w:b w:val="0"/>
          <w:noProof/>
        </w:rPr>
        <w:t xml:space="preserve">Doba trvání akce a finanční dopad </w:t>
      </w:r>
    </w:p>
    <w:p>
      <w:pPr>
        <w:pStyle w:val="ManualHeading2"/>
        <w:rPr>
          <w:b w:val="0"/>
          <w:noProof/>
        </w:rPr>
      </w:pPr>
      <w:r>
        <w:rPr>
          <w:noProof/>
        </w:rPr>
        <w:tab/>
      </w:r>
      <w:r>
        <w:rPr>
          <w:b w:val="0"/>
          <w:noProof/>
        </w:rPr>
        <w:t>1.7</w:t>
      </w:r>
      <w:r>
        <w:rPr>
          <w:noProof/>
        </w:rPr>
        <w:tab/>
      </w:r>
      <w:r>
        <w:rPr>
          <w:b w:val="0"/>
          <w:noProof/>
        </w:rPr>
        <w:t xml:space="preserve">Předpokládaný způsob řízení </w:t>
      </w:r>
    </w:p>
    <w:p>
      <w:pPr>
        <w:pStyle w:val="ManualHeading1"/>
        <w:rPr>
          <w:noProof/>
        </w:rPr>
      </w:pPr>
      <w:r>
        <w:rPr>
          <w:noProof/>
        </w:rPr>
        <w:t>2.</w:t>
      </w:r>
      <w:r>
        <w:rPr>
          <w:noProof/>
        </w:rPr>
        <w:tab/>
        <w:t xml:space="preserve">SPRÁVNÍ OPATŘENÍ </w:t>
      </w:r>
    </w:p>
    <w:p>
      <w:pPr>
        <w:pStyle w:val="ManualHeading2"/>
        <w:rPr>
          <w:b w:val="0"/>
          <w:noProof/>
        </w:rPr>
      </w:pPr>
      <w:r>
        <w:rPr>
          <w:noProof/>
        </w:rPr>
        <w:tab/>
      </w:r>
      <w:r>
        <w:rPr>
          <w:b w:val="0"/>
          <w:noProof/>
        </w:rPr>
        <w:t>2.1</w:t>
      </w:r>
      <w:r>
        <w:rPr>
          <w:noProof/>
        </w:rPr>
        <w:tab/>
      </w:r>
      <w:r>
        <w:rPr>
          <w:b w:val="0"/>
          <w:noProof/>
        </w:rPr>
        <w:t xml:space="preserve">Pravidla pro sledování a podávání zpráv </w:t>
      </w:r>
    </w:p>
    <w:p>
      <w:pPr>
        <w:pStyle w:val="ManualHeading2"/>
        <w:rPr>
          <w:b w:val="0"/>
          <w:noProof/>
        </w:rPr>
      </w:pPr>
      <w:r>
        <w:rPr>
          <w:noProof/>
        </w:rPr>
        <w:tab/>
      </w:r>
      <w:r>
        <w:rPr>
          <w:b w:val="0"/>
          <w:noProof/>
        </w:rPr>
        <w:t>2.2</w:t>
      </w:r>
      <w:r>
        <w:rPr>
          <w:noProof/>
        </w:rPr>
        <w:tab/>
      </w:r>
      <w:r>
        <w:rPr>
          <w:b w:val="0"/>
          <w:noProof/>
        </w:rPr>
        <w:t xml:space="preserve">Systém řízení a kontroly </w:t>
      </w:r>
    </w:p>
    <w:p>
      <w:pPr>
        <w:pStyle w:val="ManualHeading2"/>
        <w:rPr>
          <w:b w:val="0"/>
          <w:noProof/>
        </w:rPr>
      </w:pPr>
      <w:r>
        <w:rPr>
          <w:noProof/>
        </w:rPr>
        <w:tab/>
      </w:r>
      <w:r>
        <w:rPr>
          <w:b w:val="0"/>
          <w:noProof/>
        </w:rPr>
        <w:t>2.3</w:t>
      </w:r>
      <w:r>
        <w:rPr>
          <w:noProof/>
        </w:rPr>
        <w:tab/>
      </w:r>
      <w:r>
        <w:rPr>
          <w:b w:val="0"/>
          <w:noProof/>
        </w:rPr>
        <w:t xml:space="preserve">Opatření k zamezení podvodů a nesrovnalostí </w:t>
      </w:r>
    </w:p>
    <w:p>
      <w:pPr>
        <w:pStyle w:val="ManualHeading1"/>
        <w:rPr>
          <w:noProof/>
        </w:rPr>
      </w:pPr>
      <w:r>
        <w:rPr>
          <w:noProof/>
        </w:rPr>
        <w:t>3.</w:t>
      </w:r>
      <w:r>
        <w:rPr>
          <w:noProof/>
        </w:rPr>
        <w:tab/>
        <w:t xml:space="preserve">ODHADOVANÝ FINANČNÍ DOPAD NÁVRHU/PODNĚTU </w:t>
      </w:r>
    </w:p>
    <w:p>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pPr>
        <w:pStyle w:val="ManualHeading3"/>
        <w:rPr>
          <w:noProof/>
        </w:rPr>
      </w:pPr>
      <w:r>
        <w:rPr>
          <w:noProof/>
        </w:rPr>
        <w:tab/>
        <w:t>3.2.1</w:t>
      </w:r>
      <w:r>
        <w:rPr>
          <w:noProof/>
        </w:rPr>
        <w:tab/>
        <w:t xml:space="preserve">Odhadovaný souhrnný dopad na výdaje </w:t>
      </w:r>
    </w:p>
    <w:p>
      <w:pPr>
        <w:pStyle w:val="ManualHeading3"/>
        <w:rPr>
          <w:noProof/>
        </w:rPr>
      </w:pPr>
      <w:r>
        <w:rPr>
          <w:noProof/>
        </w:rPr>
        <w:tab/>
        <w:t>3.2.2</w:t>
      </w:r>
      <w:r>
        <w:rPr>
          <w:noProof/>
        </w:rPr>
        <w:tab/>
        <w:t xml:space="preserve">Odhadovaný dopad na operační prostředky </w:t>
      </w:r>
    </w:p>
    <w:p>
      <w:pPr>
        <w:pStyle w:val="ManualHeading3"/>
        <w:rPr>
          <w:noProof/>
        </w:rPr>
      </w:pPr>
      <w:r>
        <w:rPr>
          <w:noProof/>
        </w:rPr>
        <w:tab/>
        <w:t>3.2.3</w:t>
      </w:r>
      <w:r>
        <w:rPr>
          <w:noProof/>
        </w:rPr>
        <w:tab/>
        <w:t>Odhadovaný dopad na prostředky správní povahy</w:t>
      </w:r>
    </w:p>
    <w:p>
      <w:pPr>
        <w:pStyle w:val="ManualHeading3"/>
        <w:rPr>
          <w:noProof/>
        </w:rPr>
      </w:pPr>
      <w:r>
        <w:rPr>
          <w:noProof/>
        </w:rPr>
        <w:tab/>
        <w:t>3.2.4</w:t>
      </w:r>
      <w:r>
        <w:rPr>
          <w:noProof/>
        </w:rPr>
        <w:tab/>
        <w:t>Soulad se stávajícím víceletým finančním rámcem</w:t>
      </w:r>
    </w:p>
    <w:p>
      <w:pPr>
        <w:pStyle w:val="ManualHeading3"/>
        <w:rPr>
          <w:noProof/>
        </w:rPr>
      </w:pPr>
      <w:r>
        <w:rPr>
          <w:noProof/>
        </w:rPr>
        <w:tab/>
        <w:t>3.2.5</w:t>
      </w:r>
      <w:r>
        <w:rPr>
          <w:noProof/>
        </w:rPr>
        <w:tab/>
        <w:t xml:space="preserve">Příspěvky třetích stran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 příjmy</w:t>
      </w:r>
    </w:p>
    <w:p>
      <w:pPr>
        <w:jc w:val="center"/>
        <w:rPr>
          <w:b/>
          <w:noProof/>
          <w:u w:val="single"/>
        </w:rPr>
      </w:pPr>
      <w:r>
        <w:rPr>
          <w:b/>
          <w:noProof/>
          <w:u w:val="single"/>
        </w:rPr>
        <w:t>LEGISLATIVNÍ FINANČNÍ VÝKAZ</w:t>
      </w:r>
    </w:p>
    <w:p>
      <w:pPr>
        <w:pStyle w:val="ManualHeading1"/>
        <w:rPr>
          <w:noProof/>
        </w:rPr>
      </w:pPr>
      <w:r>
        <w:t>1.</w:t>
      </w:r>
      <w:r>
        <w:tab/>
      </w:r>
      <w:r>
        <w:rPr>
          <w:noProof/>
        </w:rPr>
        <w:t xml:space="preserve">RÁMEC NÁVRHU/PODNĚTU </w:t>
      </w:r>
    </w:p>
    <w:p>
      <w:pPr>
        <w:pStyle w:val="ManualHeading2"/>
        <w:rPr>
          <w:noProof/>
        </w:rPr>
      </w:pPr>
      <w:r>
        <w:t>1.1.</w:t>
      </w:r>
      <w:r>
        <w:tab/>
      </w:r>
      <w:r>
        <w:rPr>
          <w:noProof/>
        </w:rPr>
        <w:t xml:space="preserve">Název návrhu/podnětu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Návrh nařízení Evropského parlamentu a Rady o Evropském fondu pro udržitelný rozvoj (EFSD) </w:t>
      </w:r>
    </w:p>
    <w:p>
      <w:pPr>
        <w:pStyle w:val="ManualHeading2"/>
        <w:rPr>
          <w:noProof/>
          <w:szCs w:val="24"/>
        </w:rPr>
      </w:pPr>
      <w:r>
        <w:t>1.2.</w:t>
      </w:r>
      <w:r>
        <w:tab/>
      </w:r>
      <w:r>
        <w:rPr>
          <w:noProof/>
        </w:rPr>
        <w:t>Příslušné oblasti politik podle členění ABM/ABB</w:t>
      </w:r>
      <w:r>
        <w:rPr>
          <w:rStyle w:val="FootnoteReference"/>
          <w:noProof/>
        </w:rPr>
        <w:footnoteReference w:id="3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01 03 </w:t>
      </w:r>
    </w:p>
    <w:p>
      <w:pPr>
        <w:pStyle w:val="Text1"/>
        <w:pBdr>
          <w:top w:val="single" w:sz="4" w:space="1" w:color="auto"/>
          <w:left w:val="single" w:sz="4" w:space="4" w:color="auto"/>
          <w:bottom w:val="single" w:sz="4" w:space="1" w:color="auto"/>
          <w:right w:val="single" w:sz="4" w:space="4" w:color="auto"/>
        </w:pBdr>
        <w:rPr>
          <w:noProof/>
        </w:rPr>
      </w:pPr>
      <w:r>
        <w:rPr>
          <w:noProof/>
        </w:rPr>
        <w:t>Aktivita ABB: Mezinárodní hospodářské a finanční věci</w:t>
      </w:r>
    </w:p>
    <w:p>
      <w:pPr>
        <w:pStyle w:val="ManualHeading2"/>
        <w:rPr>
          <w:bCs/>
          <w:noProof/>
          <w:szCs w:val="24"/>
        </w:rPr>
      </w:pPr>
      <w:r>
        <w:t>1.3.</w:t>
      </w:r>
      <w:r>
        <w:tab/>
      </w:r>
      <w:r>
        <w:rPr>
          <w:noProof/>
        </w:rPr>
        <w:t xml:space="preserve">Povaha návrhu/podnětu </w:t>
      </w:r>
    </w:p>
    <w:p>
      <w:pPr>
        <w:pStyle w:val="Text1"/>
        <w:rPr>
          <w:b/>
          <w:noProof/>
          <w:sz w:val="22"/>
        </w:rPr>
      </w:pPr>
      <w:r>
        <w:rPr>
          <w:noProof/>
          <w:sz w:val="22"/>
        </w:rPr>
        <w:sym w:font="Webdings" w:char="F072"/>
      </w:r>
      <w:r>
        <w:rPr>
          <w:noProof/>
        </w:rPr>
        <w:t xml:space="preserve"> Návrh/podnět se týká </w:t>
      </w:r>
      <w:r>
        <w:rPr>
          <w:b/>
          <w:noProof/>
        </w:rPr>
        <w:t>nové akce</w:t>
      </w:r>
      <w:r>
        <w:rPr>
          <w:b/>
          <w:noProof/>
          <w:sz w:val="22"/>
        </w:rPr>
        <w:t xml:space="preserve"> </w:t>
      </w:r>
    </w:p>
    <w:p>
      <w:pPr>
        <w:pStyle w:val="Text1"/>
        <w:rPr>
          <w:noProof/>
          <w:sz w:val="22"/>
        </w:rPr>
      </w:pPr>
      <w:r>
        <w:rPr>
          <w:noProof/>
          <w:sz w:val="22"/>
        </w:rPr>
        <w:sym w:font="Wingdings" w:char="F0A8"/>
      </w:r>
      <w:r>
        <w:rPr>
          <w:noProof/>
        </w:rPr>
        <w:t xml:space="preserve"> Návrh/podnět se týká</w:t>
      </w:r>
      <w:r>
        <w:rPr>
          <w:b/>
          <w:noProof/>
        </w:rPr>
        <w:t xml:space="preserve"> nové akce následující po pilotním projektu / přípravné akci</w:t>
      </w:r>
      <w:r>
        <w:rPr>
          <w:rStyle w:val="FootnoteReference"/>
          <w:b/>
          <w:noProof/>
        </w:rPr>
        <w:footnoteReference w:id="39"/>
      </w:r>
      <w:r>
        <w:rPr>
          <w:noProof/>
          <w:sz w:val="22"/>
        </w:rPr>
        <w:t xml:space="preserve"> </w:t>
      </w:r>
    </w:p>
    <w:p>
      <w:pPr>
        <w:pStyle w:val="Text1"/>
        <w:rPr>
          <w:noProof/>
          <w:sz w:val="22"/>
        </w:rPr>
      </w:pPr>
      <w:r>
        <w:rPr>
          <w:noProof/>
          <w:sz w:val="22"/>
        </w:rPr>
        <w:sym w:font="Wingdings" w:char="F0A8"/>
      </w:r>
      <w:r>
        <w:rPr>
          <w:noProof/>
        </w:rPr>
        <w:t xml:space="preserve"> Návrh/podnět se týká </w:t>
      </w:r>
      <w:r>
        <w:rPr>
          <w:b/>
          <w:noProof/>
        </w:rPr>
        <w:t>prodloužení stávající akce</w:t>
      </w:r>
      <w:r>
        <w:rPr>
          <w:noProof/>
          <w:sz w:val="22"/>
        </w:rPr>
        <w:t xml:space="preserve"> </w:t>
      </w:r>
    </w:p>
    <w:p>
      <w:pPr>
        <w:pStyle w:val="Text1"/>
        <w:rPr>
          <w:noProof/>
        </w:rPr>
      </w:pPr>
      <w:r>
        <w:rPr>
          <w:noProof/>
          <w:sz w:val="22"/>
        </w:rPr>
        <w:sym w:font="Wingdings" w:char="F0A8"/>
      </w:r>
      <w:r>
        <w:rPr>
          <w:noProof/>
        </w:rPr>
        <w:t xml:space="preserve"> Návrh/podnět se týká </w:t>
      </w:r>
      <w:r>
        <w:rPr>
          <w:b/>
          <w:noProof/>
        </w:rPr>
        <w:t>akce přesměrované na jinou akci</w:t>
      </w:r>
      <w:r>
        <w:rPr>
          <w:noProof/>
        </w:rPr>
        <w:t xml:space="preserve"> </w:t>
      </w:r>
    </w:p>
    <w:p>
      <w:pPr>
        <w:autoSpaceDE w:val="0"/>
        <w:autoSpaceDN w:val="0"/>
        <w:adjustRightInd w:val="0"/>
        <w:spacing w:before="0" w:after="0"/>
        <w:ind w:left="720"/>
        <w:rPr>
          <w:noProof/>
        </w:rPr>
      </w:pPr>
      <w:r>
        <w:rPr>
          <w:noProof/>
        </w:rPr>
        <w:t>EFSD budou tvořit regionální investiční platformy, které budou kombinovat stávající nástroje kombinovaného financování v rámci vnější činnosti a novou záruku EFSD.</w:t>
      </w:r>
    </w:p>
    <w:p>
      <w:pPr>
        <w:pStyle w:val="ManualHeading2"/>
        <w:rPr>
          <w:bCs/>
          <w:noProof/>
          <w:szCs w:val="24"/>
        </w:rPr>
      </w:pPr>
      <w:r>
        <w:t>1.4.</w:t>
      </w:r>
      <w:r>
        <w:tab/>
      </w:r>
      <w:r>
        <w:rPr>
          <w:noProof/>
        </w:rPr>
        <w:t>Cíle</w:t>
      </w:r>
    </w:p>
    <w:p>
      <w:pPr>
        <w:pStyle w:val="ManualHeading3"/>
        <w:rPr>
          <w:noProof/>
        </w:rPr>
      </w:pPr>
      <w:r>
        <w:t>1.4.1.</w:t>
      </w:r>
      <w:r>
        <w:tab/>
      </w:r>
      <w:r>
        <w:rPr>
          <w:noProof/>
        </w:rPr>
        <w:t xml:space="preserve">Víceleté strategické cíle Komise sledované návrhem/podnětem </w:t>
      </w:r>
    </w:p>
    <w:p>
      <w:pPr>
        <w:pStyle w:val="Text1"/>
        <w:pBdr>
          <w:top w:val="single" w:sz="4" w:space="1" w:color="auto"/>
          <w:left w:val="single" w:sz="4" w:space="4" w:color="auto"/>
          <w:bottom w:val="single" w:sz="4" w:space="1" w:color="auto"/>
          <w:right w:val="single" w:sz="4" w:space="4" w:color="auto"/>
        </w:pBdr>
        <w:rPr>
          <w:noProof/>
        </w:rPr>
      </w:pPr>
      <w:r>
        <w:rPr>
          <w:noProof/>
        </w:rPr>
        <w:t>Podporovat investice v regionech mimo EU jako prostředek pro řešení hlavních příčin migrace.</w:t>
      </w:r>
    </w:p>
    <w:p>
      <w:pPr>
        <w:pStyle w:val="ManualHeading3"/>
        <w:rPr>
          <w:bCs/>
          <w:noProof/>
          <w:szCs w:val="24"/>
        </w:rPr>
      </w:pPr>
      <w:r>
        <w:t>1.4.2.</w:t>
      </w:r>
      <w:r>
        <w:tab/>
      </w:r>
      <w:r>
        <w:rPr>
          <w:noProof/>
        </w:rPr>
        <w:t xml:space="preserve">Specifické cíle a příslušné aktivity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Specifický cíl </w:t>
      </w:r>
    </w:p>
    <w:p>
      <w:pPr>
        <w:pStyle w:val="Text1"/>
        <w:pBdr>
          <w:top w:val="single" w:sz="4" w:space="1" w:color="auto"/>
          <w:left w:val="single" w:sz="4" w:space="4" w:color="auto"/>
          <w:bottom w:val="single" w:sz="4" w:space="1" w:color="auto"/>
          <w:right w:val="single" w:sz="4" w:space="4" w:color="auto"/>
        </w:pBdr>
        <w:rPr>
          <w:noProof/>
        </w:rPr>
      </w:pPr>
      <w:r>
        <w:rPr>
          <w:noProof/>
        </w:rPr>
        <w:t>Poskytnout integrovaný balíček opatření k financování investic v regionech mimo EU a přispět tak k růstu a vytváření pracovních příležitostí, maximalizaci adicionality, výrobě inovativních produktů a zapojení finančních prostředků ze soukromého sektoru.</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pPr>
        <w:pStyle w:val="Text1"/>
        <w:pBdr>
          <w:top w:val="single" w:sz="4" w:space="1" w:color="auto"/>
          <w:left w:val="single" w:sz="4" w:space="4" w:color="auto"/>
          <w:bottom w:val="single" w:sz="4" w:space="1" w:color="auto"/>
          <w:right w:val="single" w:sz="4" w:space="4" w:color="auto"/>
        </w:pBdr>
        <w:rPr>
          <w:noProof/>
        </w:rPr>
      </w:pPr>
      <w:r>
        <w:rPr>
          <w:noProof/>
        </w:rPr>
        <w:t>01 03 Mezinárodní hospodářské a finanční záležitosti</w:t>
      </w:r>
    </w:p>
    <w:p>
      <w:pPr>
        <w:pStyle w:val="ManualHeading3"/>
        <w:rPr>
          <w:bCs/>
          <w:noProof/>
          <w:szCs w:val="24"/>
        </w:rPr>
      </w:pPr>
      <w:r>
        <w:t>1.4.3.</w:t>
      </w:r>
      <w:r>
        <w:tab/>
      </w:r>
      <w:r>
        <w:rPr>
          <w:noProof/>
        </w:rPr>
        <w:t>Očekávané výsledky a dopady</w:t>
      </w:r>
    </w:p>
    <w:p>
      <w:pPr>
        <w:pStyle w:val="Text1"/>
        <w:rPr>
          <w:i/>
          <w:noProof/>
          <w:sz w:val="20"/>
        </w:rPr>
      </w:pPr>
      <w:r>
        <w:rPr>
          <w:i/>
          <w:noProof/>
          <w:sz w:val="20"/>
        </w:rPr>
        <w:t>Upřesněte účinky, které by návrh/podnět měl mít na příjemce / cílové skupiny.</w:t>
      </w:r>
    </w:p>
    <w:p>
      <w:pPr>
        <w:pStyle w:val="Text1"/>
        <w:pBdr>
          <w:top w:val="single" w:sz="4" w:space="1" w:color="auto"/>
          <w:left w:val="single" w:sz="4" w:space="4" w:color="auto"/>
          <w:bottom w:val="single" w:sz="4" w:space="1" w:color="auto"/>
          <w:right w:val="single" w:sz="4" w:space="4" w:color="auto"/>
        </w:pBdr>
        <w:rPr>
          <w:noProof/>
        </w:rPr>
      </w:pPr>
      <w:r>
        <w:rPr>
          <w:noProof/>
        </w:rPr>
        <w:t>Evropský fond pro udržitelný rozvoj (EFSD) bude zahrnovat novou záruku poskytující řadu inovačních nástrojů pro zapojení finančních prostředků ze soukromého sektoru, jako jsou záruky pokrývající specifická rizika u projektů v oblasti infrastruktury.</w:t>
      </w:r>
    </w:p>
    <w:p>
      <w:pPr>
        <w:pStyle w:val="Text1"/>
        <w:pBdr>
          <w:top w:val="single" w:sz="4" w:space="1" w:color="auto"/>
          <w:left w:val="single" w:sz="4" w:space="4" w:color="auto"/>
          <w:bottom w:val="single" w:sz="4" w:space="1" w:color="auto"/>
          <w:right w:val="single" w:sz="4" w:space="4" w:color="auto"/>
        </w:pBdr>
        <w:rPr>
          <w:noProof/>
        </w:rPr>
      </w:pPr>
      <w:r>
        <w:rPr>
          <w:noProof/>
        </w:rPr>
        <w:t>Poskytnutí záruky EU by umožnilo dosáhnout multiplikačního účinku. Stejně jako Evropský fond pro strategické investice (EFSI) a několik finančních nástrojů podporovaných nástroji kombinovaného financování EU od roku 2007 má záruční fond EFSD za cíl mobilizovat další investice, zejména soukromých investorů. Činí tak poskytováním částečných záruk, ať již na základě první ztráty nebo na rovnocenném základě, zprostředkujícím finančním institucím (obvykle mezinárodním finančním institucím), které poté poskytují podporu (prostřednictvím úvěrů, záruk, kapitálových či podobných produktů) následným příjemcům. Existují tedy dvě úrovně pákového efektu mezi zárukou z rozpočtu EU a celkovým objemem mobilizovaných investic. Na první úrovni záruka EU umožňuje zprostředkující mezinárodní finanční instituci poskytnout částku dodatečného financování („vnitřní finanční páka“). Na druhé úrovni („vnější finanční páka“) mobilizuje financování mezinárodní finanční instituce dodatečné investice ve fázi projektu.</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Tím by globální iniciativa, včetně nástrojů kombinovaného financování, měla pomoci zmobilizovat celkové investice ve výši až 44 miliard EUR do roku 2020. </w:t>
      </w:r>
    </w:p>
    <w:p>
      <w:pPr>
        <w:pStyle w:val="ManualHeading3"/>
        <w:rPr>
          <w:bCs/>
          <w:noProof/>
          <w:szCs w:val="24"/>
        </w:rPr>
      </w:pPr>
      <w:r>
        <w:t>1.4.4.</w:t>
      </w:r>
      <w:r>
        <w:tab/>
      </w:r>
      <w:r>
        <w:rPr>
          <w:noProof/>
        </w:rPr>
        <w:t xml:space="preserve">Ukazatele výsledků a dopadů </w:t>
      </w:r>
    </w:p>
    <w:p>
      <w:pPr>
        <w:pStyle w:val="Text1"/>
        <w:rPr>
          <w:rFonts w:ascii="ECSquareSansPro" w:eastAsia="ECSquareSansPro" w:cs="ECSquareSansPro"/>
          <w:noProof/>
          <w:sz w:val="20"/>
          <w:szCs w:val="20"/>
        </w:rPr>
      </w:pPr>
      <w:r>
        <w:rPr>
          <w:i/>
          <w:noProof/>
          <w:sz w:val="20"/>
        </w:rPr>
        <w:t>Upřesněte ukazatele, podle kterých je možno uskutečňování návrhu/podnětu sledovat.</w:t>
      </w:r>
    </w:p>
    <w:p>
      <w:pPr>
        <w:pStyle w:val="Text1"/>
        <w:pBdr>
          <w:top w:val="single" w:sz="4" w:space="1" w:color="auto"/>
          <w:left w:val="single" w:sz="4" w:space="4" w:color="auto"/>
          <w:bottom w:val="single" w:sz="4" w:space="0" w:color="auto"/>
          <w:right w:val="single" w:sz="4" w:space="4" w:color="auto"/>
        </w:pBdr>
        <w:rPr>
          <w:noProof/>
        </w:rPr>
      </w:pPr>
      <w:r>
        <w:rPr>
          <w:noProof/>
        </w:rPr>
        <w:t>Byl stanoven společný minimální soubor ukazatelů, které odrážejí výstupy projektů a zamýšlené výsledky, pro operace související s kombinováním zdrojů. Tyto ukazatele mohou být použity pro sledování provádění záruky Evropského fondu pro udržitelný rozvoj (EFSD).</w:t>
      </w:r>
    </w:p>
    <w:p>
      <w:pPr>
        <w:pStyle w:val="ManualHeading2"/>
        <w:rPr>
          <w:bCs/>
          <w:noProof/>
          <w:szCs w:val="24"/>
        </w:rPr>
      </w:pPr>
      <w:r>
        <w:t>1.5.</w:t>
      </w:r>
      <w:r>
        <w:tab/>
      </w:r>
      <w:r>
        <w:rPr>
          <w:noProof/>
        </w:rPr>
        <w:t xml:space="preserve">Odůvodnění návrhu/podnětu </w:t>
      </w:r>
    </w:p>
    <w:p>
      <w:pPr>
        <w:pStyle w:val="ManualHeading3"/>
        <w:rPr>
          <w:noProof/>
        </w:rPr>
      </w:pPr>
      <w:r>
        <w:t>1.5.1.</w:t>
      </w:r>
      <w:r>
        <w:tab/>
      </w:r>
      <w:r>
        <w:rPr>
          <w:noProof/>
        </w:rPr>
        <w:t xml:space="preserve">Potřeby, které mají být uspokojeny v krátkodobém nebo dlouhodobém horizontu </w:t>
      </w:r>
    </w:p>
    <w:p>
      <w:pPr>
        <w:pStyle w:val="Text1"/>
        <w:pBdr>
          <w:top w:val="single" w:sz="4" w:space="1" w:color="auto"/>
          <w:left w:val="single" w:sz="4" w:space="4" w:color="auto"/>
          <w:bottom w:val="single" w:sz="4" w:space="1" w:color="auto"/>
          <w:right w:val="single" w:sz="4" w:space="4" w:color="auto"/>
        </w:pBdr>
        <w:rPr>
          <w:noProof/>
        </w:rPr>
      </w:pPr>
      <w:r>
        <w:rPr>
          <w:noProof/>
        </w:rPr>
        <w:t>Evropský fond pro udržitelný rozvoj (EFSD) poskytuje prostředky pro provádění politických cílů plánu vnějších investic (pilíř 1), jak je uvedeno ve sdělení Komise ze dne 7. června 2016 o zřízení nového partnerství se třetími zeměmi v Evropském programu pro migraci. Hlavním cílem EFSD bude zajistit integrovaný finanční balíček k financování investic v regionech mimo EU. To zahrnuje mobilizaci veřejných i soukromých investic v Africe a v zemích evropského sousedství.</w:t>
      </w:r>
    </w:p>
    <w:p>
      <w:pPr>
        <w:pStyle w:val="ManualHeading3"/>
        <w:rPr>
          <w:bCs/>
          <w:noProof/>
          <w:szCs w:val="24"/>
        </w:rPr>
      </w:pPr>
      <w:r>
        <w:t>1.5.2.</w:t>
      </w:r>
      <w:r>
        <w:tab/>
      </w:r>
      <w:r>
        <w:rPr>
          <w:noProof/>
        </w:rPr>
        <w:t>Přidaná hodnota ze zapojení 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Evropský fond pro udržitelný rozvoj (EFSD) má za cíl podporovat inovativní a dodatečné druhy podpory, a to zejména prostřednictvím nové záruky a úvěrového posílení. Nové krytí záruky bude zahrnovat inovační nástroje, jejichž cílem je zejména řešit překážky pro soukromé investice, které stále neřeší trh samotný, například záruky na první ztrátu u záruk portfolií pro projekty soukromého sektoru, rizikový kapitál, úvěrové záruky pro malé a střední podniky nebo záruky pokrývající specifická rizika u projektů v oblasti infrastruktury. </w:t>
      </w:r>
    </w:p>
    <w:p>
      <w:pPr>
        <w:pStyle w:val="Text1"/>
        <w:pBdr>
          <w:top w:val="single" w:sz="4" w:space="1" w:color="auto"/>
          <w:left w:val="single" w:sz="4" w:space="4" w:color="auto"/>
          <w:bottom w:val="single" w:sz="4" w:space="1" w:color="auto"/>
          <w:right w:val="single" w:sz="4" w:space="4" w:color="auto"/>
        </w:pBdr>
        <w:rPr>
          <w:noProof/>
        </w:rPr>
      </w:pPr>
      <w:r>
        <w:rPr>
          <w:noProof/>
        </w:rPr>
        <w:t>Operace financované či zaručené prostřednictvím nástrojů Evropského fondu pro udržitelný rozvoj (EFSD) představují dobře viditelný a účinný nástroj podpory vnější činnosti Unie. EFSD poskytuje nezbytnou politickou a finanční podporu EU pro financování způsobilé zainteresované partnerské strany v zemích a investičním projektům, které by jinak kvůli vysokému riziku nebyly schopny dodržet příslušné podmínky.</w:t>
      </w:r>
    </w:p>
    <w:p>
      <w:pPr>
        <w:pStyle w:val="ListParagraph"/>
        <w:spacing w:after="120"/>
        <w:jc w:val="both"/>
        <w:rPr>
          <w:rFonts w:ascii="Times New Roman" w:hAnsi="Times New Roman"/>
          <w:sz w:val="24"/>
          <w:szCs w:val="24"/>
        </w:rPr>
      </w:pPr>
    </w:p>
    <w:p>
      <w:pPr>
        <w:pStyle w:val="ManualHeading3"/>
        <w:rPr>
          <w:bCs/>
          <w:noProof/>
          <w:szCs w:val="24"/>
        </w:rPr>
      </w:pPr>
      <w:r>
        <w:t>1.5.3.</w:t>
      </w:r>
      <w:r>
        <w:tab/>
      </w:r>
      <w:r>
        <w:rPr>
          <w:noProof/>
        </w:rPr>
        <w:t>Závěry vyvozené z podobných zkušeností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Komise získala cenné zkušenosti s inovativními finančními nástroji.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Kombinované financování bylo nejprve zavedeno na počátku víceletého finančního rámce na období 2007–2013 a postupně se stalo důležitým nástrojem vnější spolupráce EU a doplnilo další způsoby provádění. Regionální nástroje kombinovaného financování EU byly zavedeny ve všech regionech vnější spolupráce EU. Do konce roku 2015 dosáhla podpora schválená v rámci facility z rozpočtu EU a zdrojů ERF výše přibližně 2,7 miliardy EUR a bylo vytvořeno přibližně 50 miliard EUR celkových investic.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Předchůdce investiční platformy sousedství (NIP), investiční nástroj sousedství (NIF), vykazuje uspokojivé výsledky: příspěvky do investičního nástroje sousedství z rozpočtu EU dosáhly od roku 2007 celkem 1,432 miliardy EUR. Kromě toho členské státy přispěly do svěřenského fondu investičního nástroje sousedství více než 80 milionů EUR. To umožnilo provádění 112 projektů s podporou z investičního nástroje sousedství. Pomocí příspěvku investičního nástroje sousedství se podařilo mobilizovat přibližně 13,83 miliardy EUR na financování z evropských a mezinárodních finančních institucí od roku 2008 a investice v celkové výši přibližně 28,10 miliardy EUR, což představuje přibližně dvacetinásobný pákový efekt pro každé euro poskytnuté z investičního nástroje. </w:t>
      </w:r>
    </w:p>
    <w:p>
      <w:pPr>
        <w:pStyle w:val="Text1"/>
        <w:pBdr>
          <w:top w:val="single" w:sz="4" w:space="1" w:color="auto"/>
          <w:left w:val="single" w:sz="4" w:space="4" w:color="auto"/>
          <w:bottom w:val="single" w:sz="4" w:space="1" w:color="auto"/>
          <w:right w:val="single" w:sz="4" w:space="4" w:color="auto"/>
        </w:pBdr>
        <w:rPr>
          <w:noProof/>
        </w:rPr>
      </w:pPr>
      <w:r>
        <w:rPr>
          <w:noProof/>
        </w:rPr>
        <w:t>V Africe byl zřízen svěřenský fond pro infrastrukturu EU-Afrika (AITF) v roce 2007 a od té doby poskytl podporu projektům v celkové hodnotě více než 500 milionů EUR, zejména v oblasti energetiky, dopravy a vodohospodářství. V roce 2015 byla na základě rozhodnutí Komise C (2015)5210</w:t>
      </w:r>
      <w:r>
        <w:rPr>
          <w:rStyle w:val="FootnoteReference"/>
          <w:noProof/>
        </w:rPr>
        <w:footnoteReference w:id="40"/>
      </w:r>
      <w:r>
        <w:rPr>
          <w:noProof/>
        </w:rPr>
        <w:t xml:space="preserve"> vytvořena investiční facilita pro Afriku (AfIF).</w:t>
      </w:r>
    </w:p>
    <w:p>
      <w:pPr>
        <w:pStyle w:val="Text1"/>
        <w:pBdr>
          <w:top w:val="single" w:sz="4" w:space="1" w:color="auto"/>
          <w:left w:val="single" w:sz="4" w:space="4" w:color="auto"/>
          <w:bottom w:val="single" w:sz="4" w:space="1" w:color="auto"/>
          <w:right w:val="single" w:sz="4" w:space="4" w:color="auto"/>
        </w:pBdr>
        <w:rPr>
          <w:noProof/>
        </w:rPr>
      </w:pPr>
      <w:r>
        <w:rPr>
          <w:noProof/>
        </w:rPr>
        <w:t>V období 2007–2013 byly dva nástroje předmětem hodnocení v polovině období: EU-AITF v roce 2012 a investiční nástroj sousedství (NIF) v roce 2013. V obou případech se dospělo k závěru, že tyto nástroje jsou užitečné a účinné při podpoře svých cílů: cílů evropského sousedství a partnerství a rozvoje infrastruktury v Africe. Zejména identifikace projektů, relevantnost a návrh se považují za pozitivní, přičemž oba nástroje splnily svůj cíl mobilizovat významné finanční zdroje. Hodnocení v polovině období rovněž poukázalo na významný přínos k rozvoji partnerství a zvýšené koordinaci a spolupráci mezi finančními institucemi, jakož i s Komisí. Byla učiněna řada doporučení, zejména pokud jde o zlepšení rozhodovací struktury a konkrétně pokud jde o úlohu delegací EU a partnerských zemí, další zkoumání zapojení soukromého sektoru, jakož i použití specifických finančních nástrojů, jako jsou nástroje ke snižování rizika, a zavedení rámce pro měření výsledků.</w:t>
      </w:r>
    </w:p>
    <w:p>
      <w:pPr>
        <w:pStyle w:val="Text1"/>
        <w:pBdr>
          <w:top w:val="single" w:sz="4" w:space="1" w:color="auto"/>
          <w:left w:val="single" w:sz="4" w:space="4" w:color="auto"/>
          <w:bottom w:val="single" w:sz="4" w:space="1" w:color="auto"/>
          <w:right w:val="single" w:sz="4" w:space="4" w:color="auto"/>
        </w:pBdr>
        <w:rPr>
          <w:noProof/>
        </w:rPr>
      </w:pPr>
      <w:r>
        <w:rPr>
          <w:noProof/>
        </w:rPr>
        <w:t xml:space="preserve">Tato zjištění společně s dalšími zprávami využila platforma EU pro kombinování zdrojů ve vnější spolupráci (EUBEC), zřízená v prosinci 2012, a předložila konkrétní doporučení pro další zvýšení účinnosti pomoci poskytované EU prostřednictvím kombinovaného financování. Evropský účetní dvůr zveřejnil zvláštní zprávu o kombinovaném financování v říjnu 2014. Závěry byly do značné míry v souladu s výše uvedeným: kombinování grantů regionálních investičních facilit s úvěry finančních institucí za účelem podpory vnějších politik EU bylo obecně považováno za účinné a projekty byly relevantní. Doporučení se týkala následujících aspektů: zajistit zdokumentované posouzení adicionality vyplývající z grantu EU, zajistit vyzrálost projektů předkládaných výkonným radám, vytvořit pokyny týkající se operací EU souvisejících s kombinováním zdrojů, zajistit aktivnější úlohu delegací EU, zjednodušit rozhodovací proces, zlepšit monitorování projektů Komisí a zajistit dostatečnou viditelnost financování ze strany EU.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Téměř všemi z těchto doporučení se již zabývala platforma EUBEC. Byl vytvořen harmonizovaný a vylepšený formulář projektové žádosti a jeho pokyny, jakož i rámec pro měření výsledků, včetně standardních ukazatelů.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Kromě toho bylo v souladu s požadavkem článku 140 nařízení Evropského parlamentu a Rady (EU, Euratom) č. 966/2012, kterým se stanoví finanční pravidla pro souhrnný rozpočet Unie a kterým se zrušuje nařízení Rady (ES, Euratom) č. 1605/2002, použitelným na základě článků 17 a 40 nařízení Rady (EU) 2015/323 v roce 2014 provedeno hodnocení </w:t>
      </w:r>
      <w:r>
        <w:rPr>
          <w:i/>
          <w:noProof/>
        </w:rPr>
        <w:t>ex ante</w:t>
      </w:r>
      <w:r>
        <w:rPr>
          <w:noProof/>
        </w:rPr>
        <w:t xml:space="preserve"> AfIF, jež se týkalo toho, jak je plánovaná facilita v souladu s požadavky finančního nařízení pro finanční nástroje. Doporučení tohoto hodnocení byla zohledněna při řízení AfIF a budou mít význam pro investiční platformu EU-Afrika.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Z výsledků hodnocení </w:t>
      </w:r>
      <w:r>
        <w:rPr>
          <w:i/>
          <w:noProof/>
        </w:rPr>
        <w:t>ex ante</w:t>
      </w:r>
      <w:r>
        <w:rPr>
          <w:noProof/>
        </w:rPr>
        <w:t xml:space="preserve"> vyplynulo, že povaha, rozsah a zaměření výzev, jimž Afrika čelí (například urbanizace, snižující se dostupnost základních služeb, nedostatek potravin, chudoba, dopady změny klimatu), stávající cíle EU a partnerských zemí v oblasti spolupráce (tj. udržitelný rozvoj a růst podporující začlenění, kontinentální integrace, vymýcení chudoby, změna klimatu) a potřeba mobilizovat další finanční zdroje vyžadují nový flexibilní rámec financování. S ohledem na tyto výsledky a s dodatečným cílem řešit základní příčiny migrace může investiční platforma pro Afriku (AIP) poskytnout přidanou hodnotu v odvětvích, jež představují klíčové výzvy v Africe. Prostřednictvím různých forem pomoci, jež by se měly upravit podle rizik země, konkrétního projektu a odvětví, přispěje investiční platforma pro Afriku k růstu podporujícímu začlenění a k dosažení cílů udržitelného rozvoje, čímž se řeší některé základní příčiny migrace.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Stávající portfolio a způsob poskytování používané v AfIF zahrnují projekty, jež přispívají k cíli řešit základní příčiny migrace. Ačkoli se projekty podporující finanční sektor a mikropodniky a malé a střední podniky prostřednictvím místních bank nebo specializovaných svěřenských fondů nebo projekty na podporu zemědělství, financí a rozvoje venkova, včetně silnic na venkově a elektrifikace, zaměřují zejména na vytváření pracovních míst, mohou být pracovní příležitosti rovněž výsledkem konkrétních projektů infrastruktury v odvětví (obnovitelné) energetiky nebo v širší oblasti dopravy, jež zahrnuje nejen silnice ve venkovských oblastech, ale také stavbu silnic a přístavů a jejich rekonstrukci. Vytváření pracovních míst a omezení chudoby byly uvedeny jako výsledek některých energetických projektů uvedený ve výroční zprávě AITF. </w:t>
      </w:r>
    </w:p>
    <w:p>
      <w:pPr>
        <w:pStyle w:val="Text1"/>
        <w:pBdr>
          <w:top w:val="single" w:sz="4" w:space="1" w:color="auto"/>
          <w:left w:val="single" w:sz="4" w:space="4" w:color="auto"/>
          <w:bottom w:val="single" w:sz="4" w:space="1" w:color="auto"/>
          <w:right w:val="single" w:sz="4" w:space="4" w:color="auto"/>
        </w:pBdr>
        <w:rPr>
          <w:noProof/>
        </w:rPr>
      </w:pPr>
      <w:r>
        <w:rPr>
          <w:noProof/>
        </w:rPr>
        <w:t>Posouzení portfolia AITF a způsobu poskytování používaného v AfIF naznačují, že tyto mechanismy kombinovaného financování přispívají k cíli řešit základní příčiny migrace posílením financování ze zapojených partnerských finančních institucí. Z posouzení 150 projektů v současném způsobu poskytování používaném v AfIF vyplývá, že případně až 30 % projektů by mohlo být důležitých z hlediska přispění k řešení základních příčin migrace. Některé projekty se zaměřují na vytváření pracovních míst a na podporu mikropodniků a malých a středních podniků jakožto hlavní cíle, ačkoli většina projektů je zacílena na socioekonomický rozvoj a odolnost a v některých případech také na vytváření pracovních míst a omezování chudoby jako vedlejší účinek. Z 23 konkrétních zemí uvedených na seznamu způsobilých zemí v rámci EFSD se na 18 zemí vztahuje stávající způsob poskytování používaný v AfIF pro oblast Sahelu, Čadského jezera a Afrického rohu.</w:t>
      </w:r>
    </w:p>
    <w:p>
      <w:pPr>
        <w:pStyle w:val="Text1"/>
        <w:pBdr>
          <w:top w:val="single" w:sz="4" w:space="1" w:color="auto"/>
          <w:left w:val="single" w:sz="4" w:space="4" w:color="auto"/>
          <w:bottom w:val="single" w:sz="4" w:space="1" w:color="auto"/>
          <w:right w:val="single" w:sz="4" w:space="4" w:color="auto"/>
        </w:pBdr>
        <w:rPr>
          <w:noProof/>
        </w:rPr>
      </w:pPr>
      <w:r>
        <w:rPr>
          <w:noProof/>
        </w:rPr>
        <w:t>Přezkum evropské politiky sousedství z roku 2015 znovu připomněl, že hospodářský a sociální rozvoj by měly být základem příspěvku EU ke stabilizaci sousedství a budování partnerství. EU by měla posílit spolupráci s mezinárodními finančními institucemi, příslušnými mezinárodními organizacemi pro rozvoj soukromého sektoru a iniciativami, jež podporují růst podporující začlenění a zaměstnanost a zlepšují životní podmínky. Kromě toho by měla být podporována opatření, jejichž cílem je posílit partnerství se soukromým sektorem, a mělo by být posíleno využívání inovativních přístupů, jako je kombinování grantů a úvěrů jakožto důležitý způsob mobilizace dalších zdrojů a zvýšení dopadu pomoci EU. V přezkumu se rovněž zdůrazňuje, že je třeba zaměřit úsilí na rozvoj dovedností, na kompetence a vytváření pracovních příležitostí, zejména pro mladé muže a ženy.</w:t>
      </w:r>
    </w:p>
    <w:p>
      <w:pPr>
        <w:pStyle w:val="Text1"/>
        <w:pBdr>
          <w:top w:val="single" w:sz="4" w:space="1" w:color="auto"/>
          <w:left w:val="single" w:sz="4" w:space="4" w:color="auto"/>
          <w:bottom w:val="single" w:sz="4" w:space="1" w:color="auto"/>
          <w:right w:val="single" w:sz="4" w:space="4" w:color="auto"/>
        </w:pBdr>
        <w:rPr>
          <w:noProof/>
        </w:rPr>
      </w:pPr>
      <w:r>
        <w:rPr>
          <w:noProof/>
        </w:rPr>
        <w:t>V současné době probíhá nové hodnocení nástrojů kombinovaného financování a závěrečná zpráva by měla být k dispozici do konce roku 2016.</w:t>
      </w:r>
    </w:p>
    <w:p>
      <w:pPr>
        <w:pStyle w:val="ManualHeading3"/>
        <w:rPr>
          <w:bCs/>
          <w:noProof/>
          <w:szCs w:val="24"/>
        </w:rPr>
      </w:pPr>
      <w:r>
        <w:t>1.5.4.</w:t>
      </w:r>
      <w:r>
        <w:tab/>
      </w:r>
      <w:r>
        <w:rPr>
          <w:noProof/>
        </w:rPr>
        <w:t>Soulad a možná synergie s dalšími vhodnými nástroji</w:t>
      </w:r>
    </w:p>
    <w:p>
      <w:pPr>
        <w:pStyle w:val="Text1"/>
        <w:pBdr>
          <w:top w:val="single" w:sz="4" w:space="1" w:color="auto"/>
          <w:left w:val="single" w:sz="4" w:space="4" w:color="auto"/>
          <w:bottom w:val="single" w:sz="4" w:space="1" w:color="auto"/>
          <w:right w:val="single" w:sz="4" w:space="4" w:color="auto"/>
        </w:pBdr>
        <w:rPr>
          <w:noProof/>
        </w:rPr>
      </w:pPr>
      <w:r>
        <w:rPr>
          <w:noProof/>
        </w:rPr>
        <w:t xml:space="preserve">Jak je uvedeno ve sdělení ze dne 7. června 2016 o zřízení nového partnerství se třetími zeměmi v Evropském programu pro migraci, Komise navrhuje ambiciózní plán vnějších investic, který by řešil hlavní příčiny migrace.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Navrhuje se zřídit nový strategický rámec s novou strukturou správy, včetně přístupu založeného na jednotném správním místě, který využívá různé inovativní finanční nástroje pro zapojení finančních prostředků ze soukromého sektoru za účelem řešení hlavních příčin migrace prostřednictvím podpory investic započínajících v regionech Afriky a zemích sousedství. Bude využívat stávající strukturu finančních nástrojů a zdrojů EU.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Hlavním cílem EFSD bude poskytnout integrovaný finanční balíček k financování investic v regionech mimo EU a přispět tak k růstu a vytváření pracovních příležitostí, maximalizaci adicionality, výrobě inovativních produktů a zapojení finančních prostředků ze soukromého sektoru. Očekává se, že s prostředky z ERF a rozpočtu EU ve výši 3,35 miliardy EUR do roku 2020 (z toho 0,75 miliardy EUR je původně určeno pro záruční fond EFSD) mobilizuje EFSD až 44 miliard EUR na investice.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 xml:space="preserve">Z částky 3,35 miliardy EUR budou prostředky ve výši 2,6 miliardy EUR poskytnuty přesměrováním stávajících nástrojů kombinovaného financování. Tento návrh nařízení předpokládá mobilizaci 350 milionů EUR z rozpočtu EU a 400 milionů EUR z ERF pro záruční fond EFSD. Jádrem nového investičního plánu je EFSD, který poskytne celkový rámec založený na třech pilířích: novém </w:t>
      </w:r>
      <w:r>
        <w:rPr>
          <w:b/>
          <w:noProof/>
        </w:rPr>
        <w:t>investičním fondu</w:t>
      </w:r>
      <w:r>
        <w:rPr>
          <w:noProof/>
        </w:rPr>
        <w:t xml:space="preserve"> (pilíř 1); </w:t>
      </w:r>
      <w:r>
        <w:rPr>
          <w:b/>
          <w:noProof/>
        </w:rPr>
        <w:t>technické pomoci</w:t>
      </w:r>
      <w:r>
        <w:rPr>
          <w:noProof/>
        </w:rPr>
        <w:t xml:space="preserve"> (pilíř 2) na podporu místních orgánů a společností při vytváření většího počtu udržitelných projektů a přilákání investorů a řadě specializovaných tematických, národních a regionálních programů rozvojové spolupráce EU v kombinaci se strukturovaným politickým dialogem zaměřeným na </w:t>
      </w:r>
      <w:r>
        <w:rPr>
          <w:b/>
          <w:noProof/>
        </w:rPr>
        <w:t>zlepšování investičního prostředí a celkového politického prostředí</w:t>
      </w:r>
      <w:r>
        <w:rPr>
          <w:noProof/>
        </w:rPr>
        <w:t xml:space="preserve"> v dotčených zemích (pilíř 3). </w:t>
      </w:r>
    </w:p>
    <w:p>
      <w:pPr>
        <w:pStyle w:val="Text1"/>
        <w:pBdr>
          <w:top w:val="single" w:sz="4" w:space="1" w:color="auto"/>
          <w:left w:val="single" w:sz="4" w:space="4" w:color="auto"/>
          <w:bottom w:val="single" w:sz="4" w:space="1" w:color="auto"/>
          <w:right w:val="single" w:sz="4" w:space="4" w:color="auto"/>
        </w:pBdr>
        <w:rPr>
          <w:noProof/>
        </w:rPr>
      </w:pPr>
      <w:r>
        <w:rPr>
          <w:noProof/>
        </w:rPr>
        <w:t>Tyto tři pilíře se vzájemně doplňují a poskytují široký koordinovaný přístup.</w:t>
      </w:r>
    </w:p>
    <w:p>
      <w:pPr>
        <w:pStyle w:val="Text1"/>
        <w:pBdr>
          <w:top w:val="single" w:sz="4" w:space="1" w:color="auto"/>
          <w:left w:val="single" w:sz="4" w:space="4" w:color="auto"/>
          <w:bottom w:val="single" w:sz="4" w:space="1" w:color="auto"/>
          <w:right w:val="single" w:sz="4" w:space="4" w:color="auto"/>
        </w:pBdr>
        <w:rPr>
          <w:noProof/>
        </w:rPr>
      </w:pPr>
      <w:r>
        <w:rPr>
          <w:noProof/>
        </w:rPr>
        <w:t xml:space="preserve">EFSD bude zahrnovat přesměrované stávající nástroje kombinovaného financování a novou záruku poskytující řadu inovačních nástrojů pro zapojení finančních prostředků ze soukromého sektoru, jako jsou záruky pokrývající specifická rizika u projektů v oblasti infrastruktury. Regionální investiční platformy budou kombinovat stávající nástroje kombinovaného financování, budou fungovat jako „jednotné kontaktní místo“ pro přijímání návrhů na financování od mezinárodních finančních institucí a veřejných nebo soukromých investorů a poskytovat široké spektrum finanční podpory pro způsobilé investice. </w:t>
      </w:r>
    </w:p>
    <w:p>
      <w:pPr>
        <w:pStyle w:val="Text1"/>
        <w:pBdr>
          <w:top w:val="single" w:sz="4" w:space="1" w:color="auto"/>
          <w:left w:val="single" w:sz="4" w:space="4" w:color="auto"/>
          <w:bottom w:val="single" w:sz="4" w:space="1" w:color="auto"/>
          <w:right w:val="single" w:sz="4" w:space="4" w:color="auto"/>
        </w:pBdr>
        <w:rPr>
          <w:noProof/>
        </w:rPr>
      </w:pPr>
      <w:r>
        <w:rPr>
          <w:noProof/>
        </w:rPr>
        <w:t>Tím, že investiční platforma pro Afriku umožní společné evropské operace (kombinující dvoustranné financování a grantové financování EU se způsobilými úvěrovými operacemi finančních institucí), vytvoří větší soudržnost a lepší koordinaci mezi dárci, což je v souladu se zásadami Pařížského prohlášení a s finančním nařízením EU. Zdroje členských států zvýší úsilí EU tím, že posílí evropský rozměr vnější spolupráce a zlepší viditelnost EU.</w:t>
      </w:r>
    </w:p>
    <w:p>
      <w:pPr>
        <w:pStyle w:val="ManualHeading2"/>
        <w:rPr>
          <w:bCs/>
          <w:noProof/>
          <w:szCs w:val="24"/>
        </w:rPr>
      </w:pPr>
      <w:r>
        <w:t>1.6.</w:t>
      </w:r>
      <w:r>
        <w:tab/>
      </w:r>
      <w:r>
        <w:rPr>
          <w:noProof/>
        </w:rPr>
        <w:t xml:space="preserve">Doba trvání akce a finanční dopad </w:t>
      </w:r>
    </w:p>
    <w:p>
      <w:pPr>
        <w:pStyle w:val="Text1"/>
        <w:rPr>
          <w:noProof/>
        </w:rPr>
      </w:pPr>
      <w:r>
        <w:rPr>
          <w:noProof/>
        </w:rPr>
        <w:sym w:font="Webdings" w:char="F072"/>
      </w:r>
      <w:r>
        <w:rPr>
          <w:b/>
          <w:i/>
          <w:noProof/>
        </w:rPr>
        <w:t xml:space="preserve"> </w:t>
      </w:r>
      <w:r>
        <w:rPr>
          <w:b/>
          <w:noProof/>
        </w:rPr>
        <w:t>Časově omezený</w:t>
      </w:r>
      <w:r>
        <w:rPr>
          <w:noProof/>
        </w:rPr>
        <w:t xml:space="preserve"> návrh/podnět</w:t>
      </w:r>
      <w:r>
        <w:rPr>
          <w:b/>
          <w:noProof/>
        </w:rPr>
        <w:t xml:space="preserve"> </w:t>
      </w:r>
    </w:p>
    <w:p>
      <w:pPr>
        <w:pStyle w:val="ListDash2"/>
        <w:rPr>
          <w:noProof/>
        </w:rPr>
      </w:pPr>
      <w:r>
        <w:rPr>
          <w:noProof/>
        </w:rPr>
        <w:sym w:font="Webdings" w:char="F072"/>
      </w:r>
      <w:r>
        <w:rPr>
          <w:noProof/>
        </w:rPr>
        <w:tab/>
        <w:t xml:space="preserve">Návrh/podnět původně s platností od roku 2017 do roku 2020 </w:t>
      </w:r>
    </w:p>
    <w:p>
      <w:pPr>
        <w:pStyle w:val="ListDash2"/>
        <w:rPr>
          <w:noProof/>
        </w:rPr>
      </w:pPr>
      <w:r>
        <w:rPr>
          <w:noProof/>
        </w:rPr>
        <w:sym w:font="Webdings" w:char="F072"/>
      </w:r>
      <w:r>
        <w:rPr>
          <w:noProof/>
        </w:rPr>
        <w:t xml:space="preserve">Finanční dopad od roku 2017 do roku 2020 s ohledem na podpis dohod se způsobilými zainteresovanými partnerskými stranami. </w:t>
      </w:r>
      <w:r>
        <w:rPr>
          <w:noProof/>
        </w:rPr>
        <w:tab/>
      </w:r>
      <w:r>
        <w:rPr>
          <w:b/>
          <w:noProof/>
        </w:rPr>
        <w:br/>
      </w:r>
      <w:r>
        <w:rPr>
          <w:noProof/>
        </w:rPr>
        <w:t xml:space="preserve">Maximální doba trvání záručních dohod EFSD, v rámci kterých může být podepsána smlouva mezi způsobilou zainteresovanou partnerskou stranou a příjemcem nebo finančním zprostředkovatelem, činí čtyři roky. </w:t>
      </w:r>
    </w:p>
    <w:p>
      <w:pPr>
        <w:pStyle w:val="Text1"/>
        <w:rPr>
          <w:noProof/>
        </w:rPr>
      </w:pPr>
      <w:r>
        <w:rPr>
          <w:noProof/>
        </w:rPr>
        <w:sym w:font="Wingdings" w:char="F0A8"/>
      </w:r>
      <w:r>
        <w:rPr>
          <w:b/>
          <w:i/>
          <w:noProof/>
        </w:rPr>
        <w:t xml:space="preserve"> </w:t>
      </w:r>
      <w:r>
        <w:rPr>
          <w:b/>
          <w:noProof/>
        </w:rPr>
        <w:t>Časově neomezený</w:t>
      </w:r>
      <w:r>
        <w:rPr>
          <w:noProof/>
        </w:rPr>
        <w:t xml:space="preserve"> návrh/podnět</w:t>
      </w:r>
    </w:p>
    <w:p>
      <w:pPr>
        <w:pStyle w:val="ListDash1"/>
        <w:rPr>
          <w:noProof/>
        </w:rPr>
      </w:pPr>
      <w:r>
        <w:rPr>
          <w:noProof/>
        </w:rPr>
        <w:t xml:space="preserve">Orientační období rozběhu provádění: </w:t>
      </w:r>
    </w:p>
    <w:p>
      <w:pPr>
        <w:pStyle w:val="ListDash1"/>
        <w:rPr>
          <w:noProof/>
        </w:rPr>
      </w:pPr>
      <w:r>
        <w:rPr>
          <w:noProof/>
        </w:rPr>
        <w:t>poté plné fungování.</w:t>
      </w:r>
    </w:p>
    <w:p>
      <w:pPr>
        <w:pStyle w:val="ManualHeading2"/>
        <w:rPr>
          <w:bCs/>
          <w:noProof/>
          <w:szCs w:val="24"/>
        </w:rPr>
      </w:pPr>
      <w:r>
        <w:t>1.7.</w:t>
      </w:r>
      <w:r>
        <w:tab/>
      </w:r>
      <w:r>
        <w:rPr>
          <w:noProof/>
        </w:rPr>
        <w:t>Předpokládaný způsob řízení</w:t>
      </w:r>
      <w:r>
        <w:rPr>
          <w:rStyle w:val="FootnoteReference"/>
          <w:noProof/>
        </w:rPr>
        <w:footnoteReference w:id="41"/>
      </w:r>
      <w:r>
        <w:rPr>
          <w:rStyle w:val="FootnoteReference"/>
          <w:noProof/>
        </w:rPr>
        <w:t xml:space="preserve"> </w:t>
      </w:r>
    </w:p>
    <w:p>
      <w:pPr>
        <w:pStyle w:val="Text1"/>
        <w:rPr>
          <w:noProof/>
        </w:rPr>
      </w:pPr>
      <w:r>
        <w:rPr>
          <w:noProof/>
        </w:rPr>
        <w:t xml:space="preserve">X </w:t>
      </w:r>
      <w:r>
        <w:rPr>
          <w:b/>
          <w:noProof/>
        </w:rPr>
        <w:t>Přímé řízení</w:t>
      </w:r>
      <w:r>
        <w:rPr>
          <w:noProof/>
        </w:rPr>
        <w:t xml:space="preserve"> Komisí (pro řízení záručního fondu EFSD)</w:t>
      </w:r>
    </w:p>
    <w:p>
      <w:pPr>
        <w:pStyle w:val="ListDash2"/>
        <w:rPr>
          <w:rFonts w:cs="EUAlbertina"/>
          <w:noProof/>
        </w:rPr>
      </w:pPr>
      <w:r>
        <w:rPr>
          <w:noProof/>
        </w:rPr>
        <w:t xml:space="preserve">X prostřednictvím jejích útvarů, včetně jejích zaměstnanců v delegacích Unie; </w:t>
      </w:r>
    </w:p>
    <w:p>
      <w:pPr>
        <w:pStyle w:val="ListDash2"/>
        <w:rPr>
          <w:noProof/>
        </w:rPr>
      </w:pPr>
      <w:r>
        <w:rPr>
          <w:noProof/>
        </w:rPr>
        <w:sym w:font="Wingdings" w:char="F0A8"/>
      </w:r>
      <w:r>
        <w:rPr>
          <w:noProof/>
        </w:rPr>
        <w:tab/>
        <w:t xml:space="preserve">prostřednictvím výkonných agentur </w:t>
      </w:r>
    </w:p>
    <w:p>
      <w:pPr>
        <w:pStyle w:val="Text1"/>
        <w:rPr>
          <w:noProof/>
        </w:rPr>
      </w:pPr>
      <w:r>
        <w:rPr>
          <w:noProof/>
        </w:rPr>
        <w:sym w:font="Wingdings" w:char="F0A8"/>
      </w:r>
      <w:r>
        <w:rPr>
          <w:noProof/>
        </w:rPr>
        <w:t xml:space="preserve"> </w:t>
      </w:r>
      <w:r>
        <w:rPr>
          <w:b/>
          <w:noProof/>
        </w:rPr>
        <w:t>Sdílené řízení</w:t>
      </w:r>
      <w:r>
        <w:rPr>
          <w:noProof/>
        </w:rPr>
        <w:t xml:space="preserve"> s členskými státy </w:t>
      </w:r>
    </w:p>
    <w:p>
      <w:pPr>
        <w:pStyle w:val="Text1"/>
        <w:rPr>
          <w:noProof/>
        </w:rPr>
      </w:pPr>
      <w:r>
        <w:rPr>
          <w:noProof/>
        </w:rPr>
        <w:sym w:font="Webdings" w:char="F072"/>
      </w:r>
      <w:r>
        <w:rPr>
          <w:i/>
          <w:noProof/>
        </w:rPr>
        <w:t xml:space="preserve"> </w:t>
      </w:r>
      <w:r>
        <w:rPr>
          <w:b/>
          <w:noProof/>
        </w:rPr>
        <w:t>Nepřímé řízení</w:t>
      </w:r>
      <w:r>
        <w:rPr>
          <w:noProof/>
        </w:rPr>
        <w:t xml:space="preserve">, při kterém jsou úkoly souvisejícími s plněním rozpočtu pověřeny (pro nástroje kryté zárukou EFSD): </w:t>
      </w:r>
    </w:p>
    <w:p>
      <w:pPr>
        <w:pStyle w:val="ListDash2"/>
        <w:rPr>
          <w:noProof/>
        </w:rPr>
      </w:pPr>
      <w:r>
        <w:rPr>
          <w:noProof/>
        </w:rPr>
        <w:t>X mezinárodní organizace a jejich agentury,</w:t>
      </w:r>
    </w:p>
    <w:p>
      <w:pPr>
        <w:pStyle w:val="ListDash2"/>
        <w:rPr>
          <w:noProof/>
        </w:rPr>
      </w:pPr>
      <w:r>
        <w:rPr>
          <w:noProof/>
        </w:rPr>
        <w:t>X EIB a Evropský investiční fond,</w:t>
      </w:r>
    </w:p>
    <w:p>
      <w:pPr>
        <w:pStyle w:val="ListDash2"/>
        <w:rPr>
          <w:noProof/>
        </w:rPr>
      </w:pPr>
      <w:r>
        <w:rPr>
          <w:noProof/>
        </w:rPr>
        <w:t>X veřejnoprávní subjekty,</w:t>
      </w:r>
    </w:p>
    <w:p>
      <w:pPr>
        <w:pStyle w:val="ListDash2"/>
        <w:rPr>
          <w:noProof/>
        </w:rPr>
      </w:pPr>
      <w:r>
        <w:rPr>
          <w:noProof/>
        </w:rPr>
        <w:t>X soukromoprávní subjekty členského státu, které poskytují dostatečné finanční záruky, odchylně od ustanovení čl. 58 odst. 1 písm. c) bodu vii) nařízení (EU) č. 966/2012,</w:t>
      </w:r>
    </w:p>
    <w:p>
      <w:pPr>
        <w:pStyle w:val="ListDash2"/>
        <w:rPr>
          <w:noProof/>
        </w:rPr>
      </w:pPr>
      <w:r>
        <w:rPr>
          <w:noProof/>
        </w:rPr>
        <w:t>X soukromoprávní subjekty partnerské země, které poskytují dostatečné finanční záruky, odchylně od ustanovení čl. 58 odst. 1 písm. c) bodu vii) nařízení (EU) č. 966/2012,</w:t>
      </w:r>
    </w:p>
    <w:p>
      <w:pPr>
        <w:pStyle w:val="ListDash2"/>
        <w:rPr>
          <w:noProof/>
        </w:rPr>
      </w:pPr>
      <w:r>
        <w:rPr>
          <w:noProof/>
        </w:rPr>
        <w:t>X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pStyle w:val="ListDash2"/>
        <w:rPr>
          <w:i/>
          <w:noProof/>
          <w:sz w:val="18"/>
          <w:u w:val="single"/>
        </w:rPr>
      </w:pPr>
      <w:r>
        <w:rPr>
          <w:i/>
          <w:noProof/>
          <w:sz w:val="18"/>
        </w:rPr>
        <w:t>Pokud vyberete více způsobů řízení, upřesněte je v části „Poznámky“.</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r>
        <w:rPr>
          <w:noProof/>
        </w:rPr>
        <w:t>Poskytování a řízení záručního fondu EFSD bude provádět přímo Komise, zatímco nástroje, na něž se vztahuje záruka, budou prováděny formou nepřímého řízení.</w:t>
      </w:r>
    </w:p>
    <w:p>
      <w:pPr>
        <w:pStyle w:val="ManualHeading1"/>
        <w:rPr>
          <w:bCs/>
          <w:noProof/>
          <w:szCs w:val="24"/>
        </w:rPr>
      </w:pPr>
      <w:r>
        <w:t>2.</w:t>
      </w:r>
      <w:r>
        <w:tab/>
      </w:r>
      <w:r>
        <w:rPr>
          <w:noProof/>
        </w:rPr>
        <w:t xml:space="preserve">SPRÁVNÍ OPATŘENÍ </w:t>
      </w:r>
    </w:p>
    <w:p>
      <w:pPr>
        <w:pStyle w:val="ManualHeading2"/>
        <w:rPr>
          <w:noProof/>
        </w:rPr>
      </w:pPr>
      <w:r>
        <w:t>2.1.</w:t>
      </w:r>
      <w:r>
        <w:tab/>
      </w:r>
      <w:r>
        <w:rPr>
          <w:noProof/>
        </w:rPr>
        <w:t xml:space="preserve">Pravidla pro sledování a podávání zpráv </w:t>
      </w:r>
    </w:p>
    <w:p>
      <w:pPr>
        <w:pStyle w:val="Text1"/>
        <w:rPr>
          <w:i/>
          <w:noProof/>
          <w:sz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Komise předloží každý rok Evropskému parlamentu a Radě zprávu o finančních a investičních operacích krytých zárukou EFSD. Tato zpráva se zveřejňuje. Mimo jiné zahrnuje: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w:t>
      </w:r>
      <w:r>
        <w:rPr>
          <w:noProof/>
        </w:rPr>
        <w:tab/>
        <w:t>posouzení finančních a investičních operací, jež probíhají a které jsou kryté zárukou EFSD, podle odvětví, země a regionu a jejich souladu s tímto nařízením, zejména s kritériem řešení základních příčin migrace a podpory socioekonomického rozvoje vzhledem k cílům udržitelného rozvoje, společně s posouzením přidělení finančních prostředků s ohledem na obecné cíle stanovené v článku 3;</w:t>
      </w:r>
    </w:p>
    <w:p>
      <w:pPr>
        <w:pStyle w:val="Text1"/>
        <w:pBdr>
          <w:top w:val="single" w:sz="4" w:space="1" w:color="auto"/>
          <w:left w:val="single" w:sz="4" w:space="4" w:color="auto"/>
          <w:bottom w:val="single" w:sz="4" w:space="1" w:color="auto"/>
          <w:right w:val="single" w:sz="4" w:space="4" w:color="auto"/>
        </w:pBdr>
        <w:ind w:left="851"/>
        <w:rPr>
          <w:noProof/>
        </w:rPr>
      </w:pPr>
      <w:r>
        <w:rPr>
          <w:noProof/>
        </w:rPr>
        <w:t>b)</w:t>
      </w:r>
      <w:r>
        <w:rPr>
          <w:noProof/>
        </w:rPr>
        <w:tab/>
        <w:t>posouzení přidané hodnoty, mobilizace zdrojů soukromého sektoru, odhadovaných a skutečných výstupů a výsledků a dopadu finančních a investičních operací krytých zárukou EFSD na souhrnném základě, včetně dopadu na tvorbu pracovních míst;</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c) </w:t>
      </w:r>
      <w:r>
        <w:rPr>
          <w:noProof/>
        </w:rPr>
        <w:tab/>
        <w:t>posouzení, do jaké míry operace, na něž se vztahuje toto nařízení, přispívají k dosažení obecných cílů stanovených v článku 3;</w:t>
      </w:r>
    </w:p>
    <w:p>
      <w:pPr>
        <w:pStyle w:val="Text1"/>
        <w:pBdr>
          <w:top w:val="single" w:sz="4" w:space="1" w:color="auto"/>
          <w:left w:val="single" w:sz="4" w:space="4" w:color="auto"/>
          <w:bottom w:val="single" w:sz="4" w:space="1" w:color="auto"/>
          <w:right w:val="single" w:sz="4" w:space="4" w:color="auto"/>
        </w:pBdr>
        <w:ind w:left="851"/>
        <w:rPr>
          <w:noProof/>
        </w:rPr>
      </w:pPr>
      <w:r>
        <w:rPr>
          <w:noProof/>
        </w:rPr>
        <w:t>d)</w:t>
      </w:r>
      <w:r>
        <w:rPr>
          <w:noProof/>
        </w:rPr>
        <w:tab/>
      </w:r>
      <w:r>
        <w:rPr>
          <w:noProof/>
        </w:rPr>
        <w:tab/>
        <w:t>posouzení dodržování požadavků týkajících se využití záruky EFSD a klíčových ukazatelů výkonnosti stanovených pro každý předložený návrh;</w:t>
      </w:r>
    </w:p>
    <w:p>
      <w:pPr>
        <w:pStyle w:val="Text1"/>
        <w:pBdr>
          <w:top w:val="single" w:sz="4" w:space="1" w:color="auto"/>
          <w:left w:val="single" w:sz="4" w:space="4" w:color="auto"/>
          <w:bottom w:val="single" w:sz="4" w:space="1" w:color="auto"/>
          <w:right w:val="single" w:sz="4" w:space="4" w:color="auto"/>
        </w:pBdr>
        <w:ind w:left="851"/>
        <w:rPr>
          <w:noProof/>
        </w:rPr>
      </w:pPr>
      <w:r>
        <w:rPr>
          <w:noProof/>
        </w:rPr>
        <w:t>e)</w:t>
      </w:r>
      <w:r>
        <w:rPr>
          <w:noProof/>
        </w:rPr>
        <w:tab/>
      </w:r>
      <w:r>
        <w:rPr>
          <w:noProof/>
        </w:rPr>
        <w:tab/>
        <w:t>posouzení pákového efektu dosaženého operacemi krytými zárukou EFSD;</w:t>
      </w:r>
    </w:p>
    <w:p>
      <w:pPr>
        <w:pStyle w:val="Text1"/>
        <w:pBdr>
          <w:top w:val="single" w:sz="4" w:space="1" w:color="auto"/>
          <w:left w:val="single" w:sz="4" w:space="4" w:color="auto"/>
          <w:bottom w:val="single" w:sz="4" w:space="1" w:color="auto"/>
          <w:right w:val="single" w:sz="4" w:space="4" w:color="auto"/>
        </w:pBdr>
        <w:ind w:left="851"/>
        <w:rPr>
          <w:noProof/>
        </w:rPr>
      </w:pPr>
      <w:r>
        <w:rPr>
          <w:noProof/>
        </w:rPr>
        <w:t>f)</w:t>
      </w:r>
      <w:r>
        <w:rPr>
          <w:noProof/>
        </w:rPr>
        <w:tab/>
      </w:r>
      <w:r>
        <w:rPr>
          <w:noProof/>
        </w:rPr>
        <w:tab/>
        <w:t>finanční částku, která byla převedena příjemcům, a posouzení finančních a investičních operací každé zainteresované partnerské strany na souhrnném základě;</w:t>
      </w:r>
    </w:p>
    <w:p>
      <w:pPr>
        <w:pStyle w:val="Text1"/>
        <w:pBdr>
          <w:top w:val="single" w:sz="4" w:space="1" w:color="auto"/>
          <w:left w:val="single" w:sz="4" w:space="4" w:color="auto"/>
          <w:bottom w:val="single" w:sz="4" w:space="1" w:color="auto"/>
          <w:right w:val="single" w:sz="4" w:space="4" w:color="auto"/>
        </w:pBdr>
        <w:ind w:left="851"/>
        <w:rPr>
          <w:noProof/>
        </w:rPr>
      </w:pPr>
      <w:r>
        <w:rPr>
          <w:noProof/>
        </w:rPr>
        <w:t>g)</w:t>
      </w:r>
      <w:r>
        <w:rPr>
          <w:noProof/>
        </w:rPr>
        <w:tab/>
      </w:r>
      <w:r>
        <w:rPr>
          <w:noProof/>
        </w:rPr>
        <w:tab/>
        <w:t>posouzení přidané hodnoty finančních a investičních operací způsobilých zainteresovaných partnerských stran a souhrnného rizika spojeného s těmito operacemi;</w:t>
      </w:r>
    </w:p>
    <w:p>
      <w:pPr>
        <w:pStyle w:val="Text1"/>
        <w:pBdr>
          <w:top w:val="single" w:sz="4" w:space="1" w:color="auto"/>
          <w:left w:val="single" w:sz="4" w:space="4" w:color="auto"/>
          <w:bottom w:val="single" w:sz="4" w:space="1" w:color="auto"/>
          <w:right w:val="single" w:sz="4" w:space="4" w:color="auto"/>
        </w:pBdr>
        <w:ind w:left="851"/>
        <w:rPr>
          <w:noProof/>
        </w:rPr>
      </w:pPr>
      <w:r>
        <w:rPr>
          <w:noProof/>
        </w:rPr>
        <w:t>h)</w:t>
      </w:r>
      <w:r>
        <w:rPr>
          <w:noProof/>
        </w:rPr>
        <w:tab/>
      </w:r>
      <w:r>
        <w:rPr>
          <w:noProof/>
        </w:rPr>
        <w:tab/>
        <w:t>podrobné informace o čerpání záruky EFSD, ztrátách, výnosech, zpětně získaných částkách a jakýchkoli dalších obdržených platbách;</w:t>
      </w:r>
    </w:p>
    <w:p>
      <w:pPr>
        <w:pStyle w:val="Text1"/>
        <w:pBdr>
          <w:top w:val="single" w:sz="4" w:space="1" w:color="auto"/>
          <w:left w:val="single" w:sz="4" w:space="4" w:color="auto"/>
          <w:bottom w:val="single" w:sz="4" w:space="1" w:color="auto"/>
          <w:right w:val="single" w:sz="4" w:space="4" w:color="auto"/>
        </w:pBdr>
        <w:ind w:left="851"/>
        <w:rPr>
          <w:noProof/>
        </w:rPr>
      </w:pPr>
      <w:r>
        <w:rPr>
          <w:noProof/>
        </w:rPr>
        <w:t>i)</w:t>
      </w:r>
      <w:r>
        <w:rPr>
          <w:noProof/>
        </w:rPr>
        <w:tab/>
      </w:r>
      <w:r>
        <w:rPr>
          <w:noProof/>
        </w:rPr>
        <w:tab/>
        <w:t>finanční zprávy o finančních a investičních operacích způsobilých zainteresovaných partnerských stran, na něž se vztahuje toto nařízení, auditované nezávislým externím auditorem.</w:t>
      </w:r>
    </w:p>
    <w:p>
      <w:pPr>
        <w:pStyle w:val="Text1"/>
        <w:pBdr>
          <w:top w:val="single" w:sz="4" w:space="1" w:color="auto"/>
          <w:left w:val="single" w:sz="4" w:space="4" w:color="auto"/>
          <w:bottom w:val="single" w:sz="4" w:space="1" w:color="auto"/>
          <w:right w:val="single" w:sz="4" w:space="4" w:color="auto"/>
        </w:pBdr>
        <w:rPr>
          <w:noProof/>
        </w:rPr>
      </w:pPr>
      <w:r>
        <w:rPr>
          <w:noProof/>
        </w:rPr>
        <w:t>2. Pro účely kontroly účetnictví, podávání zpráv o rizicích krytých zárukou EFSD a řízení záručního fondu EFSD Komisí předkládají způsobilé zainteresované partnerské strany, s nimiž byla podepsána záruční dohoda, Komisi a Účetnímu dvoru jednou ročně finanční zprávy o finančních a investičních operacích, na něž se vztahuje toto nařízení, auditované nezávislým externím auditorem, obsahující mimo jiné informace o:</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r>
      <w:r>
        <w:rPr>
          <w:noProof/>
        </w:rPr>
        <w:tab/>
        <w:t>posouzení rizik finančních a investičních operací způsobilých zainteresovaných partnerských stran, na něž se vztahuje toto nařízení, včetně informací týkajících se závazků EU měřených v souladu s účetními pravidly Unie stanovenými účetním Komise na základě mezinárodně uznávaných účetních standardů pro veřejný sektor;</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r>
      <w:r>
        <w:rPr>
          <w:noProof/>
        </w:rPr>
        <w:tab/>
        <w:t>údajích o neuhrazených finančních závazcích Unie vyplývajících ze záruky EFSD poskytnuté způsobilým zainteresovaným partnerským stranám na jejich finanční a investiční operace, na něž se vztahuje toto nařízení, rozčleněné podle jednotlivých operací.</w:t>
      </w:r>
    </w:p>
    <w:p>
      <w:pPr>
        <w:pStyle w:val="Text1"/>
        <w:pBdr>
          <w:top w:val="single" w:sz="4" w:space="1" w:color="auto"/>
          <w:left w:val="single" w:sz="4" w:space="4" w:color="auto"/>
          <w:bottom w:val="single" w:sz="4" w:space="1" w:color="auto"/>
          <w:right w:val="single" w:sz="4" w:space="4" w:color="auto"/>
        </w:pBdr>
        <w:rPr>
          <w:noProof/>
        </w:rPr>
      </w:pPr>
      <w:r>
        <w:rPr>
          <w:noProof/>
        </w:rPr>
        <w:t>Zainteresované partnerské strany na vyžádání poskytnou Komisi veškeré další informace nezbytné k plnění povinností Komise v souvislosti s tímto nařízením.</w:t>
      </w:r>
    </w:p>
    <w:p>
      <w:pPr>
        <w:pStyle w:val="Text1"/>
        <w:pBdr>
          <w:top w:val="single" w:sz="4" w:space="1" w:color="auto"/>
          <w:left w:val="single" w:sz="4" w:space="4" w:color="auto"/>
          <w:bottom w:val="single" w:sz="4" w:space="1" w:color="auto"/>
          <w:right w:val="single" w:sz="4" w:space="4" w:color="auto"/>
        </w:pBdr>
        <w:rPr>
          <w:noProof/>
        </w:rPr>
      </w:pPr>
      <w:r>
        <w:rPr>
          <w:noProof/>
        </w:rPr>
        <w:t>3. Komise každoročně do 31. března předloží Evropskému parlamentu, Radě a Účetnímu dvoru v souvislosti se svými finančními výkazy požadované informace o situaci záručního fondu EFSD. Kromě toho do 31. května každého roku předloží Komise Evropskému parlamentu, Radě a Účetnímu dvoru výroční zprávu o řízení záručního fondu EFSD v předchozím kalendářním roce, včetně posouzení adekvátnosti poskytování prostředků, objemu záručního fondu a nutnosti jeho doplnění. Výroční zpráva zahrnuje informace o finanční situaci záručního fondu EFSD na konci předchozího kalendářního roku, finančních tocích během předchozího kalendářního roku, jakož i o významných transakcích a veškeré příslušné informace týkající se finančních účtů. Zpráva rovněž obsahuje informace o finančním řízení, výsledcích a riziku záručního fondu ke konci předchozího kalendářního roku.</w:t>
      </w:r>
    </w:p>
    <w:p>
      <w:pPr>
        <w:pStyle w:val="Text1"/>
        <w:pBdr>
          <w:top w:val="single" w:sz="4" w:space="1" w:color="auto"/>
          <w:left w:val="single" w:sz="4" w:space="4" w:color="auto"/>
          <w:bottom w:val="single" w:sz="4" w:space="1" w:color="auto"/>
          <w:right w:val="single" w:sz="4" w:space="4" w:color="auto"/>
        </w:pBdr>
        <w:rPr>
          <w:noProof/>
        </w:rPr>
      </w:pPr>
      <w:r>
        <w:rPr>
          <w:noProof/>
        </w:rPr>
        <w:t xml:space="preserve">4. Komise do 31. prosince 2019 zhodnotí fungování EFSD. Komise svou hodnotící zprávu předloží Evropskému parlamentu a Radě. </w:t>
      </w:r>
    </w:p>
    <w:p>
      <w:pPr>
        <w:pStyle w:val="Text1"/>
        <w:pBdr>
          <w:top w:val="single" w:sz="4" w:space="1" w:color="auto"/>
          <w:left w:val="single" w:sz="4" w:space="4" w:color="auto"/>
          <w:bottom w:val="single" w:sz="4" w:space="1" w:color="auto"/>
          <w:right w:val="single" w:sz="4" w:space="4" w:color="auto"/>
        </w:pBdr>
        <w:rPr>
          <w:noProof/>
        </w:rPr>
      </w:pPr>
      <w:r>
        <w:rPr>
          <w:noProof/>
        </w:rPr>
        <w:t>5. Do 30. června 2020 a poté každé tři roky Komise posoudí využívání záručního fondu EFSD. Komise svou hodnotící zprávu předloží Evropskému parlamentu a Radě. K této hodnotící zprávě bude připojeno stanovisko Účetního dvora.</w:t>
      </w:r>
    </w:p>
    <w:p>
      <w:pPr>
        <w:pStyle w:val="Text1"/>
        <w:pBdr>
          <w:top w:val="single" w:sz="4" w:space="1" w:color="auto"/>
          <w:left w:val="single" w:sz="4" w:space="4" w:color="auto"/>
          <w:bottom w:val="single" w:sz="4" w:space="1" w:color="auto"/>
          <w:right w:val="single" w:sz="4" w:space="4" w:color="auto"/>
        </w:pBdr>
        <w:rPr>
          <w:noProof/>
        </w:rPr>
      </w:pPr>
      <w:r>
        <w:rPr>
          <w:noProof/>
        </w:rPr>
        <w:t>6. Do 30. června 2020 předloží Komise Evropskému parlamentu a Radě zprávu obsahující nezávislé hodnocení uplatňování tohoto nařízení. Tuto zprávu Komise předloží neprodleně v případě, že schválené finanční a investiční operace dostupnou výši záruky EFSD plně vyčerpají před 30. červnem 2020.</w:t>
      </w:r>
    </w:p>
    <w:p>
      <w:pPr>
        <w:rPr>
          <w:noProof/>
        </w:rPr>
      </w:pPr>
    </w:p>
    <w:p>
      <w:pPr>
        <w:pStyle w:val="ManualHeading2"/>
        <w:rPr>
          <w:bCs/>
          <w:noProof/>
          <w:szCs w:val="24"/>
        </w:rPr>
      </w:pPr>
      <w:r>
        <w:t>2.2.</w:t>
      </w:r>
      <w:r>
        <w:tab/>
      </w:r>
      <w:r>
        <w:rPr>
          <w:noProof/>
        </w:rPr>
        <w:t xml:space="preserve">Systém řízení a kontroly </w:t>
      </w:r>
    </w:p>
    <w:p>
      <w:pPr>
        <w:pStyle w:val="ManualHeading3"/>
        <w:rPr>
          <w:noProof/>
        </w:rPr>
      </w:pPr>
      <w:r>
        <w:t>2.2.1.</w:t>
      </w:r>
      <w:r>
        <w:tab/>
      </w:r>
      <w:r>
        <w:rPr>
          <w:noProof/>
        </w:rPr>
        <w:t xml:space="preserve">Zjištěná rizika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Riziko pro rozpočet EU je spojeno s rozpočtovou zárukou, kterou poskytuje Unie způsobilé zainteresované partnerské straně na její operace v třetích zemích. Záruka poskytuje ucelené krytí (se stropem uvedeným níže) všech plateb, které nebyly způsobilé zainteresované partnerské straně dosud vráceny. </w:t>
      </w:r>
    </w:p>
    <w:p>
      <w:pPr>
        <w:pStyle w:val="Text1"/>
        <w:pBdr>
          <w:top w:val="single" w:sz="4" w:space="1" w:color="auto"/>
          <w:left w:val="single" w:sz="4" w:space="4" w:color="auto"/>
          <w:bottom w:val="single" w:sz="4" w:space="1" w:color="auto"/>
          <w:right w:val="single" w:sz="4" w:space="4" w:color="auto"/>
        </w:pBdr>
        <w:rPr>
          <w:noProof/>
        </w:rPr>
      </w:pPr>
      <w:r>
        <w:rPr>
          <w:noProof/>
        </w:rPr>
        <w:t>Záruka EU je omezena na 1 500 000 000 EUR.</w:t>
      </w:r>
    </w:p>
    <w:p>
      <w:pPr>
        <w:pStyle w:val="Text1"/>
        <w:pBdr>
          <w:top w:val="single" w:sz="4" w:space="1" w:color="auto"/>
          <w:left w:val="single" w:sz="4" w:space="4" w:color="auto"/>
          <w:bottom w:val="single" w:sz="4" w:space="1" w:color="auto"/>
          <w:right w:val="single" w:sz="4" w:space="4" w:color="auto"/>
        </w:pBdr>
        <w:rPr>
          <w:noProof/>
        </w:rPr>
      </w:pPr>
      <w:r>
        <w:rPr>
          <w:noProof/>
        </w:rPr>
        <w:t>Položka rozpočtu („p.m.“) odpovídající rozpočtové záruce za úvěry způsobilé zainteresované partnerské strany třetím zemím by byla aktivována pouze tehdy, pokud by způsobilá zainteresovaná partnerská strana skutečně požadovala zaplacení záruky, již nelze plně pokrýt ze záručního fondu (financovaného nejméně 750 000 000 EUR). Míra poskytování prostředků ve výši 50 % je založena na dřívějších zkušenostech se systémy záruk řízenými způsobilými zainteresovanými partnerskými stranami, včetně struktur první ztráty. Nikdy nebylo čerpáno více než 50 % poskytnutých finančních prostředků. Vyšší míra poskytování prostředků, například ve srovnání s některými vnitřními nástroji, je připisována rizikovějšímu investičnímu prostředí v partnerských zemích, které je třeba brát v úvahu.</w:t>
      </w:r>
    </w:p>
    <w:p>
      <w:pPr>
        <w:pStyle w:val="ManualHeading3"/>
        <w:rPr>
          <w:bCs/>
          <w:noProof/>
          <w:szCs w:val="24"/>
        </w:rPr>
      </w:pPr>
      <w:r>
        <w:t>2.2.2.</w:t>
      </w:r>
      <w:r>
        <w:tab/>
      </w:r>
      <w:r>
        <w:rPr>
          <w:noProof/>
        </w:rPr>
        <w:t>Informace o zavedeném systému vnitřní kontroly</w:t>
      </w:r>
    </w:p>
    <w:p>
      <w:pPr>
        <w:pStyle w:val="Text1"/>
        <w:pBdr>
          <w:top w:val="single" w:sz="4" w:space="1" w:color="auto"/>
          <w:left w:val="single" w:sz="4" w:space="4" w:color="auto"/>
          <w:bottom w:val="single" w:sz="4" w:space="1" w:color="auto"/>
          <w:right w:val="single" w:sz="4" w:space="4" w:color="auto"/>
        </w:pBdr>
        <w:rPr>
          <w:noProof/>
        </w:rPr>
      </w:pPr>
      <w:r>
        <w:rPr>
          <w:noProof/>
        </w:rPr>
        <w:t>Za řízení záruky EU nese odpovědnost Komise. Finanční operace v rámci tohoto nařízení jsou prováděny podle standardního jednacího řádu a v souladu se zásadami řádné bankovní praxe způsobilé zainteresované partnerské strany. Způsobilá zainteresovaná partnerská strana a Komise uzavírají dohodu, kterou se stanoví podrobná ustanovení a postupy týkající se uplatňování tohoto nařízení. Viz rovněž výše uvedený oddíl „Pravidla pro sledování a podávání zpráv“.</w:t>
      </w:r>
    </w:p>
    <w:p>
      <w:pPr>
        <w:pStyle w:val="ManualHeading3"/>
        <w:rPr>
          <w:noProof/>
        </w:rPr>
      </w:pPr>
      <w:r>
        <w:t>2.2.3.</w:t>
      </w:r>
      <w:r>
        <w:tab/>
      </w:r>
      <w:r>
        <w:rPr>
          <w:noProof/>
        </w:rPr>
        <w:t xml:space="preserve">Odhad nákladů a přínosů kontrol a posouzení očekávané míry rizika výskytu chyb </w:t>
      </w:r>
    </w:p>
    <w:p>
      <w:pPr>
        <w:pStyle w:val="Text1"/>
        <w:pBdr>
          <w:top w:val="single" w:sz="4" w:space="1" w:color="auto"/>
          <w:left w:val="single" w:sz="4" w:space="4" w:color="auto"/>
          <w:bottom w:val="single" w:sz="4" w:space="1" w:color="auto"/>
          <w:right w:val="single" w:sz="4" w:space="4" w:color="auto"/>
        </w:pBdr>
        <w:rPr>
          <w:noProof/>
        </w:rPr>
      </w:pPr>
      <w:r>
        <w:rPr>
          <w:noProof/>
        </w:rPr>
        <w:t>Nevztahuje se na tento návrh.</w:t>
      </w:r>
    </w:p>
    <w:p>
      <w:pPr>
        <w:pStyle w:val="ManualHeading2"/>
        <w:rPr>
          <w:bCs/>
          <w:noProof/>
          <w:szCs w:val="24"/>
        </w:rPr>
      </w:pPr>
      <w:r>
        <w:t>2.3.</w:t>
      </w:r>
      <w:r>
        <w:tab/>
      </w:r>
      <w:r>
        <w:rPr>
          <w:noProof/>
        </w:rPr>
        <w:t xml:space="preserve">Opatření k zamezení podvodů a nesrovnalostí </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1. Komise neprodleně informuje OLAF a poskytne mu potřebné informace, pokud má v jakékoli fázi přípravy, provádění nebo ukončování finančních a investičních operací, na něž se vztahuje toto nařízení, důvod se domnívat, že došlo k podvodu, korupci, praní peněz nebo jinému protiprávnímu jednání, které může ohrozit finanční zájmy Unie.</w:t>
      </w:r>
    </w:p>
    <w:p>
      <w:pPr>
        <w:pStyle w:val="Text1"/>
        <w:pBdr>
          <w:top w:val="single" w:sz="4" w:space="1" w:color="auto"/>
          <w:left w:val="single" w:sz="4" w:space="4" w:color="auto"/>
          <w:bottom w:val="single" w:sz="4" w:space="1" w:color="auto"/>
          <w:right w:val="single" w:sz="4" w:space="4" w:color="auto"/>
        </w:pBdr>
        <w:rPr>
          <w:noProof/>
        </w:rPr>
      </w:pPr>
      <w:r>
        <w:rPr>
          <w:noProof/>
        </w:rPr>
        <w:t>2. OLAF může provádět vyšetřování, včetně kontrol a inspekcí na místě, v souladu s předpisy a postupy stanovenými v nařízení Evropského parlamentu a Rady (EU, Euratom) č. 883/2013 (15), nařízení Rady (Euratom, ES) č. 2185/96 (16) a nařízení Rady (ES, Euratom) č. 2988/95 (17) za účelem ochrany finančních zájmů Unie, s cílem zjistit, zda nedošlo k podvodu, korupci, praní peněz nebo jinému protiprávnímu jednání ohrožujícímu finanční zájmy Unie v souvislosti s jakoukoli finanční a investiční operací, na niž se vztahuje toto nařízení. Informace získané během svých vyšetřování může OLAF předávat příslušným orgánům dotčených členských států.</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Jestliže se takové protiprávní jednání potvrdí, způsobilé zainteresované partnerské strany vymáhají pohledávky v souvislosti se svými finančními a investičními operacemi, na něž se vztahuje toto nařízení a jež jsou dotčeny těmito činnostmi. </w:t>
      </w:r>
    </w:p>
    <w:p>
      <w:pPr>
        <w:pStyle w:val="ManualHeading1"/>
        <w:rPr>
          <w:bCs/>
          <w:noProof/>
          <w:szCs w:val="24"/>
        </w:rPr>
      </w:pPr>
      <w:r>
        <w:t>3.</w:t>
      </w:r>
      <w:r>
        <w:tab/>
      </w:r>
      <w:r>
        <w:rPr>
          <w:noProof/>
        </w:rPr>
        <w:t xml:space="preserve">ODHADOVANÝ FINANČNÍ DOPAD NÁVRHU/PODNĚTU </w:t>
      </w:r>
    </w:p>
    <w:p>
      <w:pPr>
        <w:pStyle w:val="ManualHeading2"/>
        <w:rPr>
          <w:noProof/>
        </w:rPr>
      </w:pPr>
      <w:r>
        <w:t>3.1.</w:t>
      </w:r>
      <w:r>
        <w:tab/>
      </w:r>
      <w:r>
        <w:rPr>
          <w:noProof/>
        </w:rPr>
        <w:t xml:space="preserve">Okruhy víceletého finančního rámce a dotčené výdajové rozpočtové položky </w:t>
      </w:r>
    </w:p>
    <w:p>
      <w:pPr>
        <w:pStyle w:val="ListBullet1"/>
        <w:rPr>
          <w:noProof/>
        </w:rPr>
      </w:pPr>
      <w:r>
        <w:rPr>
          <w:noProof/>
        </w:rPr>
        <w:t xml:space="preserve">Nové rozpočtové položky, jejichž vytvoření se požaduje </w:t>
      </w:r>
    </w:p>
    <w:p>
      <w:pPr>
        <w:pStyle w:val="Text1"/>
        <w:rPr>
          <w:i/>
          <w:noProof/>
          <w:sz w:val="20"/>
        </w:rPr>
      </w:pPr>
      <w:r>
        <w:rPr>
          <w:i/>
          <w:noProof/>
          <w:u w:val="single"/>
        </w:rPr>
        <w:t>V pořadí</w:t>
      </w:r>
      <w:r>
        <w:rPr>
          <w:i/>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sz w:val="18"/>
              </w:rPr>
              <w:t>Druh</w:t>
            </w:r>
            <w:r>
              <w:rPr>
                <w:noProof/>
                <w:sz w:val="22"/>
              </w:rPr>
              <w:br/>
            </w:r>
            <w:r>
              <w:rPr>
                <w:noProof/>
                <w:sz w:val="18"/>
              </w:rPr>
              <w:t>výdajů</w:t>
            </w:r>
          </w:p>
        </w:tc>
        <w:tc>
          <w:tcPr>
            <w:tcW w:w="4440"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jc w:val="center"/>
              <w:rPr>
                <w:noProof/>
              </w:rPr>
            </w:pPr>
          </w:p>
        </w:tc>
        <w:tc>
          <w:tcPr>
            <w:tcW w:w="3960" w:type="dxa"/>
            <w:vAlign w:val="center"/>
          </w:tcPr>
          <w:p>
            <w:pPr>
              <w:rPr>
                <w:noProof/>
              </w:rPr>
            </w:pPr>
            <w:r>
              <w:rPr>
                <w:noProof/>
                <w:sz w:val="20"/>
              </w:rPr>
              <w:t>Číslo Okruh 04 EU ve světě</w:t>
            </w:r>
          </w:p>
        </w:tc>
        <w:tc>
          <w:tcPr>
            <w:tcW w:w="1080" w:type="dxa"/>
            <w:vAlign w:val="center"/>
          </w:tcPr>
          <w:p>
            <w:pPr>
              <w:jc w:val="center"/>
              <w:rPr>
                <w:noProof/>
              </w:rPr>
            </w:pPr>
            <w:r>
              <w:rPr>
                <w:noProof/>
                <w:sz w:val="18"/>
              </w:rPr>
              <w:t>RP/NRP</w:t>
            </w:r>
          </w:p>
        </w:tc>
        <w:tc>
          <w:tcPr>
            <w:tcW w:w="956" w:type="dxa"/>
            <w:vAlign w:val="center"/>
          </w:tcPr>
          <w:p>
            <w:pPr>
              <w:jc w:val="center"/>
              <w:rPr>
                <w:noProof/>
                <w:sz w:val="18"/>
              </w:rPr>
            </w:pPr>
            <w:r>
              <w:rPr>
                <w:noProof/>
                <w:sz w:val="18"/>
              </w:rPr>
              <w:t>zemí ESVO</w:t>
            </w:r>
          </w:p>
        </w:tc>
        <w:tc>
          <w:tcPr>
            <w:tcW w:w="1080" w:type="dxa"/>
            <w:vAlign w:val="center"/>
          </w:tcPr>
          <w:p>
            <w:pPr>
              <w:jc w:val="center"/>
              <w:rPr>
                <w:noProof/>
                <w:sz w:val="18"/>
              </w:rPr>
            </w:pPr>
            <w:r>
              <w:rPr>
                <w:noProof/>
                <w:sz w:val="18"/>
              </w:rPr>
              <w:t>kandidátských zemí</w:t>
            </w:r>
          </w:p>
        </w:tc>
        <w:tc>
          <w:tcPr>
            <w:tcW w:w="956" w:type="dxa"/>
            <w:vAlign w:val="center"/>
          </w:tcPr>
          <w:p>
            <w:pPr>
              <w:jc w:val="center"/>
              <w:rPr>
                <w:noProof/>
                <w:sz w:val="18"/>
              </w:rPr>
            </w:pPr>
            <w:r>
              <w:rPr>
                <w:noProof/>
                <w:sz w:val="18"/>
              </w:rPr>
              <w:t>třetích zemí</w:t>
            </w:r>
          </w:p>
        </w:tc>
        <w:tc>
          <w:tcPr>
            <w:tcW w:w="1448" w:type="dxa"/>
            <w:vAlign w:val="center"/>
          </w:tcPr>
          <w:p>
            <w:pPr>
              <w:jc w:val="center"/>
              <w:rPr>
                <w:noProof/>
              </w:rPr>
            </w:pPr>
            <w:r>
              <w:rPr>
                <w:noProof/>
                <w:sz w:val="16"/>
              </w:rPr>
              <w:t xml:space="preserve">ve smyslu čl. 21 odst. 2 písm. b) finančního nařízení </w:t>
            </w:r>
          </w:p>
        </w:tc>
      </w:tr>
      <w:tr>
        <w:tc>
          <w:tcPr>
            <w:tcW w:w="1080" w:type="dxa"/>
            <w:vAlign w:val="center"/>
          </w:tcPr>
          <w:p>
            <w:pPr>
              <w:spacing w:before="60"/>
              <w:jc w:val="center"/>
              <w:rPr>
                <w:noProof/>
                <w:sz w:val="20"/>
              </w:rPr>
            </w:pPr>
            <w:r>
              <w:rPr>
                <w:noProof/>
                <w:sz w:val="20"/>
              </w:rPr>
              <w:t>4</w:t>
            </w:r>
          </w:p>
        </w:tc>
        <w:tc>
          <w:tcPr>
            <w:tcW w:w="3960" w:type="dxa"/>
            <w:vAlign w:val="center"/>
          </w:tcPr>
          <w:p>
            <w:pPr>
              <w:spacing w:before="60"/>
              <w:rPr>
                <w:noProof/>
                <w:sz w:val="20"/>
              </w:rPr>
            </w:pPr>
            <w:r>
              <w:rPr>
                <w:noProof/>
                <w:sz w:val="20"/>
              </w:rPr>
              <w:t>01 03 07 Záruka Evropské unie za Evropský fond pro udržitelný rozvoj (EFSD)</w:t>
            </w:r>
          </w:p>
          <w:p>
            <w:pPr>
              <w:spacing w:after="60"/>
              <w:rPr>
                <w:noProof/>
                <w:sz w:val="20"/>
              </w:rPr>
            </w:pPr>
          </w:p>
        </w:tc>
        <w:tc>
          <w:tcPr>
            <w:tcW w:w="1080" w:type="dxa"/>
            <w:vAlign w:val="center"/>
          </w:tcPr>
          <w:p>
            <w:pPr>
              <w:jc w:val="center"/>
              <w:rPr>
                <w:noProof/>
                <w:sz w:val="22"/>
              </w:rPr>
            </w:pPr>
            <w:r>
              <w:rPr>
                <w:noProof/>
                <w:sz w:val="22"/>
              </w:rPr>
              <w:t xml:space="preserve">Nerozl. </w:t>
            </w:r>
          </w:p>
        </w:tc>
        <w:tc>
          <w:tcPr>
            <w:tcW w:w="956" w:type="dxa"/>
            <w:vAlign w:val="center"/>
          </w:tcPr>
          <w:p>
            <w:pPr>
              <w:jc w:val="center"/>
              <w:rPr>
                <w:noProof/>
              </w:rPr>
            </w:pPr>
            <w:r>
              <w:rPr>
                <w:noProof/>
                <w:sz w:val="22"/>
              </w:rPr>
              <w:t>NE</w:t>
            </w:r>
          </w:p>
        </w:tc>
        <w:tc>
          <w:tcPr>
            <w:tcW w:w="1080" w:type="dxa"/>
            <w:vAlign w:val="center"/>
          </w:tcPr>
          <w:p>
            <w:pPr>
              <w:jc w:val="center"/>
              <w:rPr>
                <w:noProof/>
                <w:color w:val="0000FF"/>
                <w:sz w:val="18"/>
              </w:rPr>
            </w:pPr>
            <w:r>
              <w:rPr>
                <w:noProof/>
                <w:sz w:val="22"/>
              </w:rPr>
              <w:t>NE</w:t>
            </w:r>
          </w:p>
        </w:tc>
        <w:tc>
          <w:tcPr>
            <w:tcW w:w="956" w:type="dxa"/>
            <w:vAlign w:val="center"/>
          </w:tcPr>
          <w:p>
            <w:pPr>
              <w:jc w:val="center"/>
              <w:rPr>
                <w:noProof/>
                <w:color w:val="0000FF"/>
                <w:sz w:val="18"/>
              </w:rPr>
            </w:pPr>
            <w:r>
              <w:rPr>
                <w:noProof/>
                <w:sz w:val="22"/>
              </w:rPr>
              <w:t>NE</w:t>
            </w:r>
          </w:p>
        </w:tc>
        <w:tc>
          <w:tcPr>
            <w:tcW w:w="1448" w:type="dxa"/>
            <w:vAlign w:val="center"/>
          </w:tcPr>
          <w:p>
            <w:pPr>
              <w:jc w:val="center"/>
              <w:rPr>
                <w:noProof/>
              </w:rPr>
            </w:pPr>
            <w:r>
              <w:rPr>
                <w:noProof/>
                <w:sz w:val="22"/>
              </w:rPr>
              <w:t>NE</w:t>
            </w:r>
          </w:p>
        </w:tc>
      </w:tr>
      <w:tr>
        <w:tc>
          <w:tcPr>
            <w:tcW w:w="1080" w:type="dxa"/>
            <w:vAlign w:val="center"/>
          </w:tcPr>
          <w:p>
            <w:pPr>
              <w:spacing w:before="60"/>
              <w:jc w:val="center"/>
              <w:rPr>
                <w:noProof/>
                <w:sz w:val="20"/>
              </w:rPr>
            </w:pPr>
            <w:r>
              <w:rPr>
                <w:noProof/>
                <w:sz w:val="20"/>
              </w:rPr>
              <w:t>4</w:t>
            </w:r>
          </w:p>
        </w:tc>
        <w:tc>
          <w:tcPr>
            <w:tcW w:w="3960" w:type="dxa"/>
            <w:vAlign w:val="center"/>
          </w:tcPr>
          <w:p>
            <w:pPr>
              <w:spacing w:before="60"/>
              <w:rPr>
                <w:noProof/>
                <w:sz w:val="20"/>
              </w:rPr>
            </w:pPr>
            <w:r>
              <w:rPr>
                <w:noProof/>
                <w:sz w:val="20"/>
              </w:rPr>
              <w:t>01 03 08 Poskytování prostředků pro záruční fond EFSD</w:t>
            </w:r>
          </w:p>
        </w:tc>
        <w:tc>
          <w:tcPr>
            <w:tcW w:w="1080" w:type="dxa"/>
            <w:vAlign w:val="center"/>
          </w:tcPr>
          <w:p>
            <w:pPr>
              <w:jc w:val="center"/>
              <w:rPr>
                <w:noProof/>
                <w:sz w:val="22"/>
              </w:rPr>
            </w:pPr>
            <w:r>
              <w:rPr>
                <w:noProof/>
                <w:sz w:val="22"/>
              </w:rPr>
              <w:t>Nerozl.</w:t>
            </w:r>
          </w:p>
        </w:tc>
        <w:tc>
          <w:tcPr>
            <w:tcW w:w="956" w:type="dxa"/>
            <w:vAlign w:val="center"/>
          </w:tcPr>
          <w:p>
            <w:pPr>
              <w:jc w:val="center"/>
              <w:rPr>
                <w:noProof/>
                <w:sz w:val="22"/>
              </w:rPr>
            </w:pPr>
            <w:r>
              <w:rPr>
                <w:noProof/>
                <w:sz w:val="22"/>
              </w:rPr>
              <w:t>ANO</w:t>
            </w:r>
          </w:p>
        </w:tc>
        <w:tc>
          <w:tcPr>
            <w:tcW w:w="1080" w:type="dxa"/>
            <w:vAlign w:val="center"/>
          </w:tcPr>
          <w:p>
            <w:pPr>
              <w:jc w:val="center"/>
              <w:rPr>
                <w:noProof/>
                <w:sz w:val="22"/>
              </w:rPr>
            </w:pPr>
            <w:r>
              <w:rPr>
                <w:noProof/>
                <w:sz w:val="22"/>
              </w:rPr>
              <w:t>ANO</w:t>
            </w:r>
          </w:p>
        </w:tc>
        <w:tc>
          <w:tcPr>
            <w:tcW w:w="956" w:type="dxa"/>
            <w:vAlign w:val="center"/>
          </w:tcPr>
          <w:p>
            <w:pPr>
              <w:jc w:val="center"/>
              <w:rPr>
                <w:noProof/>
                <w:sz w:val="22"/>
              </w:rPr>
            </w:pPr>
            <w:r>
              <w:rPr>
                <w:noProof/>
                <w:sz w:val="22"/>
              </w:rPr>
              <w:t>ANO</w:t>
            </w:r>
          </w:p>
        </w:tc>
        <w:tc>
          <w:tcPr>
            <w:tcW w:w="1448" w:type="dxa"/>
            <w:vAlign w:val="center"/>
          </w:tcPr>
          <w:p>
            <w:pPr>
              <w:jc w:val="center"/>
              <w:rPr>
                <w:noProof/>
                <w:sz w:val="22"/>
              </w:rPr>
            </w:pPr>
            <w:r>
              <w:rPr>
                <w:noProof/>
                <w:sz w:val="22"/>
              </w:rPr>
              <w:t>ANO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Odhadovaný dopad na výdaje </w:t>
      </w:r>
    </w:p>
    <w:p>
      <w:pPr>
        <w:pStyle w:val="ManualHeading3"/>
        <w:rPr>
          <w:noProof/>
          <w:u w:val="single"/>
        </w:rPr>
      </w:pPr>
      <w:r>
        <w:t>3.2.1.</w:t>
      </w:r>
      <w:r>
        <w:tab/>
      </w:r>
      <w:r>
        <w:rPr>
          <w:noProof/>
        </w:rPr>
        <w:t xml:space="preserve">Odhadovaný souhrnný dopad na výdaje </w:t>
      </w:r>
    </w:p>
    <w:p>
      <w:pPr>
        <w:jc w:val="right"/>
        <w:rPr>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Okruh víceletého finančního </w:t>
            </w:r>
            <w:r>
              <w:rPr>
                <w:noProof/>
                <w:sz w:val="22"/>
              </w:rPr>
              <w:br/>
            </w:r>
            <w:r>
              <w:rPr>
                <w:b/>
                <w:noProof/>
                <w:sz w:val="22"/>
              </w:rPr>
              <w:t xml:space="preserve">rámce </w:t>
            </w:r>
          </w:p>
        </w:tc>
        <w:tc>
          <w:tcPr>
            <w:tcW w:w="1080" w:type="dxa"/>
            <w:vAlign w:val="center"/>
          </w:tcPr>
          <w:p>
            <w:pPr>
              <w:spacing w:before="60" w:after="60"/>
              <w:jc w:val="center"/>
              <w:rPr>
                <w:noProof/>
              </w:rPr>
            </w:pPr>
            <w:r>
              <w:rPr>
                <w:noProof/>
                <w:sz w:val="22"/>
              </w:rPr>
              <w:t xml:space="preserve">Číslo </w:t>
            </w:r>
          </w:p>
        </w:tc>
        <w:tc>
          <w:tcPr>
            <w:tcW w:w="7817" w:type="dxa"/>
            <w:vAlign w:val="center"/>
          </w:tcPr>
          <w:p>
            <w:pPr>
              <w:spacing w:before="60" w:after="60"/>
              <w:rPr>
                <w:noProof/>
              </w:rPr>
            </w:pPr>
            <w:r>
              <w:rPr>
                <w:noProof/>
                <w:sz w:val="22"/>
              </w:rPr>
              <w:t>Okruh 4 EU ve světě</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26"/>
        <w:gridCol w:w="793"/>
        <w:gridCol w:w="868"/>
        <w:gridCol w:w="868"/>
        <w:gridCol w:w="868"/>
        <w:gridCol w:w="868"/>
        <w:gridCol w:w="868"/>
        <w:gridCol w:w="1777"/>
      </w:tblGrid>
      <w:tr>
        <w:tc>
          <w:tcPr>
            <w:tcW w:w="3960" w:type="dxa"/>
            <w:vAlign w:val="center"/>
          </w:tcPr>
          <w:p>
            <w:pPr>
              <w:jc w:val="center"/>
              <w:rPr>
                <w:noProof/>
              </w:rPr>
            </w:pPr>
            <w:r>
              <w:rPr>
                <w:noProof/>
                <w:sz w:val="22"/>
              </w:rPr>
              <w:t>GŘ: XX</w:t>
            </w:r>
          </w:p>
        </w:tc>
        <w:tc>
          <w:tcPr>
            <w:tcW w:w="1560" w:type="dxa"/>
            <w:gridSpan w:val="2"/>
          </w:tcPr>
          <w:p>
            <w:pPr>
              <w:rPr>
                <w:noProof/>
                <w:sz w:val="20"/>
              </w:rPr>
            </w:pPr>
          </w:p>
        </w:tc>
        <w:tc>
          <w:tcPr>
            <w:tcW w:w="534" w:type="dxa"/>
          </w:tcPr>
          <w:p>
            <w:pPr>
              <w:jc w:val="center"/>
              <w:rPr>
                <w:noProof/>
                <w:sz w:val="20"/>
              </w:rPr>
            </w:pPr>
          </w:p>
        </w:tc>
        <w:tc>
          <w:tcPr>
            <w:tcW w:w="1026" w:type="dxa"/>
            <w:vAlign w:val="center"/>
          </w:tcPr>
          <w:p>
            <w:pPr>
              <w:jc w:val="center"/>
              <w:rPr>
                <w:noProof/>
                <w:sz w:val="20"/>
              </w:rPr>
            </w:pPr>
            <w:r>
              <w:rPr>
                <w:noProof/>
                <w:sz w:val="20"/>
              </w:rPr>
              <w:t>Rok</w:t>
            </w:r>
            <w:r>
              <w:rPr>
                <w:noProof/>
                <w:sz w:val="22"/>
              </w:rPr>
              <w:br/>
            </w:r>
            <w:r>
              <w:rPr>
                <w:b/>
                <w:noProof/>
                <w:sz w:val="20"/>
              </w:rPr>
              <w:t>2017</w:t>
            </w:r>
            <w:r>
              <w:rPr>
                <w:rStyle w:val="FootnoteReference"/>
                <w:b/>
                <w:noProof/>
                <w:sz w:val="20"/>
              </w:rPr>
              <w:footnoteReference w:id="42"/>
            </w:r>
          </w:p>
        </w:tc>
        <w:tc>
          <w:tcPr>
            <w:tcW w:w="793"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2604" w:type="dxa"/>
            <w:gridSpan w:val="3"/>
            <w:vAlign w:val="center"/>
          </w:tcPr>
          <w:p>
            <w:pPr>
              <w:jc w:val="center"/>
              <w:rPr>
                <w:b/>
                <w:noProof/>
                <w:sz w:val="18"/>
              </w:rPr>
            </w:pPr>
            <w:r>
              <w:rPr>
                <w:noProof/>
                <w:sz w:val="18"/>
              </w:rPr>
              <w:t>Vložit počet let podle trvání finančního dopadu (viz bod 1.6)</w:t>
            </w:r>
          </w:p>
        </w:tc>
        <w:tc>
          <w:tcPr>
            <w:tcW w:w="1777" w:type="dxa"/>
            <w:vAlign w:val="center"/>
          </w:tcPr>
          <w:p>
            <w:pPr>
              <w:jc w:val="center"/>
              <w:rPr>
                <w:b/>
                <w:noProof/>
                <w:sz w:val="20"/>
              </w:rPr>
            </w:pPr>
            <w:r>
              <w:rPr>
                <w:b/>
                <w:noProof/>
                <w:sz w:val="20"/>
              </w:rPr>
              <w:t>CELKEM</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Operační prostředky </w:t>
            </w:r>
          </w:p>
        </w:tc>
        <w:tc>
          <w:tcPr>
            <w:tcW w:w="1026" w:type="dxa"/>
            <w:vAlign w:val="center"/>
          </w:tcPr>
          <w:p>
            <w:pPr>
              <w:rPr>
                <w:noProof/>
                <w:sz w:val="20"/>
              </w:rPr>
            </w:pPr>
          </w:p>
        </w:tc>
        <w:tc>
          <w:tcPr>
            <w:tcW w:w="793"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spacing w:before="60"/>
              <w:rPr>
                <w:noProof/>
                <w:sz w:val="22"/>
              </w:rPr>
            </w:pPr>
            <w:r>
              <w:rPr>
                <w:noProof/>
                <w:sz w:val="22"/>
              </w:rPr>
              <w:t xml:space="preserve">01 03 07 Záruka Evropské unie za Evropský fond pro udržitelný rozvoj (EFSD) </w:t>
            </w:r>
          </w:p>
          <w:p>
            <w:pPr>
              <w:rPr>
                <w:noProof/>
                <w:sz w:val="22"/>
              </w:rPr>
            </w:pPr>
          </w:p>
        </w:tc>
        <w:tc>
          <w:tcPr>
            <w:tcW w:w="1440" w:type="dxa"/>
            <w:vAlign w:val="center"/>
          </w:tcPr>
          <w:p>
            <w:pPr>
              <w:spacing w:before="20" w:after="20"/>
              <w:rPr>
                <w:noProof/>
                <w:sz w:val="22"/>
              </w:rPr>
            </w:pPr>
            <w:r>
              <w:rPr>
                <w:noProof/>
                <w:sz w:val="22"/>
              </w:rPr>
              <w:t>Závazky</w:t>
            </w:r>
          </w:p>
        </w:tc>
        <w:tc>
          <w:tcPr>
            <w:tcW w:w="654" w:type="dxa"/>
            <w:gridSpan w:val="2"/>
            <w:vAlign w:val="center"/>
          </w:tcPr>
          <w:p>
            <w:pPr>
              <w:spacing w:before="20" w:after="20"/>
              <w:jc w:val="center"/>
              <w:rPr>
                <w:noProof/>
                <w:sz w:val="22"/>
              </w:rPr>
            </w:pPr>
            <w:r>
              <w:rPr>
                <w:noProof/>
                <w:sz w:val="22"/>
              </w:rPr>
              <w:t>(1)</w:t>
            </w:r>
          </w:p>
        </w:tc>
        <w:tc>
          <w:tcPr>
            <w:tcW w:w="1026" w:type="dxa"/>
          </w:tcPr>
          <w:p>
            <w:pPr>
              <w:spacing w:before="20" w:after="20"/>
              <w:jc w:val="right"/>
              <w:rPr>
                <w:noProof/>
                <w:sz w:val="20"/>
              </w:rPr>
            </w:pPr>
            <w:r>
              <w:rPr>
                <w:noProof/>
                <w:sz w:val="20"/>
              </w:rPr>
              <w:t>p.m.</w:t>
            </w:r>
          </w:p>
        </w:tc>
        <w:tc>
          <w:tcPr>
            <w:tcW w:w="793"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p.m.</w:t>
            </w:r>
          </w:p>
        </w:tc>
      </w:tr>
      <w:tr>
        <w:tc>
          <w:tcPr>
            <w:tcW w:w="3960" w:type="dxa"/>
            <w:vMerge/>
            <w:vAlign w:val="center"/>
          </w:tcPr>
          <w:p>
            <w:pPr>
              <w:jc w:val="center"/>
              <w:rPr>
                <w:noProof/>
                <w:sz w:val="22"/>
              </w:rPr>
            </w:pPr>
          </w:p>
        </w:tc>
        <w:tc>
          <w:tcPr>
            <w:tcW w:w="1440" w:type="dxa"/>
            <w:vAlign w:val="center"/>
          </w:tcPr>
          <w:p>
            <w:pPr>
              <w:spacing w:before="20" w:after="20"/>
              <w:rPr>
                <w:noProof/>
                <w:sz w:val="22"/>
              </w:rPr>
            </w:pPr>
            <w:r>
              <w:rPr>
                <w:noProof/>
                <w:sz w:val="22"/>
              </w:rPr>
              <w:t>Platby</w:t>
            </w:r>
          </w:p>
        </w:tc>
        <w:tc>
          <w:tcPr>
            <w:tcW w:w="654" w:type="dxa"/>
            <w:gridSpan w:val="2"/>
            <w:vAlign w:val="center"/>
          </w:tcPr>
          <w:p>
            <w:pPr>
              <w:spacing w:before="20" w:after="20"/>
              <w:jc w:val="center"/>
              <w:rPr>
                <w:noProof/>
                <w:sz w:val="22"/>
              </w:rPr>
            </w:pPr>
            <w:r>
              <w:rPr>
                <w:noProof/>
                <w:sz w:val="22"/>
              </w:rPr>
              <w:t>(2)</w:t>
            </w:r>
          </w:p>
        </w:tc>
        <w:tc>
          <w:tcPr>
            <w:tcW w:w="1026" w:type="dxa"/>
          </w:tcPr>
          <w:p>
            <w:pPr>
              <w:spacing w:before="20" w:after="20"/>
              <w:jc w:val="right"/>
              <w:rPr>
                <w:noProof/>
                <w:sz w:val="20"/>
              </w:rPr>
            </w:pPr>
            <w:r>
              <w:rPr>
                <w:noProof/>
                <w:sz w:val="20"/>
              </w:rPr>
              <w:t>p.m.</w:t>
            </w:r>
          </w:p>
        </w:tc>
        <w:tc>
          <w:tcPr>
            <w:tcW w:w="793"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p.m.</w:t>
            </w:r>
          </w:p>
        </w:tc>
      </w:tr>
      <w:tr>
        <w:tc>
          <w:tcPr>
            <w:tcW w:w="3960" w:type="dxa"/>
            <w:vMerge w:val="restart"/>
            <w:vAlign w:val="center"/>
          </w:tcPr>
          <w:p>
            <w:pPr>
              <w:spacing w:before="60"/>
              <w:rPr>
                <w:noProof/>
                <w:sz w:val="22"/>
              </w:rPr>
            </w:pPr>
            <w:r>
              <w:rPr>
                <w:noProof/>
                <w:sz w:val="22"/>
              </w:rPr>
              <w:t xml:space="preserve">01 03 08 Poskytování prostředků pro záruční fond EFSD </w:t>
            </w:r>
          </w:p>
          <w:p>
            <w:pPr>
              <w:rPr>
                <w:noProof/>
                <w:sz w:val="22"/>
              </w:rPr>
            </w:pPr>
          </w:p>
        </w:tc>
        <w:tc>
          <w:tcPr>
            <w:tcW w:w="1440" w:type="dxa"/>
            <w:vAlign w:val="center"/>
          </w:tcPr>
          <w:p>
            <w:pPr>
              <w:spacing w:before="20" w:after="20"/>
              <w:rPr>
                <w:noProof/>
                <w:sz w:val="22"/>
              </w:rPr>
            </w:pPr>
            <w:r>
              <w:rPr>
                <w:noProof/>
                <w:sz w:val="22"/>
              </w:rPr>
              <w:t>Závazky</w:t>
            </w:r>
          </w:p>
        </w:tc>
        <w:tc>
          <w:tcPr>
            <w:tcW w:w="654" w:type="dxa"/>
            <w:gridSpan w:val="2"/>
            <w:vAlign w:val="center"/>
          </w:tcPr>
          <w:p>
            <w:pPr>
              <w:spacing w:before="20" w:after="20"/>
              <w:jc w:val="center"/>
              <w:rPr>
                <w:noProof/>
                <w:sz w:val="22"/>
              </w:rPr>
            </w:pPr>
            <w:r>
              <w:rPr>
                <w:noProof/>
                <w:sz w:val="22"/>
              </w:rPr>
              <w:t>(1a)</w:t>
            </w:r>
          </w:p>
        </w:tc>
        <w:tc>
          <w:tcPr>
            <w:tcW w:w="1026" w:type="dxa"/>
          </w:tcPr>
          <w:p>
            <w:pPr>
              <w:spacing w:before="20" w:after="20"/>
              <w:jc w:val="right"/>
              <w:rPr>
                <w:noProof/>
                <w:sz w:val="20"/>
              </w:rPr>
            </w:pPr>
            <w:r>
              <w:rPr>
                <w:noProof/>
                <w:sz w:val="20"/>
              </w:rPr>
              <w:t>275,000</w:t>
            </w:r>
          </w:p>
        </w:tc>
        <w:tc>
          <w:tcPr>
            <w:tcW w:w="793"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sz w:val="20"/>
              </w:rPr>
            </w:pPr>
            <w:r>
              <w:rPr>
                <w:noProof/>
                <w:sz w:val="20"/>
              </w:rPr>
              <w:t xml:space="preserve">p.m. </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r>
        <w:tc>
          <w:tcPr>
            <w:tcW w:w="3960" w:type="dxa"/>
            <w:vMerge/>
          </w:tcPr>
          <w:p>
            <w:pPr>
              <w:jc w:val="center"/>
              <w:rPr>
                <w:noProof/>
                <w:sz w:val="22"/>
              </w:rPr>
            </w:pPr>
          </w:p>
        </w:tc>
        <w:tc>
          <w:tcPr>
            <w:tcW w:w="1440" w:type="dxa"/>
            <w:vAlign w:val="center"/>
          </w:tcPr>
          <w:p>
            <w:pPr>
              <w:spacing w:before="20" w:after="20"/>
              <w:rPr>
                <w:noProof/>
                <w:sz w:val="22"/>
              </w:rPr>
            </w:pPr>
            <w:r>
              <w:rPr>
                <w:noProof/>
                <w:sz w:val="22"/>
              </w:rPr>
              <w:t>Platby</w:t>
            </w:r>
          </w:p>
        </w:tc>
        <w:tc>
          <w:tcPr>
            <w:tcW w:w="654" w:type="dxa"/>
            <w:gridSpan w:val="2"/>
            <w:vAlign w:val="center"/>
          </w:tcPr>
          <w:p>
            <w:pPr>
              <w:spacing w:before="20" w:after="20"/>
              <w:jc w:val="center"/>
              <w:rPr>
                <w:noProof/>
                <w:sz w:val="22"/>
              </w:rPr>
            </w:pPr>
            <w:r>
              <w:rPr>
                <w:noProof/>
                <w:sz w:val="22"/>
              </w:rPr>
              <w:t>(2a)</w:t>
            </w:r>
          </w:p>
        </w:tc>
        <w:tc>
          <w:tcPr>
            <w:tcW w:w="1026" w:type="dxa"/>
          </w:tcPr>
          <w:p>
            <w:pPr>
              <w:spacing w:before="20" w:after="20"/>
              <w:jc w:val="right"/>
              <w:rPr>
                <w:noProof/>
                <w:sz w:val="20"/>
              </w:rPr>
            </w:pPr>
            <w:r>
              <w:rPr>
                <w:noProof/>
                <w:sz w:val="20"/>
              </w:rPr>
              <w:t>275,000</w:t>
            </w:r>
          </w:p>
        </w:tc>
        <w:tc>
          <w:tcPr>
            <w:tcW w:w="793"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r>
        <w:trPr>
          <w:trHeight w:val="231"/>
        </w:trPr>
        <w:tc>
          <w:tcPr>
            <w:tcW w:w="6054" w:type="dxa"/>
            <w:gridSpan w:val="4"/>
            <w:vAlign w:val="center"/>
          </w:tcPr>
          <w:p>
            <w:pPr>
              <w:spacing w:before="20" w:after="20"/>
              <w:rPr>
                <w:noProof/>
                <w:sz w:val="22"/>
              </w:rPr>
            </w:pPr>
            <w:r>
              <w:rPr>
                <w:noProof/>
                <w:sz w:val="22"/>
              </w:rPr>
              <w:t>Prostředky správní povahy financované z rámce na zvláštní programy</w:t>
            </w:r>
            <w:r>
              <w:rPr>
                <w:rStyle w:val="FootnoteReference"/>
                <w:noProof/>
                <w:sz w:val="22"/>
              </w:rPr>
              <w:footnoteReference w:id="43"/>
            </w:r>
            <w:r>
              <w:rPr>
                <w:noProof/>
                <w:sz w:val="22"/>
              </w:rPr>
              <w:t xml:space="preserve"> </w:t>
            </w:r>
          </w:p>
          <w:p>
            <w:pPr>
              <w:spacing w:before="0" w:after="0"/>
              <w:rPr>
                <w:noProof/>
                <w:sz w:val="22"/>
              </w:rPr>
            </w:pPr>
          </w:p>
        </w:tc>
        <w:tc>
          <w:tcPr>
            <w:tcW w:w="1026" w:type="dxa"/>
            <w:vAlign w:val="center"/>
          </w:tcPr>
          <w:p>
            <w:pPr>
              <w:rPr>
                <w:b/>
                <w:noProof/>
                <w:sz w:val="20"/>
              </w:rPr>
            </w:pPr>
          </w:p>
        </w:tc>
        <w:tc>
          <w:tcPr>
            <w:tcW w:w="793"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26" w:type="dxa"/>
            <w:vAlign w:val="center"/>
          </w:tcPr>
          <w:p>
            <w:pPr>
              <w:spacing w:before="40" w:after="40"/>
              <w:jc w:val="right"/>
              <w:rPr>
                <w:b/>
                <w:noProof/>
                <w:sz w:val="20"/>
              </w:rPr>
            </w:pPr>
            <w:r>
              <w:rPr>
                <w:b/>
                <w:noProof/>
                <w:sz w:val="20"/>
              </w:rPr>
              <w:t>0</w:t>
            </w:r>
          </w:p>
        </w:tc>
        <w:tc>
          <w:tcPr>
            <w:tcW w:w="793"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1777" w:type="dxa"/>
            <w:vAlign w:val="center"/>
          </w:tcPr>
          <w:p>
            <w:pPr>
              <w:spacing w:before="40" w:after="40"/>
              <w:jc w:val="right"/>
              <w:rPr>
                <w:b/>
                <w:noProof/>
                <w:sz w:val="20"/>
              </w:rPr>
            </w:pPr>
            <w:r>
              <w:rPr>
                <w:b/>
                <w:noProof/>
                <w:sz w:val="20"/>
              </w:rPr>
              <w:t>0</w:t>
            </w:r>
          </w:p>
        </w:tc>
      </w:tr>
      <w:tr>
        <w:tc>
          <w:tcPr>
            <w:tcW w:w="3960" w:type="dxa"/>
            <w:vMerge w:val="restart"/>
            <w:vAlign w:val="center"/>
          </w:tcPr>
          <w:p>
            <w:pPr>
              <w:jc w:val="center"/>
              <w:rPr>
                <w:b/>
                <w:noProof/>
              </w:rPr>
            </w:pPr>
            <w:r>
              <w:rPr>
                <w:b/>
                <w:noProof/>
              </w:rPr>
              <w:t>CELKEM prostředky</w:t>
            </w:r>
            <w:r>
              <w:rPr>
                <w:noProof/>
                <w:sz w:val="22"/>
              </w:rPr>
              <w:br/>
            </w:r>
            <w:r>
              <w:rPr>
                <w:b/>
                <w:noProof/>
                <w:sz w:val="22"/>
              </w:rPr>
              <w:t xml:space="preserve">na GŘ </w:t>
            </w:r>
            <w:r>
              <w:rPr>
                <w:noProof/>
                <w:sz w:val="22"/>
              </w:rPr>
              <w:t xml:space="preserve">XX </w:t>
            </w:r>
          </w:p>
        </w:tc>
        <w:tc>
          <w:tcPr>
            <w:tcW w:w="1440" w:type="dxa"/>
            <w:vAlign w:val="center"/>
          </w:tcPr>
          <w:p>
            <w:pPr>
              <w:rPr>
                <w:noProof/>
                <w:sz w:val="18"/>
              </w:rPr>
            </w:pPr>
            <w:r>
              <w:rPr>
                <w:noProof/>
                <w:sz w:val="18"/>
              </w:rPr>
              <w:t>Závazky</w:t>
            </w:r>
          </w:p>
        </w:tc>
        <w:tc>
          <w:tcPr>
            <w:tcW w:w="654" w:type="dxa"/>
            <w:gridSpan w:val="2"/>
            <w:vAlign w:val="center"/>
          </w:tcPr>
          <w:p>
            <w:pPr>
              <w:jc w:val="center"/>
              <w:rPr>
                <w:noProof/>
                <w:sz w:val="14"/>
              </w:rPr>
            </w:pPr>
            <w:r>
              <w:rPr>
                <w:noProof/>
                <w:sz w:val="14"/>
              </w:rPr>
              <w:t>=1+1a +3</w:t>
            </w:r>
          </w:p>
        </w:tc>
        <w:tc>
          <w:tcPr>
            <w:tcW w:w="1026" w:type="dxa"/>
          </w:tcPr>
          <w:p>
            <w:pPr>
              <w:spacing w:before="20" w:after="20"/>
              <w:jc w:val="right"/>
              <w:rPr>
                <w:noProof/>
                <w:sz w:val="20"/>
              </w:rPr>
            </w:pPr>
            <w:r>
              <w:rPr>
                <w:noProof/>
                <w:sz w:val="20"/>
              </w:rPr>
              <w:t>275,000</w:t>
            </w:r>
          </w:p>
        </w:tc>
        <w:tc>
          <w:tcPr>
            <w:tcW w:w="793"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350,000</w:t>
            </w: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1026" w:type="dxa"/>
          </w:tcPr>
          <w:p>
            <w:pPr>
              <w:spacing w:before="20" w:after="20"/>
              <w:jc w:val="right"/>
              <w:rPr>
                <w:noProof/>
                <w:sz w:val="20"/>
              </w:rPr>
            </w:pPr>
            <w:r>
              <w:rPr>
                <w:noProof/>
                <w:sz w:val="20"/>
              </w:rPr>
              <w:t>275,000</w:t>
            </w:r>
          </w:p>
        </w:tc>
        <w:tc>
          <w:tcPr>
            <w:tcW w:w="793"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sz w:val="20"/>
              </w:rPr>
            </w:pPr>
            <w:r>
              <w:rPr>
                <w:noProof/>
                <w:sz w:val="20"/>
              </w:rPr>
              <w:t xml:space="preserve">p.m. </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Operační prostředky CELKEM </w:t>
            </w:r>
          </w:p>
        </w:tc>
        <w:tc>
          <w:tcPr>
            <w:tcW w:w="1440" w:type="dxa"/>
            <w:vAlign w:val="center"/>
          </w:tcPr>
          <w:p>
            <w:pPr>
              <w:spacing w:beforeLines="20" w:before="48" w:afterLines="20" w:after="48"/>
              <w:rPr>
                <w:noProof/>
                <w:sz w:val="18"/>
              </w:rPr>
            </w:pPr>
            <w:r>
              <w:rPr>
                <w:noProof/>
                <w:sz w:val="18"/>
              </w:rPr>
              <w:t>Závazky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Prostředky správní povahy financované z rámce na zvláštní programy CELKEM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CELKEM prostředky </w:t>
            </w:r>
            <w:r>
              <w:rPr>
                <w:noProof/>
                <w:sz w:val="22"/>
              </w:rPr>
              <w:br/>
            </w:r>
            <w:r>
              <w:rPr>
                <w:b/>
                <w:noProof/>
                <w:sz w:val="22"/>
              </w:rPr>
              <w:t>v rámci OKRUHU &lt;4&gt;</w:t>
            </w:r>
            <w:r>
              <w:rPr>
                <w:noProof/>
                <w:sz w:val="22"/>
              </w:rPr>
              <w:br/>
              <w:t>víceletého finančního rámce</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r>
              <w:rPr>
                <w:noProof/>
                <w:sz w:val="14"/>
              </w:rPr>
              <w:t>=4+ 6</w:t>
            </w:r>
          </w:p>
        </w:tc>
        <w:tc>
          <w:tcPr>
            <w:tcW w:w="868" w:type="dxa"/>
          </w:tcPr>
          <w:p>
            <w:pPr>
              <w:spacing w:before="20" w:after="20"/>
              <w:jc w:val="right"/>
              <w:rPr>
                <w:noProof/>
                <w:sz w:val="20"/>
              </w:rPr>
            </w:pPr>
            <w:r>
              <w:rPr>
                <w:noProof/>
                <w:sz w:val="20"/>
              </w:rPr>
              <w:t xml:space="preserve">275,000 </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 xml:space="preserve">p.m. </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=5+ 6</w:t>
            </w:r>
          </w:p>
        </w:tc>
        <w:tc>
          <w:tcPr>
            <w:tcW w:w="868" w:type="dxa"/>
          </w:tcPr>
          <w:p>
            <w:pPr>
              <w:spacing w:before="20" w:after="20"/>
              <w:jc w:val="right"/>
              <w:rPr>
                <w:noProof/>
                <w:sz w:val="20"/>
              </w:rPr>
            </w:pPr>
            <w:r>
              <w:rPr>
                <w:noProof/>
                <w:sz w:val="20"/>
              </w:rPr>
              <w:t>275,000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bl>
    <w:p>
      <w:pPr>
        <w:spacing w:after="40"/>
        <w:rPr>
          <w:b/>
          <w:noProof/>
          <w:sz w:val="22"/>
          <w:u w:val="single"/>
        </w:rPr>
      </w:pPr>
      <w:r>
        <w:rPr>
          <w:b/>
          <w:noProof/>
          <w:sz w:val="22"/>
          <w:u w:val="single"/>
        </w:rPr>
        <w:t>Má-li návrh/podnět dopad na více okruhů:</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Operační prostředky CELKEM </w:t>
            </w:r>
          </w:p>
        </w:tc>
        <w:tc>
          <w:tcPr>
            <w:tcW w:w="1440" w:type="dxa"/>
            <w:tcBorders>
              <w:top w:val="single" w:sz="4" w:space="0" w:color="FF0000"/>
            </w:tcBorders>
            <w:vAlign w:val="center"/>
          </w:tcPr>
          <w:p>
            <w:pPr>
              <w:spacing w:beforeLines="20" w:before="48" w:afterLines="20" w:after="48"/>
              <w:rPr>
                <w:noProof/>
                <w:sz w:val="18"/>
              </w:rPr>
            </w:pPr>
            <w:r>
              <w:rPr>
                <w:noProof/>
                <w:sz w:val="18"/>
              </w:rPr>
              <w:t>Závazky</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Prostředky správní povahy financované z rámce na zvláštní programy CELKEM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CELKEM prostředky </w:t>
            </w:r>
            <w:r>
              <w:rPr>
                <w:noProof/>
                <w:sz w:val="22"/>
              </w:rPr>
              <w:br/>
            </w:r>
            <w:r>
              <w:rPr>
                <w:b/>
                <w:noProof/>
                <w:sz w:val="22"/>
              </w:rPr>
              <w:t>v rámci OKRUHŮ 1 až 4</w:t>
            </w:r>
            <w:r>
              <w:rPr>
                <w:noProof/>
                <w:sz w:val="22"/>
              </w:rPr>
              <w:br/>
              <w:t>víceletého finančního rámce</w:t>
            </w:r>
            <w:r>
              <w:rPr>
                <w:noProof/>
                <w:sz w:val="22"/>
              </w:rPr>
              <w:br/>
            </w:r>
            <w:r>
              <w:rPr>
                <w:noProof/>
                <w:sz w:val="20"/>
              </w:rPr>
              <w:t>(referenční částka)</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Platby</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Okruh víceletého finančního </w:t>
            </w:r>
            <w:r>
              <w:rPr>
                <w:noProof/>
                <w:sz w:val="22"/>
              </w:rPr>
              <w:br/>
            </w:r>
            <w:r>
              <w:rPr>
                <w:b/>
                <w:noProof/>
                <w:sz w:val="22"/>
              </w:rPr>
              <w:t xml:space="preserve">rámce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 xml:space="preserve">„Správní výdaje“ </w:t>
            </w:r>
          </w:p>
        </w:tc>
      </w:tr>
    </w:tbl>
    <w:p>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992"/>
        <w:gridCol w:w="993"/>
        <w:gridCol w:w="850"/>
        <w:gridCol w:w="1134"/>
        <w:gridCol w:w="709"/>
        <w:gridCol w:w="709"/>
        <w:gridCol w:w="1214"/>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1252" w:type="dxa"/>
            <w:vAlign w:val="center"/>
          </w:tcPr>
          <w:p>
            <w:pPr>
              <w:jc w:val="center"/>
              <w:rPr>
                <w:noProof/>
                <w:sz w:val="20"/>
              </w:rPr>
            </w:pPr>
            <w:r>
              <w:rPr>
                <w:noProof/>
                <w:sz w:val="20"/>
              </w:rPr>
              <w:t>Rok</w:t>
            </w:r>
            <w:r>
              <w:rPr>
                <w:noProof/>
                <w:sz w:val="22"/>
              </w:rPr>
              <w:br/>
            </w:r>
            <w:r>
              <w:rPr>
                <w:b/>
                <w:noProof/>
                <w:sz w:val="20"/>
              </w:rPr>
              <w:t>2017</w:t>
            </w:r>
          </w:p>
        </w:tc>
        <w:tc>
          <w:tcPr>
            <w:tcW w:w="992" w:type="dxa"/>
            <w:vAlign w:val="center"/>
          </w:tcPr>
          <w:p>
            <w:pPr>
              <w:jc w:val="center"/>
              <w:rPr>
                <w:noProof/>
                <w:sz w:val="20"/>
              </w:rPr>
            </w:pPr>
            <w:r>
              <w:rPr>
                <w:noProof/>
                <w:sz w:val="20"/>
              </w:rPr>
              <w:t>Rok</w:t>
            </w:r>
            <w:r>
              <w:rPr>
                <w:noProof/>
                <w:sz w:val="22"/>
              </w:rPr>
              <w:br/>
            </w:r>
            <w:r>
              <w:rPr>
                <w:b/>
                <w:noProof/>
                <w:sz w:val="20"/>
              </w:rPr>
              <w:t>2018</w:t>
            </w:r>
          </w:p>
        </w:tc>
        <w:tc>
          <w:tcPr>
            <w:tcW w:w="993" w:type="dxa"/>
            <w:vAlign w:val="center"/>
          </w:tcPr>
          <w:p>
            <w:pPr>
              <w:jc w:val="center"/>
              <w:rPr>
                <w:noProof/>
                <w:sz w:val="20"/>
              </w:rPr>
            </w:pPr>
            <w:r>
              <w:rPr>
                <w:noProof/>
                <w:sz w:val="20"/>
              </w:rPr>
              <w:t>Rok</w:t>
            </w:r>
            <w:r>
              <w:rPr>
                <w:noProof/>
                <w:sz w:val="22"/>
              </w:rPr>
              <w:br/>
            </w:r>
            <w:r>
              <w:rPr>
                <w:b/>
                <w:noProof/>
                <w:sz w:val="20"/>
              </w:rPr>
              <w:t>2019</w:t>
            </w:r>
          </w:p>
        </w:tc>
        <w:tc>
          <w:tcPr>
            <w:tcW w:w="850" w:type="dxa"/>
            <w:vAlign w:val="center"/>
          </w:tcPr>
          <w:p>
            <w:pPr>
              <w:jc w:val="center"/>
              <w:rPr>
                <w:noProof/>
                <w:sz w:val="20"/>
              </w:rPr>
            </w:pPr>
            <w:r>
              <w:rPr>
                <w:noProof/>
                <w:sz w:val="20"/>
              </w:rPr>
              <w:t>Rok</w:t>
            </w:r>
            <w:r>
              <w:rPr>
                <w:noProof/>
                <w:sz w:val="22"/>
              </w:rPr>
              <w:br/>
            </w:r>
            <w:r>
              <w:rPr>
                <w:b/>
                <w:noProof/>
                <w:sz w:val="20"/>
              </w:rPr>
              <w:t>2020</w:t>
            </w:r>
          </w:p>
        </w:tc>
        <w:tc>
          <w:tcPr>
            <w:tcW w:w="2552" w:type="dxa"/>
            <w:gridSpan w:val="3"/>
            <w:vAlign w:val="center"/>
          </w:tcPr>
          <w:p>
            <w:pPr>
              <w:jc w:val="center"/>
              <w:rPr>
                <w:b/>
                <w:noProof/>
                <w:sz w:val="18"/>
              </w:rPr>
            </w:pPr>
            <w:r>
              <w:rPr>
                <w:noProof/>
                <w:sz w:val="18"/>
              </w:rPr>
              <w:t xml:space="preserve">Vložit počet let podle trvání finančního dopadu (viz bod 1.6) </w:t>
            </w:r>
          </w:p>
        </w:tc>
        <w:tc>
          <w:tcPr>
            <w:tcW w:w="1214" w:type="dxa"/>
            <w:vAlign w:val="center"/>
          </w:tcPr>
          <w:p>
            <w:pPr>
              <w:jc w:val="center"/>
              <w:rPr>
                <w:b/>
                <w:noProof/>
                <w:sz w:val="20"/>
              </w:rPr>
            </w:pPr>
            <w:r>
              <w:rPr>
                <w:b/>
                <w:noProof/>
                <w:sz w:val="20"/>
              </w:rPr>
              <w:t>CELKEM</w:t>
            </w:r>
          </w:p>
        </w:tc>
      </w:tr>
      <w:tr>
        <w:trPr>
          <w:gridAfter w:val="10"/>
          <w:wAfter w:w="9947" w:type="dxa"/>
        </w:trPr>
        <w:tc>
          <w:tcPr>
            <w:tcW w:w="3960" w:type="dxa"/>
            <w:vAlign w:val="center"/>
          </w:tcPr>
          <w:p>
            <w:pPr>
              <w:spacing w:before="60" w:after="60"/>
              <w:jc w:val="center"/>
              <w:rPr>
                <w:noProof/>
              </w:rPr>
            </w:pPr>
            <w:r>
              <w:rPr>
                <w:noProof/>
                <w:sz w:val="22"/>
              </w:rPr>
              <w:t>GŘ: XX</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Lidské zdroje</w:t>
            </w:r>
          </w:p>
        </w:tc>
        <w:tc>
          <w:tcPr>
            <w:tcW w:w="1252" w:type="dxa"/>
            <w:vAlign w:val="center"/>
          </w:tcPr>
          <w:p>
            <w:pPr>
              <w:spacing w:before="20" w:after="20"/>
              <w:jc w:val="right"/>
              <w:rPr>
                <w:noProof/>
                <w:sz w:val="20"/>
              </w:rPr>
            </w:pPr>
            <w:r>
              <w:rPr>
                <w:noProof/>
                <w:sz w:val="20"/>
              </w:rPr>
              <w:t>3.264 (0,134*16+</w:t>
            </w:r>
          </w:p>
          <w:p>
            <w:pPr>
              <w:spacing w:before="20" w:after="20"/>
              <w:jc w:val="right"/>
              <w:rPr>
                <w:noProof/>
                <w:sz w:val="20"/>
              </w:rPr>
            </w:pPr>
            <w:r>
              <w:rPr>
                <w:noProof/>
                <w:sz w:val="20"/>
              </w:rPr>
              <w:t>0,07*16)</w:t>
            </w:r>
          </w:p>
        </w:tc>
        <w:tc>
          <w:tcPr>
            <w:tcW w:w="992" w:type="dxa"/>
            <w:vAlign w:val="center"/>
          </w:tcPr>
          <w:p>
            <w:pPr>
              <w:spacing w:before="20" w:after="20"/>
              <w:jc w:val="right"/>
              <w:rPr>
                <w:noProof/>
                <w:sz w:val="20"/>
              </w:rPr>
            </w:pPr>
            <w:r>
              <w:rPr>
                <w:noProof/>
                <w:sz w:val="20"/>
              </w:rPr>
              <w:t>3,264</w:t>
            </w:r>
          </w:p>
        </w:tc>
        <w:tc>
          <w:tcPr>
            <w:tcW w:w="993" w:type="dxa"/>
            <w:vAlign w:val="center"/>
          </w:tcPr>
          <w:p>
            <w:pPr>
              <w:spacing w:before="20" w:after="20"/>
              <w:jc w:val="right"/>
              <w:rPr>
                <w:noProof/>
                <w:sz w:val="20"/>
              </w:rPr>
            </w:pPr>
            <w:r>
              <w:rPr>
                <w:noProof/>
                <w:sz w:val="20"/>
              </w:rPr>
              <w:t>3,264</w:t>
            </w:r>
          </w:p>
        </w:tc>
        <w:tc>
          <w:tcPr>
            <w:tcW w:w="850" w:type="dxa"/>
            <w:vAlign w:val="center"/>
          </w:tcPr>
          <w:p>
            <w:pPr>
              <w:spacing w:before="20" w:after="20"/>
              <w:jc w:val="right"/>
              <w:rPr>
                <w:noProof/>
                <w:sz w:val="20"/>
              </w:rPr>
            </w:pPr>
            <w:r>
              <w:rPr>
                <w:noProof/>
                <w:sz w:val="20"/>
              </w:rPr>
              <w:t>3,264</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13,056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Ostatní správní výdaje </w:t>
            </w:r>
          </w:p>
        </w:tc>
        <w:tc>
          <w:tcPr>
            <w:tcW w:w="1252" w:type="dxa"/>
            <w:vAlign w:val="center"/>
          </w:tcPr>
          <w:p>
            <w:pPr>
              <w:spacing w:before="20" w:after="20"/>
              <w:jc w:val="right"/>
              <w:rPr>
                <w:noProof/>
                <w:sz w:val="20"/>
              </w:rPr>
            </w:pPr>
            <w:r>
              <w:rPr>
                <w:noProof/>
                <w:sz w:val="20"/>
              </w:rPr>
              <w:t>0,5</w:t>
            </w:r>
          </w:p>
        </w:tc>
        <w:tc>
          <w:tcPr>
            <w:tcW w:w="992" w:type="dxa"/>
            <w:vAlign w:val="center"/>
          </w:tcPr>
          <w:p>
            <w:pPr>
              <w:spacing w:before="20" w:after="20"/>
              <w:jc w:val="right"/>
              <w:rPr>
                <w:noProof/>
                <w:sz w:val="20"/>
              </w:rPr>
            </w:pPr>
            <w:r>
              <w:rPr>
                <w:noProof/>
                <w:sz w:val="20"/>
              </w:rPr>
              <w:t>0,5</w:t>
            </w:r>
          </w:p>
        </w:tc>
        <w:tc>
          <w:tcPr>
            <w:tcW w:w="993" w:type="dxa"/>
            <w:vAlign w:val="center"/>
          </w:tcPr>
          <w:p>
            <w:pPr>
              <w:spacing w:before="20" w:after="20"/>
              <w:jc w:val="right"/>
              <w:rPr>
                <w:noProof/>
                <w:sz w:val="20"/>
              </w:rPr>
            </w:pPr>
            <w:r>
              <w:rPr>
                <w:noProof/>
                <w:sz w:val="20"/>
              </w:rPr>
              <w:t>0,5</w:t>
            </w:r>
          </w:p>
        </w:tc>
        <w:tc>
          <w:tcPr>
            <w:tcW w:w="850" w:type="dxa"/>
            <w:vAlign w:val="center"/>
          </w:tcPr>
          <w:p>
            <w:pPr>
              <w:spacing w:before="20" w:after="20"/>
              <w:jc w:val="right"/>
              <w:rPr>
                <w:noProof/>
                <w:sz w:val="20"/>
              </w:rPr>
            </w:pPr>
            <w:r>
              <w:rPr>
                <w:noProof/>
                <w:sz w:val="20"/>
              </w:rPr>
              <w:t>0,5</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2,000</w:t>
            </w:r>
          </w:p>
        </w:tc>
      </w:tr>
      <w:tr>
        <w:tc>
          <w:tcPr>
            <w:tcW w:w="3960" w:type="dxa"/>
            <w:vAlign w:val="center"/>
          </w:tcPr>
          <w:p>
            <w:pPr>
              <w:jc w:val="center"/>
              <w:rPr>
                <w:b/>
                <w:noProof/>
              </w:rPr>
            </w:pPr>
            <w:r>
              <w:rPr>
                <w:b/>
                <w:noProof/>
                <w:sz w:val="22"/>
              </w:rPr>
              <w:t xml:space="preserve">CELKEM GŘ </w:t>
            </w:r>
            <w:r>
              <w:rPr>
                <w:noProof/>
              </w:rPr>
              <w:t>XX</w:t>
            </w:r>
          </w:p>
        </w:tc>
        <w:tc>
          <w:tcPr>
            <w:tcW w:w="2094" w:type="dxa"/>
            <w:gridSpan w:val="2"/>
            <w:vAlign w:val="center"/>
          </w:tcPr>
          <w:p>
            <w:pPr>
              <w:rPr>
                <w:noProof/>
                <w:sz w:val="14"/>
              </w:rPr>
            </w:pPr>
            <w:r>
              <w:rPr>
                <w:noProof/>
                <w:sz w:val="18"/>
              </w:rPr>
              <w:t xml:space="preserve">Prostředky </w:t>
            </w:r>
          </w:p>
        </w:tc>
        <w:tc>
          <w:tcPr>
            <w:tcW w:w="1252" w:type="dxa"/>
            <w:vAlign w:val="center"/>
          </w:tcPr>
          <w:p>
            <w:pPr>
              <w:spacing w:before="60" w:after="60"/>
              <w:jc w:val="right"/>
              <w:rPr>
                <w:noProof/>
                <w:sz w:val="20"/>
              </w:rPr>
            </w:pPr>
            <w:r>
              <w:rPr>
                <w:noProof/>
                <w:sz w:val="20"/>
              </w:rPr>
              <w:t>3,764</w:t>
            </w:r>
          </w:p>
        </w:tc>
        <w:tc>
          <w:tcPr>
            <w:tcW w:w="992" w:type="dxa"/>
            <w:vAlign w:val="center"/>
          </w:tcPr>
          <w:p>
            <w:pPr>
              <w:spacing w:before="20" w:after="20"/>
              <w:jc w:val="right"/>
              <w:rPr>
                <w:noProof/>
                <w:sz w:val="20"/>
              </w:rPr>
            </w:pPr>
            <w:r>
              <w:rPr>
                <w:noProof/>
                <w:sz w:val="20"/>
              </w:rPr>
              <w:t>3,764</w:t>
            </w:r>
          </w:p>
        </w:tc>
        <w:tc>
          <w:tcPr>
            <w:tcW w:w="993" w:type="dxa"/>
            <w:vAlign w:val="center"/>
          </w:tcPr>
          <w:p>
            <w:pPr>
              <w:spacing w:before="20" w:after="20"/>
              <w:jc w:val="right"/>
              <w:rPr>
                <w:noProof/>
                <w:sz w:val="20"/>
              </w:rPr>
            </w:pPr>
            <w:r>
              <w:rPr>
                <w:noProof/>
                <w:sz w:val="20"/>
              </w:rPr>
              <w:t>3,764</w:t>
            </w:r>
          </w:p>
        </w:tc>
        <w:tc>
          <w:tcPr>
            <w:tcW w:w="850" w:type="dxa"/>
            <w:vAlign w:val="center"/>
          </w:tcPr>
          <w:p>
            <w:pPr>
              <w:spacing w:before="20" w:after="20"/>
              <w:jc w:val="right"/>
              <w:rPr>
                <w:noProof/>
                <w:sz w:val="20"/>
              </w:rPr>
            </w:pPr>
            <w:r>
              <w:rPr>
                <w:noProof/>
                <w:sz w:val="20"/>
              </w:rPr>
              <w:t>3,764</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15,056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1252"/>
        <w:gridCol w:w="992"/>
        <w:gridCol w:w="993"/>
        <w:gridCol w:w="850"/>
        <w:gridCol w:w="567"/>
        <w:gridCol w:w="554"/>
        <w:gridCol w:w="1431"/>
        <w:gridCol w:w="1214"/>
      </w:tblGrid>
      <w:tr>
        <w:tc>
          <w:tcPr>
            <w:tcW w:w="3960" w:type="dxa"/>
            <w:shd w:val="thinDiagStripe" w:color="C0C0C0" w:fill="auto"/>
            <w:vAlign w:val="center"/>
          </w:tcPr>
          <w:p>
            <w:pPr>
              <w:jc w:val="center"/>
              <w:rPr>
                <w:b/>
                <w:noProof/>
              </w:rPr>
            </w:pPr>
            <w:r>
              <w:rPr>
                <w:b/>
                <w:noProof/>
              </w:rPr>
              <w:t>CELKEM prostředky</w:t>
            </w:r>
            <w:r>
              <w:rPr>
                <w:noProof/>
                <w:sz w:val="22"/>
              </w:rPr>
              <w:br/>
            </w:r>
            <w:r>
              <w:rPr>
                <w:b/>
                <w:noProof/>
                <w:sz w:val="22"/>
              </w:rPr>
              <w:t>v rámaci OKRUHU 5</w:t>
            </w:r>
            <w:r>
              <w:rPr>
                <w:noProof/>
                <w:sz w:val="22"/>
              </w:rPr>
              <w:br/>
              <w:t>víceletého finančního rámce</w:t>
            </w:r>
            <w:r>
              <w:rPr>
                <w:b/>
                <w:noProof/>
                <w:sz w:val="22"/>
              </w:rPr>
              <w:t xml:space="preserve"> </w:t>
            </w:r>
          </w:p>
        </w:tc>
        <w:tc>
          <w:tcPr>
            <w:tcW w:w="2094" w:type="dxa"/>
            <w:vAlign w:val="center"/>
          </w:tcPr>
          <w:p>
            <w:pPr>
              <w:spacing w:before="40" w:after="40"/>
              <w:rPr>
                <w:noProof/>
              </w:rPr>
            </w:pPr>
            <w:r>
              <w:rPr>
                <w:noProof/>
                <w:sz w:val="18"/>
              </w:rPr>
              <w:t>(Závazky celkem = platby celkem)</w:t>
            </w:r>
          </w:p>
        </w:tc>
        <w:tc>
          <w:tcPr>
            <w:tcW w:w="1252" w:type="dxa"/>
            <w:vAlign w:val="center"/>
          </w:tcPr>
          <w:p>
            <w:pPr>
              <w:spacing w:before="20" w:after="20"/>
              <w:jc w:val="right"/>
              <w:rPr>
                <w:noProof/>
                <w:sz w:val="20"/>
              </w:rPr>
            </w:pPr>
            <w:r>
              <w:rPr>
                <w:noProof/>
                <w:sz w:val="20"/>
              </w:rPr>
              <w:t>3,764</w:t>
            </w:r>
          </w:p>
        </w:tc>
        <w:tc>
          <w:tcPr>
            <w:tcW w:w="992" w:type="dxa"/>
            <w:vAlign w:val="center"/>
          </w:tcPr>
          <w:p>
            <w:pPr>
              <w:spacing w:before="20" w:after="20"/>
              <w:jc w:val="right"/>
              <w:rPr>
                <w:noProof/>
                <w:sz w:val="20"/>
              </w:rPr>
            </w:pPr>
            <w:r>
              <w:rPr>
                <w:noProof/>
                <w:sz w:val="20"/>
              </w:rPr>
              <w:t>3,764</w:t>
            </w:r>
          </w:p>
        </w:tc>
        <w:tc>
          <w:tcPr>
            <w:tcW w:w="993" w:type="dxa"/>
            <w:vAlign w:val="center"/>
          </w:tcPr>
          <w:p>
            <w:pPr>
              <w:spacing w:before="20" w:after="20"/>
              <w:jc w:val="right"/>
              <w:rPr>
                <w:noProof/>
                <w:sz w:val="20"/>
              </w:rPr>
            </w:pPr>
            <w:r>
              <w:rPr>
                <w:noProof/>
                <w:sz w:val="20"/>
              </w:rPr>
              <w:t>3,764</w:t>
            </w:r>
          </w:p>
        </w:tc>
        <w:tc>
          <w:tcPr>
            <w:tcW w:w="850" w:type="dxa"/>
            <w:vAlign w:val="center"/>
          </w:tcPr>
          <w:p>
            <w:pPr>
              <w:spacing w:before="20" w:after="20"/>
              <w:jc w:val="right"/>
              <w:rPr>
                <w:noProof/>
                <w:sz w:val="20"/>
              </w:rPr>
            </w:pPr>
            <w:r>
              <w:rPr>
                <w:noProof/>
                <w:sz w:val="20"/>
              </w:rPr>
              <w:t>3,764</w:t>
            </w:r>
          </w:p>
        </w:tc>
        <w:tc>
          <w:tcPr>
            <w:tcW w:w="567" w:type="dxa"/>
            <w:vAlign w:val="center"/>
          </w:tcPr>
          <w:p>
            <w:pPr>
              <w:spacing w:before="20" w:after="20"/>
              <w:jc w:val="right"/>
              <w:rPr>
                <w:noProof/>
                <w:sz w:val="20"/>
              </w:rPr>
            </w:pPr>
          </w:p>
        </w:tc>
        <w:tc>
          <w:tcPr>
            <w:tcW w:w="554" w:type="dxa"/>
            <w:vAlign w:val="center"/>
          </w:tcPr>
          <w:p>
            <w:pPr>
              <w:spacing w:before="20" w:after="20"/>
              <w:jc w:val="right"/>
              <w:rPr>
                <w:noProof/>
                <w:sz w:val="20"/>
              </w:rPr>
            </w:pPr>
          </w:p>
        </w:tc>
        <w:tc>
          <w:tcPr>
            <w:tcW w:w="1431"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15,056</w:t>
            </w:r>
            <w:r>
              <w:rPr>
                <w:rStyle w:val="FootnoteReference"/>
                <w:b/>
                <w:noProof/>
                <w:sz w:val="20"/>
              </w:rPr>
              <w:footnoteReference w:id="44"/>
            </w:r>
            <w:r>
              <w:rPr>
                <w:b/>
                <w:noProof/>
                <w:sz w:val="20"/>
              </w:rPr>
              <w:t xml:space="preserve"> </w:t>
            </w:r>
          </w:p>
        </w:tc>
      </w:tr>
    </w:tbl>
    <w:p>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992"/>
        <w:gridCol w:w="993"/>
        <w:gridCol w:w="850"/>
        <w:gridCol w:w="567"/>
        <w:gridCol w:w="554"/>
        <w:gridCol w:w="1431"/>
        <w:gridCol w:w="1214"/>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1252" w:type="dxa"/>
            <w:vAlign w:val="center"/>
          </w:tcPr>
          <w:p>
            <w:pPr>
              <w:jc w:val="center"/>
              <w:rPr>
                <w:noProof/>
                <w:sz w:val="20"/>
              </w:rPr>
            </w:pPr>
            <w:r>
              <w:rPr>
                <w:noProof/>
                <w:sz w:val="20"/>
              </w:rPr>
              <w:t>Rok</w:t>
            </w:r>
            <w:r>
              <w:rPr>
                <w:noProof/>
                <w:sz w:val="22"/>
              </w:rPr>
              <w:br/>
            </w:r>
            <w:r>
              <w:rPr>
                <w:b/>
                <w:noProof/>
                <w:sz w:val="20"/>
              </w:rPr>
              <w:t>2017</w:t>
            </w:r>
          </w:p>
        </w:tc>
        <w:tc>
          <w:tcPr>
            <w:tcW w:w="992" w:type="dxa"/>
            <w:vAlign w:val="center"/>
          </w:tcPr>
          <w:p>
            <w:pPr>
              <w:jc w:val="center"/>
              <w:rPr>
                <w:noProof/>
                <w:sz w:val="20"/>
              </w:rPr>
            </w:pPr>
            <w:r>
              <w:rPr>
                <w:noProof/>
                <w:sz w:val="20"/>
              </w:rPr>
              <w:t>Rok</w:t>
            </w:r>
            <w:r>
              <w:rPr>
                <w:noProof/>
                <w:sz w:val="22"/>
              </w:rPr>
              <w:br/>
            </w:r>
            <w:r>
              <w:rPr>
                <w:b/>
                <w:noProof/>
                <w:sz w:val="20"/>
              </w:rPr>
              <w:t>2018</w:t>
            </w:r>
          </w:p>
        </w:tc>
        <w:tc>
          <w:tcPr>
            <w:tcW w:w="993" w:type="dxa"/>
            <w:vAlign w:val="center"/>
          </w:tcPr>
          <w:p>
            <w:pPr>
              <w:jc w:val="center"/>
              <w:rPr>
                <w:noProof/>
                <w:sz w:val="20"/>
              </w:rPr>
            </w:pPr>
            <w:r>
              <w:rPr>
                <w:noProof/>
                <w:sz w:val="20"/>
              </w:rPr>
              <w:t>Rok</w:t>
            </w:r>
            <w:r>
              <w:rPr>
                <w:noProof/>
                <w:sz w:val="22"/>
              </w:rPr>
              <w:br/>
            </w:r>
            <w:r>
              <w:rPr>
                <w:b/>
                <w:noProof/>
                <w:sz w:val="20"/>
              </w:rPr>
              <w:t>2019</w:t>
            </w:r>
          </w:p>
        </w:tc>
        <w:tc>
          <w:tcPr>
            <w:tcW w:w="850" w:type="dxa"/>
            <w:vAlign w:val="center"/>
          </w:tcPr>
          <w:p>
            <w:pPr>
              <w:jc w:val="center"/>
              <w:rPr>
                <w:noProof/>
                <w:sz w:val="20"/>
              </w:rPr>
            </w:pPr>
            <w:r>
              <w:rPr>
                <w:noProof/>
                <w:sz w:val="20"/>
              </w:rPr>
              <w:t>Rok</w:t>
            </w:r>
            <w:r>
              <w:rPr>
                <w:noProof/>
                <w:sz w:val="22"/>
              </w:rPr>
              <w:br/>
            </w:r>
            <w:r>
              <w:rPr>
                <w:b/>
                <w:noProof/>
                <w:sz w:val="20"/>
              </w:rPr>
              <w:t>2020</w:t>
            </w:r>
          </w:p>
        </w:tc>
        <w:tc>
          <w:tcPr>
            <w:tcW w:w="2552" w:type="dxa"/>
            <w:gridSpan w:val="3"/>
            <w:vAlign w:val="center"/>
          </w:tcPr>
          <w:p>
            <w:pPr>
              <w:jc w:val="center"/>
              <w:rPr>
                <w:b/>
                <w:noProof/>
                <w:sz w:val="18"/>
              </w:rPr>
            </w:pPr>
            <w:r>
              <w:rPr>
                <w:noProof/>
                <w:sz w:val="18"/>
              </w:rPr>
              <w:t>Vložit počet let podle trvání finančního dopadu (viz bod 1.6)</w:t>
            </w:r>
          </w:p>
        </w:tc>
        <w:tc>
          <w:tcPr>
            <w:tcW w:w="1214" w:type="dxa"/>
            <w:vAlign w:val="center"/>
          </w:tcPr>
          <w:p>
            <w:pPr>
              <w:jc w:val="center"/>
              <w:rPr>
                <w:b/>
                <w:noProof/>
                <w:sz w:val="20"/>
              </w:rPr>
            </w:pPr>
            <w:r>
              <w:rPr>
                <w:b/>
                <w:noProof/>
                <w:sz w:val="20"/>
              </w:rPr>
              <w:t>CELKEM</w:t>
            </w:r>
          </w:p>
        </w:tc>
      </w:tr>
      <w:tr>
        <w:tc>
          <w:tcPr>
            <w:tcW w:w="3960" w:type="dxa"/>
            <w:vMerge w:val="restart"/>
            <w:shd w:val="clear" w:color="auto" w:fill="C0C0C0"/>
            <w:vAlign w:val="center"/>
          </w:tcPr>
          <w:p>
            <w:pPr>
              <w:jc w:val="center"/>
              <w:rPr>
                <w:b/>
                <w:noProof/>
              </w:rPr>
            </w:pPr>
            <w:r>
              <w:rPr>
                <w:b/>
                <w:noProof/>
                <w:sz w:val="22"/>
              </w:rPr>
              <w:t xml:space="preserve">CELKEM prostředky </w:t>
            </w:r>
            <w:r>
              <w:rPr>
                <w:noProof/>
                <w:sz w:val="22"/>
              </w:rPr>
              <w:br/>
            </w:r>
            <w:r>
              <w:rPr>
                <w:b/>
                <w:noProof/>
                <w:sz w:val="22"/>
              </w:rPr>
              <w:t>v rámci OKRUHŮ 1 až 5</w:t>
            </w:r>
            <w:r>
              <w:rPr>
                <w:noProof/>
                <w:sz w:val="22"/>
              </w:rPr>
              <w:br/>
              <w:t>víceletého finančního rámce</w:t>
            </w:r>
            <w:r>
              <w:rPr>
                <w:b/>
                <w:noProof/>
                <w:sz w:val="22"/>
              </w:rPr>
              <w:t xml:space="preserve"> </w:t>
            </w:r>
          </w:p>
        </w:tc>
        <w:tc>
          <w:tcPr>
            <w:tcW w:w="2094" w:type="dxa"/>
            <w:gridSpan w:val="2"/>
            <w:vAlign w:val="center"/>
          </w:tcPr>
          <w:p>
            <w:pPr>
              <w:rPr>
                <w:noProof/>
                <w:sz w:val="14"/>
              </w:rPr>
            </w:pPr>
            <w:r>
              <w:rPr>
                <w:noProof/>
                <w:sz w:val="18"/>
              </w:rPr>
              <w:t>Závazky</w:t>
            </w:r>
          </w:p>
        </w:tc>
        <w:tc>
          <w:tcPr>
            <w:tcW w:w="1252" w:type="dxa"/>
            <w:vAlign w:val="center"/>
          </w:tcPr>
          <w:p>
            <w:pPr>
              <w:spacing w:before="60" w:after="60"/>
              <w:jc w:val="right"/>
              <w:rPr>
                <w:noProof/>
                <w:sz w:val="20"/>
              </w:rPr>
            </w:pPr>
            <w:r>
              <w:rPr>
                <w:noProof/>
                <w:sz w:val="20"/>
              </w:rPr>
              <w:t>278,764</w:t>
            </w:r>
          </w:p>
        </w:tc>
        <w:tc>
          <w:tcPr>
            <w:tcW w:w="992" w:type="dxa"/>
            <w:vAlign w:val="center"/>
          </w:tcPr>
          <w:p>
            <w:pPr>
              <w:spacing w:before="60" w:after="60"/>
              <w:jc w:val="right"/>
              <w:rPr>
                <w:noProof/>
                <w:sz w:val="20"/>
              </w:rPr>
            </w:pPr>
            <w:r>
              <w:rPr>
                <w:noProof/>
                <w:sz w:val="20"/>
              </w:rPr>
              <w:t>28,764</w:t>
            </w:r>
          </w:p>
        </w:tc>
        <w:tc>
          <w:tcPr>
            <w:tcW w:w="993" w:type="dxa"/>
            <w:vAlign w:val="center"/>
          </w:tcPr>
          <w:p>
            <w:pPr>
              <w:spacing w:before="60" w:after="60"/>
              <w:jc w:val="right"/>
              <w:rPr>
                <w:noProof/>
                <w:sz w:val="20"/>
              </w:rPr>
            </w:pPr>
            <w:r>
              <w:rPr>
                <w:noProof/>
                <w:sz w:val="20"/>
              </w:rPr>
              <w:t>28,764</w:t>
            </w:r>
          </w:p>
        </w:tc>
        <w:tc>
          <w:tcPr>
            <w:tcW w:w="850" w:type="dxa"/>
            <w:vAlign w:val="center"/>
          </w:tcPr>
          <w:p>
            <w:pPr>
              <w:spacing w:before="60" w:after="60"/>
              <w:jc w:val="right"/>
              <w:rPr>
                <w:noProof/>
                <w:sz w:val="20"/>
              </w:rPr>
            </w:pPr>
            <w:r>
              <w:rPr>
                <w:noProof/>
                <w:sz w:val="20"/>
              </w:rPr>
              <w:t>28,746</w:t>
            </w:r>
          </w:p>
        </w:tc>
        <w:tc>
          <w:tcPr>
            <w:tcW w:w="567" w:type="dxa"/>
            <w:vAlign w:val="center"/>
          </w:tcPr>
          <w:p>
            <w:pPr>
              <w:spacing w:before="60" w:after="60"/>
              <w:jc w:val="right"/>
              <w:rPr>
                <w:noProof/>
                <w:sz w:val="20"/>
              </w:rPr>
            </w:pPr>
          </w:p>
        </w:tc>
        <w:tc>
          <w:tcPr>
            <w:tcW w:w="554" w:type="dxa"/>
            <w:vAlign w:val="center"/>
          </w:tcPr>
          <w:p>
            <w:pPr>
              <w:spacing w:before="60" w:after="60"/>
              <w:jc w:val="right"/>
              <w:rPr>
                <w:noProof/>
                <w:sz w:val="20"/>
              </w:rPr>
            </w:pPr>
          </w:p>
        </w:tc>
        <w:tc>
          <w:tcPr>
            <w:tcW w:w="1431" w:type="dxa"/>
            <w:vAlign w:val="center"/>
          </w:tcPr>
          <w:p>
            <w:pPr>
              <w:spacing w:before="60" w:after="60"/>
              <w:jc w:val="right"/>
              <w:rPr>
                <w:b/>
                <w:noProof/>
                <w:sz w:val="20"/>
              </w:rPr>
            </w:pPr>
          </w:p>
        </w:tc>
        <w:tc>
          <w:tcPr>
            <w:tcW w:w="1214" w:type="dxa"/>
            <w:vAlign w:val="center"/>
          </w:tcPr>
          <w:p>
            <w:pPr>
              <w:spacing w:before="60" w:after="60"/>
              <w:jc w:val="right"/>
              <w:rPr>
                <w:b/>
                <w:noProof/>
                <w:sz w:val="20"/>
              </w:rPr>
            </w:pPr>
            <w:r>
              <w:rPr>
                <w:b/>
                <w:noProof/>
                <w:sz w:val="20"/>
              </w:rPr>
              <w:t>365,056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1252" w:type="dxa"/>
            <w:vAlign w:val="center"/>
          </w:tcPr>
          <w:p>
            <w:pPr>
              <w:spacing w:before="60" w:after="60"/>
              <w:jc w:val="right"/>
              <w:rPr>
                <w:noProof/>
                <w:sz w:val="20"/>
              </w:rPr>
            </w:pPr>
            <w:r>
              <w:rPr>
                <w:noProof/>
                <w:sz w:val="20"/>
              </w:rPr>
              <w:t>278,764</w:t>
            </w:r>
          </w:p>
        </w:tc>
        <w:tc>
          <w:tcPr>
            <w:tcW w:w="992" w:type="dxa"/>
            <w:vAlign w:val="center"/>
          </w:tcPr>
          <w:p>
            <w:pPr>
              <w:spacing w:before="60" w:after="60"/>
              <w:jc w:val="right"/>
              <w:rPr>
                <w:noProof/>
                <w:sz w:val="20"/>
              </w:rPr>
            </w:pPr>
            <w:r>
              <w:rPr>
                <w:noProof/>
                <w:sz w:val="20"/>
              </w:rPr>
              <w:t>28,764</w:t>
            </w:r>
          </w:p>
        </w:tc>
        <w:tc>
          <w:tcPr>
            <w:tcW w:w="993" w:type="dxa"/>
            <w:vAlign w:val="center"/>
          </w:tcPr>
          <w:p>
            <w:pPr>
              <w:spacing w:before="60" w:after="60"/>
              <w:jc w:val="right"/>
              <w:rPr>
                <w:noProof/>
                <w:sz w:val="20"/>
              </w:rPr>
            </w:pPr>
            <w:r>
              <w:rPr>
                <w:noProof/>
                <w:sz w:val="20"/>
              </w:rPr>
              <w:t>28,764</w:t>
            </w:r>
          </w:p>
        </w:tc>
        <w:tc>
          <w:tcPr>
            <w:tcW w:w="850" w:type="dxa"/>
            <w:vAlign w:val="center"/>
          </w:tcPr>
          <w:p>
            <w:pPr>
              <w:spacing w:before="60" w:after="60"/>
              <w:jc w:val="right"/>
              <w:rPr>
                <w:noProof/>
                <w:sz w:val="20"/>
              </w:rPr>
            </w:pPr>
            <w:r>
              <w:rPr>
                <w:noProof/>
                <w:sz w:val="20"/>
              </w:rPr>
              <w:t>28,764</w:t>
            </w:r>
          </w:p>
        </w:tc>
        <w:tc>
          <w:tcPr>
            <w:tcW w:w="567" w:type="dxa"/>
            <w:vAlign w:val="center"/>
          </w:tcPr>
          <w:p>
            <w:pPr>
              <w:spacing w:before="60" w:after="60"/>
              <w:jc w:val="right"/>
              <w:rPr>
                <w:noProof/>
                <w:sz w:val="20"/>
              </w:rPr>
            </w:pPr>
          </w:p>
        </w:tc>
        <w:tc>
          <w:tcPr>
            <w:tcW w:w="554" w:type="dxa"/>
            <w:vAlign w:val="center"/>
          </w:tcPr>
          <w:p>
            <w:pPr>
              <w:spacing w:before="60" w:after="60"/>
              <w:jc w:val="right"/>
              <w:rPr>
                <w:noProof/>
                <w:sz w:val="20"/>
              </w:rPr>
            </w:pPr>
          </w:p>
        </w:tc>
        <w:tc>
          <w:tcPr>
            <w:tcW w:w="1431" w:type="dxa"/>
            <w:vAlign w:val="center"/>
          </w:tcPr>
          <w:p>
            <w:pPr>
              <w:spacing w:before="60" w:after="60"/>
              <w:jc w:val="right"/>
              <w:rPr>
                <w:b/>
                <w:noProof/>
                <w:sz w:val="20"/>
              </w:rPr>
            </w:pPr>
          </w:p>
        </w:tc>
        <w:tc>
          <w:tcPr>
            <w:tcW w:w="1214" w:type="dxa"/>
            <w:vAlign w:val="center"/>
          </w:tcPr>
          <w:p>
            <w:pPr>
              <w:spacing w:before="60" w:after="60"/>
              <w:jc w:val="right"/>
              <w:rPr>
                <w:b/>
                <w:noProof/>
                <w:sz w:val="20"/>
              </w:rPr>
            </w:pPr>
            <w:r>
              <w:rPr>
                <w:b/>
                <w:noProof/>
                <w:sz w:val="20"/>
              </w:rPr>
              <w:t>365,056</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Odhadovaný dopad na operační prostředky </w:t>
      </w:r>
    </w:p>
    <w:p>
      <w:pPr>
        <w:pStyle w:val="ListDash1"/>
        <w:rPr>
          <w:noProof/>
        </w:rPr>
      </w:pPr>
      <w:r>
        <w:rPr>
          <w:noProof/>
        </w:rPr>
        <w:sym w:font="Wingdings" w:char="F0A8"/>
      </w:r>
      <w:r>
        <w:rPr>
          <w:noProof/>
        </w:rPr>
        <w:tab/>
        <w:t xml:space="preserve">Návrh/podnět nevyžaduje využití operačních prostředků. </w:t>
      </w:r>
    </w:p>
    <w:p>
      <w:pPr>
        <w:pStyle w:val="ListDash1"/>
        <w:rPr>
          <w:noProof/>
        </w:rPr>
      </w:pPr>
      <w:r>
        <w:rPr>
          <w:noProof/>
        </w:rPr>
        <w:t>X</w:t>
      </w:r>
      <w:r>
        <w:rPr>
          <w:noProof/>
        </w:rPr>
        <w:tab/>
        <w:t>Návrh/podnět vyžaduje využití operačních prostředků, jak je vysvětleno dále:</w:t>
      </w:r>
    </w:p>
    <w:p>
      <w:pPr>
        <w:jc w:val="right"/>
        <w:rPr>
          <w:noProof/>
          <w:sz w:val="20"/>
        </w:rPr>
      </w:pPr>
      <w:r>
        <w:rPr>
          <w:noProof/>
          <w:sz w:val="20"/>
        </w:rPr>
        <w:t>Prostředky na závazky v milionech EUR (zaokrouhleno na tři desetinná místa)</w:t>
      </w:r>
    </w:p>
    <w:tbl>
      <w:tblPr>
        <w:tblW w:w="13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6"/>
        <w:gridCol w:w="714"/>
        <w:gridCol w:w="540"/>
        <w:gridCol w:w="797"/>
        <w:gridCol w:w="432"/>
        <w:gridCol w:w="720"/>
        <w:gridCol w:w="540"/>
        <w:gridCol w:w="571"/>
        <w:gridCol w:w="149"/>
        <w:gridCol w:w="720"/>
        <w:gridCol w:w="751"/>
        <w:gridCol w:w="149"/>
      </w:tblGrid>
      <w:tr>
        <w:trPr>
          <w:gridAfter w:val="1"/>
          <w:wAfter w:w="149" w:type="dxa"/>
          <w:jc w:val="center"/>
        </w:trPr>
        <w:tc>
          <w:tcPr>
            <w:tcW w:w="1423" w:type="dxa"/>
            <w:vMerge w:val="restart"/>
            <w:vAlign w:val="center"/>
          </w:tcPr>
          <w:p>
            <w:pPr>
              <w:ind w:right="-29"/>
              <w:jc w:val="center"/>
              <w:rPr>
                <w:b/>
                <w:noProof/>
                <w:sz w:val="18"/>
                <w:szCs w:val="18"/>
              </w:rPr>
            </w:pPr>
            <w:r>
              <w:rPr>
                <w:b/>
                <w:noProof/>
                <w:sz w:val="18"/>
              </w:rPr>
              <w:t xml:space="preserve">Uveďte cíle a výstupy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Rok</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Rok</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Rok</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Rok</w:t>
            </w:r>
            <w:r>
              <w:rPr>
                <w:noProof/>
                <w:sz w:val="22"/>
              </w:rPr>
              <w:br/>
            </w:r>
            <w:r>
              <w:rPr>
                <w:b/>
                <w:noProof/>
                <w:sz w:val="18"/>
              </w:rPr>
              <w:t>N+3</w:t>
            </w:r>
          </w:p>
        </w:tc>
        <w:tc>
          <w:tcPr>
            <w:tcW w:w="3600" w:type="dxa"/>
            <w:gridSpan w:val="6"/>
            <w:vAlign w:val="center"/>
          </w:tcPr>
          <w:p>
            <w:pPr>
              <w:jc w:val="center"/>
              <w:rPr>
                <w:noProof/>
                <w:sz w:val="18"/>
                <w:szCs w:val="18"/>
              </w:rPr>
            </w:pPr>
            <w:r>
              <w:rPr>
                <w:noProof/>
                <w:sz w:val="18"/>
              </w:rPr>
              <w:t>Vložit počet let podle trvání finančního dopadu (viz bod 1.6)</w:t>
            </w:r>
          </w:p>
        </w:tc>
        <w:tc>
          <w:tcPr>
            <w:tcW w:w="1620" w:type="dxa"/>
            <w:gridSpan w:val="3"/>
            <w:tcBorders>
              <w:left w:val="nil"/>
              <w:bottom w:val="nil"/>
            </w:tcBorders>
            <w:vAlign w:val="center"/>
          </w:tcPr>
          <w:p>
            <w:pPr>
              <w:ind w:right="-29"/>
              <w:jc w:val="center"/>
              <w:rPr>
                <w:noProof/>
                <w:sz w:val="18"/>
                <w:szCs w:val="18"/>
              </w:rPr>
            </w:pPr>
            <w:r>
              <w:rPr>
                <w:b/>
                <w:noProof/>
                <w:sz w:val="18"/>
              </w:rPr>
              <w:t>CELKEM</w:t>
            </w:r>
          </w:p>
        </w:tc>
      </w:tr>
      <w:tr>
        <w:trPr>
          <w:gridAfter w:val="1"/>
          <w:wAfter w:w="149" w:type="dxa"/>
          <w:jc w:val="center"/>
        </w:trPr>
        <w:tc>
          <w:tcPr>
            <w:tcW w:w="1423" w:type="dxa"/>
            <w:vMerge/>
            <w:vAlign w:val="center"/>
          </w:tcPr>
          <w:p>
            <w:pPr>
              <w:ind w:right="-29"/>
              <w:jc w:val="center"/>
              <w:rPr>
                <w:noProof/>
                <w:sz w:val="18"/>
                <w:szCs w:val="18"/>
              </w:rPr>
            </w:pPr>
          </w:p>
        </w:tc>
        <w:tc>
          <w:tcPr>
            <w:tcW w:w="12185" w:type="dxa"/>
            <w:gridSpan w:val="20"/>
            <w:vAlign w:val="center"/>
          </w:tcPr>
          <w:p>
            <w:pPr>
              <w:spacing w:before="60" w:after="60"/>
              <w:ind w:right="-29"/>
              <w:jc w:val="center"/>
              <w:rPr>
                <w:noProof/>
                <w:sz w:val="18"/>
                <w:szCs w:val="18"/>
              </w:rPr>
            </w:pPr>
            <w:r>
              <w:rPr>
                <w:b/>
                <w:noProof/>
                <w:sz w:val="18"/>
              </w:rPr>
              <w:t>VÝSTUPY</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Druh</w:t>
            </w:r>
            <w:r>
              <w:rPr>
                <w:rStyle w:val="FootnoteReference"/>
                <w:noProof/>
                <w:sz w:val="18"/>
              </w:rPr>
              <w:footnoteReference w:id="45"/>
            </w:r>
          </w:p>
          <w:p>
            <w:pPr>
              <w:spacing w:before="0" w:after="0"/>
              <w:jc w:val="center"/>
              <w:rPr>
                <w:noProof/>
                <w:sz w:val="18"/>
                <w:szCs w:val="18"/>
              </w:rPr>
            </w:pPr>
          </w:p>
        </w:tc>
        <w:tc>
          <w:tcPr>
            <w:tcW w:w="701" w:type="dxa"/>
            <w:vAlign w:val="center"/>
          </w:tcPr>
          <w:p>
            <w:pPr>
              <w:jc w:val="center"/>
              <w:rPr>
                <w:noProof/>
                <w:sz w:val="18"/>
                <w:szCs w:val="18"/>
              </w:rPr>
            </w:pPr>
            <w:r>
              <w:rPr>
                <w:noProof/>
                <w:sz w:val="18"/>
              </w:rPr>
              <w:t>Průměrné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Č.</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Č.</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Č.</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Č.</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Č.</w:t>
            </w:r>
          </w:p>
        </w:tc>
        <w:tc>
          <w:tcPr>
            <w:tcW w:w="797"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Č.</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Č.</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Celkový počet</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Náklady celkem</w:t>
            </w:r>
          </w:p>
        </w:tc>
      </w:tr>
      <w:tr>
        <w:trPr>
          <w:jc w:val="center"/>
        </w:trPr>
        <w:tc>
          <w:tcPr>
            <w:tcW w:w="2844" w:type="dxa"/>
            <w:gridSpan w:val="3"/>
            <w:vAlign w:val="center"/>
          </w:tcPr>
          <w:p>
            <w:pPr>
              <w:spacing w:before="60" w:after="60"/>
              <w:ind w:right="-29"/>
              <w:jc w:val="center"/>
              <w:rPr>
                <w:noProof/>
                <w:sz w:val="18"/>
                <w:szCs w:val="18"/>
              </w:rPr>
            </w:pPr>
            <w:r>
              <w:rPr>
                <w:noProof/>
                <w:sz w:val="18"/>
              </w:rPr>
              <w:t xml:space="preserve">SPECIFICKÝ CÍL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 xml:space="preserve">275,000 </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25,000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25,000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25,000</w:t>
            </w:r>
          </w:p>
        </w:tc>
        <w:tc>
          <w:tcPr>
            <w:tcW w:w="540" w:type="dxa"/>
            <w:tcBorders>
              <w:right w:val="dashSmallGap" w:sz="4" w:space="0" w:color="auto"/>
            </w:tcBorders>
          </w:tcPr>
          <w:p>
            <w:pPr>
              <w:ind w:right="-29"/>
              <w:jc w:val="center"/>
              <w:rPr>
                <w:noProof/>
                <w:sz w:val="18"/>
                <w:szCs w:val="18"/>
              </w:rPr>
            </w:pPr>
          </w:p>
        </w:tc>
        <w:tc>
          <w:tcPr>
            <w:tcW w:w="797"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r>
              <w:rPr>
                <w:noProof/>
                <w:sz w:val="18"/>
              </w:rPr>
              <w:t>350,000</w:t>
            </w: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97"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797"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Mezisoučet za specifický cíl č.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97"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797"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6" w:type="dxa"/>
            <w:gridSpan w:val="2"/>
            <w:tcBorders>
              <w:bottom w:val="single" w:sz="12" w:space="0" w:color="auto"/>
            </w:tcBorders>
          </w:tcPr>
          <w:p>
            <w:pPr>
              <w:ind w:right="-29"/>
              <w:jc w:val="center"/>
              <w:rPr>
                <w:noProof/>
                <w:sz w:val="18"/>
                <w:szCs w:val="18"/>
              </w:rPr>
            </w:pPr>
          </w:p>
        </w:tc>
        <w:tc>
          <w:tcPr>
            <w:tcW w:w="714"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97"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CELKEM</w:t>
            </w:r>
          </w:p>
        </w:tc>
        <w:tc>
          <w:tcPr>
            <w:tcW w:w="504"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275,000</w:t>
            </w:r>
          </w:p>
        </w:tc>
        <w:tc>
          <w:tcPr>
            <w:tcW w:w="54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25,000</w:t>
            </w: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25,000</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r>
              <w:rPr>
                <w:noProof/>
                <w:sz w:val="18"/>
              </w:rPr>
              <w:t>25,000</w:t>
            </w:r>
          </w:p>
        </w:tc>
        <w:tc>
          <w:tcPr>
            <w:tcW w:w="540" w:type="dxa"/>
            <w:tcBorders>
              <w:top w:val="single" w:sz="12" w:space="0" w:color="auto"/>
              <w:bottom w:val="single" w:sz="12" w:space="0" w:color="auto"/>
            </w:tcBorders>
          </w:tcPr>
          <w:p>
            <w:pPr>
              <w:ind w:right="-29"/>
              <w:jc w:val="center"/>
              <w:rPr>
                <w:noProof/>
                <w:sz w:val="18"/>
                <w:szCs w:val="18"/>
              </w:rPr>
            </w:pPr>
          </w:p>
        </w:tc>
        <w:tc>
          <w:tcPr>
            <w:tcW w:w="797" w:type="dxa"/>
            <w:tcBorders>
              <w:top w:val="single" w:sz="12" w:space="0" w:color="auto"/>
              <w:bottom w:val="single" w:sz="12" w:space="0" w:color="auto"/>
            </w:tcBorders>
          </w:tcPr>
          <w:p>
            <w:pPr>
              <w:ind w:right="-29"/>
              <w:jc w:val="center"/>
              <w:rPr>
                <w:noProof/>
                <w:sz w:val="18"/>
                <w:szCs w:val="18"/>
              </w:rPr>
            </w:pPr>
          </w:p>
        </w:tc>
        <w:tc>
          <w:tcPr>
            <w:tcW w:w="432"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ind w:right="-29"/>
              <w:jc w:val="center"/>
              <w:rPr>
                <w:noProof/>
                <w:sz w:val="18"/>
                <w:szCs w:val="18"/>
              </w:rPr>
            </w:pPr>
            <w:r>
              <w:rPr>
                <w:noProof/>
                <w:sz w:val="18"/>
              </w:rPr>
              <w:t>350,000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Odhadovaný dopad na prostředky správní povahy</w:t>
      </w:r>
    </w:p>
    <w:p>
      <w:pPr>
        <w:pStyle w:val="ManualHeading4"/>
        <w:rPr>
          <w:noProof/>
        </w:rPr>
      </w:pPr>
      <w:r>
        <w:t>3.2.3.1.</w:t>
      </w:r>
      <w:r>
        <w:tab/>
      </w:r>
      <w:r>
        <w:rPr>
          <w:noProof/>
        </w:rPr>
        <w:t xml:space="preserve">Shrnutí </w:t>
      </w:r>
    </w:p>
    <w:p>
      <w:pPr>
        <w:pStyle w:val="ListDash1"/>
        <w:rPr>
          <w:noProof/>
        </w:rPr>
      </w:pPr>
      <w:r>
        <w:rPr>
          <w:noProof/>
        </w:rPr>
        <w:sym w:font="Wingdings" w:char="F0A8"/>
      </w:r>
      <w:r>
        <w:rPr>
          <w:noProof/>
        </w:rPr>
        <w:tab/>
        <w:t xml:space="preserve">Návrh/podnět nevyžaduje využití prostředků správní povahy. </w:t>
      </w:r>
    </w:p>
    <w:p>
      <w:pPr>
        <w:pStyle w:val="ListDash1"/>
        <w:rPr>
          <w:noProof/>
        </w:rPr>
      </w:pPr>
      <w:r>
        <w:rPr>
          <w:noProof/>
        </w:rPr>
        <w:t>X</w:t>
      </w:r>
      <w:r>
        <w:rPr>
          <w:noProof/>
        </w:rPr>
        <w:tab/>
        <w:t>Návrh/podnět vyžaduje využití prostředků správní povahy, jak je vysvětleno dále:</w:t>
      </w:r>
    </w:p>
    <w:p>
      <w:pPr>
        <w:pStyle w:val="ListDash1"/>
        <w:rPr>
          <w:noProof/>
          <w:sz w:val="20"/>
        </w:rPr>
      </w:pPr>
      <w:r>
        <w:rPr>
          <w:noProof/>
        </w:rPr>
        <w:t xml:space="preserve">Správní výdaje. </w:t>
      </w:r>
      <w:r>
        <w:rPr>
          <w:noProof/>
          <w:sz w:val="20"/>
        </w:rPr>
        <w:t>V milionech EUR (zaokrouhleno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20"/>
                <w:szCs w:val="20"/>
              </w:rPr>
            </w:pPr>
            <w:r>
              <w:rPr>
                <w:noProof/>
                <w:sz w:val="20"/>
              </w:rPr>
              <w:t>Rok</w:t>
            </w:r>
            <w:r>
              <w:rPr>
                <w:noProof/>
                <w:sz w:val="20"/>
                <w:szCs w:val="20"/>
              </w:rPr>
              <w:br/>
            </w:r>
            <w:r>
              <w:rPr>
                <w:noProof/>
                <w:sz w:val="20"/>
                <w:szCs w:val="20"/>
              </w:rPr>
              <w:br/>
            </w:r>
            <w:r>
              <w:rPr>
                <w:b/>
                <w:noProof/>
                <w:sz w:val="20"/>
              </w:rPr>
              <w:t xml:space="preserve">2017 </w:t>
            </w:r>
            <w:r>
              <w:rPr>
                <w:rStyle w:val="FootnoteReference"/>
                <w:b/>
                <w:noProof/>
                <w:sz w:val="20"/>
              </w:rPr>
              <w:footnoteReference w:id="46"/>
            </w:r>
          </w:p>
        </w:tc>
        <w:tc>
          <w:tcPr>
            <w:tcW w:w="1080" w:type="dxa"/>
            <w:vAlign w:val="center"/>
          </w:tcPr>
          <w:p>
            <w:pPr>
              <w:spacing w:before="60" w:after="60" w:line="200" w:lineRule="exact"/>
              <w:jc w:val="center"/>
              <w:rPr>
                <w:noProof/>
                <w:sz w:val="20"/>
                <w:szCs w:val="20"/>
              </w:rPr>
            </w:pPr>
            <w:r>
              <w:rPr>
                <w:noProof/>
                <w:sz w:val="20"/>
              </w:rPr>
              <w:t>Rok</w:t>
            </w:r>
            <w:r>
              <w:rPr>
                <w:noProof/>
                <w:sz w:val="20"/>
                <w:szCs w:val="20"/>
              </w:rPr>
              <w:br/>
            </w:r>
            <w:r>
              <w:rPr>
                <w:b/>
                <w:noProof/>
                <w:sz w:val="20"/>
              </w:rPr>
              <w:t>2018</w:t>
            </w:r>
          </w:p>
        </w:tc>
        <w:tc>
          <w:tcPr>
            <w:tcW w:w="1080" w:type="dxa"/>
            <w:vAlign w:val="center"/>
          </w:tcPr>
          <w:p>
            <w:pPr>
              <w:spacing w:before="60" w:after="60" w:line="200" w:lineRule="exact"/>
              <w:jc w:val="center"/>
              <w:rPr>
                <w:noProof/>
                <w:sz w:val="20"/>
                <w:szCs w:val="20"/>
              </w:rPr>
            </w:pPr>
            <w:r>
              <w:rPr>
                <w:noProof/>
                <w:sz w:val="20"/>
              </w:rPr>
              <w:t>Rok</w:t>
            </w:r>
            <w:r>
              <w:rPr>
                <w:noProof/>
                <w:sz w:val="20"/>
                <w:szCs w:val="20"/>
              </w:rPr>
              <w:br/>
            </w:r>
            <w:r>
              <w:rPr>
                <w:b/>
                <w:noProof/>
                <w:sz w:val="20"/>
              </w:rPr>
              <w:t>2019</w:t>
            </w:r>
          </w:p>
        </w:tc>
        <w:tc>
          <w:tcPr>
            <w:tcW w:w="1080" w:type="dxa"/>
            <w:vAlign w:val="center"/>
          </w:tcPr>
          <w:p>
            <w:pPr>
              <w:spacing w:before="60" w:after="60" w:line="200" w:lineRule="exact"/>
              <w:jc w:val="center"/>
              <w:rPr>
                <w:noProof/>
                <w:sz w:val="20"/>
                <w:szCs w:val="20"/>
              </w:rPr>
            </w:pPr>
            <w:r>
              <w:rPr>
                <w:noProof/>
                <w:sz w:val="20"/>
              </w:rPr>
              <w:t>Rok</w:t>
            </w:r>
            <w:r>
              <w:rPr>
                <w:noProof/>
                <w:sz w:val="20"/>
                <w:szCs w:val="20"/>
              </w:rPr>
              <w:br/>
            </w:r>
            <w:r>
              <w:rPr>
                <w:b/>
                <w:noProof/>
                <w:sz w:val="20"/>
              </w:rPr>
              <w:t>2020</w:t>
            </w:r>
          </w:p>
        </w:tc>
        <w:tc>
          <w:tcPr>
            <w:tcW w:w="3240" w:type="dxa"/>
            <w:vAlign w:val="center"/>
          </w:tcPr>
          <w:p>
            <w:pPr>
              <w:spacing w:line="200" w:lineRule="exact"/>
              <w:jc w:val="center"/>
              <w:rPr>
                <w:b/>
                <w:noProof/>
                <w:sz w:val="16"/>
                <w:szCs w:val="16"/>
              </w:rPr>
            </w:pPr>
            <w:r>
              <w:rPr>
                <w:noProof/>
                <w:sz w:val="16"/>
              </w:rPr>
              <w:t>Vložit počet let podle trvání finančního dopadu (viz bod 1.6)</w:t>
            </w:r>
          </w:p>
        </w:tc>
        <w:tc>
          <w:tcPr>
            <w:tcW w:w="1080" w:type="dxa"/>
            <w:vAlign w:val="center"/>
          </w:tcPr>
          <w:p>
            <w:pPr>
              <w:spacing w:before="60" w:after="60" w:line="200" w:lineRule="exact"/>
              <w:jc w:val="center"/>
              <w:rPr>
                <w:b/>
                <w:noProof/>
                <w:sz w:val="16"/>
                <w:szCs w:val="16"/>
              </w:rPr>
            </w:pPr>
            <w:r>
              <w:rPr>
                <w:b/>
                <w:noProof/>
                <w:sz w:val="16"/>
              </w:rPr>
              <w:t>CELKEM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sz w:val="22"/>
              </w:rPr>
              <w:br/>
            </w:r>
            <w:r>
              <w:rPr>
                <w:b/>
                <w:noProof/>
                <w:sz w:val="16"/>
              </w:rPr>
              <w:t>víceletého finančního rámce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20"/>
                <w:szCs w:val="20"/>
              </w:rPr>
            </w:pPr>
            <w:r>
              <w:rPr>
                <w:noProof/>
                <w:sz w:val="20"/>
              </w:rPr>
              <w:t xml:space="preserve">3,264 </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rPr>
              <w:t>13,056</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správní výdaje </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rPr>
              <w:t>2,000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Mezisoučet OKRUH 5</w:t>
            </w:r>
            <w:r>
              <w:rPr>
                <w:noProof/>
                <w:sz w:val="22"/>
              </w:rPr>
              <w:br/>
            </w:r>
            <w:r>
              <w:rPr>
                <w:b/>
                <w:noProof/>
                <w:sz w:val="16"/>
              </w:rPr>
              <w:t xml:space="preserve">víceletého finančního rámce </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rPr>
              <w:t>15,056</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 5</w:t>
            </w:r>
            <w:r>
              <w:rPr>
                <w:rStyle w:val="FootnoteReference"/>
                <w:b/>
                <w:noProof/>
                <w:sz w:val="16"/>
              </w:rPr>
              <w:footnoteReference w:id="47"/>
            </w:r>
            <w:r>
              <w:rPr>
                <w:noProof/>
                <w:sz w:val="22"/>
              </w:rPr>
              <w:br/>
            </w:r>
            <w:r>
              <w:rPr>
                <w:b/>
                <w:noProof/>
                <w:sz w:val="16"/>
              </w:rPr>
              <w:t xml:space="preserve">víceletého finančního rámce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výdaje </w:t>
            </w:r>
            <w:r>
              <w:rPr>
                <w:noProof/>
                <w:sz w:val="22"/>
              </w:rPr>
              <w:br/>
            </w:r>
            <w:r>
              <w:rPr>
                <w:noProof/>
                <w:sz w:val="16"/>
              </w:rPr>
              <w:t>správní povahy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Mezisoučet </w:t>
            </w:r>
            <w:r>
              <w:rPr>
                <w:noProof/>
                <w:sz w:val="22"/>
              </w:rPr>
              <w:br/>
            </w:r>
            <w:r>
              <w:rPr>
                <w:b/>
                <w:noProof/>
                <w:sz w:val="16"/>
              </w:rPr>
              <w:t>mimo OKRUH 5</w:t>
            </w:r>
            <w:r>
              <w:rPr>
                <w:noProof/>
                <w:sz w:val="22"/>
              </w:rPr>
              <w:br/>
            </w:r>
            <w:r>
              <w:rPr>
                <w:b/>
                <w:noProof/>
                <w:sz w:val="16"/>
              </w:rPr>
              <w:t xml:space="preserve">víceletého finančního rámce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15,056</w:t>
            </w:r>
          </w:p>
        </w:tc>
      </w:tr>
    </w:tbl>
    <w:p>
      <w:pPr>
        <w:rPr>
          <w:noProof/>
          <w:sz w:val="18"/>
        </w:rPr>
      </w:pPr>
      <w:r>
        <w:rPr>
          <w:noProof/>
          <w:sz w:val="18"/>
        </w:rPr>
        <w:t>Potřebné prostředky na oblast lidských zdrojů a na ostatní výdaje správní povahy budou pokryty z prostředků řídícího GŘ a případně doplněny z dodatečného přídělu, který lze řídícímu GŘ poskytnout v rámci ročního přidělování a s ohledem na rozpočtová omezení.</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Odhadované potřeby v oblasti lidských zdrojů</w:t>
      </w:r>
    </w:p>
    <w:p>
      <w:pPr>
        <w:pStyle w:val="ListDash1"/>
        <w:rPr>
          <w:noProof/>
        </w:rPr>
      </w:pPr>
      <w:r>
        <w:rPr>
          <w:noProof/>
        </w:rPr>
        <w:sym w:font="Wingdings" w:char="F0A8"/>
      </w:r>
      <w:r>
        <w:rPr>
          <w:noProof/>
        </w:rPr>
        <w:t xml:space="preserve"> Návrh/podnět nevyžaduje využití lidských zdrojů. </w:t>
      </w:r>
    </w:p>
    <w:p>
      <w:pPr>
        <w:pStyle w:val="ListDash1"/>
        <w:rPr>
          <w:noProof/>
        </w:rPr>
      </w:pPr>
      <w:r>
        <w:rPr>
          <w:noProof/>
        </w:rPr>
        <w:t>x</w:t>
      </w:r>
      <w:r>
        <w:rPr>
          <w:noProof/>
        </w:rPr>
        <w:tab/>
        <w:t>Návrh/podnět vyžaduje využití lidských zdrojů, jak je vysvětleno dále:</w:t>
      </w:r>
    </w:p>
    <w:p>
      <w:pPr>
        <w:spacing w:after="60"/>
        <w:jc w:val="right"/>
        <w:rPr>
          <w:i/>
          <w:noProof/>
          <w:sz w:val="20"/>
        </w:rPr>
      </w:pPr>
      <w:r>
        <w:rPr>
          <w:i/>
          <w:noProof/>
          <w:sz w:val="20"/>
        </w:rPr>
        <w:t>Odhad vyjádřete v přepočtu na plné pracovní úvazky</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655"/>
        <w:gridCol w:w="655"/>
        <w:gridCol w:w="2615"/>
        <w:gridCol w:w="710"/>
        <w:gridCol w:w="1273"/>
        <w:gridCol w:w="237"/>
        <w:gridCol w:w="236"/>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20"/>
                <w:szCs w:val="20"/>
              </w:rPr>
            </w:pPr>
            <w:r>
              <w:rPr>
                <w:noProof/>
                <w:sz w:val="20"/>
              </w:rPr>
              <w:t>Rok</w:t>
            </w:r>
            <w:r>
              <w:rPr>
                <w:noProof/>
                <w:sz w:val="20"/>
                <w:szCs w:val="20"/>
              </w:rPr>
              <w:br/>
            </w:r>
            <w:r>
              <w:rPr>
                <w:b/>
                <w:noProof/>
                <w:sz w:val="20"/>
              </w:rPr>
              <w:t>2017</w:t>
            </w:r>
          </w:p>
        </w:tc>
        <w:tc>
          <w:tcPr>
            <w:tcW w:w="318" w:type="pct"/>
            <w:shd w:val="clear" w:color="auto" w:fill="auto"/>
            <w:vAlign w:val="center"/>
          </w:tcPr>
          <w:p>
            <w:pPr>
              <w:spacing w:before="20" w:after="20"/>
              <w:jc w:val="center"/>
              <w:rPr>
                <w:noProof/>
                <w:sz w:val="20"/>
                <w:szCs w:val="20"/>
              </w:rPr>
            </w:pPr>
            <w:r>
              <w:rPr>
                <w:noProof/>
                <w:sz w:val="20"/>
              </w:rPr>
              <w:t>Rok</w:t>
            </w:r>
            <w:r>
              <w:rPr>
                <w:noProof/>
                <w:sz w:val="20"/>
                <w:szCs w:val="20"/>
              </w:rPr>
              <w:br/>
            </w:r>
            <w:r>
              <w:rPr>
                <w:b/>
                <w:noProof/>
                <w:sz w:val="20"/>
              </w:rPr>
              <w:t>2018</w:t>
            </w:r>
          </w:p>
        </w:tc>
        <w:tc>
          <w:tcPr>
            <w:tcW w:w="1270" w:type="pct"/>
            <w:shd w:val="clear" w:color="auto" w:fill="auto"/>
            <w:vAlign w:val="center"/>
          </w:tcPr>
          <w:p>
            <w:pPr>
              <w:spacing w:before="20" w:after="20"/>
              <w:jc w:val="center"/>
              <w:rPr>
                <w:noProof/>
                <w:sz w:val="20"/>
                <w:szCs w:val="20"/>
              </w:rPr>
            </w:pPr>
            <w:r>
              <w:rPr>
                <w:noProof/>
                <w:sz w:val="20"/>
              </w:rPr>
              <w:t xml:space="preserve">Rok </w:t>
            </w:r>
            <w:r>
              <w:rPr>
                <w:b/>
                <w:noProof/>
                <w:sz w:val="20"/>
              </w:rPr>
              <w:t>2019</w:t>
            </w:r>
          </w:p>
        </w:tc>
        <w:tc>
          <w:tcPr>
            <w:tcW w:w="345" w:type="pct"/>
            <w:shd w:val="clear" w:color="auto" w:fill="auto"/>
            <w:vAlign w:val="center"/>
          </w:tcPr>
          <w:p>
            <w:pPr>
              <w:spacing w:before="20" w:after="20"/>
              <w:jc w:val="center"/>
              <w:rPr>
                <w:noProof/>
                <w:sz w:val="20"/>
                <w:szCs w:val="20"/>
              </w:rPr>
            </w:pPr>
            <w:r>
              <w:rPr>
                <w:noProof/>
                <w:sz w:val="20"/>
              </w:rPr>
              <w:t xml:space="preserve">Rok </w:t>
            </w:r>
            <w:r>
              <w:rPr>
                <w:b/>
                <w:noProof/>
                <w:sz w:val="20"/>
              </w:rPr>
              <w:t>2020</w:t>
            </w:r>
          </w:p>
        </w:tc>
        <w:tc>
          <w:tcPr>
            <w:tcW w:w="848" w:type="pct"/>
            <w:gridSpan w:val="3"/>
            <w:shd w:val="clear" w:color="auto" w:fill="auto"/>
            <w:vAlign w:val="center"/>
          </w:tcPr>
          <w:p>
            <w:pPr>
              <w:jc w:val="center"/>
              <w:rPr>
                <w:b/>
                <w:noProof/>
                <w:sz w:val="16"/>
                <w:szCs w:val="16"/>
              </w:rPr>
            </w:pPr>
            <w:r>
              <w:rPr>
                <w:noProof/>
                <w:sz w:val="16"/>
              </w:rPr>
              <w:t>Vložit počet let podle trvání finančního dopadu (viz bod 1.6)</w:t>
            </w:r>
          </w:p>
        </w:tc>
      </w:tr>
      <w:tr>
        <w:trPr>
          <w:gridBefore w:val="1"/>
          <w:wBefore w:w="5" w:type="pct"/>
          <w:trHeight w:val="289"/>
          <w:jc w:val="center"/>
        </w:trPr>
        <w:tc>
          <w:tcPr>
            <w:tcW w:w="3803" w:type="pct"/>
            <w:gridSpan w:val="5"/>
            <w:shd w:val="clear" w:color="auto" w:fill="auto"/>
          </w:tcPr>
          <w:p>
            <w:pPr>
              <w:spacing w:before="20" w:after="20"/>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c>
          <w:tcPr>
            <w:tcW w:w="345" w:type="pct"/>
            <w:shd w:val="clear" w:color="auto" w:fill="auto"/>
            <w:vAlign w:val="center"/>
          </w:tcPr>
          <w:p>
            <w:pPr>
              <w:spacing w:before="20" w:after="20"/>
              <w:jc w:val="center"/>
              <w:rPr>
                <w:noProof/>
                <w:sz w:val="16"/>
                <w:szCs w:val="16"/>
              </w:rPr>
            </w:pPr>
          </w:p>
        </w:tc>
        <w:tc>
          <w:tcPr>
            <w:tcW w:w="848" w:type="pct"/>
            <w:gridSpan w:val="3"/>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(v ústředí a v zastoupeních Komise)</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1270" w:type="pct"/>
            <w:shd w:val="clear" w:color="auto" w:fill="auto"/>
            <w:vAlign w:val="center"/>
          </w:tcPr>
          <w:p>
            <w:pPr>
              <w:spacing w:beforeLines="20" w:before="48" w:afterLines="20" w:after="48"/>
              <w:jc w:val="center"/>
              <w:rPr>
                <w:noProof/>
                <w:sz w:val="20"/>
                <w:szCs w:val="20"/>
              </w:rPr>
            </w:pPr>
            <w:r>
              <w:rPr>
                <w:noProof/>
                <w:sz w:val="20"/>
              </w:rPr>
              <w:t>16</w:t>
            </w:r>
          </w:p>
        </w:tc>
        <w:tc>
          <w:tcPr>
            <w:tcW w:w="345" w:type="pct"/>
            <w:shd w:val="clear" w:color="auto" w:fill="auto"/>
            <w:vAlign w:val="center"/>
          </w:tcPr>
          <w:p>
            <w:pPr>
              <w:spacing w:beforeLines="20" w:before="48" w:afterLines="20" w:after="48"/>
              <w:jc w:val="center"/>
              <w:rPr>
                <w:noProof/>
                <w:sz w:val="20"/>
                <w:szCs w:val="20"/>
              </w:rPr>
            </w:pPr>
            <w:r>
              <w:rPr>
                <w:noProof/>
                <w:sz w:val="20"/>
              </w:rPr>
              <w:t>16</w:t>
            </w: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(při delegacích)</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(v nepřímém výzkumu)</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(v přímém výzkumu)</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270"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1193" w:type="pct"/>
          <w:trHeight w:val="248"/>
          <w:jc w:val="center"/>
        </w:trPr>
        <w:tc>
          <w:tcPr>
            <w:tcW w:w="3807"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zaměstnanci (v přepočtu na plné pracovní úvazky: FTE)</w:t>
            </w:r>
            <w:r>
              <w:rPr>
                <w:rStyle w:val="FootnoteReference"/>
                <w:b/>
                <w:noProof/>
                <w:sz w:val="16"/>
              </w:rPr>
              <w:footnoteReference w:id="48"/>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 xml:space="preserve"> XX 01 02 01 (SZ, VNO, ZAP z celkového rámce v ústředí</w:t>
            </w:r>
            <w:r>
              <w:rPr>
                <w:rStyle w:val="FootnoteReference"/>
                <w:noProof/>
                <w:sz w:val="16"/>
              </w:rPr>
              <w:footnoteReference w:id="49"/>
            </w:r>
            <w:r>
              <w:rPr>
                <w:noProof/>
                <w:sz w:val="16"/>
              </w:rPr>
              <w:t>)</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1270" w:type="pct"/>
            <w:shd w:val="clear" w:color="auto" w:fill="auto"/>
            <w:vAlign w:val="center"/>
          </w:tcPr>
          <w:p>
            <w:pPr>
              <w:spacing w:beforeLines="20" w:before="48" w:afterLines="20" w:after="48"/>
              <w:jc w:val="center"/>
              <w:rPr>
                <w:noProof/>
                <w:sz w:val="20"/>
                <w:szCs w:val="20"/>
              </w:rPr>
            </w:pPr>
            <w:r>
              <w:rPr>
                <w:noProof/>
                <w:sz w:val="20"/>
              </w:rPr>
              <w:t>16</w:t>
            </w:r>
          </w:p>
        </w:tc>
        <w:tc>
          <w:tcPr>
            <w:tcW w:w="345" w:type="pct"/>
            <w:shd w:val="clear" w:color="auto" w:fill="auto"/>
            <w:vAlign w:val="center"/>
          </w:tcPr>
          <w:p>
            <w:pPr>
              <w:spacing w:beforeLines="20" w:before="48" w:afterLines="20" w:after="48"/>
              <w:jc w:val="center"/>
              <w:rPr>
                <w:noProof/>
                <w:sz w:val="20"/>
                <w:szCs w:val="20"/>
              </w:rPr>
            </w:pPr>
            <w:r>
              <w:rPr>
                <w:noProof/>
                <w:sz w:val="20"/>
              </w:rPr>
              <w:t>16</w:t>
            </w: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(SZ, MZ, VNO, ZAP a MOD při delegacích)</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0"/>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v ústředí</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při delegacích </w:t>
            </w:r>
          </w:p>
        </w:tc>
        <w:tc>
          <w:tcPr>
            <w:tcW w:w="318" w:type="pct"/>
            <w:shd w:val="clear" w:color="auto" w:fill="auto"/>
            <w:vAlign w:val="center"/>
          </w:tcPr>
          <w:p>
            <w:pPr>
              <w:pStyle w:val="Text1"/>
              <w:spacing w:beforeLines="20" w:before="48" w:afterLines="20" w:after="48"/>
              <w:ind w:left="0"/>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(SZ, VNO, ZAP v nepřímém výzkumu)</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(SZ, VNO, ZAP v přímém výzkumu)</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Jiné rozpočtové položky (upřesněte)</w:t>
            </w:r>
          </w:p>
        </w:tc>
        <w:tc>
          <w:tcPr>
            <w:tcW w:w="318"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318"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1270"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345"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6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CELKEM</w:t>
            </w:r>
          </w:p>
        </w:tc>
        <w:tc>
          <w:tcPr>
            <w:tcW w:w="318"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318"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1270"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345"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6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je oblast politiky nebo dotčená hlava rozpočtu.</w:t>
      </w:r>
    </w:p>
    <w:p>
      <w:pPr>
        <w:pStyle w:val="Text1"/>
        <w:rPr>
          <w:noProof/>
          <w:sz w:val="18"/>
          <w:szCs w:val="18"/>
        </w:rPr>
      </w:pPr>
      <w:r>
        <w:rPr>
          <w:noProof/>
          <w:sz w:val="18"/>
        </w:rPr>
        <w:t>Potřebné lidské zdroje budou pokryty ze zdrojů řídícího GŘ a případně doplněny z dodatečného přídělu, který lze řídícímu GŘ poskytnout v rámci ročního přidělování a s ohledem na rozpočtová omezení.</w:t>
      </w:r>
    </w:p>
    <w:p>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Úředníci a dočasní zaměstnanci</w:t>
            </w:r>
          </w:p>
        </w:tc>
        <w:tc>
          <w:tcPr>
            <w:tcW w:w="7200" w:type="dxa"/>
          </w:tcPr>
          <w:p>
            <w:pPr>
              <w:rPr>
                <w:noProof/>
                <w:sz w:val="20"/>
              </w:rPr>
            </w:pPr>
            <w:r>
              <w:rPr>
                <w:noProof/>
                <w:sz w:val="20"/>
              </w:rPr>
              <w:t>Operační a finanční řízení komunikace a viditelnosti Evropského fondu pro udržitelný rozvoj</w:t>
            </w:r>
          </w:p>
        </w:tc>
      </w:tr>
      <w:tr>
        <w:tc>
          <w:tcPr>
            <w:tcW w:w="3240" w:type="dxa"/>
          </w:tcPr>
          <w:p>
            <w:pPr>
              <w:spacing w:before="60" w:after="60"/>
              <w:rPr>
                <w:noProof/>
                <w:sz w:val="20"/>
              </w:rPr>
            </w:pPr>
            <w:r>
              <w:rPr>
                <w:noProof/>
                <w:sz w:val="20"/>
              </w:rPr>
              <w:t>Externí zaměstnanci</w:t>
            </w:r>
          </w:p>
        </w:tc>
        <w:tc>
          <w:tcPr>
            <w:tcW w:w="7200" w:type="dxa"/>
          </w:tcPr>
          <w:p>
            <w:pPr>
              <w:rPr>
                <w:noProof/>
                <w:sz w:val="20"/>
              </w:rPr>
            </w:pPr>
            <w:r>
              <w:rPr>
                <w:noProof/>
                <w:sz w:val="20"/>
              </w:rPr>
              <w:t>Operační a finanční řízení komunikace a viditelnosti Evropského fondu pro udržitelný rozvoj</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Soulad se stávajícím víceletým finančním rámcem </w:t>
      </w:r>
    </w:p>
    <w:p>
      <w:pPr>
        <w:pStyle w:val="ListDash1"/>
        <w:rPr>
          <w:noProof/>
        </w:rPr>
      </w:pPr>
      <w:r>
        <w:rPr>
          <w:noProof/>
        </w:rPr>
        <w:sym w:font="Wingdings" w:char="F0A8"/>
      </w:r>
      <w:r>
        <w:rPr>
          <w:noProof/>
        </w:rPr>
        <w:tab/>
        <w:t>Návrh/podnět je v souladu se stávajícím víceletým finančním rámcem.</w:t>
      </w:r>
    </w:p>
    <w:p>
      <w:pPr>
        <w:pStyle w:val="ListDash1"/>
        <w:rPr>
          <w:noProof/>
        </w:rPr>
      </w:pPr>
      <w:r>
        <w:rPr>
          <w:noProof/>
        </w:rPr>
        <w:t>X Návrh/podnět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r>
        <w:rPr>
          <w:noProof/>
        </w:rPr>
        <w:t xml:space="preserve">Evropský nástroj sousedství (kapitola 22.04) přispěje částkou 100 milionů EUR v prostředcích na závazky a na platby (25 milionů EUR ročně v období 2017–2020) pro poskytování prostředků na záruční fond EFSD podle oddílu 3.2.1. </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t>X</w:t>
      </w:r>
      <w:r>
        <w:rPr>
          <w:noProof/>
        </w:rPr>
        <w:tab/>
        <w:t>X Návrh/podnět vyžaduje použití rozpětí pro nepředvídané události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Komise zamýšlí uvolnit v roce 2017 prostředky z rozpětí pro nepředvídané události podle článku 13 nařízení 1311/2013 ve výši 250 milionů EUR.</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Příspěvky třetích stran </w:t>
      </w:r>
    </w:p>
    <w:p>
      <w:pPr>
        <w:pStyle w:val="ListDash1"/>
        <w:rPr>
          <w:noProof/>
        </w:rPr>
      </w:pPr>
      <w:r>
        <w:rPr>
          <w:noProof/>
        </w:rPr>
        <w:t xml:space="preserve">Návrh/podnět nepočítá se spolufinancováním od třetích stran. </w:t>
      </w:r>
    </w:p>
    <w:p>
      <w:pPr>
        <w:pStyle w:val="ListDash1"/>
        <w:rPr>
          <w:noProof/>
        </w:rPr>
      </w:pPr>
      <w:r>
        <w:rPr>
          <w:noProof/>
        </w:rPr>
        <w:t>X Návrh/podnět počítá se spolufinancováním podle následujícího odhadu:</w:t>
      </w:r>
    </w:p>
    <w:p>
      <w:pPr>
        <w:jc w:val="right"/>
        <w:rPr>
          <w:noProof/>
          <w:sz w:val="20"/>
        </w:rPr>
      </w:pPr>
      <w:r>
        <w:rPr>
          <w:noProof/>
          <w:sz w:val="20"/>
        </w:rPr>
        <w:t>Prostředky v milionech EUR (zaokrouhleno na tři desetinná místa)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2017</w:t>
            </w:r>
          </w:p>
        </w:tc>
        <w:tc>
          <w:tcPr>
            <w:tcW w:w="964" w:type="dxa"/>
            <w:vAlign w:val="center"/>
          </w:tcPr>
          <w:p>
            <w:pPr>
              <w:jc w:val="center"/>
              <w:rPr>
                <w:noProof/>
                <w:sz w:val="20"/>
              </w:rPr>
            </w:pPr>
            <w:r>
              <w:rPr>
                <w:noProof/>
                <w:sz w:val="20"/>
              </w:rPr>
              <w:t>Rok</w:t>
            </w:r>
            <w:r>
              <w:rPr>
                <w:noProof/>
                <w:sz w:val="22"/>
              </w:rPr>
              <w:br/>
            </w:r>
            <w:r>
              <w:rPr>
                <w:b/>
                <w:noProof/>
                <w:sz w:val="20"/>
              </w:rPr>
              <w:t>2018</w:t>
            </w:r>
          </w:p>
        </w:tc>
        <w:tc>
          <w:tcPr>
            <w:tcW w:w="964" w:type="dxa"/>
            <w:vAlign w:val="center"/>
          </w:tcPr>
          <w:p>
            <w:pPr>
              <w:jc w:val="center"/>
              <w:rPr>
                <w:noProof/>
                <w:sz w:val="20"/>
              </w:rPr>
            </w:pPr>
            <w:r>
              <w:rPr>
                <w:noProof/>
                <w:sz w:val="20"/>
              </w:rPr>
              <w:t>Rok</w:t>
            </w:r>
            <w:r>
              <w:rPr>
                <w:noProof/>
                <w:sz w:val="22"/>
              </w:rPr>
              <w:br/>
            </w:r>
            <w:r>
              <w:rPr>
                <w:b/>
                <w:noProof/>
                <w:sz w:val="20"/>
              </w:rPr>
              <w:t>2019</w:t>
            </w:r>
          </w:p>
        </w:tc>
        <w:tc>
          <w:tcPr>
            <w:tcW w:w="964" w:type="dxa"/>
            <w:vAlign w:val="center"/>
          </w:tcPr>
          <w:p>
            <w:pPr>
              <w:jc w:val="center"/>
              <w:rPr>
                <w:noProof/>
                <w:sz w:val="20"/>
              </w:rPr>
            </w:pPr>
            <w:r>
              <w:rPr>
                <w:noProof/>
                <w:sz w:val="20"/>
              </w:rPr>
              <w:t>Rok</w:t>
            </w:r>
            <w:r>
              <w:rPr>
                <w:noProof/>
                <w:sz w:val="22"/>
              </w:rPr>
              <w:br/>
            </w:r>
            <w:r>
              <w:rPr>
                <w:b/>
                <w:noProof/>
                <w:sz w:val="20"/>
              </w:rPr>
              <w:t>2020</w:t>
            </w:r>
          </w:p>
        </w:tc>
        <w:tc>
          <w:tcPr>
            <w:tcW w:w="2892" w:type="dxa"/>
            <w:gridSpan w:val="3"/>
            <w:vAlign w:val="center"/>
          </w:tcPr>
          <w:p>
            <w:pPr>
              <w:jc w:val="center"/>
              <w:rPr>
                <w:b/>
                <w:noProof/>
                <w:sz w:val="20"/>
              </w:rPr>
            </w:pPr>
            <w:r>
              <w:rPr>
                <w:noProof/>
                <w:sz w:val="20"/>
              </w:rPr>
              <w:t>Vložit počet let podle trvání finančního dopadu (viz bod 1.6)</w:t>
            </w:r>
          </w:p>
        </w:tc>
        <w:tc>
          <w:tcPr>
            <w:tcW w:w="1158" w:type="dxa"/>
            <w:vAlign w:val="center"/>
          </w:tcPr>
          <w:p>
            <w:pPr>
              <w:spacing w:before="60" w:after="60"/>
              <w:jc w:val="center"/>
              <w:rPr>
                <w:noProof/>
                <w:sz w:val="20"/>
              </w:rPr>
            </w:pPr>
            <w:r>
              <w:rPr>
                <w:noProof/>
                <w:sz w:val="20"/>
              </w:rPr>
              <w:t>Celkem</w:t>
            </w:r>
          </w:p>
        </w:tc>
      </w:tr>
      <w:tr>
        <w:trPr>
          <w:cantSplit/>
        </w:trPr>
        <w:tc>
          <w:tcPr>
            <w:tcW w:w="2340" w:type="dxa"/>
          </w:tcPr>
          <w:p>
            <w:pPr>
              <w:rPr>
                <w:noProof/>
              </w:rPr>
            </w:pPr>
            <w:r>
              <w:rPr>
                <w:noProof/>
                <w:sz w:val="20"/>
              </w:rPr>
              <w:t xml:space="preserve">Upřesněte spolufinancující subjekt </w:t>
            </w:r>
            <w:r>
              <w:rPr>
                <w:i/>
                <w:noProof/>
                <w:sz w:val="20"/>
              </w:rPr>
              <w:t xml:space="preserve">Evropský rozvojový fond </w:t>
            </w:r>
          </w:p>
        </w:tc>
        <w:tc>
          <w:tcPr>
            <w:tcW w:w="964" w:type="dxa"/>
            <w:vAlign w:val="center"/>
          </w:tcPr>
          <w:p>
            <w:pPr>
              <w:spacing w:before="60" w:after="60"/>
              <w:jc w:val="center"/>
              <w:rPr>
                <w:i/>
                <w:noProof/>
                <w:sz w:val="20"/>
              </w:rPr>
            </w:pPr>
            <w:r>
              <w:rPr>
                <w:i/>
                <w:noProof/>
                <w:sz w:val="20"/>
              </w:rPr>
              <w:t xml:space="preserve">150,000 </w:t>
            </w:r>
          </w:p>
        </w:tc>
        <w:tc>
          <w:tcPr>
            <w:tcW w:w="964" w:type="dxa"/>
            <w:vAlign w:val="center"/>
          </w:tcPr>
          <w:p>
            <w:pPr>
              <w:spacing w:before="60" w:after="60"/>
              <w:jc w:val="center"/>
              <w:rPr>
                <w:i/>
                <w:noProof/>
                <w:sz w:val="20"/>
              </w:rPr>
            </w:pPr>
            <w:r>
              <w:rPr>
                <w:i/>
                <w:noProof/>
                <w:sz w:val="20"/>
              </w:rPr>
              <w:t>150,000</w:t>
            </w:r>
          </w:p>
        </w:tc>
        <w:tc>
          <w:tcPr>
            <w:tcW w:w="964" w:type="dxa"/>
            <w:vAlign w:val="center"/>
          </w:tcPr>
          <w:p>
            <w:pPr>
              <w:spacing w:before="60" w:after="60"/>
              <w:jc w:val="center"/>
              <w:rPr>
                <w:i/>
                <w:noProof/>
                <w:sz w:val="20"/>
              </w:rPr>
            </w:pPr>
            <w:r>
              <w:rPr>
                <w:i/>
                <w:noProof/>
                <w:sz w:val="20"/>
              </w:rPr>
              <w:t>50,000</w:t>
            </w:r>
          </w:p>
        </w:tc>
        <w:tc>
          <w:tcPr>
            <w:tcW w:w="964" w:type="dxa"/>
            <w:vAlign w:val="center"/>
          </w:tcPr>
          <w:p>
            <w:pPr>
              <w:spacing w:before="60" w:after="60"/>
              <w:jc w:val="center"/>
              <w:rPr>
                <w:i/>
                <w:noProof/>
                <w:sz w:val="20"/>
              </w:rPr>
            </w:pPr>
            <w:r>
              <w:rPr>
                <w:i/>
                <w:noProof/>
                <w:sz w:val="20"/>
              </w:rPr>
              <w:t>50,000</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400,000</w:t>
            </w:r>
          </w:p>
        </w:tc>
      </w:tr>
      <w:tr>
        <w:trPr>
          <w:cantSplit/>
        </w:trPr>
        <w:tc>
          <w:tcPr>
            <w:tcW w:w="2340" w:type="dxa"/>
          </w:tcPr>
          <w:p>
            <w:pPr>
              <w:rPr>
                <w:noProof/>
                <w:sz w:val="20"/>
              </w:rPr>
            </w:pPr>
            <w:r>
              <w:rPr>
                <w:noProof/>
                <w:sz w:val="20"/>
              </w:rPr>
              <w:t>Členské státy EU a další 2.1 přispěvatelé</w:t>
            </w:r>
          </w:p>
        </w:tc>
        <w:tc>
          <w:tcPr>
            <w:tcW w:w="964" w:type="dxa"/>
            <w:vAlign w:val="center"/>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1158" w:type="dxa"/>
          </w:tcPr>
          <w:p>
            <w:pPr>
              <w:spacing w:before="60" w:after="60"/>
              <w:jc w:val="center"/>
              <w:rPr>
                <w:noProof/>
                <w:sz w:val="20"/>
              </w:rPr>
            </w:pPr>
            <w:r>
              <w:rPr>
                <w:noProof/>
                <w:sz w:val="20"/>
              </w:rPr>
              <w:t>p.m.</w:t>
            </w:r>
          </w:p>
        </w:tc>
      </w:tr>
      <w:tr>
        <w:trPr>
          <w:cantSplit/>
        </w:trPr>
        <w:tc>
          <w:tcPr>
            <w:tcW w:w="2340" w:type="dxa"/>
          </w:tcPr>
          <w:p>
            <w:pPr>
              <w:spacing w:before="60" w:after="60"/>
              <w:jc w:val="left"/>
              <w:rPr>
                <w:noProof/>
                <w:sz w:val="20"/>
              </w:rPr>
            </w:pPr>
            <w:r>
              <w:rPr>
                <w:noProof/>
                <w:sz w:val="20"/>
              </w:rPr>
              <w:t xml:space="preserve">Spolufinancované prostředky CELKEM </w:t>
            </w:r>
          </w:p>
        </w:tc>
        <w:tc>
          <w:tcPr>
            <w:tcW w:w="964" w:type="dxa"/>
            <w:vAlign w:val="center"/>
          </w:tcPr>
          <w:p>
            <w:pPr>
              <w:spacing w:before="60" w:after="60"/>
              <w:jc w:val="center"/>
              <w:rPr>
                <w:i/>
                <w:noProof/>
                <w:sz w:val="20"/>
              </w:rPr>
            </w:pPr>
            <w:r>
              <w:rPr>
                <w:i/>
                <w:noProof/>
                <w:sz w:val="20"/>
              </w:rPr>
              <w:t xml:space="preserve">150,000 </w:t>
            </w:r>
          </w:p>
        </w:tc>
        <w:tc>
          <w:tcPr>
            <w:tcW w:w="964" w:type="dxa"/>
            <w:vAlign w:val="center"/>
          </w:tcPr>
          <w:p>
            <w:pPr>
              <w:spacing w:before="60" w:after="60"/>
              <w:jc w:val="center"/>
              <w:rPr>
                <w:i/>
                <w:noProof/>
                <w:sz w:val="20"/>
              </w:rPr>
            </w:pPr>
            <w:r>
              <w:rPr>
                <w:i/>
                <w:noProof/>
                <w:sz w:val="20"/>
              </w:rPr>
              <w:t>150,000</w:t>
            </w:r>
          </w:p>
        </w:tc>
        <w:tc>
          <w:tcPr>
            <w:tcW w:w="964" w:type="dxa"/>
            <w:vAlign w:val="center"/>
          </w:tcPr>
          <w:p>
            <w:pPr>
              <w:spacing w:before="60" w:after="60"/>
              <w:jc w:val="center"/>
              <w:rPr>
                <w:i/>
                <w:noProof/>
                <w:sz w:val="20"/>
              </w:rPr>
            </w:pPr>
            <w:r>
              <w:rPr>
                <w:i/>
                <w:noProof/>
                <w:sz w:val="20"/>
              </w:rPr>
              <w:t>50,000</w:t>
            </w:r>
          </w:p>
        </w:tc>
        <w:tc>
          <w:tcPr>
            <w:tcW w:w="964" w:type="dxa"/>
            <w:vAlign w:val="center"/>
          </w:tcPr>
          <w:p>
            <w:pPr>
              <w:spacing w:before="60" w:after="60"/>
              <w:jc w:val="center"/>
              <w:rPr>
                <w:i/>
                <w:noProof/>
                <w:sz w:val="20"/>
              </w:rPr>
            </w:pPr>
            <w:r>
              <w:rPr>
                <w:i/>
                <w:noProof/>
                <w:sz w:val="20"/>
              </w:rPr>
              <w:t>50,000</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400,000</w:t>
            </w:r>
          </w:p>
        </w:tc>
      </w:tr>
    </w:tbl>
    <w:p>
      <w:pPr>
        <w:rPr>
          <w:noProof/>
        </w:rPr>
      </w:pPr>
      <w:r>
        <w:rPr>
          <w:noProof/>
        </w:rPr>
        <w:br/>
      </w:r>
    </w:p>
    <w:p>
      <w:pPr>
        <w:pStyle w:val="ManualHeading2"/>
        <w:rPr>
          <w:bCs/>
          <w:noProof/>
          <w:szCs w:val="24"/>
        </w:rPr>
      </w:pPr>
      <w:r>
        <w:rPr>
          <w:noProof/>
        </w:rPr>
        <w:br w:type="page"/>
      </w:r>
      <w:r>
        <w:t>3.3.</w:t>
      </w:r>
      <w:r>
        <w:tab/>
      </w:r>
      <w:r>
        <w:rPr>
          <w:noProof/>
        </w:rPr>
        <w:t xml:space="preserve">Odhadovaný dopad na příjmy </w:t>
      </w:r>
    </w:p>
    <w:p>
      <w:pPr>
        <w:pStyle w:val="ListDash1"/>
        <w:rPr>
          <w:noProof/>
        </w:rPr>
      </w:pPr>
      <w:r>
        <w:rPr>
          <w:noProof/>
        </w:rPr>
        <w:sym w:font="Wingdings" w:char="F0A8"/>
      </w:r>
      <w:r>
        <w:rPr>
          <w:noProof/>
        </w:rPr>
        <w:tab/>
        <w:t>Návrh/podnět nemá žádný finanční dopad na příjmy.</w:t>
      </w:r>
    </w:p>
    <w:p>
      <w:pPr>
        <w:pStyle w:val="ListDash1"/>
        <w:rPr>
          <w:noProof/>
        </w:rPr>
      </w:pPr>
      <w:r>
        <w:rPr>
          <w:noProof/>
        </w:rPr>
        <w:sym w:font="Wingdings" w:char="F0A8"/>
      </w:r>
      <w:r>
        <w:rPr>
          <w:noProof/>
        </w:rPr>
        <w:tab/>
        <w:t>Návrh/podnět má tento finanční dopad:</w:t>
      </w:r>
    </w:p>
    <w:p>
      <w:pPr>
        <w:pStyle w:val="ListNumberLevel3"/>
        <w:rPr>
          <w:noProof/>
        </w:rPr>
      </w:pPr>
      <w:r>
        <w:rPr>
          <w:noProof/>
        </w:rPr>
        <w:sym w:font="Wingdings" w:char="F0A8"/>
      </w:r>
      <w:r>
        <w:rPr>
          <w:noProof/>
        </w:rPr>
        <w:tab/>
        <w:t xml:space="preserve">dopad na vlastní zdroje </w:t>
      </w:r>
    </w:p>
    <w:p>
      <w:pPr>
        <w:pStyle w:val="ListNumberLevel3"/>
        <w:rPr>
          <w:noProof/>
        </w:rPr>
      </w:pPr>
      <w:r>
        <w:rPr>
          <w:noProof/>
        </w:rPr>
        <w:t>X</w:t>
      </w:r>
      <w:r>
        <w:rPr>
          <w:noProof/>
        </w:rPr>
        <w:tab/>
        <w:t xml:space="preserve">dopad na různé příjmy </w:t>
      </w:r>
    </w:p>
    <w:p>
      <w:pPr>
        <w:spacing w:before="0"/>
        <w:jc w:val="right"/>
        <w:rPr>
          <w:i/>
          <w:noProof/>
          <w:sz w:val="20"/>
        </w:rPr>
      </w:pPr>
      <w:r>
        <w:rPr>
          <w:noProof/>
        </w:rPr>
        <w:t>v milionech EUR (zaokrouhleno na tři desetinná místa)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1703"/>
        <w:gridCol w:w="801"/>
        <w:gridCol w:w="801"/>
        <w:gridCol w:w="711"/>
        <w:gridCol w:w="711"/>
        <w:gridCol w:w="581"/>
        <w:gridCol w:w="581"/>
        <w:gridCol w:w="581"/>
      </w:tblGrid>
      <w:tr>
        <w:trPr>
          <w:trHeight w:val="388"/>
        </w:trPr>
        <w:tc>
          <w:tcPr>
            <w:tcW w:w="0" w:type="auto"/>
            <w:vMerge w:val="restart"/>
            <w:vAlign w:val="center"/>
          </w:tcPr>
          <w:p>
            <w:pPr>
              <w:spacing w:before="40" w:after="40"/>
              <w:rPr>
                <w:noProof/>
                <w:sz w:val="18"/>
              </w:rPr>
            </w:pPr>
            <w:r>
              <w:rPr>
                <w:noProof/>
                <w:sz w:val="18"/>
              </w:rPr>
              <w:t>Příjmová rozpočtová položka:</w:t>
            </w:r>
          </w:p>
        </w:tc>
        <w:tc>
          <w:tcPr>
            <w:tcW w:w="0" w:type="auto"/>
            <w:vMerge w:val="restart"/>
            <w:vAlign w:val="center"/>
          </w:tcPr>
          <w:p>
            <w:pPr>
              <w:jc w:val="center"/>
              <w:rPr>
                <w:noProof/>
                <w:sz w:val="18"/>
              </w:rPr>
            </w:pPr>
            <w:r>
              <w:rPr>
                <w:noProof/>
                <w:sz w:val="18"/>
              </w:rPr>
              <w:t>Prostředky dostupné v běžném rozpočtovém roce</w:t>
            </w:r>
          </w:p>
        </w:tc>
        <w:tc>
          <w:tcPr>
            <w:tcW w:w="0" w:type="auto"/>
            <w:gridSpan w:val="7"/>
            <w:vAlign w:val="center"/>
          </w:tcPr>
          <w:p>
            <w:pPr>
              <w:jc w:val="center"/>
              <w:rPr>
                <w:noProof/>
                <w:sz w:val="18"/>
              </w:rPr>
            </w:pPr>
            <w:r>
              <w:rPr>
                <w:noProof/>
                <w:sz w:val="18"/>
              </w:rPr>
              <w:t>Dopad návrhu/podnětu</w:t>
            </w:r>
            <w:r>
              <w:rPr>
                <w:rStyle w:val="FootnoteReference"/>
                <w:noProof/>
                <w:sz w:val="18"/>
              </w:rPr>
              <w:footnoteReference w:id="51"/>
            </w:r>
          </w:p>
        </w:tc>
      </w:tr>
      <w:tr>
        <w:trPr>
          <w:trHeight w:val="388"/>
        </w:trPr>
        <w:tc>
          <w:tcPr>
            <w:tcW w:w="0" w:type="auto"/>
            <w:vMerge/>
          </w:tcPr>
          <w:p>
            <w:pPr>
              <w:spacing w:before="40" w:after="40"/>
              <w:rPr>
                <w:noProof/>
                <w:sz w:val="18"/>
              </w:rPr>
            </w:pPr>
          </w:p>
        </w:tc>
        <w:tc>
          <w:tcPr>
            <w:tcW w:w="0" w:type="auto"/>
            <w:vMerge/>
          </w:tcPr>
          <w:p>
            <w:pPr>
              <w:spacing w:beforeLines="40" w:before="96" w:afterLines="40" w:after="96"/>
              <w:rPr>
                <w:i/>
                <w:noProof/>
                <w:sz w:val="18"/>
              </w:rPr>
            </w:pPr>
          </w:p>
        </w:tc>
        <w:tc>
          <w:tcPr>
            <w:tcW w:w="0" w:type="auto"/>
            <w:vAlign w:val="center"/>
          </w:tcPr>
          <w:p>
            <w:pPr>
              <w:jc w:val="center"/>
              <w:rPr>
                <w:noProof/>
                <w:sz w:val="18"/>
              </w:rPr>
            </w:pPr>
            <w:r>
              <w:rPr>
                <w:noProof/>
                <w:sz w:val="18"/>
              </w:rPr>
              <w:t>Rok</w:t>
            </w:r>
            <w:r>
              <w:rPr>
                <w:noProof/>
                <w:sz w:val="22"/>
              </w:rPr>
              <w:br/>
            </w:r>
            <w:r>
              <w:rPr>
                <w:b/>
                <w:noProof/>
                <w:sz w:val="18"/>
              </w:rPr>
              <w:t>2017</w:t>
            </w:r>
          </w:p>
        </w:tc>
        <w:tc>
          <w:tcPr>
            <w:tcW w:w="0" w:type="auto"/>
            <w:vAlign w:val="center"/>
          </w:tcPr>
          <w:p>
            <w:pPr>
              <w:jc w:val="center"/>
              <w:rPr>
                <w:noProof/>
                <w:sz w:val="18"/>
              </w:rPr>
            </w:pPr>
            <w:r>
              <w:rPr>
                <w:noProof/>
                <w:sz w:val="18"/>
              </w:rPr>
              <w:t>Rok</w:t>
            </w:r>
            <w:r>
              <w:rPr>
                <w:noProof/>
                <w:sz w:val="22"/>
              </w:rPr>
              <w:br/>
            </w:r>
            <w:r>
              <w:rPr>
                <w:b/>
                <w:noProof/>
                <w:sz w:val="18"/>
              </w:rPr>
              <w:t>2018</w:t>
            </w:r>
          </w:p>
        </w:tc>
        <w:tc>
          <w:tcPr>
            <w:tcW w:w="0" w:type="auto"/>
            <w:vAlign w:val="center"/>
          </w:tcPr>
          <w:p>
            <w:pPr>
              <w:jc w:val="center"/>
              <w:rPr>
                <w:noProof/>
                <w:sz w:val="18"/>
              </w:rPr>
            </w:pPr>
            <w:r>
              <w:rPr>
                <w:noProof/>
                <w:sz w:val="18"/>
              </w:rPr>
              <w:t>Rok</w:t>
            </w:r>
            <w:r>
              <w:rPr>
                <w:noProof/>
                <w:sz w:val="22"/>
              </w:rPr>
              <w:br/>
            </w:r>
            <w:r>
              <w:rPr>
                <w:b/>
                <w:noProof/>
                <w:sz w:val="18"/>
              </w:rPr>
              <w:t>2019</w:t>
            </w:r>
          </w:p>
        </w:tc>
        <w:tc>
          <w:tcPr>
            <w:tcW w:w="0" w:type="auto"/>
            <w:vAlign w:val="center"/>
          </w:tcPr>
          <w:p>
            <w:pPr>
              <w:jc w:val="center"/>
              <w:rPr>
                <w:noProof/>
                <w:sz w:val="18"/>
              </w:rPr>
            </w:pPr>
            <w:r>
              <w:rPr>
                <w:noProof/>
                <w:sz w:val="18"/>
              </w:rPr>
              <w:t>Rok</w:t>
            </w:r>
            <w:r>
              <w:rPr>
                <w:noProof/>
                <w:sz w:val="22"/>
              </w:rPr>
              <w:br/>
            </w:r>
            <w:r>
              <w:rPr>
                <w:b/>
                <w:noProof/>
                <w:sz w:val="18"/>
              </w:rPr>
              <w:t>2020</w:t>
            </w:r>
          </w:p>
        </w:tc>
        <w:tc>
          <w:tcPr>
            <w:tcW w:w="0" w:type="auto"/>
            <w:gridSpan w:val="3"/>
            <w:vAlign w:val="center"/>
          </w:tcPr>
          <w:p>
            <w:pPr>
              <w:jc w:val="center"/>
              <w:rPr>
                <w:b/>
                <w:noProof/>
                <w:sz w:val="18"/>
              </w:rPr>
            </w:pPr>
            <w:r>
              <w:rPr>
                <w:noProof/>
                <w:sz w:val="18"/>
              </w:rPr>
              <w:t>Vložit počet let podle trvání finančního dopadu (viz bod 1.6)</w:t>
            </w:r>
          </w:p>
        </w:tc>
      </w:tr>
      <w:tr>
        <w:trPr>
          <w:trHeight w:val="388"/>
        </w:trPr>
        <w:tc>
          <w:tcPr>
            <w:tcW w:w="0" w:type="auto"/>
            <w:vAlign w:val="center"/>
          </w:tcPr>
          <w:p>
            <w:pPr>
              <w:spacing w:before="40" w:after="40"/>
              <w:rPr>
                <w:noProof/>
                <w:sz w:val="18"/>
                <w:szCs w:val="18"/>
              </w:rPr>
            </w:pPr>
            <w:r>
              <w:rPr>
                <w:b/>
                <w:i/>
                <w:noProof/>
                <w:sz w:val="18"/>
              </w:rPr>
              <w:t>Nový článek</w:t>
            </w:r>
            <w:r>
              <w:rPr>
                <w:noProof/>
                <w:sz w:val="18"/>
              </w:rPr>
              <w:t xml:space="preserve"> 635 Příspěvky do Evropského fondu pro udržitelný rozvoj (EFSD) – účelově vázané příjmy</w:t>
            </w: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sz w:val="18"/>
              </w:rPr>
              <w:t>Nová rozpočtová položka</w:t>
            </w:r>
            <w:r>
              <w:rPr>
                <w:noProof/>
                <w:sz w:val="18"/>
              </w:rPr>
              <w:t xml:space="preserve"> 6350 Příspěvek z ERF do EFSD</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i/>
                <w:noProof/>
                <w:sz w:val="18"/>
              </w:rPr>
              <w:t>150,000</w:t>
            </w:r>
          </w:p>
        </w:tc>
        <w:tc>
          <w:tcPr>
            <w:tcW w:w="0" w:type="auto"/>
          </w:tcPr>
          <w:p>
            <w:pPr>
              <w:spacing w:beforeLines="40" w:before="96" w:afterLines="40" w:after="96"/>
              <w:jc w:val="center"/>
              <w:rPr>
                <w:noProof/>
                <w:sz w:val="18"/>
              </w:rPr>
            </w:pPr>
            <w:r>
              <w:rPr>
                <w:i/>
                <w:noProof/>
                <w:sz w:val="18"/>
              </w:rPr>
              <w:t>150,000</w:t>
            </w:r>
          </w:p>
        </w:tc>
        <w:tc>
          <w:tcPr>
            <w:tcW w:w="0" w:type="auto"/>
          </w:tcPr>
          <w:p>
            <w:pPr>
              <w:spacing w:beforeLines="40" w:before="96" w:afterLines="40" w:after="96"/>
              <w:jc w:val="center"/>
              <w:rPr>
                <w:noProof/>
                <w:sz w:val="18"/>
              </w:rPr>
            </w:pPr>
            <w:r>
              <w:rPr>
                <w:i/>
                <w:noProof/>
                <w:sz w:val="18"/>
              </w:rPr>
              <w:t>50,000</w:t>
            </w:r>
          </w:p>
        </w:tc>
        <w:tc>
          <w:tcPr>
            <w:tcW w:w="0" w:type="auto"/>
          </w:tcPr>
          <w:p>
            <w:pPr>
              <w:spacing w:beforeLines="40" w:before="96" w:afterLines="40" w:after="96"/>
              <w:jc w:val="center"/>
              <w:rPr>
                <w:noProof/>
                <w:sz w:val="18"/>
              </w:rPr>
            </w:pPr>
            <w:r>
              <w:rPr>
                <w:i/>
                <w:noProof/>
                <w:sz w:val="18"/>
              </w:rPr>
              <w:t>50,000</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sz w:val="18"/>
              </w:rPr>
              <w:t>Nová rozpočtová položka</w:t>
            </w:r>
            <w:r>
              <w:rPr>
                <w:noProof/>
                <w:sz w:val="18"/>
              </w:rPr>
              <w:t xml:space="preserve"> 6351 Příspěvky členských států, včetně jejich agentur, subjektů nebo fyzických osob, do Evropského fondu pro udržitelný rozvoj</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sz w:val="18"/>
              </w:rPr>
              <w:t>Nová rozpočtová položka</w:t>
            </w:r>
            <w:r>
              <w:rPr>
                <w:noProof/>
                <w:sz w:val="18"/>
              </w:rPr>
              <w:t xml:space="preserve"> 6352 Příspěvky třetích zemí, včetně jejich agentur, subjektů nebo fyzických osob, do Evropského fondu pro udržitelný rozvoj</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sz w:val="18"/>
              </w:rPr>
              <w:t>Nová rozpočtová položka</w:t>
            </w:r>
            <w:r>
              <w:rPr>
                <w:noProof/>
                <w:sz w:val="18"/>
              </w:rPr>
              <w:t xml:space="preserve"> 6353 Příspěvky mezinárodních organizací do Evropského fondu pro udržitelný rozvoj</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b/>
                <w:i/>
                <w:noProof/>
                <w:sz w:val="18"/>
                <w:szCs w:val="18"/>
              </w:rPr>
            </w:pPr>
            <w:r>
              <w:rPr>
                <w:b/>
                <w:i/>
                <w:noProof/>
                <w:sz w:val="18"/>
              </w:rPr>
              <w:t>Nová rozpočtová položka</w:t>
            </w:r>
            <w:r>
              <w:rPr>
                <w:noProof/>
                <w:sz w:val="18"/>
              </w:rPr>
              <w:t xml:space="preserve"> 836 Záruka EU za Evropský fond pro udržitelný rozvoj (EFSD)</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bl>
    <w:p>
      <w:pPr>
        <w:pStyle w:val="Text1"/>
        <w:rPr>
          <w:noProof/>
          <w:szCs w:val="24"/>
        </w:rPr>
      </w:pPr>
      <w:r>
        <w:rPr>
          <w:noProof/>
        </w:rPr>
        <w:t>U „účelově vázaných“ různých příjmů upřesněte dotčené výdajové rozpočtové položky.</w:t>
      </w:r>
    </w:p>
    <w:p>
      <w:pPr>
        <w:pStyle w:val="Text1"/>
        <w:pBdr>
          <w:top w:val="single" w:sz="4" w:space="1" w:color="auto"/>
          <w:left w:val="single" w:sz="4" w:space="4" w:color="auto"/>
          <w:bottom w:val="single" w:sz="4" w:space="1" w:color="auto"/>
          <w:right w:val="single" w:sz="4" w:space="4" w:color="auto"/>
        </w:pBdr>
        <w:rPr>
          <w:noProof/>
          <w:szCs w:val="24"/>
        </w:rPr>
      </w:pPr>
      <w:r>
        <w:rPr>
          <w:noProof/>
        </w:rPr>
        <w:t>01 03 07 Záruka Evropské unie za Evropský fond pro udržitelný rozvoj (EFSD)</w:t>
      </w:r>
    </w:p>
    <w:p>
      <w:pPr>
        <w:pStyle w:val="Text1"/>
        <w:pBdr>
          <w:top w:val="single" w:sz="4" w:space="1" w:color="auto"/>
          <w:left w:val="single" w:sz="4" w:space="4" w:color="auto"/>
          <w:bottom w:val="single" w:sz="4" w:space="1" w:color="auto"/>
          <w:right w:val="single" w:sz="4" w:space="4" w:color="auto"/>
        </w:pBdr>
        <w:rPr>
          <w:noProof/>
          <w:szCs w:val="24"/>
        </w:rPr>
      </w:pPr>
      <w:r>
        <w:rPr>
          <w:noProof/>
        </w:rPr>
        <w:t>01 03 08 Poskytování prostředků pro záruční fond EFSD</w:t>
      </w:r>
    </w:p>
    <w:p>
      <w:pPr>
        <w:pStyle w:val="Text1"/>
        <w:rPr>
          <w:noProof/>
          <w:szCs w:val="24"/>
        </w:rPr>
      </w:pPr>
      <w:r>
        <w:rPr>
          <w:noProof/>
        </w:rPr>
        <w:t>Upřesněte způsob výpočtu dopadu na příjmy.</w:t>
      </w:r>
    </w:p>
    <w:p>
      <w:pPr>
        <w:pStyle w:val="Text1"/>
        <w:pBdr>
          <w:top w:val="single" w:sz="4" w:space="1" w:color="auto"/>
          <w:left w:val="single" w:sz="4" w:space="4" w:color="auto"/>
          <w:bottom w:val="single" w:sz="4" w:space="1" w:color="auto"/>
          <w:right w:val="single" w:sz="4" w:space="4" w:color="auto"/>
        </w:pBdr>
        <w:rPr>
          <w:noProof/>
          <w:szCs w:val="24"/>
        </w:rPr>
      </w:pPr>
      <w:r>
        <w:rPr>
          <w:noProof/>
        </w:rPr>
        <w:t>U příspěvku ERF se jedná o počáteční odhad na základě možného vývoje nové záruky EFSD.</w:t>
      </w: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29749E" w15:done="0"/>
  <w15:commentEx w15:paraId="5B6B798F" w15:done="0"/>
  <w15:commentEx w15:paraId="45234A93" w15:done="0"/>
  <w15:commentEx w15:paraId="75F0CB41" w15:done="0"/>
  <w15:commentEx w15:paraId="31B2855C" w15:done="0"/>
  <w15:commentEx w15:paraId="28B2E0EE" w15:done="0"/>
  <w15:commentEx w15:paraId="716BE160" w15:done="0"/>
  <w15:commentEx w15:paraId="52B214B0" w15:done="0"/>
  <w15:commentEx w15:paraId="14D084AC" w15:done="0"/>
  <w15:commentEx w15:paraId="1E7E8112" w15:done="0"/>
  <w15:commentEx w15:paraId="762A470F" w15:done="0"/>
  <w15:commentEx w15:paraId="4EF4FB24" w15:done="0"/>
  <w15:commentEx w15:paraId="2753751D" w15:done="0"/>
  <w15:commentEx w15:paraId="47C095A1" w15:done="0"/>
  <w15:commentEx w15:paraId="42390EE4" w15:done="0"/>
  <w15:commentEx w15:paraId="21FD0CA8" w15:done="0"/>
  <w15:commentEx w15:paraId="03DB5BFB" w15:done="0"/>
  <w15:commentEx w15:paraId="11646296" w15:done="0"/>
  <w15:commentEx w15:paraId="5326C306" w15:done="0"/>
  <w15:commentEx w15:paraId="11148F4E" w15:done="0"/>
  <w15:commentEx w15:paraId="5CCA59CF" w15:done="0"/>
  <w15:commentEx w15:paraId="59E4360F" w15:done="0"/>
  <w15:commentEx w15:paraId="22FAD1D1" w15:done="0"/>
  <w15:commentEx w15:paraId="0B4FF5C7" w15:done="0"/>
  <w15:commentEx w15:paraId="15948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CSquareSansPro">
    <w:altName w:val="Malgun Gothic"/>
    <w:panose1 w:val="00000000000000000000"/>
    <w:charset w:val="81"/>
    <w:family w:val="auto"/>
    <w:notTrueType/>
    <w:pitch w:val="default"/>
    <w:sig w:usb0="00000000" w:usb1="09060000" w:usb2="00000010" w:usb3="00000000" w:csb0="0008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t>COM(2016) 385.</w:t>
      </w:r>
    </w:p>
  </w:footnote>
  <w:footnote w:id="3">
    <w:p>
      <w:pPr>
        <w:pStyle w:val="FootnoteText"/>
        <w:ind w:left="284" w:hanging="284"/>
      </w:pPr>
      <w:r>
        <w:rPr>
          <w:rStyle w:val="FootnoteReference"/>
        </w:rPr>
        <w:footnoteRef/>
      </w:r>
      <w:r>
        <w:tab/>
        <w:t>Podle definice Afriky dle dohody z Cotonou (Úř. věst. L 287, 4.11.2010) a sousedství EU dle nařízení Evropského parlamentu a Rady (EU) č. 232/2014 ze dne 11. března 2014, kterým se zřizuje evropský nástroj sousedství (Úř. věst. L 77, 15.3.2014, s. 27).</w:t>
      </w:r>
    </w:p>
  </w:footnote>
  <w:footnote w:id="4">
    <w:p>
      <w:pPr>
        <w:pStyle w:val="FootnoteText"/>
        <w:ind w:left="284" w:hanging="284"/>
      </w:pPr>
      <w:r>
        <w:rPr>
          <w:rStyle w:val="FootnoteReference"/>
        </w:rPr>
        <w:footnoteRef/>
      </w:r>
      <w:r>
        <w:tab/>
        <w:t>Pro Afriku viz rozhodnutí Komise (2015)5210 a pro země sousedství viz prováděcí rozhodnutí Komise (2016)3436.</w:t>
      </w:r>
    </w:p>
  </w:footnote>
  <w:footnote w:id="5">
    <w:p>
      <w:pPr>
        <w:pStyle w:val="FootnoteText"/>
        <w:ind w:left="284" w:hanging="284"/>
      </w:pPr>
      <w:r>
        <w:rPr>
          <w:rStyle w:val="FootnoteReference"/>
        </w:rPr>
        <w:footnoteRef/>
      </w:r>
      <w:r>
        <w:tab/>
        <w:t>Úř. věst. L 317, 15.12.2000 ve znění Úř. věst. L 287, 4.11.2010.</w:t>
      </w:r>
    </w:p>
  </w:footnote>
  <w:footnote w:id="6">
    <w:p>
      <w:pPr>
        <w:pStyle w:val="FootnoteText"/>
        <w:ind w:left="284" w:hanging="284"/>
      </w:pPr>
      <w:r>
        <w:rPr>
          <w:rStyle w:val="FootnoteReference"/>
        </w:rPr>
        <w:footnoteRef/>
      </w:r>
      <w:r>
        <w:tab/>
      </w:r>
      <w:r>
        <w:rPr>
          <w:rStyle w:val="FootnoteReference"/>
        </w:rPr>
        <w:footnoteRef/>
      </w:r>
      <w:r>
        <w:t>JOIN(2015) 50 final</w:t>
      </w:r>
    </w:p>
  </w:footnote>
  <w:footnote w:id="7">
    <w:p>
      <w:pPr>
        <w:pStyle w:val="FootnoteText"/>
        <w:tabs>
          <w:tab w:val="left" w:pos="284"/>
        </w:tabs>
        <w:ind w:left="284" w:hanging="284"/>
      </w:pPr>
      <w:r>
        <w:rPr>
          <w:rStyle w:val="FootnoteReference"/>
        </w:rPr>
        <w:footnoteRef/>
      </w:r>
      <w:r>
        <w:tab/>
      </w:r>
      <w:r>
        <w:rPr>
          <w:rStyle w:val="FootnoteReference"/>
        </w:rPr>
        <w:footnoteRef/>
      </w:r>
      <w:r>
        <w:rPr>
          <w:color w:val="141413"/>
        </w:rPr>
        <w:t>Úř. věst. C 46, 24.2.2006, s. 1.</w:t>
      </w:r>
    </w:p>
  </w:footnote>
  <w:footnote w:id="8">
    <w:p>
      <w:pPr>
        <w:pStyle w:val="FootnoteText"/>
        <w:tabs>
          <w:tab w:val="left" w:pos="284"/>
        </w:tabs>
        <w:ind w:left="284" w:hanging="284"/>
      </w:pPr>
      <w:r>
        <w:rPr>
          <w:rStyle w:val="FootnoteReference"/>
        </w:rPr>
        <w:footnoteRef/>
      </w:r>
      <w:r>
        <w:tab/>
      </w:r>
      <w:r>
        <w:rPr>
          <w:rStyle w:val="FootnoteReference"/>
        </w:rPr>
        <w:footnoteRef/>
      </w:r>
      <w:r>
        <w:t>KOM(2011) 637 v konečném znění.</w:t>
      </w:r>
    </w:p>
  </w:footnote>
  <w:footnote w:id="9">
    <w:p>
      <w:pPr>
        <w:pStyle w:val="FootnoteText"/>
        <w:ind w:left="284" w:hanging="284"/>
      </w:pPr>
      <w:r>
        <w:rPr>
          <w:rStyle w:val="FootnoteReference"/>
        </w:rPr>
        <w:footnoteRef/>
      </w:r>
      <w:r>
        <w:tab/>
      </w:r>
      <w:r>
        <w:rPr>
          <w:rStyle w:val="FootnoteReference"/>
        </w:rPr>
        <w:footnoteRef/>
      </w:r>
      <w:r>
        <w:t>Pracovní dokument útvarů Komise SWD (2015) 182 final.</w:t>
      </w:r>
    </w:p>
  </w:footnote>
  <w:footnote w:id="10">
    <w:p>
      <w:pPr>
        <w:pStyle w:val="FootnoteText"/>
        <w:ind w:left="284" w:hanging="284"/>
        <w:rPr>
          <w:lang w:val="pt-PT"/>
        </w:rPr>
      </w:pPr>
      <w:r>
        <w:rPr>
          <w:rStyle w:val="FootnoteReference"/>
        </w:rPr>
        <w:footnoteRef/>
      </w:r>
      <w:r>
        <w:rPr>
          <w:lang w:val="pt-PT"/>
        </w:rPr>
        <w:tab/>
        <w:t>COM(2014) 263 final</w:t>
      </w:r>
    </w:p>
  </w:footnote>
  <w:footnote w:id="11">
    <w:p>
      <w:pPr>
        <w:pStyle w:val="FootnoteText"/>
        <w:tabs>
          <w:tab w:val="left" w:pos="284"/>
        </w:tabs>
        <w:ind w:left="284" w:hanging="284"/>
        <w:rPr>
          <w:lang w:val="pt-PT"/>
        </w:rPr>
      </w:pPr>
      <w:r>
        <w:rPr>
          <w:rStyle w:val="FootnoteReference"/>
        </w:rPr>
        <w:footnoteRef/>
      </w:r>
      <w:r>
        <w:rPr>
          <w:lang w:val="pt-PT"/>
        </w:rPr>
        <w:tab/>
      </w:r>
      <w:r>
        <w:rPr>
          <w:rStyle w:val="FootnoteReference"/>
        </w:rPr>
        <w:footnoteRef/>
      </w:r>
      <w:r>
        <w:rPr>
          <w:lang w:val="pt-PT"/>
        </w:rPr>
        <w:t>JOIN(2015) 50 final.</w:t>
      </w:r>
    </w:p>
  </w:footnote>
  <w:footnote w:id="12">
    <w:p>
      <w:pPr>
        <w:pStyle w:val="FootnoteText"/>
        <w:tabs>
          <w:tab w:val="left" w:pos="284"/>
        </w:tabs>
        <w:ind w:left="284" w:hanging="284"/>
        <w:rPr>
          <w:lang w:val="pt-PT"/>
        </w:rPr>
      </w:pPr>
      <w:r>
        <w:rPr>
          <w:rStyle w:val="FootnoteReference"/>
        </w:rPr>
        <w:footnoteRef/>
      </w:r>
      <w:r>
        <w:rPr>
          <w:lang w:val="pt-PT"/>
        </w:rPr>
        <w:tab/>
        <w:t>COM(2015) 81 final/2</w:t>
      </w:r>
    </w:p>
  </w:footnote>
  <w:footnote w:id="13">
    <w:p>
      <w:pPr>
        <w:pStyle w:val="FootnoteText"/>
        <w:ind w:left="284" w:hanging="284"/>
        <w:rPr>
          <w:lang w:val="pt-PT"/>
        </w:rPr>
      </w:pPr>
      <w:r>
        <w:rPr>
          <w:rStyle w:val="FootnoteReference"/>
        </w:rPr>
        <w:footnoteRef/>
      </w:r>
      <w:r>
        <w:rPr>
          <w:lang w:val="pt-PT"/>
        </w:rPr>
        <w:tab/>
        <w:t>COM(2016) 110.</w:t>
      </w:r>
    </w:p>
  </w:footnote>
  <w:footnote w:id="14">
    <w:p>
      <w:pPr>
        <w:pStyle w:val="FootnoteText"/>
        <w:ind w:left="284" w:hanging="284"/>
        <w:rPr>
          <w:lang w:val="pt-PT"/>
        </w:rPr>
      </w:pPr>
      <w:r>
        <w:rPr>
          <w:rStyle w:val="FootnoteReference"/>
        </w:rPr>
        <w:footnoteRef/>
      </w:r>
      <w:r>
        <w:rPr>
          <w:lang w:val="pt-PT"/>
        </w:rPr>
        <w:tab/>
        <w:t>Nařízení Evropského parlamentu a Rady (EU) 2015/1017 ze dne 25. června 2015 o Evropském fondu pro strategické investice, Evropském centru pro investiční poradenství a Evropském portálu investičních projektů a o změně nařízení (EU) č. 1291/2013 a (EU) č. 1316/2013 – Evropský fond pro strategické investice, Úř. věst. L 169, 1.7.2015, s.1.</w:t>
      </w:r>
    </w:p>
  </w:footnote>
  <w:footnote w:id="15">
    <w:p>
      <w:pPr>
        <w:pStyle w:val="FootnoteText"/>
        <w:ind w:left="284" w:hanging="284"/>
        <w:rPr>
          <w:lang w:val="pt-PT"/>
        </w:rPr>
      </w:pPr>
      <w:r>
        <w:rPr>
          <w:rStyle w:val="FootnoteReference"/>
        </w:rPr>
        <w:footnoteRef/>
      </w:r>
      <w:r>
        <w:rPr>
          <w:lang w:val="pt-PT"/>
        </w:rPr>
        <w:tab/>
        <w:t>Pro Afriku viz rozhodnutí Komise (2015)5210 a pro země sousedství viz rozhodnutí Komise (2016)3436.</w:t>
      </w:r>
    </w:p>
  </w:footnote>
  <w:footnote w:id="16">
    <w:p>
      <w:pPr>
        <w:pStyle w:val="FootnoteText"/>
        <w:tabs>
          <w:tab w:val="left" w:pos="284"/>
        </w:tabs>
        <w:ind w:left="284" w:hanging="284"/>
      </w:pPr>
      <w:r>
        <w:rPr>
          <w:rStyle w:val="FootnoteReference"/>
        </w:rPr>
        <w:footnoteRef/>
      </w:r>
      <w:r>
        <w:tab/>
        <w:t>JOIN(2015) 50 final.</w:t>
      </w:r>
    </w:p>
  </w:footnote>
  <w:footnote w:id="17">
    <w:p>
      <w:pPr>
        <w:pStyle w:val="FootnoteText"/>
        <w:tabs>
          <w:tab w:val="left" w:pos="284"/>
        </w:tabs>
        <w:ind w:left="284" w:hanging="284"/>
      </w:pPr>
      <w:r>
        <w:rPr>
          <w:rStyle w:val="FootnoteReference"/>
        </w:rPr>
        <w:footnoteRef/>
      </w:r>
      <w:r>
        <w:tab/>
      </w:r>
      <w:r>
        <w:rPr>
          <w:color w:val="141413"/>
        </w:rPr>
        <w:t>Úř. věst. C 46, 24.2.2006, s. 1.</w:t>
      </w:r>
    </w:p>
  </w:footnote>
  <w:footnote w:id="18">
    <w:p>
      <w:pPr>
        <w:pStyle w:val="FootnoteText"/>
        <w:tabs>
          <w:tab w:val="left" w:pos="284"/>
        </w:tabs>
        <w:ind w:left="284" w:hanging="284"/>
      </w:pPr>
      <w:r>
        <w:rPr>
          <w:rStyle w:val="FootnoteReference"/>
        </w:rPr>
        <w:footnoteRef/>
      </w:r>
      <w:r>
        <w:tab/>
      </w:r>
      <w:r>
        <w:rPr>
          <w:color w:val="000000"/>
        </w:rPr>
        <w:t>KOM(2011) 637 v konečném znění.</w:t>
      </w:r>
    </w:p>
  </w:footnote>
  <w:footnote w:id="19">
    <w:p>
      <w:pPr>
        <w:pStyle w:val="FootnoteText"/>
        <w:tabs>
          <w:tab w:val="left" w:pos="284"/>
        </w:tabs>
        <w:ind w:left="284" w:hanging="284"/>
      </w:pPr>
      <w:r>
        <w:rPr>
          <w:rStyle w:val="FootnoteReference"/>
        </w:rPr>
        <w:footnoteRef/>
      </w:r>
      <w:r>
        <w:tab/>
        <w:t>Pracovní dokument útvarů Komise SWD (2015) 182 final.</w:t>
      </w:r>
    </w:p>
  </w:footnote>
  <w:footnote w:id="20">
    <w:p>
      <w:pPr>
        <w:pStyle w:val="FootnoteText"/>
        <w:ind w:left="284" w:hanging="284"/>
        <w:rPr>
          <w:lang w:val="pt-PT"/>
        </w:rPr>
      </w:pPr>
      <w:r>
        <w:rPr>
          <w:rStyle w:val="FootnoteReference"/>
        </w:rPr>
        <w:footnoteRef/>
      </w:r>
      <w:r>
        <w:rPr>
          <w:lang w:val="pt-PT"/>
        </w:rPr>
        <w:tab/>
        <w:t>Úř. věst L 210/1, 6.8.2013.</w:t>
      </w:r>
    </w:p>
  </w:footnote>
  <w:footnote w:id="21">
    <w:p>
      <w:pPr>
        <w:pStyle w:val="FootnoteText"/>
        <w:ind w:left="284" w:hanging="284"/>
        <w:rPr>
          <w:lang w:val="pt-PT"/>
        </w:rPr>
      </w:pPr>
      <w:r>
        <w:rPr>
          <w:rStyle w:val="FootnoteReference"/>
        </w:rPr>
        <w:footnoteRef/>
      </w:r>
      <w:r>
        <w:rPr>
          <w:lang w:val="pt-PT"/>
        </w:rPr>
        <w:tab/>
        <w:t xml:space="preserve">COM(2015) 5210. </w:t>
      </w:r>
    </w:p>
  </w:footnote>
  <w:footnote w:id="22">
    <w:p>
      <w:pPr>
        <w:pStyle w:val="FootnoteText"/>
        <w:ind w:left="284" w:hanging="284"/>
        <w:rPr>
          <w:lang w:val="pt-PT"/>
        </w:rPr>
      </w:pPr>
      <w:r>
        <w:rPr>
          <w:rStyle w:val="FootnoteReference"/>
        </w:rPr>
        <w:footnoteRef/>
      </w:r>
      <w:r>
        <w:rPr>
          <w:lang w:val="pt-PT"/>
        </w:rPr>
        <w:tab/>
        <w:t xml:space="preserve">COM(2016) 3436. </w:t>
      </w:r>
    </w:p>
  </w:footnote>
  <w:footnote w:id="23">
    <w:p>
      <w:pPr>
        <w:pStyle w:val="FootnoteText"/>
        <w:ind w:left="284" w:hanging="284"/>
        <w:rPr>
          <w:sz w:val="18"/>
          <w:szCs w:val="18"/>
          <w:lang w:val="pl-PL"/>
        </w:rPr>
      </w:pPr>
      <w:r>
        <w:rPr>
          <w:rStyle w:val="FootnoteReference"/>
        </w:rPr>
        <w:footnoteRef/>
      </w:r>
      <w:r>
        <w:rPr>
          <w:lang w:val="pt-PT"/>
        </w:rPr>
        <w:tab/>
        <w:t xml:space="preserve">Úř. věst. L 317, 15.12.2000 ve znění Úř. věst. </w:t>
      </w:r>
      <w:r>
        <w:rPr>
          <w:lang w:val="pl-PL"/>
        </w:rPr>
        <w:t>L 287, 4.11.2010.</w:t>
      </w:r>
    </w:p>
  </w:footnote>
  <w:footnote w:id="24">
    <w:p>
      <w:pPr>
        <w:pStyle w:val="FootnoteText"/>
        <w:ind w:left="284" w:hanging="284"/>
        <w:rPr>
          <w:lang w:val="pl-PL"/>
        </w:rPr>
      </w:pPr>
      <w:r>
        <w:rPr>
          <w:rStyle w:val="FootnoteReference"/>
        </w:rPr>
        <w:footnoteRef/>
      </w:r>
      <w:r>
        <w:rPr>
          <w:lang w:val="pl-PL"/>
        </w:rPr>
        <w:tab/>
        <w:t>Příloha II dohody z Cotonou.</w:t>
      </w:r>
    </w:p>
  </w:footnote>
  <w:footnote w:id="25">
    <w:p>
      <w:pPr>
        <w:pStyle w:val="FootnoteText"/>
        <w:ind w:left="284" w:hanging="284"/>
        <w:rPr>
          <w:lang w:val="pl-PL"/>
        </w:rPr>
      </w:pPr>
      <w:r>
        <w:rPr>
          <w:rStyle w:val="FootnoteReference"/>
        </w:rPr>
        <w:footnoteRef/>
      </w:r>
      <w:r>
        <w:rPr>
          <w:lang w:val="pl-PL"/>
        </w:rPr>
        <w:tab/>
        <w:t>Nařízení Evropského parlamentu a Rady (EU, Euratom) č. 966/2012 ze dne 25. října 2012, kterým se stanoví finanční pravidla pro souhrnný rozpočet Unie a kterým se zrušuje nařízení Rady (ES, Euratom) č. 1605/2002 (Úř. věst. L 298, 26.10.2012, s. 1).</w:t>
      </w:r>
    </w:p>
  </w:footnote>
  <w:footnote w:id="26">
    <w:p>
      <w:pPr>
        <w:pStyle w:val="FootnoteText"/>
        <w:ind w:left="284" w:hanging="284"/>
        <w:rPr>
          <w:lang w:val="pl-PL"/>
        </w:rPr>
      </w:pPr>
      <w:r>
        <w:rPr>
          <w:rStyle w:val="FootnoteReference"/>
        </w:rPr>
        <w:footnoteRef/>
      </w:r>
      <w:r>
        <w:rPr>
          <w:lang w:val="pl-PL"/>
        </w:rPr>
        <w:tab/>
        <w:t>Vnitřní dohoda mezi zástupci vlád členských států Evropské unie zasedajícími v Radě o financování pomoci Evropské unie v rámci víceletého finančního rámce na období 2014–2020 podle dohody o partnerství AKT-EU a o přidělení finanční pomoci zámořským zemím a územím, na které se vztahuje čtvrtá část Smlouvy o fungování Evropské unie (Úř. věst. L 210, 6.8.2013, s. 1).</w:t>
      </w:r>
    </w:p>
  </w:footnote>
  <w:footnote w:id="27">
    <w:p>
      <w:pPr>
        <w:pStyle w:val="FootnoteText"/>
        <w:ind w:left="284" w:hanging="284"/>
        <w:rPr>
          <w:lang w:val="pl-PL"/>
        </w:rPr>
      </w:pPr>
      <w:r>
        <w:rPr>
          <w:rStyle w:val="FootnoteReference"/>
        </w:rPr>
        <w:footnoteRef/>
      </w:r>
      <w:r>
        <w:rPr>
          <w:lang w:val="pl-PL"/>
        </w:rPr>
        <w:tab/>
        <w:t>Nařízení Evropského parlamentu a Rady (EU, Euratom) č. 883/2013 ze dne 11. září 2013 o vyšetřování prováděném Evropským úřadem pro boj proti podvodům (OLAF) a o zrušení nařízení Evropského parlamentu a Rady (ES) č. 1073/1999 a nařízení Rady (Euratom) č. 1074/1999 (Úř. věst. L 248, 18.9.2013, s. 1).</w:t>
      </w:r>
    </w:p>
  </w:footnote>
  <w:footnote w:id="28">
    <w:p>
      <w:pPr>
        <w:pStyle w:val="FootnoteText"/>
        <w:ind w:left="284" w:hanging="284"/>
        <w:rPr>
          <w:lang w:val="pl-PL"/>
        </w:rPr>
      </w:pPr>
      <w:r>
        <w:rPr>
          <w:rStyle w:val="FootnoteReference"/>
        </w:rPr>
        <w:footnoteRef/>
      </w:r>
      <w:r>
        <w:rPr>
          <w:lang w:val="pl-PL"/>
        </w:rPr>
        <w:tab/>
        <w:t>Nařízení Rady (Euratom, ES) č. 2185/96 ze dne 11. listopadu 1996 o kontrolách a inspekcích na místě prováděných Komisí za účelem ochrany finančních zájmů Evropských společenství proti podvodům a jiným nesrovnalostem (Úř. věst. L 292, 15.11.1996, s. 2).</w:t>
      </w:r>
    </w:p>
  </w:footnote>
  <w:footnote w:id="29">
    <w:p>
      <w:pPr>
        <w:pStyle w:val="FootnoteText"/>
        <w:ind w:left="284" w:hanging="284"/>
        <w:rPr>
          <w:lang w:val="pl-PL"/>
        </w:rPr>
      </w:pPr>
      <w:r>
        <w:rPr>
          <w:rStyle w:val="FootnoteReference"/>
        </w:rPr>
        <w:footnoteRef/>
      </w:r>
      <w:r>
        <w:rPr>
          <w:lang w:val="pl-PL"/>
        </w:rPr>
        <w:tab/>
        <w:t>Nařízení Rady (ES, Euratom) č. 2988/95 ze dne 18. prosince 1995 o ochraně finančních zájmů Evropských společenství (Úř. věst. L 312, 23.12.1995, s. 1).</w:t>
      </w:r>
    </w:p>
  </w:footnote>
  <w:footnote w:id="30">
    <w:p>
      <w:pPr>
        <w:pStyle w:val="FootnoteText"/>
        <w:ind w:left="284" w:hanging="284"/>
        <w:rPr>
          <w:lang w:val="pl-PL"/>
        </w:rPr>
      </w:pPr>
      <w:r>
        <w:rPr>
          <w:rStyle w:val="FootnoteReference"/>
        </w:rPr>
        <w:footnoteRef/>
      </w:r>
      <w:r>
        <w:rPr>
          <w:lang w:val="pl-PL"/>
        </w:rPr>
        <w:tab/>
        <w:t>Nařízení Evropského parlamentu a Rady (EU) č. 236/2014 ze dne 11. března 2014, kterým se stanoví společná pravidla a postupy pro provádění nástrojů Unie pro financování vnější činnosti (Úř. věst. L 77, 15.3.2014, s. 95).</w:t>
      </w:r>
    </w:p>
  </w:footnote>
  <w:footnote w:id="31">
    <w:p>
      <w:pPr>
        <w:pStyle w:val="FootnoteText"/>
        <w:ind w:left="284" w:hanging="284"/>
        <w:rPr>
          <w:lang w:val="pl-PL"/>
        </w:rPr>
      </w:pPr>
      <w:r>
        <w:rPr>
          <w:rStyle w:val="FootnoteReference"/>
        </w:rPr>
        <w:footnoteRef/>
      </w:r>
      <w:r>
        <w:rPr>
          <w:lang w:val="pl-PL"/>
        </w:rPr>
        <w:tab/>
        <w:t>Nařízení Rady (EU) 2015/323 ze dne 2. března 2015 o finančním nařízení pro 11. Evropský rozvojový fond (Úř. věst. L 58, 3.3.2015, s. 17).</w:t>
      </w:r>
    </w:p>
  </w:footnote>
  <w:footnote w:id="32">
    <w:p>
      <w:pPr>
        <w:pStyle w:val="FootnoteText"/>
        <w:ind w:left="284" w:hanging="284"/>
        <w:rPr>
          <w:lang w:val="pl-PL"/>
        </w:rPr>
      </w:pPr>
      <w:r>
        <w:rPr>
          <w:rStyle w:val="FootnoteReference"/>
        </w:rPr>
        <w:footnoteRef/>
      </w:r>
      <w:r>
        <w:rPr>
          <w:lang w:val="pl-PL"/>
        </w:rPr>
        <w:tab/>
        <w:t>Úř. věst. L 317, 15.12.2000 ve znění Úř. věst. L 287, 4.11.2010.</w:t>
      </w:r>
    </w:p>
  </w:footnote>
  <w:footnote w:id="33">
    <w:p>
      <w:pPr>
        <w:pStyle w:val="FootnoteText"/>
        <w:ind w:left="284" w:hanging="284"/>
        <w:rPr>
          <w:lang w:val="pl-PL"/>
        </w:rPr>
      </w:pPr>
      <w:r>
        <w:rPr>
          <w:rStyle w:val="FootnoteReference"/>
        </w:rPr>
        <w:footnoteRef/>
      </w:r>
      <w:r>
        <w:rPr>
          <w:lang w:val="pl-PL"/>
        </w:rPr>
        <w:tab/>
      </w:r>
      <w:r>
        <w:rPr>
          <w:color w:val="000000"/>
          <w:lang w:val="pl-PL"/>
        </w:rPr>
        <w:t>Nařízení Evropského parlamentu a Rady (EU) č. 232/2014 ze dne 11. března 2014, kterým se zřizuje evropský nástroj sousedství. (Úř. věst. L 77, 15.3.2014, 27).</w:t>
      </w:r>
    </w:p>
  </w:footnote>
  <w:footnote w:id="34">
    <w:p>
      <w:pPr>
        <w:pStyle w:val="FootnoteText"/>
        <w:ind w:left="284" w:hanging="284"/>
        <w:rPr>
          <w:sz w:val="18"/>
          <w:szCs w:val="18"/>
          <w:lang w:val="pl-PL"/>
        </w:rPr>
      </w:pPr>
      <w:r>
        <w:rPr>
          <w:rStyle w:val="FootnoteReference"/>
        </w:rPr>
        <w:footnoteRef/>
      </w:r>
      <w:r>
        <w:rPr>
          <w:lang w:val="pl-PL"/>
        </w:rPr>
        <w:tab/>
        <w:t>Nařízení Evropského parlamentu a Rady (EU) č. 233/2014 ze dne 11. března 2014, kterým se zřizuje finanční nástroj pro rozvojovou spolupráci na období 2014–2020 (Úř. věst. L 77, 15.3.2014, s. 44).</w:t>
      </w:r>
    </w:p>
  </w:footnote>
  <w:footnote w:id="35">
    <w:p>
      <w:pPr>
        <w:pStyle w:val="FootnoteText"/>
        <w:ind w:left="284" w:hanging="284"/>
        <w:rPr>
          <w:lang w:val="pl-PL"/>
        </w:rPr>
      </w:pPr>
      <w:r>
        <w:rPr>
          <w:rStyle w:val="FootnoteReference"/>
        </w:rPr>
        <w:footnoteRef/>
      </w:r>
      <w:r>
        <w:rPr>
          <w:lang w:val="pl-PL"/>
        </w:rPr>
        <w:tab/>
        <w:t xml:space="preserve">Vnitřní dohoda mezi zástupci vlád členských států Evropské unie zasedajícími v Radě o financování pomoci Evropské unie v rámci víceletého finančního rámce na období 2014–2020 podle dohody o partnerství AKT-EU a o přidělení finanční pomoci zámořským zemím a územím, na které se vztahuje čtvrtá část Smlouvy o fungování Evropské unie, Úř. věst. L 210, 6.8.2013, s.1. </w:t>
      </w:r>
    </w:p>
  </w:footnote>
  <w:footnote w:id="36">
    <w:p>
      <w:pPr>
        <w:pStyle w:val="FootnoteText"/>
        <w:ind w:left="284" w:hanging="284"/>
        <w:rPr>
          <w:lang w:val="pl-PL"/>
        </w:rPr>
      </w:pPr>
      <w:r>
        <w:rPr>
          <w:rStyle w:val="FootnoteReference"/>
        </w:rPr>
        <w:footnoteRef/>
      </w:r>
      <w:r>
        <w:rPr>
          <w:lang w:val="pl-PL"/>
        </w:rPr>
        <w:tab/>
        <w:t>Nařízení Evropského parlamentu a Rady (EU) 2015/847 ze dne 20. května 2015 o informacích doprovázejících převody peněžních prostředků a o zrušení nařízení (ES) č. 1781/2006 (Úř. věst. L 141, 5.6.2015, s. 1).</w:t>
      </w:r>
    </w:p>
  </w:footnote>
  <w:footnote w:id="37">
    <w:p>
      <w:pPr>
        <w:pStyle w:val="FootnoteText"/>
        <w:ind w:left="284" w:hanging="284"/>
        <w:rPr>
          <w:lang w:val="pl-PL"/>
        </w:rPr>
      </w:pPr>
      <w:r>
        <w:rPr>
          <w:rStyle w:val="FootnoteReference"/>
        </w:rPr>
        <w:footnoteRef/>
      </w:r>
      <w:r>
        <w:rPr>
          <w:lang w:val="pl-PL"/>
        </w:rPr>
        <w:tab/>
        <w:t>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(Úř. věst. L 141, 5.6.2015, s. 73).</w:t>
      </w:r>
    </w:p>
  </w:footnote>
  <w:footnote w:id="38">
    <w:p>
      <w:pPr>
        <w:pStyle w:val="FootnoteText"/>
        <w:ind w:left="284" w:hanging="284"/>
        <w:rPr>
          <w:szCs w:val="24"/>
          <w:lang w:val="pl-PL"/>
        </w:rPr>
      </w:pPr>
      <w:r>
        <w:rPr>
          <w:rStyle w:val="FootnoteReference"/>
        </w:rPr>
        <w:footnoteRef/>
      </w:r>
      <w:r>
        <w:rPr>
          <w:lang w:val="pl-PL"/>
        </w:rPr>
        <w:tab/>
        <w:t>ABM: řízení podle činností (activity-based management); ABB: sestavování rozpočtu podle činností (activity-based budgeting).</w:t>
      </w:r>
    </w:p>
  </w:footnote>
  <w:footnote w:id="39">
    <w:p>
      <w:pPr>
        <w:pStyle w:val="FootnoteText"/>
        <w:ind w:left="284" w:hanging="284"/>
        <w:rPr>
          <w:szCs w:val="24"/>
          <w:lang w:val="pl-PL"/>
        </w:rPr>
      </w:pPr>
      <w:r>
        <w:rPr>
          <w:rStyle w:val="FootnoteReference"/>
        </w:rPr>
        <w:footnoteRef/>
      </w:r>
      <w:r>
        <w:rPr>
          <w:lang w:val="pl-PL"/>
        </w:rPr>
        <w:tab/>
        <w:t>Uvedené v čl. 54 odst. 2 písm. a) nebo b) finančního nařízení.</w:t>
      </w:r>
    </w:p>
  </w:footnote>
  <w:footnote w:id="40">
    <w:p>
      <w:pPr>
        <w:pStyle w:val="FootnoteText"/>
        <w:ind w:left="284" w:hanging="284"/>
        <w:rPr>
          <w:lang w:val="pl-PL"/>
        </w:rPr>
      </w:pPr>
      <w:r>
        <w:rPr>
          <w:rStyle w:val="FootnoteReference"/>
        </w:rPr>
        <w:footnoteRef/>
      </w:r>
      <w:r>
        <w:rPr>
          <w:lang w:val="pl-PL"/>
        </w:rPr>
        <w:tab/>
        <w:t xml:space="preserve">C(2015) </w:t>
      </w:r>
      <w:r>
        <w:rPr>
          <w:rStyle w:val="FootnoteReference"/>
          <w:vertAlign w:val="baseline"/>
          <w:lang w:val="pl-PL"/>
        </w:rPr>
        <w:t>5210</w:t>
      </w:r>
      <w:r>
        <w:rPr>
          <w:lang w:val="pl-PL"/>
        </w:rPr>
        <w:t xml:space="preserve"> final, 29.7.2015, rozhodnutí Komise o jednotlivých opatřeních pro „vytvoření investiční facility pro Afriku“ v rámci 11. Evropského rozvojového fondu.</w:t>
      </w:r>
    </w:p>
  </w:footnote>
  <w:footnote w:id="41">
    <w:p>
      <w:pPr>
        <w:pStyle w:val="FootnoteText"/>
        <w:ind w:left="284" w:hanging="284"/>
        <w:jc w:val="left"/>
        <w:rPr>
          <w:szCs w:val="24"/>
          <w:lang w:val="pl-PL"/>
        </w:rPr>
      </w:pPr>
      <w:r>
        <w:rPr>
          <w:rStyle w:val="FootnoteReference"/>
        </w:rPr>
        <w:footnoteRef/>
      </w:r>
      <w:r>
        <w:rPr>
          <w:lang w:val="pl-PL"/>
        </w:rPr>
        <w:tab/>
        <w:t xml:space="preserve">Vysvětlení způsobů řízení spolu s odkazem na finanční nařízení jsou k dispozici na stránkách BudgWeb: </w:t>
      </w:r>
      <w:hyperlink r:id="rId1">
        <w:r>
          <w:rPr>
            <w:rStyle w:val="Hyperlink"/>
            <w:lang w:val="pl-PL"/>
          </w:rPr>
          <w:t>https://myintracomm.ec.europa.eu/budgweb/EN/man/budgmanag/Pages/budgmanag.aspx</w:t>
        </w:r>
      </w:hyperlink>
      <w:r>
        <w:rPr>
          <w:lang w:val="pl-PL"/>
        </w:rPr>
        <w:t xml:space="preserve"> </w:t>
      </w:r>
    </w:p>
  </w:footnote>
  <w:footnote w:id="42">
    <w:p>
      <w:pPr>
        <w:pStyle w:val="FootnoteText"/>
        <w:ind w:left="284" w:hanging="284"/>
        <w:rPr>
          <w:szCs w:val="24"/>
          <w:lang w:val="pl-PL"/>
        </w:rPr>
      </w:pPr>
      <w:r>
        <w:rPr>
          <w:rStyle w:val="FootnoteReference"/>
        </w:rPr>
        <w:footnoteRef/>
      </w:r>
      <w:r>
        <w:rPr>
          <w:lang w:val="pl-PL"/>
        </w:rPr>
        <w:tab/>
        <w:t>Rokem N se rozumí rok, kdy se návrh/podnět začíná provádět.</w:t>
      </w:r>
    </w:p>
  </w:footnote>
  <w:footnote w:id="43">
    <w:p>
      <w:pPr>
        <w:pStyle w:val="FootnoteText"/>
        <w:ind w:left="284" w:hanging="284"/>
        <w:rPr>
          <w:szCs w:val="24"/>
          <w:lang w:val="pl-PL"/>
        </w:rPr>
      </w:pPr>
      <w:r>
        <w:rPr>
          <w:rStyle w:val="FootnoteReference"/>
        </w:rPr>
        <w:footnoteRef/>
      </w:r>
      <w:r>
        <w:rPr>
          <w:lang w:val="pl-PL"/>
        </w:rPr>
        <w:tab/>
        <w:t>Technická a/nebo administrativní pomoc a výdaje na podporu provádění programů a/nebo akcí EU (bývalé položky „BA“), nepřímý výzkum, přímý výzkum.</w:t>
      </w:r>
    </w:p>
  </w:footnote>
  <w:footnote w:id="44">
    <w:p>
      <w:pPr>
        <w:pStyle w:val="FootnoteText"/>
        <w:ind w:left="284" w:hanging="284"/>
        <w:rPr>
          <w:lang w:val="pl-PL"/>
        </w:rPr>
      </w:pPr>
      <w:r>
        <w:rPr>
          <w:rStyle w:val="FootnoteReference"/>
        </w:rPr>
        <w:footnoteRef/>
      </w:r>
      <w:r>
        <w:rPr>
          <w:lang w:val="pl-PL"/>
        </w:rPr>
        <w:tab/>
        <w:t>Jeden smluvní zaměstnanec bude financován z rozpočtu Evropské služby pro vnější činnost (ESVČ) pro účely lepšího provázání politik.</w:t>
      </w:r>
    </w:p>
  </w:footnote>
  <w:footnote w:id="45">
    <w:p>
      <w:pPr>
        <w:pStyle w:val="FootnoteText"/>
        <w:ind w:left="284" w:hanging="284"/>
        <w:rPr>
          <w:szCs w:val="24"/>
          <w:lang w:val="pl-PL"/>
        </w:rPr>
      </w:pPr>
      <w:r>
        <w:rPr>
          <w:rStyle w:val="FootnoteReference"/>
        </w:rPr>
        <w:footnoteRef/>
      </w:r>
      <w:r>
        <w:rPr>
          <w:lang w:val="pl-PL"/>
        </w:rPr>
        <w:tab/>
        <w:t>Výstupy se rozumí produkty a služby, které mají být dodány (např. počet financovaných studentských výměn, počet vybudovaných kilometrů silnic atd.).</w:t>
      </w:r>
    </w:p>
  </w:footnote>
  <w:footnote w:id="46">
    <w:p>
      <w:pPr>
        <w:pStyle w:val="FootnoteText"/>
        <w:ind w:left="284" w:hanging="284"/>
        <w:rPr>
          <w:szCs w:val="24"/>
          <w:lang w:val="pl-PL"/>
        </w:rPr>
      </w:pPr>
      <w:r>
        <w:rPr>
          <w:rStyle w:val="FootnoteReference"/>
        </w:rPr>
        <w:footnoteRef/>
      </w:r>
      <w:r>
        <w:rPr>
          <w:lang w:val="pl-PL"/>
        </w:rPr>
        <w:tab/>
        <w:t>Rokem N se rozumí rok, kdy se návrh/podnět začíná provádět.</w:t>
      </w:r>
    </w:p>
  </w:footnote>
  <w:footnote w:id="47">
    <w:p>
      <w:pPr>
        <w:pStyle w:val="FootnoteText"/>
        <w:ind w:left="284" w:hanging="284"/>
        <w:rPr>
          <w:szCs w:val="24"/>
          <w:lang w:val="pl-PL"/>
        </w:rPr>
      </w:pPr>
      <w:r>
        <w:rPr>
          <w:rStyle w:val="FootnoteReference"/>
        </w:rPr>
        <w:footnoteRef/>
      </w:r>
      <w:r>
        <w:rPr>
          <w:lang w:val="pl-PL"/>
        </w:rPr>
        <w:tab/>
        <w:t>Technická a/nebo administrativní pomoc a výdaje na podporu provádění programů a/nebo akcí EU (bývalé položky „BA“), nepřímý výzkum, přímý výzkum.</w:t>
      </w:r>
    </w:p>
  </w:footnote>
  <w:footnote w:id="48">
    <w:p>
      <w:pPr>
        <w:pStyle w:val="FootnoteText"/>
        <w:ind w:left="284" w:hanging="284"/>
        <w:rPr>
          <w:szCs w:val="24"/>
          <w:lang w:val="pl-PL"/>
        </w:rPr>
      </w:pPr>
      <w:r>
        <w:rPr>
          <w:rStyle w:val="FootnoteReference"/>
        </w:rPr>
        <w:footnoteRef/>
      </w:r>
      <w:r>
        <w:rPr>
          <w:lang w:val="pl-PL"/>
        </w:rPr>
        <w:tab/>
        <w:t xml:space="preserve">SZ = smluvní zaměstnanec; MZ = místní zaměstnanec; VNO = vyslaný národní odborník; ZAP = zaměstnanec agentury práce; MOD = mladý odborník při delegaci. </w:t>
      </w:r>
    </w:p>
  </w:footnote>
  <w:footnote w:id="49">
    <w:p>
      <w:pPr>
        <w:pStyle w:val="FootnoteText"/>
        <w:ind w:left="284" w:hanging="284"/>
        <w:rPr>
          <w:lang w:val="pl-PL"/>
        </w:rPr>
      </w:pPr>
      <w:r>
        <w:rPr>
          <w:rStyle w:val="FootnoteReference"/>
        </w:rPr>
        <w:footnoteRef/>
      </w:r>
      <w:r>
        <w:rPr>
          <w:lang w:val="pl-PL"/>
        </w:rPr>
        <w:tab/>
        <w:t>Část externích zaměstnanců, kteří jsou potřební, bude zajištěna interním přerozdělením externích zaměstnanců financovaných z linie administrativní podpory evropského nástroje sousedství (ENI) / ERF v poměru k operačním prostředkům určeným na danou akci.</w:t>
      </w:r>
    </w:p>
  </w:footnote>
  <w:footnote w:id="50">
    <w:p>
      <w:pPr>
        <w:pStyle w:val="FootnoteText"/>
        <w:ind w:left="284" w:hanging="284"/>
        <w:rPr>
          <w:szCs w:val="24"/>
          <w:lang w:val="pl-PL"/>
        </w:rPr>
      </w:pPr>
      <w:r>
        <w:rPr>
          <w:rStyle w:val="FootnoteReference"/>
        </w:rPr>
        <w:footnoteRef/>
      </w:r>
      <w:r>
        <w:rPr>
          <w:lang w:val="pl-PL"/>
        </w:rPr>
        <w:tab/>
        <w:t>Dílčí strop na externí zaměstnance financované z operačních prostředků (bývalé položky „BA“).</w:t>
      </w:r>
    </w:p>
  </w:footnote>
  <w:footnote w:id="51">
    <w:p>
      <w:pPr>
        <w:pStyle w:val="FootnoteText"/>
        <w:ind w:left="284" w:hanging="284"/>
        <w:rPr>
          <w:szCs w:val="24"/>
          <w:lang w:val="pl-PL"/>
        </w:rPr>
      </w:pPr>
      <w:r>
        <w:rPr>
          <w:rStyle w:val="FootnoteReference"/>
        </w:rPr>
        <w:footnoteRef/>
      </w:r>
      <w:r>
        <w:rPr>
          <w:lang w:val="pl-PL"/>
        </w:rPr>
        <w:tab/>
        <w:t>Pokud jde o tradiční vlastní zdroje (cla, dávky z cukru), je třeba uvést čisté částky, tj. hrubé částky po odečtení 25%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10"/>
  </w:num>
  <w:num w:numId="8">
    <w:abstractNumId w:val="4"/>
  </w:num>
  <w:num w:numId="9">
    <w:abstractNumId w:val="3"/>
  </w:num>
  <w:num w:numId="10">
    <w:abstractNumId w:val="2"/>
  </w:num>
  <w:num w:numId="11">
    <w:abstractNumId w:val="1"/>
  </w:num>
  <w:num w:numId="12">
    <w:abstractNumId w:val="0"/>
  </w:num>
  <w:num w:numId="13">
    <w:abstractNumId w:val="25"/>
    <w:lvlOverride w:ilvl="0">
      <w:startOverride w:val="1"/>
    </w:lvlOverride>
  </w:num>
  <w:num w:numId="14">
    <w:abstractNumId w:val="19"/>
  </w:num>
  <w:num w:numId="15">
    <w:abstractNumId w:val="11"/>
  </w:num>
  <w:num w:numId="16">
    <w:abstractNumId w:val="22"/>
  </w:num>
  <w:num w:numId="17">
    <w:abstractNumId w:val="9"/>
  </w:num>
  <w:num w:numId="18">
    <w:abstractNumId w:val="12"/>
  </w:num>
  <w:num w:numId="19">
    <w:abstractNumId w:val="7"/>
  </w:num>
  <w:num w:numId="20">
    <w:abstractNumId w:val="21"/>
  </w:num>
  <w:num w:numId="21">
    <w:abstractNumId w:val="6"/>
  </w:num>
  <w:num w:numId="22">
    <w:abstractNumId w:val="13"/>
  </w:num>
  <w:num w:numId="23">
    <w:abstractNumId w:val="17"/>
  </w:num>
  <w:num w:numId="24">
    <w:abstractNumId w:val="18"/>
  </w:num>
  <w:num w:numId="25">
    <w:abstractNumId w:val="8"/>
  </w:num>
  <w:num w:numId="26">
    <w:abstractNumId w:val="16"/>
  </w:num>
  <w:num w:numId="27">
    <w:abstractNumId w:val="2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1"/>
  </w:num>
  <w:num w:numId="31">
    <w:abstractNumId w:val="22"/>
  </w:num>
  <w:num w:numId="32">
    <w:abstractNumId w:val="9"/>
  </w:num>
  <w:num w:numId="33">
    <w:abstractNumId w:val="12"/>
  </w:num>
  <w:num w:numId="34">
    <w:abstractNumId w:val="7"/>
  </w:num>
  <w:num w:numId="35">
    <w:abstractNumId w:val="21"/>
  </w:num>
  <w:num w:numId="36">
    <w:abstractNumId w:val="6"/>
  </w:num>
  <w:num w:numId="37">
    <w:abstractNumId w:val="13"/>
  </w:num>
  <w:num w:numId="38">
    <w:abstractNumId w:val="17"/>
  </w:num>
  <w:num w:numId="39">
    <w:abstractNumId w:val="18"/>
  </w:num>
  <w:num w:numId="40">
    <w:abstractNumId w:val="8"/>
  </w:num>
  <w:num w:numId="41">
    <w:abstractNumId w:val="16"/>
  </w:num>
  <w:num w:numId="42">
    <w:abstractNumId w:val="2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ulia">
    <w15:presenceInfo w15:providerId="None" w15:userId="Gi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28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9 08:43: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567E00206E4441B8AE3AF3703B6BD080"/>
    <w:docVar w:name="LW_CROSSREFERENCE" w:val="&lt;UNUSED&gt;"/>
    <w:docVar w:name="LW_DocType" w:val="COM"/>
    <w:docVar w:name="LW_EMISSION" w:val="14.9.2016"/>
    <w:docVar w:name="LW_EMISSION_ISODATE" w:val="2016-09-14"/>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81"/>
    <w:docVar w:name="LW_REF.II.NEW.CP_YEAR" w:val="2016"/>
    <w:docVar w:name="LW_REF.INST.NEW" w:val="COM"/>
    <w:docVar w:name="LW_REF.INST.NEW_ADOPTED" w:val="final"/>
    <w:docVar w:name="LW_REF.INST.NEW_TEXT" w:val="(2016) 586"/>
    <w:docVar w:name="LW_REF.INTERNE" w:val="&lt;UNUSED&gt;"/>
    <w:docVar w:name="LW_SOUS.TITRE.OBJ.CP" w:val="&lt;UNUSED&gt;"/>
    <w:docVar w:name="LW_STATUT.CP" w:val="Návrh"/>
    <w:docVar w:name="LW_SUPERTITRE" w:val="&lt;UNUSED&gt;"/>
    <w:docVar w:name="LW_TITRE.OBJ.CP" w:val="o Evropském fondu pro udr\u382?itelný rozvoj (EFSD) a o z\u345?ízení záruky EFSD a záru\u269?ního fondu EFSD"/>
    <w:docVar w:name="LW_TYPE.DOC.CP" w:val="NA\u344?ÍZENÍ EVROPSKÉHO PARLAMENTU A RADY"/>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cs-CZ"/>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cs-CZ" w:eastAsia="cs-CZ" w:bidi="cs-CZ"/>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ListDash">
    <w:name w:val="List Dash"/>
    <w:basedOn w:val="Normal"/>
    <w:pPr>
      <w:numPr>
        <w:numId w:val="7"/>
      </w:numPr>
    </w:pPr>
    <w:rPr>
      <w:rFonts w:eastAsia="Times New Roman"/>
    </w:rPr>
  </w:style>
  <w:style w:type="character" w:styleId="CommentReference">
    <w:name w:val="annotation reference"/>
    <w:rPr>
      <w:rFonts w:cs="Times New Roman"/>
      <w:sz w:val="16"/>
      <w:szCs w:val="16"/>
      <w:lang w:val="cs-CZ" w:eastAsia="cs-CZ"/>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cs-CZ" w:eastAsia="cs-CZ"/>
    </w:rPr>
  </w:style>
  <w:style w:type="paragraph" w:styleId="BalloonText">
    <w:name w:val="Balloon Text"/>
    <w:basedOn w:val="Normal"/>
    <w:link w:val="BalloonTextChar"/>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cs-CZ" w:eastAsia="cs-CZ"/>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pPr>
      <w:numPr>
        <w:numId w:val="8"/>
      </w:numPr>
      <w:contextualSpacing/>
    </w:pPr>
    <w:rPr>
      <w:rFonts w:eastAsia="Times New Roman"/>
    </w:rPr>
  </w:style>
  <w:style w:type="paragraph" w:styleId="ListBullet4">
    <w:name w:val="List Bullet 4"/>
    <w:basedOn w:val="Normal"/>
    <w:pPr>
      <w:numPr>
        <w:numId w:val="9"/>
      </w:numPr>
      <w:contextualSpacing/>
    </w:pPr>
    <w:rPr>
      <w:rFonts w:eastAsia="Times New Roman"/>
    </w:rPr>
  </w:style>
  <w:style w:type="paragraph" w:styleId="ListNumber2">
    <w:name w:val="List Number 2"/>
    <w:basedOn w:val="Normal"/>
    <w:pPr>
      <w:numPr>
        <w:numId w:val="10"/>
      </w:numPr>
      <w:contextualSpacing/>
    </w:pPr>
    <w:rPr>
      <w:rFonts w:eastAsia="Times New Roman"/>
    </w:rPr>
  </w:style>
  <w:style w:type="paragraph" w:styleId="ListNumber3">
    <w:name w:val="List Number 3"/>
    <w:basedOn w:val="Normal"/>
    <w:pPr>
      <w:numPr>
        <w:numId w:val="11"/>
      </w:numPr>
      <w:contextualSpacing/>
    </w:pPr>
    <w:rPr>
      <w:rFonts w:eastAsia="Times New Roman"/>
    </w:rPr>
  </w:style>
  <w:style w:type="paragraph" w:styleId="ListNumber4">
    <w:name w:val="List Number 4"/>
    <w:basedOn w:val="Normal"/>
    <w:pPr>
      <w:numPr>
        <w:numId w:val="12"/>
      </w:numPr>
      <w:contextualSpacing/>
    </w:pPr>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cs-CZ" w:eastAsia="cs-CZ"/>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NoSpacing">
    <w:name w:val="No Spacing"/>
    <w:basedOn w:val="Normal"/>
    <w:qFormat/>
    <w:pPr>
      <w:spacing w:before="0" w:after="0"/>
      <w:jc w:val="left"/>
    </w:pPr>
    <w:rPr>
      <w:rFonts w:asciiTheme="minorHAnsi" w:hAnsiTheme="minorHAnsi" w:cstheme="minorBid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cs-CZ"/>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cs-CZ" w:eastAsia="cs-CZ" w:bidi="cs-CZ"/>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ListDash">
    <w:name w:val="List Dash"/>
    <w:basedOn w:val="Normal"/>
    <w:pPr>
      <w:numPr>
        <w:numId w:val="7"/>
      </w:numPr>
    </w:pPr>
    <w:rPr>
      <w:rFonts w:eastAsia="Times New Roman"/>
    </w:rPr>
  </w:style>
  <w:style w:type="character" w:styleId="CommentReference">
    <w:name w:val="annotation reference"/>
    <w:rPr>
      <w:rFonts w:cs="Times New Roman"/>
      <w:sz w:val="16"/>
      <w:szCs w:val="16"/>
      <w:lang w:val="cs-CZ" w:eastAsia="cs-CZ"/>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cs-CZ" w:eastAsia="cs-CZ"/>
    </w:rPr>
  </w:style>
  <w:style w:type="paragraph" w:styleId="BalloonText">
    <w:name w:val="Balloon Text"/>
    <w:basedOn w:val="Normal"/>
    <w:link w:val="BalloonTextChar"/>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cs-CZ" w:eastAsia="cs-CZ"/>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pPr>
      <w:numPr>
        <w:numId w:val="8"/>
      </w:numPr>
      <w:contextualSpacing/>
    </w:pPr>
    <w:rPr>
      <w:rFonts w:eastAsia="Times New Roman"/>
    </w:rPr>
  </w:style>
  <w:style w:type="paragraph" w:styleId="ListBullet4">
    <w:name w:val="List Bullet 4"/>
    <w:basedOn w:val="Normal"/>
    <w:pPr>
      <w:numPr>
        <w:numId w:val="9"/>
      </w:numPr>
      <w:contextualSpacing/>
    </w:pPr>
    <w:rPr>
      <w:rFonts w:eastAsia="Times New Roman"/>
    </w:rPr>
  </w:style>
  <w:style w:type="paragraph" w:styleId="ListNumber2">
    <w:name w:val="List Number 2"/>
    <w:basedOn w:val="Normal"/>
    <w:pPr>
      <w:numPr>
        <w:numId w:val="10"/>
      </w:numPr>
      <w:contextualSpacing/>
    </w:pPr>
    <w:rPr>
      <w:rFonts w:eastAsia="Times New Roman"/>
    </w:rPr>
  </w:style>
  <w:style w:type="paragraph" w:styleId="ListNumber3">
    <w:name w:val="List Number 3"/>
    <w:basedOn w:val="Normal"/>
    <w:pPr>
      <w:numPr>
        <w:numId w:val="11"/>
      </w:numPr>
      <w:contextualSpacing/>
    </w:pPr>
    <w:rPr>
      <w:rFonts w:eastAsia="Times New Roman"/>
    </w:rPr>
  </w:style>
  <w:style w:type="paragraph" w:styleId="ListNumber4">
    <w:name w:val="List Number 4"/>
    <w:basedOn w:val="Normal"/>
    <w:pPr>
      <w:numPr>
        <w:numId w:val="12"/>
      </w:numPr>
      <w:contextualSpacing/>
    </w:pPr>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cs-CZ" w:eastAsia="cs-CZ"/>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NoSpacing">
    <w:name w:val="No Spacing"/>
    <w:basedOn w:val="Normal"/>
    <w:qFormat/>
    <w:pPr>
      <w:spacing w:before="0" w:after="0"/>
      <w:jc w:val="left"/>
    </w:pPr>
    <w:rPr>
      <w:rFonts w:asciiTheme="minorHAnsi" w:hAnsiTheme="minorHAnsi" w:cstheme="minorBid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0344">
      <w:bodyDiv w:val="1"/>
      <w:marLeft w:val="0"/>
      <w:marRight w:val="0"/>
      <w:marTop w:val="0"/>
      <w:marBottom w:val="0"/>
      <w:divBdr>
        <w:top w:val="none" w:sz="0" w:space="0" w:color="auto"/>
        <w:left w:val="none" w:sz="0" w:space="0" w:color="auto"/>
        <w:bottom w:val="none" w:sz="0" w:space="0" w:color="auto"/>
        <w:right w:val="none" w:sz="0" w:space="0" w:color="auto"/>
      </w:divBdr>
    </w:div>
    <w:div w:id="210508265">
      <w:bodyDiv w:val="1"/>
      <w:marLeft w:val="0"/>
      <w:marRight w:val="0"/>
      <w:marTop w:val="0"/>
      <w:marBottom w:val="0"/>
      <w:divBdr>
        <w:top w:val="none" w:sz="0" w:space="0" w:color="auto"/>
        <w:left w:val="none" w:sz="0" w:space="0" w:color="auto"/>
        <w:bottom w:val="none" w:sz="0" w:space="0" w:color="auto"/>
        <w:right w:val="none" w:sz="0" w:space="0" w:color="auto"/>
      </w:divBdr>
    </w:div>
    <w:div w:id="253366761">
      <w:bodyDiv w:val="1"/>
      <w:marLeft w:val="0"/>
      <w:marRight w:val="0"/>
      <w:marTop w:val="0"/>
      <w:marBottom w:val="0"/>
      <w:divBdr>
        <w:top w:val="none" w:sz="0" w:space="0" w:color="auto"/>
        <w:left w:val="none" w:sz="0" w:space="0" w:color="auto"/>
        <w:bottom w:val="none" w:sz="0" w:space="0" w:color="auto"/>
        <w:right w:val="none" w:sz="0" w:space="0" w:color="auto"/>
      </w:divBdr>
    </w:div>
    <w:div w:id="544873760">
      <w:bodyDiv w:val="1"/>
      <w:marLeft w:val="0"/>
      <w:marRight w:val="0"/>
      <w:marTop w:val="0"/>
      <w:marBottom w:val="0"/>
      <w:divBdr>
        <w:top w:val="none" w:sz="0" w:space="0" w:color="auto"/>
        <w:left w:val="none" w:sz="0" w:space="0" w:color="auto"/>
        <w:bottom w:val="none" w:sz="0" w:space="0" w:color="auto"/>
        <w:right w:val="none" w:sz="0" w:space="0" w:color="auto"/>
      </w:divBdr>
    </w:div>
    <w:div w:id="582102276">
      <w:bodyDiv w:val="1"/>
      <w:marLeft w:val="0"/>
      <w:marRight w:val="0"/>
      <w:marTop w:val="0"/>
      <w:marBottom w:val="0"/>
      <w:divBdr>
        <w:top w:val="none" w:sz="0" w:space="0" w:color="auto"/>
        <w:left w:val="none" w:sz="0" w:space="0" w:color="auto"/>
        <w:bottom w:val="none" w:sz="0" w:space="0" w:color="auto"/>
        <w:right w:val="none" w:sz="0" w:space="0" w:color="auto"/>
      </w:divBdr>
    </w:div>
    <w:div w:id="719280468">
      <w:bodyDiv w:val="1"/>
      <w:marLeft w:val="0"/>
      <w:marRight w:val="0"/>
      <w:marTop w:val="0"/>
      <w:marBottom w:val="0"/>
      <w:divBdr>
        <w:top w:val="none" w:sz="0" w:space="0" w:color="auto"/>
        <w:left w:val="none" w:sz="0" w:space="0" w:color="auto"/>
        <w:bottom w:val="none" w:sz="0" w:space="0" w:color="auto"/>
        <w:right w:val="none" w:sz="0" w:space="0" w:color="auto"/>
      </w:divBdr>
    </w:div>
    <w:div w:id="873999098">
      <w:bodyDiv w:val="1"/>
      <w:marLeft w:val="0"/>
      <w:marRight w:val="0"/>
      <w:marTop w:val="0"/>
      <w:marBottom w:val="0"/>
      <w:divBdr>
        <w:top w:val="none" w:sz="0" w:space="0" w:color="auto"/>
        <w:left w:val="none" w:sz="0" w:space="0" w:color="auto"/>
        <w:bottom w:val="none" w:sz="0" w:space="0" w:color="auto"/>
        <w:right w:val="none" w:sz="0" w:space="0" w:color="auto"/>
      </w:divBdr>
    </w:div>
    <w:div w:id="1103497219">
      <w:bodyDiv w:val="1"/>
      <w:marLeft w:val="0"/>
      <w:marRight w:val="0"/>
      <w:marTop w:val="0"/>
      <w:marBottom w:val="0"/>
      <w:divBdr>
        <w:top w:val="none" w:sz="0" w:space="0" w:color="auto"/>
        <w:left w:val="none" w:sz="0" w:space="0" w:color="auto"/>
        <w:bottom w:val="none" w:sz="0" w:space="0" w:color="auto"/>
        <w:right w:val="none" w:sz="0" w:space="0" w:color="auto"/>
      </w:divBdr>
    </w:div>
    <w:div w:id="1256326847">
      <w:bodyDiv w:val="1"/>
      <w:marLeft w:val="0"/>
      <w:marRight w:val="0"/>
      <w:marTop w:val="0"/>
      <w:marBottom w:val="0"/>
      <w:divBdr>
        <w:top w:val="none" w:sz="0" w:space="0" w:color="auto"/>
        <w:left w:val="none" w:sz="0" w:space="0" w:color="auto"/>
        <w:bottom w:val="none" w:sz="0" w:space="0" w:color="auto"/>
        <w:right w:val="none" w:sz="0" w:space="0" w:color="auto"/>
      </w:divBdr>
    </w:div>
    <w:div w:id="1295678419">
      <w:bodyDiv w:val="1"/>
      <w:marLeft w:val="0"/>
      <w:marRight w:val="0"/>
      <w:marTop w:val="0"/>
      <w:marBottom w:val="0"/>
      <w:divBdr>
        <w:top w:val="none" w:sz="0" w:space="0" w:color="auto"/>
        <w:left w:val="none" w:sz="0" w:space="0" w:color="auto"/>
        <w:bottom w:val="none" w:sz="0" w:space="0" w:color="auto"/>
        <w:right w:val="none" w:sz="0" w:space="0" w:color="auto"/>
      </w:divBdr>
    </w:div>
    <w:div w:id="1349258625">
      <w:bodyDiv w:val="1"/>
      <w:marLeft w:val="0"/>
      <w:marRight w:val="0"/>
      <w:marTop w:val="0"/>
      <w:marBottom w:val="0"/>
      <w:divBdr>
        <w:top w:val="none" w:sz="0" w:space="0" w:color="auto"/>
        <w:left w:val="none" w:sz="0" w:space="0" w:color="auto"/>
        <w:bottom w:val="none" w:sz="0" w:space="0" w:color="auto"/>
        <w:right w:val="none" w:sz="0" w:space="0" w:color="auto"/>
      </w:divBdr>
    </w:div>
    <w:div w:id="1522431773">
      <w:bodyDiv w:val="1"/>
      <w:marLeft w:val="0"/>
      <w:marRight w:val="0"/>
      <w:marTop w:val="0"/>
      <w:marBottom w:val="0"/>
      <w:divBdr>
        <w:top w:val="none" w:sz="0" w:space="0" w:color="auto"/>
        <w:left w:val="none" w:sz="0" w:space="0" w:color="auto"/>
        <w:bottom w:val="none" w:sz="0" w:space="0" w:color="auto"/>
        <w:right w:val="none" w:sz="0" w:space="0" w:color="auto"/>
      </w:divBdr>
      <w:divsChild>
        <w:div w:id="206647398">
          <w:marLeft w:val="0"/>
          <w:marRight w:val="0"/>
          <w:marTop w:val="0"/>
          <w:marBottom w:val="0"/>
          <w:divBdr>
            <w:top w:val="none" w:sz="0" w:space="0" w:color="auto"/>
            <w:left w:val="none" w:sz="0" w:space="0" w:color="auto"/>
            <w:bottom w:val="none" w:sz="0" w:space="0" w:color="auto"/>
            <w:right w:val="none" w:sz="0" w:space="0" w:color="auto"/>
          </w:divBdr>
          <w:divsChild>
            <w:div w:id="1250887524">
              <w:marLeft w:val="0"/>
              <w:marRight w:val="0"/>
              <w:marTop w:val="0"/>
              <w:marBottom w:val="0"/>
              <w:divBdr>
                <w:top w:val="none" w:sz="0" w:space="0" w:color="auto"/>
                <w:left w:val="none" w:sz="0" w:space="0" w:color="auto"/>
                <w:bottom w:val="none" w:sz="0" w:space="0" w:color="auto"/>
                <w:right w:val="none" w:sz="0" w:space="0" w:color="auto"/>
              </w:divBdr>
              <w:divsChild>
                <w:div w:id="342519207">
                  <w:marLeft w:val="0"/>
                  <w:marRight w:val="0"/>
                  <w:marTop w:val="0"/>
                  <w:marBottom w:val="0"/>
                  <w:divBdr>
                    <w:top w:val="none" w:sz="0" w:space="0" w:color="auto"/>
                    <w:left w:val="none" w:sz="0" w:space="0" w:color="auto"/>
                    <w:bottom w:val="none" w:sz="0" w:space="0" w:color="auto"/>
                    <w:right w:val="none" w:sz="0" w:space="0" w:color="auto"/>
                  </w:divBdr>
                  <w:divsChild>
                    <w:div w:id="1957979027">
                      <w:marLeft w:val="1"/>
                      <w:marRight w:val="1"/>
                      <w:marTop w:val="0"/>
                      <w:marBottom w:val="0"/>
                      <w:divBdr>
                        <w:top w:val="none" w:sz="0" w:space="0" w:color="auto"/>
                        <w:left w:val="none" w:sz="0" w:space="0" w:color="auto"/>
                        <w:bottom w:val="none" w:sz="0" w:space="0" w:color="auto"/>
                        <w:right w:val="none" w:sz="0" w:space="0" w:color="auto"/>
                      </w:divBdr>
                      <w:divsChild>
                        <w:div w:id="449397798">
                          <w:marLeft w:val="0"/>
                          <w:marRight w:val="0"/>
                          <w:marTop w:val="0"/>
                          <w:marBottom w:val="0"/>
                          <w:divBdr>
                            <w:top w:val="none" w:sz="0" w:space="0" w:color="auto"/>
                            <w:left w:val="none" w:sz="0" w:space="0" w:color="auto"/>
                            <w:bottom w:val="none" w:sz="0" w:space="0" w:color="auto"/>
                            <w:right w:val="none" w:sz="0" w:space="0" w:color="auto"/>
                          </w:divBdr>
                          <w:divsChild>
                            <w:div w:id="1188831839">
                              <w:marLeft w:val="0"/>
                              <w:marRight w:val="0"/>
                              <w:marTop w:val="0"/>
                              <w:marBottom w:val="360"/>
                              <w:divBdr>
                                <w:top w:val="none" w:sz="0" w:space="0" w:color="auto"/>
                                <w:left w:val="none" w:sz="0" w:space="0" w:color="auto"/>
                                <w:bottom w:val="none" w:sz="0" w:space="0" w:color="auto"/>
                                <w:right w:val="none" w:sz="0" w:space="0" w:color="auto"/>
                              </w:divBdr>
                              <w:divsChild>
                                <w:div w:id="313994051">
                                  <w:marLeft w:val="0"/>
                                  <w:marRight w:val="0"/>
                                  <w:marTop w:val="0"/>
                                  <w:marBottom w:val="0"/>
                                  <w:divBdr>
                                    <w:top w:val="none" w:sz="0" w:space="0" w:color="auto"/>
                                    <w:left w:val="none" w:sz="0" w:space="0" w:color="auto"/>
                                    <w:bottom w:val="none" w:sz="0" w:space="0" w:color="auto"/>
                                    <w:right w:val="none" w:sz="0" w:space="0" w:color="auto"/>
                                  </w:divBdr>
                                  <w:divsChild>
                                    <w:div w:id="14542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519776">
      <w:bodyDiv w:val="1"/>
      <w:marLeft w:val="0"/>
      <w:marRight w:val="0"/>
      <w:marTop w:val="0"/>
      <w:marBottom w:val="0"/>
      <w:divBdr>
        <w:top w:val="none" w:sz="0" w:space="0" w:color="auto"/>
        <w:left w:val="none" w:sz="0" w:space="0" w:color="auto"/>
        <w:bottom w:val="none" w:sz="0" w:space="0" w:color="auto"/>
        <w:right w:val="none" w:sz="0" w:space="0" w:color="auto"/>
      </w:divBdr>
    </w:div>
    <w:div w:id="20771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BAB7-0312-4328-869A-BA54AF68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40</Pages>
  <Words>11605</Words>
  <Characters>70565</Characters>
  <Application>Microsoft Office Word</Application>
  <DocSecurity>0</DocSecurity>
  <Lines>2138</Lines>
  <Paragraphs>944</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81226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2016-09-07T10:30:00Z</cp:lastPrinted>
  <dcterms:created xsi:type="dcterms:W3CDTF">2016-10-14T09:05:00Z</dcterms:created>
  <dcterms:modified xsi:type="dcterms:W3CDTF">2016-10-19T06:43:00Z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