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4D61CEBCCA4BBABD222849A641D347"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ind w:left="851" w:hanging="851"/>
        <w:rPr>
          <w:noProof/>
        </w:rPr>
      </w:pPr>
      <w:r>
        <w:rPr>
          <w:noProof/>
        </w:rPr>
        <w:t>1.</w:t>
      </w:r>
      <w:r>
        <w:rPr>
          <w:noProof/>
        </w:rPr>
        <w:tab/>
        <w:t>ETTEPANEKU TAUST</w:t>
      </w:r>
    </w:p>
    <w:p>
      <w:pPr>
        <w:pStyle w:val="ManualHeading2"/>
        <w:ind w:left="851" w:hanging="851"/>
        <w:rPr>
          <w:rFonts w:eastAsia="Arial Unicode MS"/>
          <w:noProof/>
        </w:rPr>
      </w:pPr>
      <w:r>
        <w:rPr>
          <w:noProof/>
          <w:color w:val="000000"/>
          <w:u w:color="000000"/>
          <w:bdr w:val="nil"/>
        </w:rPr>
        <w:t>•</w:t>
      </w:r>
      <w:r>
        <w:rPr>
          <w:noProof/>
        </w:rPr>
        <w:tab/>
        <w:t>Ettepaneku põhjused ja eesmärgid</w:t>
      </w:r>
    </w:p>
    <w:p>
      <w:pPr>
        <w:rPr>
          <w:noProof/>
          <w:szCs w:val="24"/>
        </w:rPr>
      </w:pPr>
      <w:r>
        <w:rPr>
          <w:noProof/>
        </w:rPr>
        <w:t xml:space="preserve">Komisjon võttis 7. juunil 2016 vastu teatise </w:t>
      </w:r>
      <w:r>
        <w:rPr>
          <w:i/>
          <w:noProof/>
        </w:rPr>
        <w:t>Euroopa rände tegevuskava alusel uue ELi ja kolmandate riikide partnerlusraamistiku loomise kohta</w:t>
      </w:r>
      <w:r>
        <w:rPr>
          <w:rStyle w:val="FootnoteReference"/>
          <w:noProof/>
        </w:rPr>
        <w:footnoteReference w:id="2"/>
      </w:r>
      <w:r>
        <w:rPr>
          <w:noProof/>
        </w:rPr>
        <w:t xml:space="preserve">. Selles loetletakse meetmeid, mida võetakse pagulaste kõige pakilisemate vajaduste rahuldamiseks ja vastuvõtvate kogukondade toetamiseks, ning lisaks esitab komisjon üleskutse koostada rände algpõhjuste kõrvaldamiseks pikaajaline ELi strateegia säästva arengu tegevuskava 2030 jätkusuutliku arengu eesmärkide saavutamiseks. </w:t>
      </w:r>
    </w:p>
    <w:p>
      <w:pPr>
        <w:rPr>
          <w:noProof/>
          <w:szCs w:val="24"/>
        </w:rPr>
      </w:pPr>
      <w:r>
        <w:rPr>
          <w:noProof/>
        </w:rPr>
        <w:t>See on kooskõlas ELi üldise välis- ja julgeolekupoliitika strateegiaga, milles käsitletakse rändeprobleemi ELi välispoliitika raames, et tagada sidusus ja koostoime Euroopa arengu- ja naabruspoliitika ja Euroopa majandusdiplomaatiaga.</w:t>
      </w:r>
    </w:p>
    <w:p>
      <w:pPr>
        <w:rPr>
          <w:rFonts w:eastAsia="Times New Roman"/>
          <w:noProof/>
        </w:rPr>
      </w:pPr>
      <w:r>
        <w:rPr>
          <w:noProof/>
        </w:rPr>
        <w:t>28. juuni 2016. aasta Euroopa Ülemkogu kohtumisel paluti komisjonil 2016. aasta septembriks esitada ettepanek ambitsioonika välisinvesteeringute kava kohta. Euroopa välisinvesteeringute kava tugineb kolmele üksteist toetavale sambale: loodav investeerimisfond (1. sammas); tehniline abi, millega aidatakse kohalikel ametiasutustel ja ettevõtetel suurendada elluviidavate jätkusuutlike projektide hulka ja kaasata investoreid (2. sammas), ning rida temaatilisi, riiklikke ja piirkondlikke ELi arengukoostöö programme koos struktureeritud poliitilise dialoogiga, mille eesmärk on parandada investeerimiskliimat ja üldist poliitilist keskkonda asjaomastes riikides (3. sammas). Välisinvesteeringute kava 3. sammas on ühenduslüli Euroopa Jätkusuutliku Arengu Fondi (EFSD) ning ELi ja tema partnerriikide vahelise laiapõhjalise partnerluse vahel. Praktikas tähendab partnerlus poliitilist ja valdkonnapoliitika dialoogi, mida komisjon peab ELi delegatsioonide ja poliitiliste kontaktide kaudu.</w:t>
      </w:r>
    </w:p>
    <w:p>
      <w:pPr>
        <w:widowControl w:val="0"/>
        <w:shd w:val="clear" w:color="auto" w:fill="FFFFFF"/>
        <w:autoSpaceDE w:val="0"/>
        <w:autoSpaceDN w:val="0"/>
        <w:adjustRightInd w:val="0"/>
        <w:ind w:right="86"/>
        <w:rPr>
          <w:noProof/>
          <w:szCs w:val="24"/>
        </w:rPr>
      </w:pPr>
      <w:r>
        <w:rPr>
          <w:noProof/>
        </w:rPr>
        <w:t>1. sammast rakendatakse EFSD kaudu. EFSD peaeesmärk on pakkuda terviklik finantspakett, millest rahastatakse investeerimise alustamist teatavates Aafrika piirkondades ja naabruspoliitika riikides</w:t>
      </w:r>
      <w:r>
        <w:rPr>
          <w:rStyle w:val="FootnoteReference"/>
          <w:noProof/>
        </w:rPr>
        <w:t xml:space="preserve"> </w:t>
      </w:r>
      <w:r>
        <w:rPr>
          <w:rStyle w:val="FootnoteReference"/>
          <w:noProof/>
        </w:rPr>
        <w:footnoteReference w:id="3"/>
      </w:r>
      <w:r>
        <w:rPr>
          <w:noProof/>
        </w:rPr>
        <w:t xml:space="preserve">. </w:t>
      </w:r>
    </w:p>
    <w:p>
      <w:pPr>
        <w:rPr>
          <w:noProof/>
          <w:szCs w:val="24"/>
        </w:rPr>
      </w:pPr>
      <w:r>
        <w:rPr>
          <w:noProof/>
        </w:rPr>
        <w:t>EFSD koosseisu kuuluvad piirkondlikud investeerimisplatvormid, mis ühendavad seniseid segarahastuid</w:t>
      </w:r>
      <w:r>
        <w:rPr>
          <w:rStyle w:val="FootnoteReference"/>
          <w:noProof/>
        </w:rPr>
        <w:footnoteReference w:id="4"/>
      </w:r>
      <w:r>
        <w:rPr>
          <w:noProof/>
        </w:rPr>
        <w:t xml:space="preserve"> ja EFSD tagatist. EFSD peaks toimima ühtse kontaktpunktina, kuhu saavad ettepanekuid esitada finantsasutused ja muud avaliku ja erasektori investorid ning mis pakub erinevat laadi rahalist toetust toetuskõlblikele investeeringutele.</w:t>
      </w:r>
    </w:p>
    <w:p>
      <w:pPr>
        <w:rPr>
          <w:noProof/>
        </w:rPr>
      </w:pPr>
      <w:r>
        <w:rPr>
          <w:noProof/>
        </w:rPr>
        <w:t>Välisinvesteeringute kava raames nähakse ette ühtne rahastamispakett, millest rahastatakse investeerimise alustamist neis Aafrika riikides, kes on kirjutanud alla 23. juunil 2000 Cotonous sõlmitud ühelt poolt Aafrika, Kariibi mere ja Vaikse ookeani piirkonna (AKV) riikide rühma liikmete ning teiselt poolt Euroopa Ühenduse ja selle liikmesriikide vahelisele partnerluslepingule</w:t>
      </w:r>
      <w:r>
        <w:rPr>
          <w:rStyle w:val="FootnoteReference"/>
          <w:noProof/>
        </w:rPr>
        <w:footnoteReference w:id="5"/>
      </w:r>
      <w:r>
        <w:rPr>
          <w:noProof/>
        </w:rPr>
        <w:t xml:space="preserve"> (edaspidi „Cotonou leping“), ning naabruspoliitikaga hõlmatud riikides, et edendada majanduskasvu ja luua töökohti, suurendada vastastikust täiendavust, pakkuda innovaatilisi tooteid ja kaasata erasektori vahendeid. Eeldatakse, et liidu üldeelarvest ja muudest allikatest saadava 3 350 000 000 euroga suudab EFSD 2020. aastaks kaasata kuni 44 000 000 000 eurot investeeringuid.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rPr>
          <w:noProof/>
        </w:rPr>
      </w:pPr>
      <w:r>
        <w:rPr>
          <w:noProof/>
        </w:rPr>
        <w:t>Pidades silmas liidu välistegevuse põhimõtteid ja eesmärke, läbivaadatud liidu naabruspoliitikat,</w:t>
      </w:r>
      <w:r>
        <w:rPr>
          <w:rStyle w:val="FootnoteReference"/>
          <w:noProof/>
        </w:rPr>
        <w:footnoteReference w:id="6"/>
      </w:r>
      <w:r>
        <w:rPr>
          <w:noProof/>
        </w:rPr>
        <w:t xml:space="preserve"> Euroopa arengukonsensust</w:t>
      </w:r>
      <w:r>
        <w:rPr>
          <w:rStyle w:val="FootnoteReference"/>
          <w:noProof/>
        </w:rPr>
        <w:footnoteReference w:id="7"/>
      </w:r>
      <w:r>
        <w:rPr>
          <w:noProof/>
        </w:rPr>
        <w:t xml:space="preserve"> ja muutuste kava</w:t>
      </w:r>
      <w:r>
        <w:rPr>
          <w:rStyle w:val="FootnoteReference"/>
          <w:noProof/>
        </w:rPr>
        <w:footnoteReference w:id="8"/>
      </w:r>
      <w:r>
        <w:rPr>
          <w:noProof/>
        </w:rPr>
        <w:t xml:space="preserve"> ning nende hilisemaid muudatusi ja täiendusi, on käesoleva määruse raames tehtava koostöö põhieesmärk vähendada ja pikas plaanis kaotada vaesus kooskõlas Euroopa Liidu toimimise lepingu (ELi toimimise leping) artikliga 208, aidates seega kõrvaldada rände algpõhjused. Lisaks peaks käesoleva määruse raames tehtav koostöö aitama edendada jätkusuutlikku ja kaasavat majanduslikku, sotsiaalset ja keskkonnaalast arengut, tugevdada ja toetada demokraatiat, õigusriigi põhimõtteid, head valitsemistava, inimõigusi, soolist võrdõiguslikkust ja rahvusvahelise õiguse asjaomaseid põhimõtteid, rakendada õigustel põhinevat lähenemisviisi, mis hõlmab kõiki inimõigusi vastavalt selle olulisimatele tunnusjoontele (läbipaistvus, osalus, mittediskrimineerimine ja aruandekohustus), ning rakendada soolise võrdõiguslikkuse tegevuskava</w:t>
      </w:r>
      <w:r>
        <w:rPr>
          <w:rStyle w:val="FootnoteReference"/>
          <w:noProof/>
        </w:rPr>
        <w:footnoteReference w:id="9"/>
      </w:r>
      <w:r>
        <w:rPr>
          <w:noProof/>
        </w:rPr>
        <w:t>.</w:t>
      </w:r>
    </w:p>
    <w:p>
      <w:pPr>
        <w:pBdr>
          <w:top w:val="nil"/>
          <w:left w:val="nil"/>
          <w:bottom w:val="nil"/>
          <w:right w:val="nil"/>
          <w:between w:val="nil"/>
          <w:bar w:val="nil"/>
        </w:pBdr>
        <w:rPr>
          <w:noProof/>
        </w:rPr>
      </w:pPr>
      <w:r>
        <w:rPr>
          <w:noProof/>
        </w:rPr>
        <w:t>EFSD rahastab investeerimise alustamist neis Aafrika riikides, kes on alla kirjutanud Cotonou lepingule, ja naabruspoliitikaga hõlmatud riikides, et täita säästva arengu eesmärke, mis omakorda aitaks kõrvaldada rände algpõhjusi ja aitaks kaasa tagasipöördunud rändajate püsivale taasintegreerimisele nende päritoluriikides. See on kooskõlas liidu välistegevuse rahastamisvahendite ja olemasolevate investeerimisvahendite eesmärkidega.</w:t>
      </w:r>
    </w:p>
    <w:p>
      <w:pPr>
        <w:pBdr>
          <w:top w:val="nil"/>
          <w:left w:val="nil"/>
          <w:bottom w:val="nil"/>
          <w:right w:val="nil"/>
          <w:between w:val="nil"/>
          <w:bar w:val="nil"/>
        </w:pBdr>
        <w:rPr>
          <w:rFonts w:eastAsia="Arial Unicode MS"/>
          <w:noProof/>
        </w:rPr>
      </w:pPr>
      <w:r>
        <w:rPr>
          <w:noProof/>
        </w:rPr>
        <w:t>Rõhutades erasektori kaasamise tähtsust, aitab EFSD täita ka eesmärke, mis on sõnastatud teatises „Erasektori rolli tugevdamine kaasava ja jätkusuutliku majanduskasvu saavutamisel arenguriikides“</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rPr>
        <w:tab/>
        <w:t>Kooskõla muude liidu tegevuspõhimõtetega</w:t>
      </w:r>
    </w:p>
    <w:p>
      <w:pPr>
        <w:rPr>
          <w:noProof/>
        </w:rPr>
      </w:pPr>
      <w:r>
        <w:rPr>
          <w:noProof/>
        </w:rPr>
        <w:t xml:space="preserve">Välisinvesteeringute kava kuulub Euroopa rände tegevuskava alusel loodava uue ELi ja kolmandate riikide partnerlusraamistiku koosseisu. </w:t>
      </w:r>
    </w:p>
    <w:p>
      <w:pPr>
        <w:rPr>
          <w:noProof/>
        </w:rPr>
      </w:pPr>
      <w:r>
        <w:rPr>
          <w:noProof/>
        </w:rPr>
        <w:t>Kava on kooskõlas ka läbivaadatud Euroopa naabruspoliitikaga,</w:t>
      </w:r>
      <w:r>
        <w:rPr>
          <w:rStyle w:val="FootnoteReference"/>
          <w:noProof/>
        </w:rPr>
        <w:footnoteReference w:id="11"/>
      </w:r>
      <w:r>
        <w:rPr>
          <w:noProof/>
        </w:rPr>
        <w:t xml:space="preserve"> mis keskendub partnerriikide majandusarengu toetamisele eesmärgiga saavutada järk-järgult stabiilsus ja asendada hädaabi struktuursete meetmetega.</w:t>
      </w:r>
      <w:r>
        <w:rPr>
          <w:noProof/>
          <w:color w:val="000000"/>
        </w:rPr>
        <w:t xml:space="preserve"> </w:t>
      </w:r>
      <w:r>
        <w:rPr>
          <w:noProof/>
        </w:rPr>
        <w:t xml:space="preserve">Lisaks on välisinvesteeringute kava kooskõlas Addis Abeba tegevuskavaga arengu rahastamise kohta. </w:t>
      </w:r>
    </w:p>
    <w:p>
      <w:pPr>
        <w:rPr>
          <w:noProof/>
        </w:rPr>
      </w:pPr>
      <w:r>
        <w:rPr>
          <w:noProof/>
        </w:rPr>
        <w:t>EFSD on kooskõlas ELi poliitikaga kliimamuutuste valdkonnas, aidates rakendada kliimamuutust käsitlevat Pariisi kokkulepet (COP 21)</w:t>
      </w:r>
      <w:r>
        <w:rPr>
          <w:rStyle w:val="FootnoteReference"/>
          <w:noProof/>
        </w:rPr>
        <w:footnoteReference w:id="12"/>
      </w:r>
      <w:r>
        <w:rPr>
          <w:noProof/>
        </w:rPr>
        <w:t xml:space="preserve"> ja selle raames võetud rahvusvahelisi kohustusi rahastada võitlust kliimamuutuse vastu. Nagu on selgitatud komisjoni teatises „Pariisi kliimakonverentsi tulemused:</w:t>
      </w:r>
      <w:r>
        <w:rPr>
          <w:i/>
          <w:noProof/>
        </w:rPr>
        <w:t xml:space="preserve"> </w:t>
      </w:r>
      <w:r>
        <w:rPr>
          <w:noProof/>
        </w:rPr>
        <w:t>Pariisi kokkuleppe tagajärgede hinnang“,</w:t>
      </w:r>
      <w:r>
        <w:rPr>
          <w:rStyle w:val="FootnoteReference"/>
          <w:noProof/>
        </w:rPr>
        <w:footnoteReference w:id="13"/>
      </w:r>
      <w:r>
        <w:rPr>
          <w:noProof/>
        </w:rPr>
        <w:t xml:space="preserve"> pakub Pariisi kokkulepe võimalusi majanduse ümberkujundamiseks, uute töökohtade loomiseks ja majanduskasvuks. Kokkuleppel on oluline roll säästva arengu eesmärkide saavutamisel üldiselt ning investeeringute, konkurentsivõime, ringmajanduse, teadusuuringute, innovatsiooni ja puhtale energeetikale üleminekuga seotud ELi prioriteetide elluviimisel. </w:t>
      </w:r>
    </w:p>
    <w:p>
      <w:pPr>
        <w:pStyle w:val="ManualHeading1"/>
        <w:ind w:left="851" w:hanging="85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rPr>
          <w:rFonts w:eastAsia="Arial Unicode MS"/>
          <w:noProof/>
        </w:rPr>
      </w:pPr>
      <w:r>
        <w:rPr>
          <w:noProof/>
        </w:rPr>
        <w:t>EFSD eesmärk on suurendada investeeringuid arenguriikides ja muudes kolmandates riikides. Koostöö õiguslik alus on arenguriikide puhul Euroopa Liidu toimimise lepingu artikli 209 lõige 1, muude kolmandate riikide puhul aga artikli 212 lõige 2.</w:t>
      </w:r>
    </w:p>
    <w:p>
      <w:pPr>
        <w:pStyle w:val="ManualHeading2"/>
        <w:rPr>
          <w:rFonts w:eastAsia="Arial Unicode MS"/>
          <w:noProof/>
          <w:u w:color="000000"/>
          <w:bdr w:val="nil"/>
        </w:rPr>
      </w:pPr>
      <w:r>
        <w:rPr>
          <w:noProof/>
        </w:rPr>
        <w:t>•</w:t>
      </w:r>
      <w:r>
        <w:rPr>
          <w:noProof/>
        </w:rPr>
        <w:tab/>
        <w:t>Subsidiaarsus (ainupädevusse mittekuuluva valdkonna puhul) ja proportsionaalsus</w:t>
      </w:r>
    </w:p>
    <w:p>
      <w:pPr>
        <w:pBdr>
          <w:top w:val="nil"/>
          <w:left w:val="nil"/>
          <w:bottom w:val="nil"/>
          <w:right w:val="nil"/>
          <w:between w:val="nil"/>
          <w:bar w:val="nil"/>
        </w:pBdr>
        <w:rPr>
          <w:rFonts w:eastAsia="Arial Unicode MS"/>
          <w:noProof/>
        </w:rPr>
      </w:pPr>
      <w:r>
        <w:rPr>
          <w:noProof/>
        </w:rPr>
        <w:t>Vastavalt ELi toimimise lepingu artiklis 5 sätestatud subsidiaarsuse ja proportsionaalsuse põhimõtetele ei suuda liikmesriigid kavandatava meetme eesmärke piisavalt saavutada ja seepärast on need paremini saavutatavad ELi tasandil. Suurema ulatuse ja mõju tõttu saab liidu tasandi meetmetega eesmärke paremini saavutada. Konkreetsemalt võimaldab ELi tasandil tegutsemine edendada erainvesteeringute tegemist EList ja kolmandatest riikidest, kasutades ära Euroopa institutsioonide asjatundlikkust ja teadmisi. Strateegianõukogu koosseis peab tagama järjekindluse ja sidususe arvukate Euroopa tasandi programmide ja algatuste vahel. Mitmekordistav mõju ja mõju kohapeal oleksid seega palju suuremad, kui oleks saavutatud üheainsa liikmesriigi või liikmesriikide rühma investeeringuprogrammi puhul.</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rPr>
          <w:rFonts w:eastAsia="Arial Unicode MS"/>
          <w:noProof/>
        </w:rPr>
      </w:pPr>
      <w:r>
        <w:rPr>
          <w:noProof/>
        </w:rPr>
        <w:t xml:space="preserve">Ettepaneku kohaselt asutatakse EFSD ja EFSD tagatisfond Euroopa Parlamendi ja nõukogu määrusega, mis võetakse vastu seadusandliku tavamenetluse teel. Tagatise, millest tulenevad liidu jaoks tingimuslikud kohustused, peab andma liidu seadusandja. Komisjon teeb ettepaneku samaaegselt läbi vaadata ka Euroopa Parlamendi ja nõukogu määruse (EL, Euratom) nr 966/2012. </w:t>
      </w:r>
    </w:p>
    <w:p>
      <w:pPr>
        <w:pStyle w:val="ManualHeading1"/>
        <w:ind w:left="851" w:hanging="851"/>
        <w:rPr>
          <w:noProof/>
        </w:rPr>
      </w:pPr>
      <w:r>
        <w:rPr>
          <w:noProof/>
        </w:rPr>
        <w:t>3.</w:t>
      </w:r>
      <w:r>
        <w:rPr>
          <w:noProof/>
        </w:rPr>
        <w:tab/>
        <w:t xml:space="preserve">KONSULTEERIMINE SIDUSRÜHMADEGA JA EKSPERDIARVAMUSTE KOGUMINE </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rPr>
          <w:rFonts w:eastAsia="Arial Unicode MS"/>
          <w:noProof/>
        </w:rPr>
      </w:pPr>
      <w:r>
        <w:rPr>
          <w:noProof/>
        </w:rPr>
        <w:t xml:space="preserve">Toimunud on mitteametlikud ettevalmistavad konsultatsioonid, milles on osalend Euroopa Investeerimispank (EIP), liikmesriikide finantsasutused, Euroopa Rekonstruktsiooni- ja Arengupank ja Maailmapanga Grupp. Nõu peeti ka ELi platvormiga väliskoostöö rahastamisvahendite ühendamiseks (EUBEC), erasektori ja kodanikuühiskonna organisatsioonidega. </w:t>
      </w:r>
    </w:p>
    <w:p>
      <w:pPr>
        <w:pStyle w:val="ManualHeading2"/>
        <w:rPr>
          <w:rFonts w:eastAsia="Arial Unicode MS"/>
          <w:noProof/>
          <w:u w:color="000000"/>
          <w:bdr w:val="nil"/>
        </w:rPr>
      </w:pPr>
      <w:r>
        <w:rPr>
          <w:noProof/>
        </w:rPr>
        <w:t>•</w:t>
      </w:r>
      <w:r>
        <w:rPr>
          <w:noProof/>
        </w:rPr>
        <w:tab/>
        <w:t>Eksperdiarvamuste kogumine ja kasutamine</w:t>
      </w:r>
    </w:p>
    <w:p>
      <w:pPr>
        <w:rPr>
          <w:rFonts w:eastAsia="Arial Unicode MS"/>
          <w:noProof/>
        </w:rPr>
      </w:pPr>
      <w:r>
        <w:rPr>
          <w:noProof/>
        </w:rPr>
        <w:t>Komisjonil on palju kogemusi sarnaste sisepoliitika rahastamisvahenditega, näiteks Euroopa Strateegiliste Investeeringute Fondiga (EFSI),</w:t>
      </w:r>
      <w:r>
        <w:rPr>
          <w:rStyle w:val="FootnoteReference"/>
          <w:noProof/>
        </w:rPr>
        <w:footnoteReference w:id="14"/>
      </w:r>
      <w:r>
        <w:rPr>
          <w:noProof/>
        </w:rPr>
        <w:t xml:space="preserve"> ning ELi välispoliitika segarahastutest toetatavate finantsinstrumentide ja struktureeritud toetustega</w:t>
      </w:r>
      <w:r>
        <w:rPr>
          <w:rStyle w:val="FootnoteReference"/>
          <w:noProof/>
        </w:rPr>
        <w:footnoteReference w:id="15"/>
      </w:r>
      <w:r>
        <w:rPr>
          <w:noProof/>
        </w:rPr>
        <w:t xml:space="preserve">. Eesmärk on kaasata täiendavaid investeeringuid eelkõige erainvestoritelt, pakkudes osalisi esimese järjekoha kahju ja </w:t>
      </w:r>
      <w:r>
        <w:rPr>
          <w:i/>
          <w:noProof/>
        </w:rPr>
        <w:t>pari passu</w:t>
      </w:r>
      <w:r>
        <w:rPr>
          <w:noProof/>
        </w:rPr>
        <w:t xml:space="preserve"> tagatisi toetusi (laene, tagatisi, omakapitali jms) andvatele finantsasutustele (tavaliselt välistegevuse segarahastutes osalevatele avaliku sektori finantsasutustele). </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rPr>
          <w:rFonts w:eastAsia="Arial Unicode MS"/>
          <w:noProof/>
        </w:rPr>
      </w:pPr>
      <w:r>
        <w:rPr>
          <w:noProof/>
        </w:rPr>
        <w:t>EFSD tagatise saavaid projekte uuritakse ka põhiõiguste seisukohalt. Pidades silmas liidu välistegevuse põhimõtteid ja eesmärke, läbivaadatud liidu naabruspoliitikat,</w:t>
      </w:r>
      <w:r>
        <w:rPr>
          <w:rStyle w:val="FootnoteReference"/>
          <w:noProof/>
        </w:rPr>
        <w:footnoteReference w:id="16"/>
      </w:r>
      <w:r>
        <w:rPr>
          <w:noProof/>
        </w:rPr>
        <w:t xml:space="preserve"> Euroopa arengukonsensust</w:t>
      </w:r>
      <w:r>
        <w:rPr>
          <w:rStyle w:val="FootnoteReference"/>
          <w:noProof/>
        </w:rPr>
        <w:footnoteReference w:id="17"/>
      </w:r>
      <w:r>
        <w:rPr>
          <w:noProof/>
        </w:rPr>
        <w:t xml:space="preserve"> ja muutuste kava</w:t>
      </w:r>
      <w:r>
        <w:rPr>
          <w:rStyle w:val="FootnoteReference"/>
          <w:noProof/>
        </w:rPr>
        <w:footnoteReference w:id="18"/>
      </w:r>
      <w:r>
        <w:rPr>
          <w:noProof/>
        </w:rPr>
        <w:t xml:space="preserve"> ning nende hilisemaid muudatusi ja täiendusi, a) on käesoleva määruse raames tehtava koostöö põhieesmärk vähendada ja pikas plaanis kaotada vaesus ning kõrvaldada rända algpõhjused; b) aitab käesoleva määruse raames tehtav koostöö ka i) edendada jätkusuutlikku ja kaasavat majanduslikku, sotsiaalset ja keskkonnaalast arengut, ii) tugevdada ja toetada demokraatiat, õigusriigi põhimõtteid, head valitsemistava, inimõigusi, soolist võrdõiguslikkust ja rahvusvahelise õiguse asjaomaseid põhimõtteid, iii) rakendada õigustel põhinevat lähenemisviisi, mis hõlmab kõiki inimõigusi vastavalt selle olulisimatele tunnusjoontele (läbipaistvus, osalus, mittediskrimineerimine ja aruandekohustus), ning iv) rakendada soolise võrdõiguslikkuse tegevuskava</w:t>
      </w:r>
      <w:r>
        <w:rPr>
          <w:rStyle w:val="FootnoteReference"/>
          <w:noProof/>
        </w:rPr>
        <w:footnoteReference w:id="19"/>
      </w:r>
      <w:r>
        <w:rPr>
          <w:noProof/>
        </w:rPr>
        <w:t xml:space="preserve">. Nimetatud eesmärkide täitmist mõõdetakse asjakohaste näitajatega, sealhulgas inimarengu näitajate, eelkõige jätkusuutliku arengu eesmärkide näitajate ja muude Euroopa Liidu ja selle liikmesriikide osalusel rahvusvahelisel tasandil kokku lepitud näitajatega (nt ÜRO ettevõtluse ja inimõiguste juhtpõhimõtted). </w:t>
      </w:r>
    </w:p>
    <w:p>
      <w:pPr>
        <w:pStyle w:val="ManualHeading1"/>
        <w:ind w:left="851" w:hanging="851"/>
        <w:rPr>
          <w:noProof/>
        </w:rPr>
      </w:pPr>
      <w:r>
        <w:rPr>
          <w:noProof/>
        </w:rPr>
        <w:t>4.</w:t>
      </w:r>
      <w:r>
        <w:rPr>
          <w:noProof/>
        </w:rPr>
        <w:tab/>
        <w:t>MÕJU EELARVELE</w:t>
      </w:r>
    </w:p>
    <w:p>
      <w:pPr>
        <w:pBdr>
          <w:top w:val="nil"/>
          <w:left w:val="nil"/>
          <w:bottom w:val="nil"/>
          <w:right w:val="nil"/>
          <w:between w:val="nil"/>
          <w:bar w:val="nil"/>
        </w:pBdr>
        <w:rPr>
          <w:rFonts w:eastAsia="Arial Unicode MS"/>
          <w:noProof/>
        </w:rPr>
      </w:pPr>
      <w:r>
        <w:rPr>
          <w:noProof/>
        </w:rPr>
        <w:t>Liit teeb EFSD tagatise jaoks kuni 2020. aastani kättesaadavaks kokku 750 000 000 euro suuruse tagatise, mida rahastatakse liidu üldeelarvest ja 11. Euroopa Arengufondist (EAF)</w:t>
      </w:r>
      <w:r>
        <w:rPr>
          <w:rStyle w:val="FootnoteReference"/>
          <w:noProof/>
        </w:rPr>
        <w:footnoteReference w:id="20"/>
      </w:r>
      <w:r>
        <w:rPr>
          <w:noProof/>
        </w:rPr>
        <w:t>. Ette võib näha ka täiendavat rahastamist. Komisjon teeb ettepaneku võtta ettenägemata kulude varust kasutusele 250 000 000 eurot. Muud toetused liidu eelarvest tehakse ümberpaigutamise või sihtotstarbeliste vahendite ümbersuunamise teel. Osaleda võivad ka muud rahastajad, näiteks liikmesriigid.</w:t>
      </w:r>
    </w:p>
    <w:p>
      <w:pPr>
        <w:pStyle w:val="ManualHeading1"/>
        <w:ind w:left="851" w:hanging="85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rPr>
          <w:rFonts w:eastAsia="Arial Unicode MS"/>
          <w:noProof/>
        </w:rPr>
      </w:pPr>
      <w:r>
        <w:rPr>
          <w:noProof/>
        </w:rPr>
        <w:t>EFSD-d haldab komisjon. Seda rakendatakse piirkondlike investeerimisplatvormide kaudu, milles on ühendatud seniseid Aafrika ja naabruspoliitika riikide jaoks ettenähtud segarahastud ning EFSD tagatis.</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rPr>
          <w:noProof/>
        </w:rPr>
      </w:pPr>
      <w:r>
        <w:rPr>
          <w:noProof/>
        </w:rPr>
        <w:t>EFSD koosneb piirkondlikest investeerimisplatvormidest, mis ühendavad seniseid Aafrika ja naabruspoliitika riikide jaoks ettenähtud segarahastuid ning EFSD tagatist.</w:t>
      </w:r>
    </w:p>
    <w:p>
      <w:pPr>
        <w:pBdr>
          <w:top w:val="nil"/>
          <w:left w:val="nil"/>
          <w:bottom w:val="nil"/>
          <w:right w:val="nil"/>
          <w:between w:val="nil"/>
          <w:bar w:val="nil"/>
        </w:pBdr>
        <w:rPr>
          <w:noProof/>
        </w:rPr>
      </w:pPr>
      <w:r>
        <w:rPr>
          <w:noProof/>
        </w:rPr>
        <w:t xml:space="preserve">Piirkondlike investeerimisplatvormide eesmärk on toetada jätkusuutliku arengu eesmärkide täitmist ja tulemuslikumalt kõrvaldada rände algpõhjuseid. </w:t>
      </w:r>
    </w:p>
    <w:p>
      <w:pPr>
        <w:pBdr>
          <w:top w:val="nil"/>
          <w:left w:val="nil"/>
          <w:bottom w:val="nil"/>
          <w:right w:val="nil"/>
          <w:between w:val="nil"/>
          <w:bar w:val="nil"/>
        </w:pBdr>
        <w:rPr>
          <w:noProof/>
        </w:rPr>
      </w:pPr>
      <w:r>
        <w:rPr>
          <w:noProof/>
        </w:rPr>
        <w:t>EFSD algatuse raames saavad Aafrika investeerimisrahastu</w:t>
      </w:r>
      <w:r>
        <w:rPr>
          <w:rStyle w:val="FootnoteReference"/>
          <w:noProof/>
        </w:rPr>
        <w:footnoteReference w:id="21"/>
      </w:r>
      <w:r>
        <w:rPr>
          <w:noProof/>
        </w:rPr>
        <w:t xml:space="preserve"> ja naabruspoliitika investeerimisrahastu</w:t>
      </w:r>
      <w:r>
        <w:rPr>
          <w:rStyle w:val="FootnoteReference"/>
          <w:noProof/>
        </w:rPr>
        <w:footnoteReference w:id="22"/>
      </w:r>
      <w:r>
        <w:rPr>
          <w:noProof/>
        </w:rPr>
        <w:t xml:space="preserve"> endale uued eesmärgid ja ühtlasi ka uue nime – nad nimetatakse vastava piirkonna investeerimisplatvormiks. Investeerimisplatvormide tegevus toetub olemasolevatele struktuuridele. Seda tehakse komisjoni otsusega.</w:t>
      </w:r>
    </w:p>
    <w:p>
      <w:pPr>
        <w:pBdr>
          <w:top w:val="nil"/>
          <w:left w:val="nil"/>
          <w:bottom w:val="nil"/>
          <w:right w:val="nil"/>
          <w:between w:val="nil"/>
          <w:bar w:val="nil"/>
        </w:pBdr>
        <w:rPr>
          <w:noProof/>
        </w:rPr>
      </w:pPr>
      <w:r>
        <w:rPr>
          <w:noProof/>
        </w:rPr>
        <w:t xml:space="preserve">Piirkondlike investeerimisplatvormide ülesehitus on sarnane seniste segarahastute ülesehitusega. </w:t>
      </w:r>
    </w:p>
    <w:p>
      <w:pPr>
        <w:spacing w:line="100" w:lineRule="atLeast"/>
        <w:rPr>
          <w:noProof/>
          <w:szCs w:val="24"/>
        </w:rPr>
      </w:pPr>
      <w:r>
        <w:rPr>
          <w:noProof/>
        </w:rPr>
        <w:t>Komisjoni nõustavad strateegianõukogu ja kaks tegevusnõukogu – üks kummagi piirkondliku investeerimisplatvormi jaoks.</w:t>
      </w:r>
      <w:r>
        <w:rPr>
          <w:b/>
          <w:noProof/>
        </w:rPr>
        <w:t xml:space="preserve"> </w:t>
      </w:r>
      <w:r>
        <w:rPr>
          <w:noProof/>
        </w:rPr>
        <w:t>EFSD sekretariaati haldab komisjon, kes tagab välisinvesteeringute kava eesmärkide saavutamiseks vajalike ülesannete täitmise. Strateegianõukogu juhatavad ühiselt liidu välisasjade ja julgeolekupoliitika kõrge esindaja ning komisjoni esindajad; liikmeteks on liikmesriikide ja EIP esindajad. Strateegianõukogu esitab strateegilisi suuniseid ja toetab komisjoni EFSD tagatiste kasutamisega seotud üldiste investeeringueesmärkide kindlaksmääramisel, tagades tegevuse koordineerimise ja sidususe piirkondlike investeerimisplatvormide vahel ning EIP hallatava välislaenude mandaadi, vastupanuvõime algatuse ja AKV investeerimisrahastu raames toimuva tegevusega. EIP annab aktiivselt komisjonile nõu tagatise operatiivjuhtimise küsimustes.</w:t>
      </w:r>
    </w:p>
    <w:p>
      <w:pPr>
        <w:spacing w:line="100" w:lineRule="atLeast"/>
        <w:rPr>
          <w:rFonts w:ascii="Calibri" w:hAnsi="Calibri"/>
          <w:noProof/>
          <w:sz w:val="22"/>
        </w:rPr>
      </w:pPr>
      <w:r>
        <w:rPr>
          <w:noProof/>
        </w:rPr>
        <w:t xml:space="preserve">Tagatakse usaldusväärne tehniline hindamine ja hoolsuskohustuse täitmine ning üksikute projektide kiire rakendamine. Enne kui komisjon investeerimisettepanekud heaks kiidab, hindavad kõlblikud vastaspooled projektide riski ja sobivust pangatoetuste saamiseks ning seda kontrollivad sõltumatud eksperdid, et tagada projektide usaldusväärsus erasektori jaoks. Tagatise rakendamise kord määratakse kindlaks iga investeerimissuuna jaoks eraldi. </w:t>
      </w:r>
    </w:p>
    <w:p>
      <w:pPr>
        <w:pBdr>
          <w:top w:val="nil"/>
          <w:left w:val="nil"/>
          <w:bottom w:val="nil"/>
          <w:right w:val="nil"/>
          <w:between w:val="nil"/>
          <w:bar w:val="nil"/>
        </w:pBdr>
        <w:rPr>
          <w:noProof/>
        </w:rPr>
      </w:pPr>
      <w:r>
        <w:rPr>
          <w:noProof/>
        </w:rPr>
        <w:t>Tulevikus võib kaaluda uute investeerimisplatvormide loomist.</w:t>
      </w:r>
    </w:p>
    <w:p>
      <w:pPr>
        <w:pBdr>
          <w:top w:val="nil"/>
          <w:left w:val="nil"/>
          <w:bottom w:val="nil"/>
          <w:right w:val="nil"/>
          <w:between w:val="nil"/>
          <w:bar w:val="nil"/>
        </w:pBdr>
        <w:rPr>
          <w:noProof/>
        </w:rPr>
      </w:pPr>
      <w:r>
        <w:rPr>
          <w:noProof/>
        </w:rPr>
        <w:t xml:space="preserve">EFSD tagatis on EFSD koostisosa. EFSD tagatis annab sutlikkuse pakkuda tagatisi krediidikvaliteedi parandamiseks, millest omakorda võidab lõplik investeering ja mille puhul jagatakse riske teiste, eelkõige erasektori investoritega. Seega luuakse tingimused erainvesteeringute ligimeelitamiseks, mis omakorda võimaldab rahastamist võimendada, kaasates eelkõige erasektori vahendeid. </w:t>
      </w:r>
    </w:p>
    <w:p>
      <w:pPr>
        <w:pBdr>
          <w:top w:val="nil"/>
          <w:left w:val="nil"/>
          <w:bottom w:val="nil"/>
          <w:right w:val="nil"/>
          <w:between w:val="nil"/>
          <w:bar w:val="nil"/>
        </w:pBdr>
        <w:rPr>
          <w:noProof/>
        </w:rPr>
      </w:pPr>
      <w:r>
        <w:rPr>
          <w:noProof/>
        </w:rPr>
        <w:t xml:space="preserve">EFSD tagatisfond pakub likviidsust juhuks, kui EFSD tagatis sisse nõutakse, et katta tagatislepinguga kaetud kahju. EFSD tagatisfondi rahastatakse ELi eelarvest ja EAFist ning vajaduse korral osalevad ka teised rahastajad. Tagatisfondist kaetakse kõlblike vastaspoolte, näiteks rahvusvaheliste finantsasutuste, arengupankade ja erasektori investorite võimalik kahju.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2016/0281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milles käsitletakse Euroopa Jätkusuutliku Arengu Fondi (EFSD) ning millega luuakse EFSD tagatis ja EFSD tagatisfond</w:t>
      </w:r>
    </w:p>
    <w:p>
      <w:pPr>
        <w:pStyle w:val="Institutionquiagit"/>
        <w:rPr>
          <w:noProof/>
        </w:rPr>
      </w:pPr>
      <w:r>
        <w:rPr>
          <w:noProof/>
        </w:rPr>
        <w:t>EUROOPA PARLAMENT JA EUROOPA LIIDU NÕUKOGU,</w:t>
      </w:r>
    </w:p>
    <w:p>
      <w:pPr>
        <w:rPr>
          <w:noProof/>
        </w:rPr>
      </w:pPr>
      <w:r>
        <w:rPr>
          <w:noProof/>
        </w:rPr>
        <w:t>võttes arvesse Euroopa Liidu toimimise lepingut, eriti selle artikli 209 lõiget 1 ja artikli 212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Liidu ambitsioonikas välisinvesteeringute kava on vajalik selleks, et rände algpõhjuste kõrvaldamiseks toetada investeerimise alustamist Aafrikas ja ELi naabruspoliitika riikides, edendada jätkusuutliku arengu eesmärkide saavutamist vastavalt ÜRO säästva arengu tegevuskavale aastani 2030 (edaspidi „säästva arengu tegevuskava 2030“) ja täita hiljuti läbi vaadatud Euroopa naabruspoliitika raames võetud kohustused. Lisaks peaks kava aitama kaasa kliimamuutusi käsitleva Pariisi kokkuleppe (COP 21) täitmisele.</w:t>
      </w:r>
    </w:p>
    <w:p>
      <w:pPr>
        <w:pStyle w:val="ManualConsidrant"/>
        <w:rPr>
          <w:noProof/>
        </w:rPr>
      </w:pPr>
      <w:r>
        <w:t>(2)</w:t>
      </w:r>
      <w:r>
        <w:tab/>
      </w:r>
      <w:r>
        <w:rPr>
          <w:noProof/>
        </w:rPr>
        <w:t xml:space="preserve">Välisinvesteeringute kava peaks hõlmama ka Euroopa Liidu kohustusi Addis Abeba tegevuskava raames, mis käsitleb arengu rahastamist. Samuti peaks see võimaldama Euroopa investoritel ja eraõiguslike äriühingutel, sealhulgas väikestel ja keskmise suurusega ettevõtetel, tulemuslikumalt osaleda partnerriikide jätkusuutlikus arengus. </w:t>
      </w:r>
    </w:p>
    <w:p>
      <w:pPr>
        <w:pStyle w:val="ManualConsidrant"/>
        <w:rPr>
          <w:noProof/>
        </w:rPr>
      </w:pPr>
      <w:r>
        <w:t>(3)</w:t>
      </w:r>
      <w:r>
        <w:tab/>
      </w:r>
      <w:r>
        <w:rPr>
          <w:noProof/>
        </w:rPr>
        <w:t>See on kooskõlas liidu üldise välis- ja julgeolekupoliitika strateegiaga, milles käsitletakse selliseid probleeme nagu ränne ja ELi välispoliitika vastupanuvõime, et tagada sidusus ja sünergia Euroopa arengu- ja naabruspoliitikaga.</w:t>
      </w:r>
    </w:p>
    <w:p>
      <w:pPr>
        <w:pStyle w:val="ManualConsidrant"/>
        <w:rPr>
          <w:noProof/>
        </w:rPr>
      </w:pPr>
      <w:r>
        <w:t>(4)</w:t>
      </w:r>
      <w:r>
        <w:tab/>
      </w:r>
      <w:r>
        <w:rPr>
          <w:noProof/>
        </w:rPr>
        <w:t>Välisinvesteeringute kava raames tuleks ette näha ühtne rahastamispakett, millest rahastatakse investeerimise alustamist neis Aafrika riikides, kes on kirjutanud alla 23. juunil 2000 Cotonous ühelt poolt Aafrika, Kariibi mere ja Vaikse ookeani piirkonna riikide rühma liikmete ning teiselt poolt Euroopa Ühenduse ja selle liikmesriikide vahel sõlmitud partnerluslepingule,</w:t>
      </w:r>
      <w:r>
        <w:rPr>
          <w:rStyle w:val="FootnoteReference"/>
          <w:noProof/>
        </w:rPr>
        <w:footnoteReference w:id="23"/>
      </w:r>
      <w:r>
        <w:rPr>
          <w:noProof/>
        </w:rPr>
        <w:t xml:space="preserve"> ning naabruspoliitikaga hõlmatud riikides, et edendada majanduskasvu ja luua töökohti, suurendada vastastikust täiendavust, pakkuda innovaatilisi tooteid ja kaasata erasektori vahendeid.</w:t>
      </w:r>
    </w:p>
    <w:p>
      <w:pPr>
        <w:pStyle w:val="ManualConsidrant"/>
        <w:rPr>
          <w:noProof/>
        </w:rPr>
      </w:pPr>
      <w:r>
        <w:t>(5)</w:t>
      </w:r>
      <w:r>
        <w:tab/>
      </w:r>
      <w:r>
        <w:rPr>
          <w:noProof/>
        </w:rPr>
        <w:t>Euroopa Jätkusuutliku Arengu Fondi (EFSD) koosseisu peaksid kuuluma piirkondlikud investeerimisplatvormid, kus on ühendatud senistest segarahastutest ja EFSD tagatisest saadav rahastus. Olemasolevad Aafrika segarahastud on asutatud komisjoni otsusega C(2015) 5210 ja naabruspoliitikaga hõlmatud riikide segarahastud komisjoni rakendusotsusega C(2016) 3436. Igal piirkondlikul platvormil peaks olema tegevjuhatus, kes abistab komisjoni piirkondlike ja valdkondlike investeeringueesmärkide väljatöötamisel ning piirkondlike, valdkondlike ja temaatiliste investeerimissuundade kindlaksmääramisel, sõnastab arvamusi segarahastamiskavade kohta ning avaldab arvamusi EFSD tagatise kasutamise kohta vastavalt kindlaksmääratud investeerimissuundadele.</w:t>
      </w:r>
    </w:p>
    <w:p>
      <w:pPr>
        <w:pStyle w:val="ManualConsidrant"/>
        <w:rPr>
          <w:noProof/>
        </w:rPr>
      </w:pPr>
      <w:r>
        <w:t>(6)</w:t>
      </w:r>
      <w:r>
        <w:tab/>
      </w:r>
      <w:r>
        <w:rPr>
          <w:noProof/>
        </w:rPr>
        <w:t xml:space="preserve">Lisaks sellele peaks EFSD toimima ühtse kontaktpunktina, kuhu saavad ettepanekuid esitada finantsasutused ja muud avaliku ja erasektori investorid ning mis pakub erinevat laadi rahalist toetust toetuskõlblikele investeeringutele. EFSD tagatise peaks andma EFSD tagatisfond. EFSD peaks investeeringute toetamiseks ja erasektori kaasamiseks kasutama uuenduslikke rahastamisvahendeid. </w:t>
      </w:r>
    </w:p>
    <w:p>
      <w:pPr>
        <w:pStyle w:val="ManualConsidrant"/>
        <w:rPr>
          <w:noProof/>
        </w:rPr>
      </w:pPr>
      <w:r>
        <w:t>(7)</w:t>
      </w:r>
      <w:r>
        <w:tab/>
      </w:r>
      <w:r>
        <w:rPr>
          <w:noProof/>
        </w:rPr>
        <w:t>EFSD tegevuse koordineerimise ja kooskõlastamise Euroopa Investeerimispangale (edaspidi „EIP“) [vastuvõtmisel oleva] otsusega antud välislaenude andmise mandaadi, sealhulgas Euroopa Investeerimispanga vastupanuvõime algatuse ja AKV riikide investeerimisrahastuga</w:t>
      </w:r>
      <w:r>
        <w:rPr>
          <w:rStyle w:val="FootnoteReference"/>
          <w:noProof/>
        </w:rPr>
        <w:footnoteReference w:id="24"/>
      </w:r>
      <w:r>
        <w:rPr>
          <w:noProof/>
        </w:rPr>
        <w:t xml:space="preserve"> peaks tagama EFSD strateegianõukogu. </w:t>
      </w:r>
    </w:p>
    <w:p>
      <w:pPr>
        <w:pStyle w:val="ManualConsidrant"/>
        <w:rPr>
          <w:noProof/>
        </w:rPr>
      </w:pPr>
      <w:r>
        <w:t>(8)</w:t>
      </w:r>
      <w:r>
        <w:tab/>
      </w:r>
      <w:r>
        <w:rPr>
          <w:noProof/>
        </w:rPr>
        <w:t>Strateegianõukogu peaks komisjoni abistama strateegiliste suuniste ja investeeringute üldeesmärkide kindlaksmääramisel ja osalema piirkondlike platvormide tegevuse koordineerimisel ja ühitamisel. See peaks tagama erinevate välistegevuse vahendite vastastikuse täiendavuse. Strateegianõukogu peaksid ühiselt juhtima komisjon ning liidu välisasjade ja julgeolekupoliitika kõrge esindaja, kes tagavad järjepidevuse ja kooskõla liidu välispoliitika eesmärkidega ning ELi ja kolmandate riikide partnerlusraamistikega.</w:t>
      </w:r>
    </w:p>
    <w:p>
      <w:pPr>
        <w:pStyle w:val="ManualConsidrant"/>
        <w:rPr>
          <w:noProof/>
        </w:rPr>
      </w:pPr>
      <w:r>
        <w:t>(9)</w:t>
      </w:r>
      <w:r>
        <w:tab/>
      </w:r>
      <w:r>
        <w:rPr>
          <w:noProof/>
        </w:rPr>
        <w:t xml:space="preserve">EFSD tagatis tuleks anda kõlblike vastaspoolte rahastamis- ja investeerimistoimingutele või tagatisinstrumentidele algseks investeerimisperioodiks kuni 31. detsembrini 2020. </w:t>
      </w:r>
    </w:p>
    <w:p>
      <w:pPr>
        <w:pStyle w:val="ManualConsidrant"/>
        <w:rPr>
          <w:noProof/>
        </w:rPr>
      </w:pPr>
      <w:r>
        <w:t>(10)</w:t>
      </w:r>
      <w:r>
        <w:tab/>
      </w:r>
      <w:r>
        <w:rPr>
          <w:noProof/>
        </w:rPr>
        <w:t>Selleks et tagada paindlikkus, suurendada atraktiivsust erasektori jaoks ning maksimeerida investeeringute mõju, on asjakohane teha erand Euroopa Parlamendi ja nõukogu määruse (EL, Euratom) nr 966/2012</w:t>
      </w:r>
      <w:r>
        <w:rPr>
          <w:rStyle w:val="FootnoteReference"/>
          <w:noProof/>
        </w:rPr>
        <w:footnoteReference w:id="25"/>
      </w:r>
      <w:r>
        <w:rPr>
          <w:noProof/>
        </w:rPr>
        <w:t xml:space="preserve"> artikli 58 lõike 1 punkti c alapunktist vii, et eraõigusega reguleeritud kõlblikuks vastaspooleks võiksid olla ka asutused, kellele ei ole delegeeritud avaliku ja erasektori partnerluse rakendamist, ning partnerriigi eraõigusega reguleeritud asutused. </w:t>
      </w:r>
    </w:p>
    <w:p>
      <w:pPr>
        <w:pStyle w:val="ManualConsidrant"/>
        <w:rPr>
          <w:noProof/>
        </w:rPr>
      </w:pPr>
      <w:r>
        <w:t>(11)</w:t>
      </w:r>
      <w:r>
        <w:tab/>
      </w:r>
      <w:r>
        <w:rPr>
          <w:noProof/>
        </w:rPr>
        <w:t>Komisjon peaks sõlmima tagatislepingu kõlblike vastaspooltega ning konkreetselt sätestama nendele EFSD tagatise andmise tingimused. Tagatislepingud peaksid olema piisava riskijagamise õiguslik alus, stimuleerides kõlblikke vastaspooli pakkuma omapoolset rahastamist, ning nendel põhinevad ka EFSD tagatise võimaliku sissenõudmise mehhanismid ja kord.</w:t>
      </w:r>
    </w:p>
    <w:p>
      <w:pPr>
        <w:pStyle w:val="ManualConsidrant"/>
        <w:rPr>
          <w:noProof/>
        </w:rPr>
      </w:pPr>
      <w:r>
        <w:t>(12)</w:t>
      </w:r>
      <w:r>
        <w:tab/>
      </w:r>
      <w:r>
        <w:rPr>
          <w:noProof/>
        </w:rPr>
        <w:t xml:space="preserve">EFSD tagatise loomiseks peaks liit tegema kättesaadavaks 1 500 000 000 euro suuruse tagatise. Likviidsuse ja seega kogu EFSD tagatise kogumahu suurendamiseks kutsutakse ka liikmesriike ja muid rahastajaid üles toetama EFSD tagatisfondi kas rahaga (liikmesriigid ja muud rahastajad) või andma sellele tagatise (liikmesriigid). EFSD tagatise loomiseks peaks liit tegema kättesaadavaks 1 500 000 000 euro suuruse tagatise. Ka liikmesriike, avaliku sektori finantseerimisasutusi ja muid rahastajaid tuleks kutsuda üles EFSD tagatisfondi rahastama tingimustel, mis tuleks määrata kindlaks liidu nimel tegutseva komisjoni ja rahastajate vahelise lepinguga. </w:t>
      </w:r>
    </w:p>
    <w:p>
      <w:pPr>
        <w:pStyle w:val="ManualConsidrant"/>
        <w:rPr>
          <w:noProof/>
        </w:rPr>
      </w:pPr>
      <w:r>
        <w:t>(13)</w:t>
      </w:r>
      <w:r>
        <w:tab/>
      </w:r>
      <w:r>
        <w:rPr>
          <w:noProof/>
        </w:rPr>
        <w:t xml:space="preserve">EFSD tagatisfond peaks pakkuma likviidsuspuhvrit EFSD tagatise kasutuselevõtu korral. Liit peaks tegema kättesaadavaks 750 000 000 eurot, et ELi finantskohustused EFSD tagatise suhtes oleksid piisavalt kaetud. </w:t>
      </w:r>
    </w:p>
    <w:p>
      <w:pPr>
        <w:pStyle w:val="ManualConsidrant"/>
        <w:rPr>
          <w:noProof/>
        </w:rPr>
      </w:pPr>
      <w:r>
        <w:t>(14)</w:t>
      </w:r>
      <w:r>
        <w:tab/>
      </w:r>
      <w:r>
        <w:rPr>
          <w:noProof/>
        </w:rPr>
        <w:t xml:space="preserve">Selleks et suurendada EFSD tagatise mõju asjaomase piirkonna vajadusi silmas pidades, peaks liikmesriikidel olema võimalus valida, kas pakkuda oma toetust tagatise või rahana. Toetuse võib sihtotstarbeliselt ette näha mõnele piirkonnale, sektorile või investeerimissuunale. </w:t>
      </w:r>
    </w:p>
    <w:p>
      <w:pPr>
        <w:pStyle w:val="ManualConsidrant"/>
        <w:rPr>
          <w:noProof/>
        </w:rPr>
      </w:pPr>
      <w:r>
        <w:t>(15)</w:t>
      </w:r>
      <w:r>
        <w:tab/>
      </w:r>
      <w:r>
        <w:rPr>
          <w:noProof/>
        </w:rPr>
        <w:t>Kuna EAFi vahendeid tuleb kasutada 11. Euroopa Arengufondi</w:t>
      </w:r>
      <w:r>
        <w:rPr>
          <w:rStyle w:val="FootnoteReference"/>
          <w:noProof/>
        </w:rPr>
        <w:footnoteReference w:id="26"/>
      </w:r>
      <w:r>
        <w:rPr>
          <w:noProof/>
        </w:rPr>
        <w:t xml:space="preserve"> (EAF) tingimustele vastavate riikide jaoks, tuleb kogu EFSD tagatiste rakendusperioodiks tagatiskatteks eraldada vähemalt 400 000 000 eurot. EFSD tagatis peaks muutuma kättesaadavaks alles siis, kui 11. EAFi vahenditest on EFSD tagatisfondile eraldatud 400 000 000 eurot. </w:t>
      </w:r>
    </w:p>
    <w:p>
      <w:pPr>
        <w:pStyle w:val="ManualConsidrant"/>
        <w:rPr>
          <w:noProof/>
        </w:rPr>
      </w:pPr>
      <w:r>
        <w:t>(16)</w:t>
      </w:r>
      <w:r>
        <w:tab/>
      </w:r>
      <w:r>
        <w:rPr>
          <w:noProof/>
        </w:rPr>
        <w:t xml:space="preserve">Selleks et täita oma aruandekohustus Euroopa kodanike ees, peaks komisjon igal aastal esitama Euroopa Parlamendile ja nõukogule aruande EFSD tagatisega hõlmatud rahastamis- ja investeerimistoimingute kohta. Aruanne tuleks avalikustada, et sidusrühmad, sealhulgas kodanikuühiskonna organisatsioonid, saaksid selle kohta arvamust avaldada. Samuti peaks komisjon andma igal aastal Euroopa Parlamendile ja nõukogule aru EFSD tagatisfondi juhtimisest, et tagada läbipaistvus ja aruandluskohustuse täitmine. </w:t>
      </w:r>
    </w:p>
    <w:p>
      <w:pPr>
        <w:pStyle w:val="ManualConsidrant"/>
        <w:rPr>
          <w:noProof/>
        </w:rPr>
      </w:pPr>
      <w:r>
        <w:t>(17)</w:t>
      </w:r>
      <w:r>
        <w:tab/>
      </w:r>
      <w:r>
        <w:rPr>
          <w:noProof/>
        </w:rPr>
        <w:t xml:space="preserve">Selleks et võtta arvesse saadud kogemusi ja aidata kaasa EFSD arengule, peaks komisjon analüüsima EFSD toimimist ja EFSD tagatisfondi kasutamist. Eraldi tuleks analüüsida käesoleva määruse kohaldamist, et selgitada välja, kas selle rakendamine on kooskõlas õigusliku alusega ning mil määral määruse rakendamine ja elluviimine aitab kaasa selle eesmärkide saavutamisele. </w:t>
      </w:r>
    </w:p>
    <w:p>
      <w:pPr>
        <w:pStyle w:val="ManualConsidrant"/>
        <w:rPr>
          <w:noProof/>
        </w:rPr>
      </w:pPr>
      <w:r>
        <w:t>(18)</w:t>
      </w:r>
      <w:r>
        <w:tab/>
      </w:r>
      <w:r>
        <w:rPr>
          <w:noProof/>
        </w:rPr>
        <w:t>Selleks et kaitsta liidu finantshuve ja teha kindlaks, kas käesoleva määrusega hõlmatud rahastamis- ja investeerimistoimingute puhul on esinenud pettust, kelmust, korruptsiooni, rahapesu või muud liidu finantshuve kahjustavat ebaseaduslikku tegevust, võib Euroopa Pettustevastane Amet (OLAF) korraldada juurdlusi kooskõlas Euroopa Parlamendi ja nõukogu määrusega (EL, Euratom) nr 883/2013,</w:t>
      </w:r>
      <w:r>
        <w:rPr>
          <w:rStyle w:val="FootnoteReference"/>
          <w:noProof/>
        </w:rPr>
        <w:footnoteReference w:id="27"/>
      </w:r>
      <w:r>
        <w:rPr>
          <w:noProof/>
        </w:rPr>
        <w:t xml:space="preserve"> nõukogu määrusega (Euratom, EÜ) nr 2185/96</w:t>
      </w:r>
      <w:r>
        <w:rPr>
          <w:rStyle w:val="FootnoteReference"/>
          <w:noProof/>
        </w:rPr>
        <w:footnoteReference w:id="28"/>
      </w:r>
      <w:r>
        <w:rPr>
          <w:noProof/>
        </w:rPr>
        <w:t xml:space="preserve"> ja nõukogu määrusega (EÜ, Euratom) nr 2988/95</w:t>
      </w:r>
      <w:r>
        <w:rPr>
          <w:rStyle w:val="FootnoteReference"/>
          <w:noProof/>
        </w:rPr>
        <w:footnoteReference w:id="29"/>
      </w:r>
      <w:r>
        <w:rPr>
          <w:noProof/>
        </w:rPr>
        <w:t>.</w:t>
      </w:r>
    </w:p>
    <w:p>
      <w:pPr>
        <w:pStyle w:val="ManualConsidrant"/>
        <w:rPr>
          <w:noProof/>
        </w:rPr>
      </w:pPr>
      <w:r>
        <w:t>(19)</w:t>
      </w:r>
      <w:r>
        <w:tab/>
      </w:r>
      <w:r>
        <w:rPr>
          <w:noProof/>
        </w:rPr>
        <w:t>Selleks et aidata kaasa rahvusvahelisele maksupettuste, maksudest kõrvalehoidumise ja rahapesuvastasele võitlusele, ei tohiks kõlblikud vastaspooled toetada ühtegi ebaseaduslikul eesmärgil toimuvat tegevust ega osaleda rahastamis- ja investeerimistoimingutes mõne sellise vahendi kaudu, mis asub koostööd mittetegevas jurisdiktsioonis.</w:t>
      </w:r>
    </w:p>
    <w:p>
      <w:pPr>
        <w:pStyle w:val="ManualConsidrant"/>
        <w:rPr>
          <w:noProof/>
        </w:rPr>
      </w:pPr>
      <w:r>
        <w:t>(20)</w:t>
      </w:r>
      <w:r>
        <w:tab/>
      </w:r>
      <w:r>
        <w:rPr>
          <w:noProof/>
        </w:rPr>
        <w:t>Selleks et täita ELi poliitilisi kohustusi seoses taastuvenergia ja kliimamuutusega, tuleks vähemalt 20 % EFSD kaudu eraldatud vahendeid ette näha nende sektorite rahastamis- ja investeerimistoimingutele,</w:t>
      </w:r>
    </w:p>
    <w:p>
      <w:pPr>
        <w:pStyle w:val="Formuledadoption"/>
        <w:rPr>
          <w:noProof/>
        </w:rPr>
      </w:pPr>
      <w:r>
        <w:rPr>
          <w:noProof/>
        </w:rPr>
        <w:t>ON VASTU VÕTNUD KÄESOLEVA MÄÄRUSE:</w:t>
      </w:r>
    </w:p>
    <w:p>
      <w:pPr>
        <w:spacing w:before="360"/>
        <w:jc w:val="center"/>
        <w:rPr>
          <w:noProof/>
        </w:rPr>
      </w:pPr>
      <w:r>
        <w:rPr>
          <w:noProof/>
        </w:rPr>
        <w:t>I PEATÜKK</w:t>
      </w:r>
    </w:p>
    <w:p>
      <w:pPr>
        <w:jc w:val="center"/>
        <w:rPr>
          <w:noProof/>
        </w:rPr>
      </w:pPr>
      <w:r>
        <w:rPr>
          <w:noProof/>
        </w:rPr>
        <w:t>SISSEJUHATAVAD SÄTTED</w:t>
      </w:r>
    </w:p>
    <w:p>
      <w:pPr>
        <w:pStyle w:val="Titrearticle"/>
        <w:rPr>
          <w:b/>
          <w:noProof/>
        </w:rPr>
      </w:pPr>
      <w:r>
        <w:rPr>
          <w:b/>
          <w:noProof/>
        </w:rPr>
        <w:t>Artikkel 1</w:t>
      </w:r>
      <w:r>
        <w:rPr>
          <w:b/>
          <w:noProof/>
        </w:rPr>
        <w:br/>
        <w:t>Reguleerimisese</w:t>
      </w:r>
    </w:p>
    <w:p>
      <w:pPr>
        <w:rPr>
          <w:noProof/>
        </w:rPr>
      </w:pPr>
      <w:r>
        <w:rPr>
          <w:noProof/>
        </w:rPr>
        <w:t xml:space="preserve">1. Käesoleva määrusega luuakse Euroopa Jätkusuutliku Arengu Fond (EFSD), EFSD tagatis ja EFSD tagatisfond. </w:t>
      </w:r>
    </w:p>
    <w:p>
      <w:pPr>
        <w:rPr>
          <w:noProof/>
        </w:rPr>
      </w:pPr>
      <w:r>
        <w:rPr>
          <w:noProof/>
        </w:rPr>
        <w:t xml:space="preserve">2. Lõike 1 kohaldamiseks tehakse käesoleva määrusega komisjonile liidu nimel ülesandeks sõlmida tagatislepinguid artiklis 10 määratletud kõlblike vastaspooltega. </w:t>
      </w:r>
    </w:p>
    <w:p>
      <w:pPr>
        <w:pStyle w:val="Titrearticle"/>
        <w:rPr>
          <w:b/>
          <w:noProof/>
        </w:rPr>
      </w:pPr>
      <w:r>
        <w:rPr>
          <w:b/>
          <w:noProof/>
        </w:rPr>
        <w:t>Artikkel 2</w:t>
      </w:r>
      <w:r>
        <w:rPr>
          <w:b/>
          <w:noProof/>
        </w:rPr>
        <w:br/>
        <w:t>Mõisted</w:t>
      </w:r>
    </w:p>
    <w:p>
      <w:pPr>
        <w:rPr>
          <w:noProof/>
        </w:rPr>
      </w:pPr>
      <w:r>
        <w:rPr>
          <w:noProof/>
        </w:rPr>
        <w:t>Käesolevas määruses kasutatakse järgmisi mõisteid:</w:t>
      </w:r>
    </w:p>
    <w:p>
      <w:pPr>
        <w:spacing w:after="240"/>
        <w:rPr>
          <w:noProof/>
        </w:rPr>
      </w:pPr>
      <w:r>
        <w:rPr>
          <w:noProof/>
        </w:rPr>
        <w:t>1) „piirkondlik investeerimisplatvorm“ – Euroopa Parlamendi ja nõukogu määruse (EL) nr 236/2014</w:t>
      </w:r>
      <w:r>
        <w:rPr>
          <w:rStyle w:val="FootnoteReference"/>
          <w:noProof/>
        </w:rPr>
        <w:footnoteReference w:id="30"/>
      </w:r>
      <w:r>
        <w:rPr>
          <w:noProof/>
        </w:rPr>
        <w:t xml:space="preserve"> artikli 4 lõike 1 punkti e või 11. Euroopa Arengufondi (EAF) toetuse puhul nõukogu määruse (EL) nr 2015/323</w:t>
      </w:r>
      <w:r>
        <w:rPr>
          <w:rStyle w:val="FootnoteReference"/>
          <w:noProof/>
        </w:rPr>
        <w:footnoteReference w:id="31"/>
      </w:r>
      <w:r>
        <w:rPr>
          <w:noProof/>
        </w:rPr>
        <w:t xml:space="preserve"> artikli 40 kohane segarahastu ning artikli 6 kohane EFSD tagatis. </w:t>
      </w:r>
    </w:p>
    <w:p>
      <w:pPr>
        <w:spacing w:after="240"/>
        <w:rPr>
          <w:noProof/>
        </w:rPr>
      </w:pPr>
      <w:r>
        <w:rPr>
          <w:noProof/>
        </w:rPr>
        <w:t xml:space="preserve">2) „investeerimissuund“ – sihtvaldkond, millele piirkondlike investeerimisplatvormide kaudu pakutakse konkreetsete piirkondade, riikide ja sektorite investeerimisportfellidele EFSD tagatist; </w:t>
      </w:r>
    </w:p>
    <w:p>
      <w:pPr>
        <w:spacing w:after="240"/>
        <w:rPr>
          <w:noProof/>
        </w:rPr>
      </w:pPr>
      <w:r>
        <w:rPr>
          <w:noProof/>
        </w:rPr>
        <w:t xml:space="preserve">3) „rahastaja“ — liikmesriik, rahvusvaheline finantseerimisasutus, liikmesriigi avalik-õiguslik asutus, avaliku sektori asutus või muu üksus, kes osaleb EFSD tagatisfondis rahalise toetuse või tagatisega; </w:t>
      </w:r>
    </w:p>
    <w:p>
      <w:pPr>
        <w:rPr>
          <w:noProof/>
          <w:szCs w:val="24"/>
        </w:rPr>
      </w:pPr>
      <w:r>
        <w:rPr>
          <w:noProof/>
        </w:rPr>
        <w:t>4) „partnerriigid“ – riigid, kes on kirjutanud alla 23. juunil 2000 Cotonous ühelt poolt Aafrika, Kariibi mere ja Vaikse ookeani piirkonna riikide rühma liikmete ning teiselt poolt Euroopa Ühenduse ja selle liikmesriikide vahel sõlmitud partnerluslepingule,</w:t>
      </w:r>
      <w:r>
        <w:rPr>
          <w:rStyle w:val="FootnoteReference"/>
          <w:noProof/>
        </w:rPr>
        <w:footnoteReference w:id="32"/>
      </w:r>
      <w:r>
        <w:rPr>
          <w:noProof/>
        </w:rPr>
        <w:t xml:space="preserve"> Euroopa Parlamendi ja nõukogu määruse (EL) nr 232/2014</w:t>
      </w:r>
      <w:r>
        <w:rPr>
          <w:rStyle w:val="FootnoteReference"/>
          <w:noProof/>
        </w:rPr>
        <w:footnoteReference w:id="33"/>
      </w:r>
      <w:r>
        <w:rPr>
          <w:noProof/>
        </w:rPr>
        <w:t xml:space="preserve"> I lisas loetletud riigid ning riigid, kellega tehakse geograafilist koostööd Euroopa Parlamendi ja nõukogu määruse (EL) nr 233/2014</w:t>
      </w:r>
      <w:r>
        <w:rPr>
          <w:rStyle w:val="FootnoteReference"/>
          <w:noProof/>
        </w:rPr>
        <w:footnoteReference w:id="34"/>
      </w:r>
      <w:r>
        <w:rPr>
          <w:noProof/>
        </w:rPr>
        <w:t xml:space="preserve"> kohaselt.</w:t>
      </w:r>
    </w:p>
    <w:p>
      <w:pPr>
        <w:spacing w:after="240"/>
        <w:rPr>
          <w:noProof/>
        </w:rPr>
      </w:pPr>
      <w:r>
        <w:rPr>
          <w:noProof/>
        </w:rPr>
        <w:t>5) „täiendavus“ – põhimõte, mille kohaselt tagatakse EFSD tagatisega pakutav toetus ei tohi asendada liikmesriikide, erasektori ega muudest liidu vahenditest antavat toetust, vaid selle eesmärk on kõrvaldada turutõrkeid ja vältida teiste avaliku ja erasektori investeeringute väljatõrjumist.</w:t>
      </w:r>
    </w:p>
    <w:p>
      <w:pPr>
        <w:keepNext/>
        <w:keepLines/>
        <w:spacing w:before="360"/>
        <w:jc w:val="center"/>
        <w:rPr>
          <w:noProof/>
        </w:rPr>
      </w:pPr>
      <w:r>
        <w:rPr>
          <w:noProof/>
        </w:rPr>
        <w:t>II PEATÜKK</w:t>
      </w:r>
    </w:p>
    <w:p>
      <w:pPr>
        <w:keepNext/>
        <w:keepLines/>
        <w:jc w:val="center"/>
        <w:rPr>
          <w:noProof/>
        </w:rPr>
      </w:pPr>
      <w:r>
        <w:rPr>
          <w:noProof/>
        </w:rPr>
        <w:t>EUROOPA JÄTKUSUUTLIKU ARENGU FOND</w:t>
      </w:r>
    </w:p>
    <w:p>
      <w:pPr>
        <w:pStyle w:val="Titrearticle"/>
        <w:rPr>
          <w:b/>
          <w:noProof/>
        </w:rPr>
      </w:pPr>
      <w:r>
        <w:rPr>
          <w:b/>
          <w:noProof/>
        </w:rPr>
        <w:t>Artikkel 3</w:t>
      </w:r>
      <w:r>
        <w:rPr>
          <w:b/>
          <w:noProof/>
        </w:rPr>
        <w:br/>
        <w:t xml:space="preserve">Eesmärk </w:t>
      </w:r>
    </w:p>
    <w:p>
      <w:pPr>
        <w:rPr>
          <w:noProof/>
        </w:rPr>
      </w:pPr>
      <w:r>
        <w:rPr>
          <w:noProof/>
        </w:rPr>
        <w:t xml:space="preserve">1. EFSD on integreeritud rahastamispake, millest toetuste, tagatiste ja muude rahastamisvahendite kujul toetatakse Aafrika ja naabruspoliitika partnerriikides kõlblike vastaspoolte poolt investeerimise alustamist ja parandatakse nende juurdepääsu rahastamisele. </w:t>
      </w:r>
    </w:p>
    <w:p>
      <w:pPr>
        <w:rPr>
          <w:noProof/>
        </w:rPr>
      </w:pPr>
      <w:r>
        <w:rPr>
          <w:noProof/>
        </w:rPr>
        <w:t xml:space="preserve">2. EFSD aitab saavutada säästva arengu tegevuskava 2030 säästva arengu eesmärke, eelkõige keskendudes jätkusuutlikule majanduskasvule, töökohtade loomisele ja sotsiaal-majanduslikele sektoritele, toetades mikro-, väike- ja keskmise suurusega ettevõtteid ning aidates kõrvaldada rände algpõhjusi ja toetades tagasipöördunud rändajate jätkusuutlikku taasintegreerimist oma päritoluriikides, samal ajal suurendades täiendavust, innovaatiliste toodete pakkumist ja erasektori vahendite kaasamist. </w:t>
      </w:r>
    </w:p>
    <w:p>
      <w:pPr>
        <w:pStyle w:val="Titrearticle"/>
        <w:rPr>
          <w:b/>
          <w:noProof/>
        </w:rPr>
      </w:pPr>
      <w:r>
        <w:rPr>
          <w:b/>
          <w:noProof/>
        </w:rPr>
        <w:t>Artikkel 4</w:t>
      </w:r>
      <w:r>
        <w:rPr>
          <w:b/>
          <w:noProof/>
        </w:rPr>
        <w:br/>
        <w:t>EFSD ülesehitus</w:t>
      </w:r>
    </w:p>
    <w:p>
      <w:pPr>
        <w:rPr>
          <w:noProof/>
        </w:rPr>
      </w:pPr>
      <w:r>
        <w:rPr>
          <w:noProof/>
        </w:rPr>
        <w:t xml:space="preserve">1. EFSD koosseisu kuuluvad piirkondlikud investeerimisplatvormid, mis ühendavad seniseid segarahastuid ja EFSD tagatist. </w:t>
      </w:r>
    </w:p>
    <w:p>
      <w:pPr>
        <w:rPr>
          <w:noProof/>
        </w:rPr>
      </w:pPr>
      <w:r>
        <w:rPr>
          <w:noProof/>
        </w:rPr>
        <w:t xml:space="preserve">2. EFSD juhtimise tagab komisjon. </w:t>
      </w:r>
    </w:p>
    <w:p>
      <w:pPr>
        <w:pStyle w:val="Titrearticle"/>
        <w:rPr>
          <w:b/>
          <w:noProof/>
        </w:rPr>
      </w:pPr>
      <w:r>
        <w:rPr>
          <w:b/>
          <w:noProof/>
        </w:rPr>
        <w:t>Artikkel 5</w:t>
      </w:r>
      <w:r>
        <w:rPr>
          <w:b/>
          <w:noProof/>
        </w:rPr>
        <w:br/>
        <w:t>EFSD strateegianõukogu</w:t>
      </w:r>
    </w:p>
    <w:p>
      <w:pPr>
        <w:rPr>
          <w:noProof/>
        </w:rPr>
      </w:pPr>
      <w:r>
        <w:rPr>
          <w:noProof/>
        </w:rPr>
        <w:t xml:space="preserve">1. Komisjoni abistab EFSD juhtimisel strateegianõukogu. </w:t>
      </w:r>
    </w:p>
    <w:p>
      <w:pPr>
        <w:rPr>
          <w:noProof/>
        </w:rPr>
      </w:pPr>
      <w:r>
        <w:rPr>
          <w:noProof/>
        </w:rPr>
        <w:t>Strateegianõukogu esitab strateegilisi suuniseid ning toetab komisjoni EFSD tagatistega seotud üldiste investeerimiseesmärkide kindlaksmääramisel. Strateegianõukogu tagab tegevuse koordineerimise ja sidususe piirkondlike investeerimisplatvormide vahel ning EIP hallatava välislaenude mandaadi alusel tehtavate toimingutega, sealhulgas vastupanuvõime algatuse raames toimuva tegevusega.</w:t>
      </w:r>
    </w:p>
    <w:p>
      <w:pPr>
        <w:rPr>
          <w:noProof/>
        </w:rPr>
      </w:pPr>
      <w:r>
        <w:rPr>
          <w:noProof/>
        </w:rPr>
        <w:t>2. Strateegianõukogu koosneb komisjoni ning liidu välisasjade ja julgeolekupoliitika kõrge esindaja, liikmesriikide ja EIP esindajatest. Komisjon võib kutsuda strateegianõukogu liikmeks ka teisi rahastajaid, võttes vajaduse korral arvesse strateegianõukogu seisukohta. Asjakohastel juhtudel võib partnerriikidele ja asjaomastele piirkondlikele organisatsioonidele, kõlblikele vastaspooltele ning Euroopa Parlamendile anda vaatleja staatuse. Strateegianõukogu tegevust juhivad ühiselt komisjon ja liidu välisasjade ja julgeolekupoliitika kõrge esindaja.</w:t>
      </w:r>
    </w:p>
    <w:p>
      <w:pPr>
        <w:keepNext/>
        <w:keepLines/>
        <w:spacing w:before="360"/>
        <w:jc w:val="center"/>
        <w:rPr>
          <w:noProof/>
        </w:rPr>
      </w:pPr>
      <w:r>
        <w:rPr>
          <w:noProof/>
        </w:rPr>
        <w:t>III PEATÜKK</w:t>
      </w:r>
    </w:p>
    <w:p>
      <w:pPr>
        <w:keepNext/>
        <w:keepLines/>
        <w:jc w:val="center"/>
        <w:rPr>
          <w:noProof/>
        </w:rPr>
      </w:pPr>
      <w:r>
        <w:rPr>
          <w:noProof/>
        </w:rPr>
        <w:t>EFSD TAGATIS JA EFSD TAGATISFOND</w:t>
      </w:r>
    </w:p>
    <w:p>
      <w:pPr>
        <w:pStyle w:val="Titrearticle"/>
        <w:rPr>
          <w:b/>
          <w:noProof/>
        </w:rPr>
      </w:pPr>
      <w:r>
        <w:rPr>
          <w:b/>
          <w:noProof/>
        </w:rPr>
        <w:t>Artikkel 6</w:t>
      </w:r>
      <w:r>
        <w:rPr>
          <w:b/>
          <w:noProof/>
        </w:rPr>
        <w:br/>
        <w:t>EFSD tagatis</w:t>
      </w:r>
    </w:p>
    <w:p>
      <w:pPr>
        <w:rPr>
          <w:noProof/>
        </w:rPr>
      </w:pPr>
      <w:r>
        <w:rPr>
          <w:noProof/>
        </w:rPr>
        <w:t xml:space="preserve">1. Liit annab Aafrika ja Euroopa naabruspoliitika partnerriikide kõlblikele vastaspooltele tagasivõtmatu ja tingimusteta nõudegarantii käesoleva määrusega hõlmatud rahastamis- ja investeerimistoimingute alustamiseks. </w:t>
      </w:r>
    </w:p>
    <w:p>
      <w:pPr>
        <w:rPr>
          <w:noProof/>
        </w:rPr>
      </w:pPr>
      <w:r>
        <w:rPr>
          <w:noProof/>
        </w:rPr>
        <w:t xml:space="preserve">2. EFSD tagatis antakse artiklis 9 osutatud instrumentide suhtes nõudegarantiina ja kooskõlas artikli 8 kohaste kõlblikkuskriteeriumidega. </w:t>
      </w:r>
    </w:p>
    <w:p>
      <w:pPr>
        <w:pStyle w:val="Titrearticle"/>
        <w:rPr>
          <w:b/>
          <w:noProof/>
        </w:rPr>
      </w:pPr>
      <w:r>
        <w:rPr>
          <w:b/>
          <w:noProof/>
        </w:rPr>
        <w:t>Artikkel 7</w:t>
      </w:r>
      <w:r>
        <w:rPr>
          <w:b/>
          <w:noProof/>
        </w:rPr>
        <w:br/>
        <w:t>EFSD tagatise kasutamise tingimused</w:t>
      </w:r>
    </w:p>
    <w:p>
      <w:pPr>
        <w:rPr>
          <w:noProof/>
        </w:rPr>
      </w:pPr>
      <w:r>
        <w:rPr>
          <w:noProof/>
        </w:rPr>
        <w:t xml:space="preserve">1. EFSD tagatis antakse EFSD tagatislepingu alusel, mille sõlmib liidu nimel komisjon kõlbliku vastaspoolega. </w:t>
      </w:r>
    </w:p>
    <w:p>
      <w:pPr>
        <w:rPr>
          <w:noProof/>
        </w:rPr>
      </w:pPr>
      <w:r>
        <w:rPr>
          <w:noProof/>
        </w:rPr>
        <w:t>2. Algne investeerimisperiood, mille jooksul saab kõlblike vastaspooltega sõlmida EFSD tagatislepinguid rahastamis- ja investeerimistoimingute toetuseks, kestab kuni 31. detsembrini 2020.</w:t>
      </w:r>
    </w:p>
    <w:p>
      <w:pPr>
        <w:rPr>
          <w:noProof/>
        </w:rPr>
      </w:pPr>
      <w:r>
        <w:rPr>
          <w:noProof/>
        </w:rPr>
        <w:t>3. Kõlblikud vastaspooled saavad finantsvahendajate ja lõplike tagatisesaajatega lepinguid sõlmida nelja aasta jooksul pärast tagatislepingu sõlmimist.</w:t>
      </w:r>
    </w:p>
    <w:p>
      <w:pPr>
        <w:pStyle w:val="Titrearticle"/>
        <w:rPr>
          <w:b/>
          <w:noProof/>
        </w:rPr>
      </w:pPr>
      <w:r>
        <w:rPr>
          <w:b/>
          <w:noProof/>
        </w:rPr>
        <w:t>Artikkel 8</w:t>
      </w:r>
      <w:r>
        <w:rPr>
          <w:b/>
          <w:noProof/>
        </w:rPr>
        <w:br/>
        <w:t>Kõlblikkustingimused EFSD tagatise kasutamiseks</w:t>
      </w:r>
    </w:p>
    <w:p>
      <w:pPr>
        <w:rPr>
          <w:noProof/>
        </w:rPr>
      </w:pPr>
      <w:r>
        <w:rPr>
          <w:noProof/>
        </w:rPr>
        <w:t xml:space="preserve">1. EFSD tagatise saamiseks kõlblikud rahastamis- ja investeerimistoimingud peavad olema kooskõlas liidu poliitikaga, eriti liidu arengu- ja naabruspoliitikaga, ning partnerriikide strateegiate ja poliitikaga, lähtudes järgmistest üldeesmärkidest: </w:t>
      </w:r>
    </w:p>
    <w:p>
      <w:pPr>
        <w:pStyle w:val="Point0letter"/>
        <w:numPr>
          <w:ilvl w:val="1"/>
          <w:numId w:val="22"/>
        </w:numPr>
        <w:rPr>
          <w:noProof/>
        </w:rPr>
      </w:pPr>
      <w:r>
        <w:rPr>
          <w:noProof/>
        </w:rPr>
        <w:t>edendama majanduslikku ja sotsiaalset arengut, eelkõige keskendudes jätkusuutlikkusele ja töökohtade loomisele (eriti noorte ja naiste jaoks), et aidata kõrvaldada rände algpõhjuseid ja soodustada tagasipöördunud rändajate püsivat taasintegreerimist nende päritoluriigis;</w:t>
      </w:r>
    </w:p>
    <w:p>
      <w:pPr>
        <w:pStyle w:val="Point0letter"/>
        <w:rPr>
          <w:noProof/>
        </w:rPr>
      </w:pPr>
      <w:r>
        <w:rPr>
          <w:noProof/>
        </w:rPr>
        <w:t xml:space="preserve">olema suunatud sotsiaal-majanduslikele sektoritele ja eelkõige taristusse, sealhulgas energeetika, vesi, transport, info- ja kommunikatsioonitehnoloogia, keskkond, loodusvarade säästev kasutamine ja meremajanduse kasv, sotsiaalne infrastruktuur ning inimkapital, et parandada sotsiaal-majanduslikku keskkonda; </w:t>
      </w:r>
    </w:p>
    <w:p>
      <w:pPr>
        <w:pStyle w:val="Point0letter"/>
        <w:rPr>
          <w:noProof/>
          <w:szCs w:val="24"/>
        </w:rPr>
      </w:pPr>
      <w:r>
        <w:rPr>
          <w:noProof/>
        </w:rPr>
        <w:t>pakkuma rahastamisvõimalusi mikro-, väikeste ja keskmise suurusega ettevõtetele, pöörates erilist tähelepanu erasektori arendamisele;</w:t>
      </w:r>
    </w:p>
    <w:p>
      <w:pPr>
        <w:pStyle w:val="Point0letter"/>
        <w:rPr>
          <w:noProof/>
        </w:rPr>
      </w:pPr>
      <w:r>
        <w:rPr>
          <w:noProof/>
        </w:rPr>
        <w:t xml:space="preserve">pakkuma vahendeid erasektori investeerimistakistuste kõrvaldamiseks, sealhulgas esimese järjekoha kahju tagatisi erasektori projektide tagatiste portfellidele, näiteks laenutagatised väikestele ja keskmise suurusega ettevõtetele, tagatised seoses taristuprojektide konkreetsete riskidega ja muu riskikapital; </w:t>
      </w:r>
    </w:p>
    <w:p>
      <w:pPr>
        <w:pStyle w:val="Point0letter"/>
        <w:rPr>
          <w:noProof/>
        </w:rPr>
      </w:pPr>
      <w:r>
        <w:rPr>
          <w:noProof/>
        </w:rPr>
        <w:t>suurendama erasektori finantsvõimendust, kõrvaldades kitsaskohti investeeringute tegemisel.</w:t>
      </w:r>
    </w:p>
    <w:p>
      <w:pPr>
        <w:spacing w:before="0" w:after="0"/>
        <w:rPr>
          <w:noProof/>
        </w:rPr>
      </w:pPr>
      <w:r>
        <w:rPr>
          <w:noProof/>
        </w:rPr>
        <w:t>2. EFSD tagatisega toetatakse rahastamis- ja investeerimistoiminguid, mis:</w:t>
      </w:r>
    </w:p>
    <w:p>
      <w:pPr>
        <w:pStyle w:val="Point0letter"/>
        <w:numPr>
          <w:ilvl w:val="1"/>
          <w:numId w:val="7"/>
        </w:numPr>
        <w:rPr>
          <w:noProof/>
        </w:rPr>
      </w:pPr>
      <w:r>
        <w:rPr>
          <w:noProof/>
        </w:rPr>
        <w:t>pakuvad täiendavust;</w:t>
      </w:r>
    </w:p>
    <w:p>
      <w:pPr>
        <w:pStyle w:val="Point0letter"/>
        <w:numPr>
          <w:ilvl w:val="1"/>
          <w:numId w:val="7"/>
        </w:numPr>
        <w:rPr>
          <w:noProof/>
        </w:rPr>
      </w:pPr>
      <w:r>
        <w:rPr>
          <w:noProof/>
        </w:rPr>
        <w:t>tagavad huvide kooskõlastatuse, jagades riske kõlblike vastaspoolte ja muude võimalike vastaspooltega;</w:t>
      </w:r>
    </w:p>
    <w:p>
      <w:pPr>
        <w:pStyle w:val="Point0letter"/>
        <w:numPr>
          <w:ilvl w:val="1"/>
          <w:numId w:val="7"/>
        </w:numPr>
        <w:rPr>
          <w:noProof/>
        </w:rPr>
      </w:pPr>
      <w:r>
        <w:rPr>
          <w:noProof/>
        </w:rPr>
        <w:t xml:space="preserve">on majanduslikult ja rahaliselt elujõulised, võttes arvesse, et projekti võivad toetada ja kaasrahastada ka avaliku ja erasektori partnerid; </w:t>
      </w:r>
    </w:p>
    <w:p>
      <w:pPr>
        <w:pStyle w:val="Point0letter"/>
        <w:numPr>
          <w:ilvl w:val="1"/>
          <w:numId w:val="7"/>
        </w:numPr>
        <w:rPr>
          <w:noProof/>
        </w:rPr>
      </w:pPr>
      <w:r>
        <w:rPr>
          <w:noProof/>
        </w:rPr>
        <w:t>on tehniliselt teostatavad ning keskkondlikult ja sotsiaalselt jätkusuutlikud ning</w:t>
      </w:r>
    </w:p>
    <w:p>
      <w:pPr>
        <w:pStyle w:val="Point0letter"/>
        <w:numPr>
          <w:ilvl w:val="1"/>
          <w:numId w:val="7"/>
        </w:numPr>
        <w:rPr>
          <w:noProof/>
        </w:rPr>
      </w:pPr>
      <w:r>
        <w:rPr>
          <w:noProof/>
        </w:rPr>
        <w:t>aitavad kaasata võimalikult palju erasektori kapitali.</w:t>
      </w:r>
    </w:p>
    <w:p>
      <w:pPr>
        <w:spacing w:before="0" w:after="0"/>
        <w:rPr>
          <w:noProof/>
          <w:szCs w:val="24"/>
        </w:rPr>
      </w:pPr>
      <w:r>
        <w:rPr>
          <w:noProof/>
        </w:rPr>
        <w:t>3. Juhtumipõhiselt võib komisjon lubada rahastamist mitmest liidu vahendist korraga.</w:t>
      </w:r>
    </w:p>
    <w:p>
      <w:pPr>
        <w:spacing w:before="0" w:after="0"/>
        <w:rPr>
          <w:noProof/>
        </w:rPr>
      </w:pPr>
      <w:r>
        <w:rPr>
          <w:noProof/>
        </w:rPr>
        <w:t xml:space="preserve">4. Komisjon võib kindlaks määrata konkreetsetele piirkondadele, partnerriikidele või mõlemale, samuti konkreetsetele valdkondadele, projektidele, tagatisesaajate liikidele või mõlemale artiklis 9 osutatud, teatava piirmääraga EFSD tagatisega kaetud vahenditest rahastatavad investeerimissuunad. Taotlused investeerimissuundade raames toetuse saamiseks esitatakse komisjonile. </w:t>
      </w:r>
    </w:p>
    <w:p>
      <w:pPr>
        <w:pStyle w:val="Titrearticle"/>
        <w:rPr>
          <w:b/>
          <w:noProof/>
        </w:rPr>
      </w:pPr>
      <w:r>
        <w:rPr>
          <w:b/>
          <w:noProof/>
        </w:rPr>
        <w:t>Artikkel 9</w:t>
      </w:r>
      <w:r>
        <w:rPr>
          <w:b/>
          <w:noProof/>
        </w:rPr>
        <w:br/>
        <w:t>Rahastamisvahendid, millele võib anda EFSD tagatise</w:t>
      </w:r>
    </w:p>
    <w:p>
      <w:pPr>
        <w:rPr>
          <w:noProof/>
        </w:rPr>
      </w:pPr>
      <w:r>
        <w:rPr>
          <w:noProof/>
        </w:rPr>
        <w:t>1. EFSD tagatisega kaetakse järgmiste vahendite riske:</w:t>
      </w:r>
    </w:p>
    <w:p>
      <w:pPr>
        <w:pStyle w:val="Point0letter"/>
        <w:numPr>
          <w:ilvl w:val="1"/>
          <w:numId w:val="25"/>
        </w:numPr>
        <w:rPr>
          <w:noProof/>
        </w:rPr>
      </w:pPr>
      <w:r>
        <w:rPr>
          <w:noProof/>
        </w:rPr>
        <w:t>laenud;</w:t>
      </w:r>
    </w:p>
    <w:p>
      <w:pPr>
        <w:pStyle w:val="Point0letter"/>
        <w:numPr>
          <w:ilvl w:val="1"/>
          <w:numId w:val="25"/>
        </w:numPr>
        <w:rPr>
          <w:noProof/>
        </w:rPr>
      </w:pPr>
      <w:r>
        <w:rPr>
          <w:noProof/>
        </w:rPr>
        <w:t>tagatised;</w:t>
      </w:r>
    </w:p>
    <w:p>
      <w:pPr>
        <w:pStyle w:val="Point0letter"/>
        <w:numPr>
          <w:ilvl w:val="1"/>
          <w:numId w:val="25"/>
        </w:numPr>
        <w:rPr>
          <w:noProof/>
        </w:rPr>
      </w:pPr>
      <w:r>
        <w:rPr>
          <w:noProof/>
        </w:rPr>
        <w:t>edasitagatised;</w:t>
      </w:r>
    </w:p>
    <w:p>
      <w:pPr>
        <w:pStyle w:val="Point0letter"/>
        <w:numPr>
          <w:ilvl w:val="1"/>
          <w:numId w:val="25"/>
        </w:numPr>
        <w:rPr>
          <w:noProof/>
        </w:rPr>
      </w:pPr>
      <w:r>
        <w:rPr>
          <w:noProof/>
        </w:rPr>
        <w:t>kapitalituru instrumendid;</w:t>
      </w:r>
    </w:p>
    <w:p>
      <w:pPr>
        <w:pStyle w:val="Point0letter"/>
        <w:numPr>
          <w:ilvl w:val="1"/>
          <w:numId w:val="25"/>
        </w:numPr>
        <w:rPr>
          <w:noProof/>
        </w:rPr>
      </w:pPr>
      <w:r>
        <w:rPr>
          <w:noProof/>
        </w:rPr>
        <w:t>muud rahastamisvormid ja krediidikvaliteedi parandamise instrumendid ning omakapitali- ja kvaasiomakapitali osalused.</w:t>
      </w:r>
    </w:p>
    <w:p>
      <w:pPr>
        <w:rPr>
          <w:noProof/>
        </w:rPr>
      </w:pPr>
      <w:r>
        <w:rPr>
          <w:noProof/>
        </w:rPr>
        <w:t xml:space="preserve">2. Lõikes 1 loetletud vahendid võivad olla kõlblike vastaspoolte ja rahastajate, sealhulgas erainvestorite instrumendid investeeringusuundade raames, kõlblike vastaspoolte poolt partnerriikides, sealhulgas ebakindlates ja konfliktidest mõjutatud riikides teostatavate üksikprojektide vahendid, partnerriikide, sealhulgas ebakindlates ja konfliktist mõjutatud riikide institutsioonide, sealhulgas nende avaliku ja erasektori kohalike pankade ja finantsasutuste vahendid ning partnerriikide erasektori üksuste vahendid. </w:t>
      </w:r>
    </w:p>
    <w:p>
      <w:pPr>
        <w:pStyle w:val="Titrearticle"/>
        <w:rPr>
          <w:b/>
          <w:noProof/>
        </w:rPr>
      </w:pPr>
      <w:r>
        <w:rPr>
          <w:b/>
          <w:noProof/>
        </w:rPr>
        <w:t xml:space="preserve">Artikkel 10 </w:t>
      </w:r>
      <w:r>
        <w:rPr>
          <w:b/>
          <w:noProof/>
        </w:rPr>
        <w:br/>
        <w:t xml:space="preserve">Vastaspoolte kõlblikkus ja väljavalimine </w:t>
      </w:r>
    </w:p>
    <w:p>
      <w:pPr>
        <w:rPr>
          <w:noProof/>
        </w:rPr>
      </w:pPr>
      <w:r>
        <w:rPr>
          <w:noProof/>
        </w:rPr>
        <w:t xml:space="preserve">1. Õigus saada EFSD tagatist on järgmistel vastaspooltel: </w:t>
      </w:r>
    </w:p>
    <w:p>
      <w:pPr>
        <w:pStyle w:val="Point0letter"/>
        <w:numPr>
          <w:ilvl w:val="1"/>
          <w:numId w:val="8"/>
        </w:numPr>
        <w:ind w:left="840" w:hanging="840"/>
        <w:rPr>
          <w:noProof/>
        </w:rPr>
      </w:pPr>
      <w:r>
        <w:rPr>
          <w:noProof/>
        </w:rPr>
        <w:t xml:space="preserve">Euroopa Investeerimispank ja Euroopa Investeerimisfond; </w:t>
      </w:r>
    </w:p>
    <w:p>
      <w:pPr>
        <w:pStyle w:val="Point0letter"/>
        <w:numPr>
          <w:ilvl w:val="1"/>
          <w:numId w:val="8"/>
        </w:numPr>
        <w:rPr>
          <w:noProof/>
        </w:rPr>
      </w:pPr>
      <w:r>
        <w:rPr>
          <w:noProof/>
        </w:rPr>
        <w:t>avalik-õiguslikud asutused;</w:t>
      </w:r>
    </w:p>
    <w:p>
      <w:pPr>
        <w:pStyle w:val="Point0letter"/>
        <w:numPr>
          <w:ilvl w:val="1"/>
          <w:numId w:val="8"/>
        </w:numPr>
        <w:rPr>
          <w:noProof/>
        </w:rPr>
      </w:pPr>
      <w:r>
        <w:rPr>
          <w:noProof/>
        </w:rPr>
        <w:t>rahvusvahelised organisatsioonid ja nende allasutused;</w:t>
      </w:r>
    </w:p>
    <w:p>
      <w:pPr>
        <w:pStyle w:val="Point0letter"/>
        <w:numPr>
          <w:ilvl w:val="1"/>
          <w:numId w:val="8"/>
        </w:numPr>
        <w:rPr>
          <w:noProof/>
        </w:rPr>
      </w:pPr>
      <w:r>
        <w:rPr>
          <w:noProof/>
        </w:rPr>
        <w:t>avalikke teenuseid osutavad eraõiguslikud asutused niivõrd, kuivõrd nad esitavad piisavad finantstagatised;</w:t>
      </w:r>
    </w:p>
    <w:p>
      <w:pPr>
        <w:pStyle w:val="Point0letter"/>
        <w:numPr>
          <w:ilvl w:val="1"/>
          <w:numId w:val="8"/>
        </w:numPr>
        <w:rPr>
          <w:noProof/>
        </w:rPr>
      </w:pPr>
      <w:r>
        <w:rPr>
          <w:noProof/>
        </w:rPr>
        <w:t xml:space="preserve">erandina määruse (EL, Euratom) nr 966/2012 artikli 58 lõike 1 punkti c alapunktist vii liikmesriigi eraõiguslikud asutused, kes esitavad piisavad finantstagatised; </w:t>
      </w:r>
    </w:p>
    <w:p>
      <w:pPr>
        <w:pStyle w:val="Point0letter"/>
        <w:numPr>
          <w:ilvl w:val="1"/>
          <w:numId w:val="8"/>
        </w:numPr>
        <w:rPr>
          <w:noProof/>
        </w:rPr>
      </w:pPr>
      <w:r>
        <w:rPr>
          <w:noProof/>
        </w:rPr>
        <w:t>erandina määruse (EL, Euratom) nr 966/2012 artikli 58 lõike 1 punkti c alapunktist vii partnerriigi eraõiguslikud asutused, kes esitavad piisavad finantstagatised.</w:t>
      </w:r>
    </w:p>
    <w:p>
      <w:pPr>
        <w:spacing w:before="0" w:after="200"/>
        <w:rPr>
          <w:noProof/>
          <w:szCs w:val="24"/>
        </w:rPr>
      </w:pPr>
      <w:r>
        <w:rPr>
          <w:noProof/>
        </w:rPr>
        <w:t xml:space="preserve">2. Kõlblikud vastaspooled peavad vastama määruse (EL, Euratom) nr 966/2012 artikliga 60 ettenähtud eeskirjadele ja tingimustele. </w:t>
      </w:r>
    </w:p>
    <w:p>
      <w:pPr>
        <w:spacing w:before="0" w:after="200"/>
        <w:rPr>
          <w:noProof/>
          <w:szCs w:val="24"/>
        </w:rPr>
      </w:pPr>
      <w:r>
        <w:rPr>
          <w:noProof/>
        </w:rPr>
        <w:t>3. Komisjon valib kõlblikud vastaspooled välja määruse (EL, Euratom) nr 966/2012 artikli 61 kohaselt.</w:t>
      </w:r>
    </w:p>
    <w:p>
      <w:pPr>
        <w:pStyle w:val="Titrearticle"/>
        <w:rPr>
          <w:b/>
          <w:noProof/>
        </w:rPr>
      </w:pPr>
      <w:r>
        <w:rPr>
          <w:b/>
          <w:noProof/>
        </w:rPr>
        <w:t>Artikkel 11</w:t>
      </w:r>
      <w:r>
        <w:rPr>
          <w:b/>
          <w:noProof/>
        </w:rPr>
        <w:br/>
        <w:t>EFSD tagatislepingute kohaldamisala ja tingimused</w:t>
      </w:r>
    </w:p>
    <w:p>
      <w:pPr>
        <w:rPr>
          <w:noProof/>
        </w:rPr>
      </w:pPr>
      <w:r>
        <w:rPr>
          <w:noProof/>
        </w:rPr>
        <w:t xml:space="preserve">1. Ilma et see piiraks lõike 2 kohaldamist, ei tohi EFSD tagatis kunagi ületada 1 500 000 000 eurot. </w:t>
      </w:r>
    </w:p>
    <w:p>
      <w:pPr>
        <w:rPr>
          <w:b/>
          <w:noProof/>
          <w:szCs w:val="24"/>
        </w:rPr>
      </w:pPr>
      <w:r>
        <w:rPr>
          <w:noProof/>
        </w:rPr>
        <w:t>2. Liikmesriigid võivad EFSD tagatisfondis osaleda tagatise ja rahaga. Komisjoni heakskiidul võivad muud osalejad selles osaleda rahaga.</w:t>
      </w:r>
    </w:p>
    <w:p>
      <w:pPr>
        <w:rPr>
          <w:noProof/>
          <w:szCs w:val="24"/>
        </w:rPr>
      </w:pPr>
      <w:r>
        <w:rPr>
          <w:noProof/>
        </w:rPr>
        <w:t>Lõikes 1 osutatud tagatise summat ületav tagatis antakse liidu nimel.</w:t>
      </w:r>
    </w:p>
    <w:p>
      <w:pPr>
        <w:rPr>
          <w:noProof/>
          <w:szCs w:val="24"/>
        </w:rPr>
      </w:pPr>
      <w:r>
        <w:rPr>
          <w:noProof/>
        </w:rPr>
        <w:t xml:space="preserve">Liidu üldeelarvest EFSD tagatise alusel tehtavate netomaksete kogusumma ei tohi ületada 1 500 000 000 eurot. Sissenõudmise korral teevad makseid vastavalt vajadusele osalevad liikmesriigid või liiduga võrdsetel alustel muud osalejad, ilma et see piiraks lõike 4 kohaldamist. </w:t>
      </w:r>
    </w:p>
    <w:p>
      <w:pPr>
        <w:rPr>
          <w:noProof/>
          <w:szCs w:val="24"/>
        </w:rPr>
      </w:pPr>
      <w:r>
        <w:rPr>
          <w:noProof/>
        </w:rPr>
        <w:t>Toetuslepingu sõlmib osalejaga komisjon liidu nimel ja selles sätestatakse eelkõige maksetingimused.</w:t>
      </w:r>
    </w:p>
    <w:p>
      <w:pPr>
        <w:spacing w:before="0" w:after="200"/>
        <w:rPr>
          <w:noProof/>
        </w:rPr>
      </w:pPr>
      <w:r>
        <w:rPr>
          <w:noProof/>
        </w:rPr>
        <w:t>3. EFSD tagatis muutub kättesaadavaks alles siis, kui rahaline toetus 400 000 000 eurot on 11. Euroopa Arengufondist</w:t>
      </w:r>
      <w:r>
        <w:rPr>
          <w:rStyle w:val="FootnoteReference"/>
          <w:noProof/>
        </w:rPr>
        <w:footnoteReference w:id="35"/>
      </w:r>
      <w:r>
        <w:rPr>
          <w:noProof/>
        </w:rPr>
        <w:t xml:space="preserve"> (EAF) liidu üldeelarvesse eraldatud. </w:t>
      </w:r>
    </w:p>
    <w:p>
      <w:pPr>
        <w:spacing w:before="0" w:after="200"/>
        <w:rPr>
          <w:noProof/>
        </w:rPr>
      </w:pPr>
      <w:r>
        <w:rPr>
          <w:noProof/>
        </w:rPr>
        <w:t xml:space="preserve">Liikmesriigid võivad EFSD tagatises osaleda tagatise ja rahaga. </w:t>
      </w:r>
    </w:p>
    <w:p>
      <w:pPr>
        <w:spacing w:before="0" w:after="200"/>
        <w:rPr>
          <w:noProof/>
          <w:szCs w:val="24"/>
        </w:rPr>
      </w:pPr>
      <w:r>
        <w:rPr>
          <w:noProof/>
        </w:rPr>
        <w:t>Komisjon teatab Euroopa Parlamendile ja nõukogule, millised osalused on kinnitatud.</w:t>
      </w:r>
    </w:p>
    <w:p>
      <w:pPr>
        <w:spacing w:before="0" w:after="200"/>
        <w:rPr>
          <w:noProof/>
          <w:szCs w:val="24"/>
          <w:highlight w:val="yellow"/>
        </w:rPr>
      </w:pPr>
      <w:r>
        <w:rPr>
          <w:noProof/>
        </w:rPr>
        <w:t>4. Liikmesriikide osalusena esitatud tagatise võib sisse nõuda alles pärast seda, kui liidu üldeelarves ettenähtud tagatis ja muu rahaline osalus on sissenõuete alusel välja makstud.</w:t>
      </w:r>
    </w:p>
    <w:p>
      <w:pPr>
        <w:spacing w:before="0" w:after="200"/>
        <w:rPr>
          <w:noProof/>
          <w:szCs w:val="24"/>
        </w:rPr>
      </w:pPr>
      <w:r>
        <w:rPr>
          <w:noProof/>
        </w:rPr>
        <w:t>Liikmesriikide taotlusel võib nende panuse sihtotstarbeliselt ette näha projektide algatamiseks konkreetsetes piirkondades, riikides, sektorites või investeerimissuundades.</w:t>
      </w:r>
    </w:p>
    <w:p>
      <w:pPr>
        <w:spacing w:before="0" w:after="200"/>
        <w:rPr>
          <w:noProof/>
          <w:szCs w:val="24"/>
        </w:rPr>
      </w:pPr>
      <w:r>
        <w:rPr>
          <w:noProof/>
        </w:rPr>
        <w:t>Mis tahes osalust võib kasutada tagatise sissenõudmise korral maksete tegemiseks, olenemata tagatise sihtotstarbest.</w:t>
      </w:r>
    </w:p>
    <w:p>
      <w:pPr>
        <w:spacing w:before="0" w:after="200"/>
        <w:rPr>
          <w:noProof/>
          <w:szCs w:val="24"/>
        </w:rPr>
      </w:pPr>
      <w:r>
        <w:rPr>
          <w:noProof/>
        </w:rPr>
        <w:t xml:space="preserve">5. EFSD tagatiste rakendusperioodil eraldatakse 11. EAFi tingimustele vastavates partnerriikides EFSD tagatisega investeeringute tagatiskatteks vähemalt 400 000 000 eurot. </w:t>
      </w:r>
    </w:p>
    <w:p>
      <w:pPr>
        <w:pStyle w:val="Titrearticle"/>
        <w:rPr>
          <w:noProof/>
        </w:rPr>
      </w:pPr>
      <w:r>
        <w:rPr>
          <w:b/>
          <w:noProof/>
        </w:rPr>
        <w:t>Artikkel 12</w:t>
      </w:r>
      <w:r>
        <w:rPr>
          <w:b/>
          <w:noProof/>
        </w:rPr>
        <w:br/>
        <w:t>EFSD tagatislepingute rakendamine</w:t>
      </w:r>
    </w:p>
    <w:p>
      <w:pPr>
        <w:rPr>
          <w:noProof/>
        </w:rPr>
      </w:pPr>
      <w:r>
        <w:rPr>
          <w:noProof/>
        </w:rPr>
        <w:t>1. Komisjon sõlmib liidu nimel artikli 10 ja lõike 4 kohaselt väljavalitud kõlblike vastaspooltega EFSD tagatislepingud, millega neile antakse tingimusteta ja tühistamatu EFSD nõudegarantii.</w:t>
      </w:r>
    </w:p>
    <w:p>
      <w:pPr>
        <w:spacing w:before="0" w:after="200"/>
        <w:rPr>
          <w:noProof/>
          <w:szCs w:val="24"/>
        </w:rPr>
      </w:pPr>
      <w:r>
        <w:rPr>
          <w:noProof/>
        </w:rPr>
        <w:t>2. Iga investeerimissuuna puhul sõlmib komisjon ühe või mitme kõlbliku vastaspoolega ühe või mitu tagatislepingut. Konkreetse vajaduse korral võib EFSD tagatise anda ka ühele rahastamis- või investeerimistoimingule. Lepinguid võib sõlmida ka kahest või enamast kõlblikust vastaspoolest koosneva konsortsiumiga.</w:t>
      </w:r>
    </w:p>
    <w:p>
      <w:pPr>
        <w:rPr>
          <w:noProof/>
        </w:rPr>
      </w:pPr>
      <w:r>
        <w:rPr>
          <w:noProof/>
        </w:rPr>
        <w:t>3. Tagatislepingus on sätestatud eelkõige järgmine:</w:t>
      </w:r>
    </w:p>
    <w:p>
      <w:pPr>
        <w:pStyle w:val="Point0letter"/>
        <w:numPr>
          <w:ilvl w:val="1"/>
          <w:numId w:val="9"/>
        </w:numPr>
        <w:rPr>
          <w:noProof/>
        </w:rPr>
      </w:pPr>
      <w:r>
        <w:rPr>
          <w:noProof/>
        </w:rPr>
        <w:t xml:space="preserve">üksikasjalikud nõuded EFSD tagatise andmise, sealhulgas tagatise ulatuse reguleerimise ning eri liiki finantsinstrumentide portfellidele ja projektidele antava tagatise ulatuse kohta; </w:t>
      </w:r>
    </w:p>
    <w:p>
      <w:pPr>
        <w:pStyle w:val="Point0letter"/>
        <w:numPr>
          <w:ilvl w:val="1"/>
          <w:numId w:val="8"/>
        </w:numPr>
        <w:rPr>
          <w:noProof/>
        </w:rPr>
      </w:pPr>
      <w:r>
        <w:rPr>
          <w:noProof/>
        </w:rPr>
        <w:t xml:space="preserve">tagatise eest makstav hüvitis; </w:t>
      </w:r>
    </w:p>
    <w:p>
      <w:pPr>
        <w:pStyle w:val="Point0letter"/>
        <w:numPr>
          <w:ilvl w:val="1"/>
          <w:numId w:val="8"/>
        </w:numPr>
        <w:rPr>
          <w:noProof/>
        </w:rPr>
      </w:pPr>
      <w:r>
        <w:rPr>
          <w:noProof/>
        </w:rPr>
        <w:t xml:space="preserve">EFSD tagatise kasutamist reguleerivad nõuded, sealhulgas maksete tegemise tingimused, nagu täpne ajakava, intressid maksmisele kuuluvatelt summadelt, sissenõudmis- ja muud kulud ja vajaduse korral likviidsusnõuded; </w:t>
      </w:r>
    </w:p>
    <w:p>
      <w:pPr>
        <w:pStyle w:val="Point0letter"/>
        <w:numPr>
          <w:ilvl w:val="1"/>
          <w:numId w:val="8"/>
        </w:numPr>
        <w:rPr>
          <w:noProof/>
        </w:rPr>
      </w:pPr>
      <w:r>
        <w:rPr>
          <w:noProof/>
        </w:rPr>
        <w:t xml:space="preserve">nõuete sissenõudmist käsitlevad sätted ja menetlused; </w:t>
      </w:r>
    </w:p>
    <w:p>
      <w:pPr>
        <w:pStyle w:val="Point0letter"/>
        <w:numPr>
          <w:ilvl w:val="1"/>
          <w:numId w:val="8"/>
        </w:numPr>
        <w:rPr>
          <w:noProof/>
        </w:rPr>
      </w:pPr>
      <w:r>
        <w:rPr>
          <w:noProof/>
        </w:rPr>
        <w:t>järelevalvet, aruandlust ja hindamist käsitlevad sätted vastavalt artiklitele 15 ja 16.</w:t>
      </w:r>
    </w:p>
    <w:p>
      <w:pPr>
        <w:spacing w:before="0" w:after="200"/>
        <w:rPr>
          <w:noProof/>
          <w:szCs w:val="24"/>
        </w:rPr>
      </w:pPr>
      <w:r>
        <w:rPr>
          <w:noProof/>
        </w:rPr>
        <w:t>4. Komisjon otsustab kõlblike vastaspooltega tagatislepingu sõlmimise, võttes arvesse järgmist:</w:t>
      </w:r>
    </w:p>
    <w:p>
      <w:pPr>
        <w:pStyle w:val="Point0letter"/>
        <w:numPr>
          <w:ilvl w:val="1"/>
          <w:numId w:val="10"/>
        </w:numPr>
        <w:rPr>
          <w:noProof/>
        </w:rPr>
      </w:pPr>
      <w:r>
        <w:rPr>
          <w:noProof/>
        </w:rPr>
        <w:t>investeerimissuuna eesmärgid;</w:t>
      </w:r>
    </w:p>
    <w:p>
      <w:pPr>
        <w:pStyle w:val="Point0letter"/>
        <w:rPr>
          <w:noProof/>
        </w:rPr>
      </w:pPr>
      <w:r>
        <w:rPr>
          <w:noProof/>
        </w:rPr>
        <w:t>vastaspoole kogemused ning tegevus- ja finantssuutlikkus;</w:t>
      </w:r>
    </w:p>
    <w:p>
      <w:pPr>
        <w:pStyle w:val="Point0letter"/>
        <w:rPr>
          <w:noProof/>
        </w:rPr>
      </w:pPr>
      <w:r>
        <w:rPr>
          <w:noProof/>
        </w:rPr>
        <w:t>omavahendite summa, mille vastaspool on valmis andma investeerimissuuna raames.</w:t>
      </w:r>
    </w:p>
    <w:p>
      <w:pPr>
        <w:spacing w:before="0" w:after="200"/>
        <w:rPr>
          <w:noProof/>
          <w:szCs w:val="24"/>
        </w:rPr>
      </w:pPr>
      <w:r>
        <w:rPr>
          <w:noProof/>
        </w:rPr>
        <w:t>5. Kõlblik vastaspool kiidab rahastamis- ja investeerimistoimingud heaks oma korra kohaselt kooskõlas tagatislepingu tingimustega.</w:t>
      </w:r>
    </w:p>
    <w:p>
      <w:pPr>
        <w:spacing w:before="0" w:after="200" w:line="276" w:lineRule="auto"/>
        <w:jc w:val="left"/>
        <w:rPr>
          <w:noProof/>
        </w:rPr>
      </w:pPr>
      <w:r>
        <w:rPr>
          <w:noProof/>
        </w:rPr>
        <w:t>6. EFSD tagatisega võib katta:</w:t>
      </w:r>
    </w:p>
    <w:p>
      <w:pPr>
        <w:pStyle w:val="Point0letter"/>
        <w:numPr>
          <w:ilvl w:val="1"/>
          <w:numId w:val="11"/>
        </w:numPr>
        <w:rPr>
          <w:noProof/>
        </w:rPr>
      </w:pPr>
      <w:r>
        <w:rPr>
          <w:noProof/>
        </w:rPr>
        <w:t xml:space="preserve">võlainstrumentide puhul põhisumma ja kogu ulatuses intressid ning muud summad, mille väljavalitud kõlblik vastaspool tasub makseviivituse korral vastavalt rahastamistoimingu tingimustele; </w:t>
      </w:r>
    </w:p>
    <w:p>
      <w:pPr>
        <w:pStyle w:val="Point0letter"/>
        <w:numPr>
          <w:ilvl w:val="1"/>
          <w:numId w:val="11"/>
        </w:numPr>
        <w:rPr>
          <w:noProof/>
        </w:rPr>
      </w:pPr>
      <w:r>
        <w:rPr>
          <w:noProof/>
        </w:rPr>
        <w:t xml:space="preserve">omakapitali investeeringute puhul investeeritud summad ja nendega seotud rahastamiskulud; </w:t>
      </w:r>
    </w:p>
    <w:p>
      <w:pPr>
        <w:pStyle w:val="Point0letter"/>
        <w:numPr>
          <w:ilvl w:val="1"/>
          <w:numId w:val="11"/>
        </w:numPr>
        <w:rPr>
          <w:noProof/>
        </w:rPr>
      </w:pPr>
      <w:r>
        <w:rPr>
          <w:noProof/>
        </w:rPr>
        <w:t xml:space="preserve">artikli 8 lõikes 2 osutatud muude rahastamis- ja investeerimistoimingute puhul kasutatud summad ja nendega seotud rahastamiskulud; </w:t>
      </w:r>
    </w:p>
    <w:p>
      <w:pPr>
        <w:pStyle w:val="Point0letter"/>
        <w:numPr>
          <w:ilvl w:val="1"/>
          <w:numId w:val="11"/>
        </w:numPr>
        <w:rPr>
          <w:noProof/>
          <w:szCs w:val="24"/>
        </w:rPr>
      </w:pPr>
      <w:r>
        <w:rPr>
          <w:noProof/>
        </w:rPr>
        <w:t xml:space="preserve">makseviivitusega seotud asjakohased sissenõudmis- ja muud kulud, kui neid ei arvata maha sissenõutud summast. </w:t>
      </w:r>
    </w:p>
    <w:p>
      <w:pPr>
        <w:rPr>
          <w:noProof/>
        </w:rPr>
      </w:pPr>
      <w:r>
        <w:rPr>
          <w:noProof/>
        </w:rPr>
        <w:t>7. Tagatislepingus nähakse ette sätted tagatise ulatuse, nõuete, kõlblikkuse, kõlblike vastaspoolte ja kasutatavate menetluse kohta.</w:t>
      </w:r>
    </w:p>
    <w:p>
      <w:pPr>
        <w:pStyle w:val="Titrearticle"/>
        <w:rPr>
          <w:b/>
          <w:noProof/>
        </w:rPr>
      </w:pPr>
      <w:r>
        <w:rPr>
          <w:b/>
          <w:noProof/>
        </w:rPr>
        <w:t>Artikkel 13</w:t>
      </w:r>
      <w:r>
        <w:rPr>
          <w:b/>
          <w:noProof/>
        </w:rPr>
        <w:br/>
        <w:t>EFSD tagatisfond</w:t>
      </w:r>
    </w:p>
    <w:p>
      <w:pPr>
        <w:rPr>
          <w:noProof/>
        </w:rPr>
      </w:pPr>
      <w:r>
        <w:rPr>
          <w:noProof/>
        </w:rPr>
        <w:t xml:space="preserve">1. EFSD tagatisfond on likviidsuspuhver, millest tehakse kõlblikele vastaspooltele EFSD tagatislepinguga ettenähtud väljamakseid EFSD tagatise sissenõudmise korral. </w:t>
      </w:r>
    </w:p>
    <w:p>
      <w:pPr>
        <w:rPr>
          <w:noProof/>
        </w:rPr>
      </w:pPr>
      <w:r>
        <w:rPr>
          <w:noProof/>
        </w:rPr>
        <w:t xml:space="preserve">2. EFSD tagatisfondi rahastatakse: </w:t>
      </w:r>
    </w:p>
    <w:p>
      <w:pPr>
        <w:pStyle w:val="Point0letter"/>
        <w:numPr>
          <w:ilvl w:val="1"/>
          <w:numId w:val="12"/>
        </w:numPr>
        <w:rPr>
          <w:noProof/>
        </w:rPr>
      </w:pPr>
      <w:r>
        <w:rPr>
          <w:noProof/>
        </w:rPr>
        <w:t xml:space="preserve">liidu üldeelarve toetusega ja muude allikate rahalise osalusega; </w:t>
      </w:r>
    </w:p>
    <w:p>
      <w:pPr>
        <w:pStyle w:val="Point0letter"/>
        <w:numPr>
          <w:ilvl w:val="1"/>
          <w:numId w:val="12"/>
        </w:numPr>
        <w:rPr>
          <w:noProof/>
        </w:rPr>
      </w:pPr>
      <w:r>
        <w:rPr>
          <w:noProof/>
        </w:rPr>
        <w:t xml:space="preserve">liikmesriikide ja muude osalejate rahalise osalusega; </w:t>
      </w:r>
    </w:p>
    <w:p>
      <w:pPr>
        <w:pStyle w:val="Point0letter"/>
        <w:numPr>
          <w:ilvl w:val="1"/>
          <w:numId w:val="12"/>
        </w:numPr>
        <w:rPr>
          <w:noProof/>
        </w:rPr>
      </w:pPr>
      <w:r>
        <w:rPr>
          <w:noProof/>
        </w:rPr>
        <w:t xml:space="preserve">EFSD tagatisfondi poolt investeeritud vahenditelt saadavast tulust; </w:t>
      </w:r>
    </w:p>
    <w:p>
      <w:pPr>
        <w:pStyle w:val="Point0letter"/>
        <w:numPr>
          <w:ilvl w:val="1"/>
          <w:numId w:val="12"/>
        </w:numPr>
        <w:rPr>
          <w:noProof/>
        </w:rPr>
      </w:pPr>
      <w:r>
        <w:rPr>
          <w:noProof/>
        </w:rPr>
        <w:t xml:space="preserve">summadest, mis on sisse nõutud lepingulised kohustused täitmata jätnud võlgnikelt vastavalt tagatislepingus sätestatud sissenõudmismenetlusele; </w:t>
      </w:r>
    </w:p>
    <w:p>
      <w:pPr>
        <w:pStyle w:val="Point0letter"/>
        <w:numPr>
          <w:ilvl w:val="1"/>
          <w:numId w:val="12"/>
        </w:numPr>
        <w:rPr>
          <w:noProof/>
        </w:rPr>
      </w:pPr>
      <w:r>
        <w:rPr>
          <w:noProof/>
        </w:rPr>
        <w:t>tuludest ja muudest maksetest, mida liit on saanud vastavalt tagatislepingule.</w:t>
      </w:r>
    </w:p>
    <w:p>
      <w:pPr>
        <w:rPr>
          <w:noProof/>
        </w:rPr>
      </w:pPr>
      <w:r>
        <w:rPr>
          <w:noProof/>
        </w:rPr>
        <w:t>3. Lõike 2 punktide c ja e kohast EFSD tagatisfondi tulu käsitletakse sihtotstarbelise sisetuluna vastavalt määruse (EL, Euratom) nr 966/2012 artikli 21 lõikele 4.</w:t>
      </w:r>
    </w:p>
    <w:p>
      <w:pPr>
        <w:rPr>
          <w:noProof/>
        </w:rPr>
      </w:pPr>
      <w:r>
        <w:rPr>
          <w:noProof/>
        </w:rPr>
        <w:t>4. Lõikes 2 osutatud EFSD tagatisfondi vahendeid haldab otseselt komisjon ning neid investeeritakse usaldusväärse finantsjuhtimise põhimõtte kohaselt, järgides asjakohaseid usaldatavusnõudeid.</w:t>
      </w:r>
    </w:p>
    <w:p>
      <w:pPr>
        <w:rPr>
          <w:noProof/>
        </w:rPr>
      </w:pPr>
      <w:r>
        <w:rPr>
          <w:noProof/>
        </w:rPr>
        <w:t xml:space="preserve">5. EFSD tagatisfondi rahalist katet suurendatakse, kuni rahastamismäär vastab EFSD tagatisega võetud kohustuste summale. Rahastamismäär on 50 % liidu üldeelarvega kaetud EFSD tagatiskohustuste kogumahust. </w:t>
      </w:r>
    </w:p>
    <w:p>
      <w:pPr>
        <w:rPr>
          <w:noProof/>
        </w:rPr>
      </w:pPr>
      <w:r>
        <w:rPr>
          <w:noProof/>
        </w:rPr>
        <w:t>6. Pärast EFSD tagatisfondi taseme piisavuse hindamist kooskõlas artikli 15 lõikes 3 osutatud aruandega tehakse järgmised maksed:</w:t>
      </w:r>
    </w:p>
    <w:p>
      <w:pPr>
        <w:pStyle w:val="Point0letter"/>
        <w:numPr>
          <w:ilvl w:val="1"/>
          <w:numId w:val="13"/>
        </w:numPr>
        <w:rPr>
          <w:noProof/>
        </w:rPr>
      </w:pPr>
      <w:r>
        <w:rPr>
          <w:noProof/>
        </w:rPr>
        <w:t xml:space="preserve">ülejääk kantakse liidu üldeelarvesse; </w:t>
      </w:r>
    </w:p>
    <w:p>
      <w:pPr>
        <w:pStyle w:val="Point0letter"/>
        <w:numPr>
          <w:ilvl w:val="1"/>
          <w:numId w:val="13"/>
        </w:numPr>
        <w:rPr>
          <w:noProof/>
        </w:rPr>
      </w:pPr>
      <w:r>
        <w:rPr>
          <w:noProof/>
        </w:rPr>
        <w:t>täiendavad vahendid EFSD tagatisfondi makstakse iga-aastaste osamaksetena kuni kolme aasta jooksul alates aastast n+1.</w:t>
      </w:r>
    </w:p>
    <w:p>
      <w:pPr>
        <w:rPr>
          <w:noProof/>
        </w:rPr>
      </w:pPr>
      <w:r>
        <w:rPr>
          <w:noProof/>
        </w:rPr>
        <w:t xml:space="preserve">7. Alates 1. jaanuarist 2021 esitab komisjon juhul, kui EFSD tagatise sissenõudmise tulemusel langeb tagatisfondi vahendite tase allapoole 50 % lõikes 5 sätestatud rahastamismäärast, aruande EFSD tagatisfondi täiendamiseks vajalike erakorraliste meetmete kohta. </w:t>
      </w:r>
    </w:p>
    <w:p>
      <w:pPr>
        <w:rPr>
          <w:noProof/>
        </w:rPr>
      </w:pPr>
      <w:r>
        <w:rPr>
          <w:noProof/>
        </w:rPr>
        <w:t xml:space="preserve">8. Pärast EFSD tagatise sissenõudmist EFSD tagatisfondile jäänud lõike 2 punktide c, d ja e kohase rahalise katte osa, mis ületab lõikes 5 osutatud rahastamise taseme saavutamiseks vajalikke vahendeid, kasutatakse artiklis 7 lõikes 2 sätestatud algse investeerimisperioodi jooksul EFSD tagatise taastamiseks selle algse summani. </w:t>
      </w:r>
    </w:p>
    <w:p>
      <w:pPr>
        <w:pStyle w:val="Titrearticle"/>
        <w:rPr>
          <w:b/>
          <w:noProof/>
        </w:rPr>
      </w:pPr>
      <w:r>
        <w:rPr>
          <w:b/>
          <w:noProof/>
        </w:rPr>
        <w:t>Artikkel 14</w:t>
      </w:r>
      <w:r>
        <w:rPr>
          <w:b/>
          <w:noProof/>
        </w:rPr>
        <w:br/>
        <w:t xml:space="preserve">EFSD tagatisfondi rahastamine liidu üldeelarvest </w:t>
      </w:r>
    </w:p>
    <w:p>
      <w:pPr>
        <w:rPr>
          <w:noProof/>
        </w:rPr>
      </w:pPr>
      <w:r>
        <w:rPr>
          <w:noProof/>
        </w:rPr>
        <w:t xml:space="preserve">Liidu üldeelarvest ettenähtud toetuse suurus on 350 000 000 eurot. </w:t>
      </w:r>
    </w:p>
    <w:p>
      <w:pPr>
        <w:keepNext/>
        <w:keepLines/>
        <w:spacing w:before="360"/>
        <w:jc w:val="center"/>
        <w:rPr>
          <w:noProof/>
        </w:rPr>
      </w:pPr>
      <w:r>
        <w:rPr>
          <w:noProof/>
        </w:rPr>
        <w:t>IV PEATÜKK</w:t>
      </w:r>
    </w:p>
    <w:p>
      <w:pPr>
        <w:keepNext/>
        <w:keepLines/>
        <w:jc w:val="center"/>
        <w:rPr>
          <w:noProof/>
        </w:rPr>
      </w:pPr>
      <w:r>
        <w:rPr>
          <w:noProof/>
        </w:rPr>
        <w:t>ARUANDLUS, RAAMATUPIDAMISARVESTUS JA HINDAMINE</w:t>
      </w:r>
    </w:p>
    <w:p>
      <w:pPr>
        <w:pStyle w:val="Titrearticle"/>
        <w:rPr>
          <w:b/>
          <w:noProof/>
        </w:rPr>
      </w:pPr>
      <w:r>
        <w:rPr>
          <w:b/>
          <w:noProof/>
        </w:rPr>
        <w:t xml:space="preserve">Artikkel 15 </w:t>
      </w:r>
      <w:r>
        <w:rPr>
          <w:b/>
          <w:noProof/>
        </w:rPr>
        <w:br/>
        <w:t>Aruandlus ja raamatupidamisarvestus</w:t>
      </w:r>
    </w:p>
    <w:p>
      <w:pPr>
        <w:rPr>
          <w:noProof/>
        </w:rPr>
      </w:pPr>
      <w:r>
        <w:rPr>
          <w:noProof/>
        </w:rPr>
        <w:t>1. Komisjon esitab Euroopa Parlamendile ja nõukogule igal aastal aruande EFSD tagatisega hõlmatud rahastamis- ja investeerimistoimingute kohta. Aruanne avalikustatakse. Aruandes esitatakse:</w:t>
      </w:r>
    </w:p>
    <w:p>
      <w:pPr>
        <w:pStyle w:val="Point0letter"/>
        <w:numPr>
          <w:ilvl w:val="1"/>
          <w:numId w:val="14"/>
        </w:numPr>
        <w:rPr>
          <w:noProof/>
        </w:rPr>
      </w:pPr>
      <w:r>
        <w:rPr>
          <w:noProof/>
        </w:rPr>
        <w:t>EFSD tagatisega hõlmatud rahastamis- ja investeerimistoimingute analüüs sektorite, riikide ja piirkondade kaupa ning analüüs nende toimingute vastavuse kohta käesolevale määrusele;</w:t>
      </w:r>
    </w:p>
    <w:p>
      <w:pPr>
        <w:pStyle w:val="Point0letter"/>
        <w:numPr>
          <w:ilvl w:val="1"/>
          <w:numId w:val="14"/>
        </w:numPr>
        <w:rPr>
          <w:noProof/>
        </w:rPr>
      </w:pPr>
      <w:r>
        <w:rPr>
          <w:noProof/>
        </w:rPr>
        <w:t>koondanalüüs EFSD tagatisega hõlmatud rahastamis- ja investeerimistoimingute lisaväärtuse, erasektori vahendite kaasamise, hinnanguliste ja tegelike väljundite ning tulemuste ja mõju, sh töökohtade loomisele avalduva mõju kohta;</w:t>
      </w:r>
    </w:p>
    <w:p>
      <w:pPr>
        <w:pStyle w:val="Point0letter"/>
        <w:numPr>
          <w:ilvl w:val="1"/>
          <w:numId w:val="14"/>
        </w:numPr>
        <w:rPr>
          <w:noProof/>
        </w:rPr>
      </w:pPr>
      <w:r>
        <w:rPr>
          <w:noProof/>
        </w:rPr>
        <w:t>EFSD tagatise kasutamise nõuetekohasuse ja peamistele tulemusnäitajatele vastavuse analüüs iga esitatud pakkumise kohta;</w:t>
      </w:r>
    </w:p>
    <w:p>
      <w:pPr>
        <w:pStyle w:val="Point0letter"/>
        <w:numPr>
          <w:ilvl w:val="1"/>
          <w:numId w:val="14"/>
        </w:numPr>
        <w:rPr>
          <w:noProof/>
        </w:rPr>
      </w:pPr>
      <w:r>
        <w:rPr>
          <w:noProof/>
        </w:rPr>
        <w:t>EFSD tagatisega teostatud toimingute abil saavutatud finantsvõimenduse analüüs;</w:t>
      </w:r>
    </w:p>
    <w:p>
      <w:pPr>
        <w:pStyle w:val="Point0letter"/>
        <w:numPr>
          <w:ilvl w:val="1"/>
          <w:numId w:val="14"/>
        </w:numPr>
        <w:rPr>
          <w:noProof/>
        </w:rPr>
      </w:pPr>
      <w:r>
        <w:rPr>
          <w:noProof/>
        </w:rPr>
        <w:t>tagatisesaajatele üle kantud rahasumma ning rahastamis- ja investeerimistoimingute koondanalüüs vastaspoolte kaupa;</w:t>
      </w:r>
    </w:p>
    <w:p>
      <w:pPr>
        <w:pStyle w:val="Point0letter"/>
        <w:numPr>
          <w:ilvl w:val="1"/>
          <w:numId w:val="14"/>
        </w:numPr>
        <w:rPr>
          <w:noProof/>
        </w:rPr>
      </w:pPr>
      <w:r>
        <w:rPr>
          <w:noProof/>
        </w:rPr>
        <w:t>kõlblike vastaspoolte rahastamis- ja investeerimistoimingute lisaväärtuse ning nende toimingutega seotud koguriski analüüs;</w:t>
      </w:r>
    </w:p>
    <w:p>
      <w:pPr>
        <w:pStyle w:val="Point0letter"/>
        <w:numPr>
          <w:ilvl w:val="1"/>
          <w:numId w:val="14"/>
        </w:numPr>
        <w:rPr>
          <w:noProof/>
        </w:rPr>
      </w:pPr>
      <w:r>
        <w:rPr>
          <w:noProof/>
        </w:rPr>
        <w:t>üksikasjalik teave EFSD tagatise alusel esitatud nõuete, kahju, tulu, sissenõutud summade ja muude laekunud maksete kohta;</w:t>
      </w:r>
    </w:p>
    <w:p>
      <w:pPr>
        <w:pStyle w:val="Point0letter"/>
        <w:numPr>
          <w:ilvl w:val="1"/>
          <w:numId w:val="14"/>
        </w:numPr>
        <w:rPr>
          <w:noProof/>
        </w:rPr>
      </w:pPr>
      <w:r>
        <w:rPr>
          <w:noProof/>
        </w:rPr>
        <w:t>sõltumatu välisaudiitori auditeeritud raamatupidamisaruanded käesoleva määrusega hõlmatud kõlblike vastaspoolte rahastamis- ja investeerimistoimingute kohta.</w:t>
      </w:r>
    </w:p>
    <w:p>
      <w:pPr>
        <w:rPr>
          <w:noProof/>
        </w:rPr>
      </w:pPr>
      <w:r>
        <w:rPr>
          <w:noProof/>
        </w:rPr>
        <w:t>2. EFSD tagatisega kaetud riske ja EFSD tagatisfondi valitsemist käsitleva aruandluse raames esitavad kõlblikud vastaspooled, kellega on sõlmitud tagatisleping, komisjoni raamatupidamisarvestuse huvides komisjonile ja kontrollikojale igal aastal käesoleva määrusega hõlmatud rahastamis- ja investeerimistoimingute kohta sõltumatu välisaudiitori auditeeritud raamatupidamisaruande, mis sisaldab muu hulgas järgmist teavet:</w:t>
      </w:r>
    </w:p>
    <w:p>
      <w:pPr>
        <w:pStyle w:val="Point0letter"/>
        <w:numPr>
          <w:ilvl w:val="1"/>
          <w:numId w:val="15"/>
        </w:numPr>
        <w:rPr>
          <w:noProof/>
        </w:rPr>
      </w:pPr>
      <w:r>
        <w:rPr>
          <w:noProof/>
        </w:rPr>
        <w:t xml:space="preserve">käesoleva määrusega hõlmatud kõlblike vastaspoolte rahastamis- ja investeerimistoimingute riskianalüüs, </w:t>
      </w:r>
      <w:r>
        <w:rPr>
          <w:rStyle w:val="Bodytext2"/>
          <w:rFonts w:eastAsiaTheme="minorHAnsi"/>
          <w:noProof/>
          <w:sz w:val="24"/>
        </w:rPr>
        <w:t>sealhulgas teave selle kohta, kas ELi kohustustega seoses on täidetud liidu raamatupidamiseeskirju, mille on kehtestanud komisjoni peaarvepidaja rahvusvaheliselt tunnustatud avaliku sektori raamatupidamisstandardite alusel</w:t>
      </w:r>
      <w:r>
        <w:rPr>
          <w:noProof/>
        </w:rPr>
        <w:t>;</w:t>
      </w:r>
    </w:p>
    <w:p>
      <w:pPr>
        <w:pStyle w:val="Point0letter"/>
        <w:numPr>
          <w:ilvl w:val="1"/>
          <w:numId w:val="15"/>
        </w:numPr>
        <w:rPr>
          <w:noProof/>
        </w:rPr>
      </w:pPr>
      <w:r>
        <w:rPr>
          <w:noProof/>
        </w:rPr>
        <w:t>liidu võetud ja tasumata finantskohustused, mis tulenevad kõlblike vastaspoolte ja nende rahastamis- ja investeerimistoimingute jaoks antud EFSD tagatisest toimingute kaupa.</w:t>
      </w:r>
      <w:r>
        <w:rPr>
          <w:noProof/>
        </w:rPr>
        <w:br/>
      </w:r>
      <w:r>
        <w:rPr>
          <w:noProof/>
        </w:rPr>
        <w:br/>
      </w:r>
      <w:r>
        <w:rPr>
          <w:rStyle w:val="Bodytext2"/>
          <w:rFonts w:eastAsiaTheme="minorHAnsi"/>
          <w:noProof/>
          <w:sz w:val="24"/>
        </w:rPr>
        <w:t>Vastaspooled esitavad komisjonile taotluse korral mis tahes täiendava teabe, mida on vaja käesolevast määrusest tulenevate komisjoni kohustuste täitmiseks.</w:t>
      </w:r>
    </w:p>
    <w:p>
      <w:pPr>
        <w:rPr>
          <w:rStyle w:val="Bodytext2"/>
          <w:rFonts w:eastAsiaTheme="minorHAnsi"/>
          <w:noProof/>
          <w:sz w:val="24"/>
          <w:szCs w:val="24"/>
        </w:rPr>
      </w:pPr>
      <w:r>
        <w:rPr>
          <w:rStyle w:val="Bodytext2"/>
          <w:rFonts w:eastAsiaTheme="minorHAnsi"/>
          <w:noProof/>
          <w:sz w:val="24"/>
        </w:rPr>
        <w:t xml:space="preserve">3. Komisjon esitab iga aasta 31. märtsiks Euroopa Parlamendile, nõukogule ja kontrollikojale komisjoni raamatupidamise aastaruande jaoks nõutava teabe EFSD tagatisfondi olukorra kohta. Lisaks esitab komisjon iga aasta 31. maiks Euroopa Parlamendile, nõukogule ja kontrollikojale aastaaruande tagatisfondi valitsemise kohta eelmisel kalendriaastal, sealhulgas hinnangu sihtsumma asjakohasuse, tagatisfondi taseme ja selle täiendamise vajaduse kohta. </w:t>
      </w:r>
    </w:p>
    <w:p>
      <w:pPr>
        <w:rPr>
          <w:noProof/>
        </w:rPr>
      </w:pPr>
      <w:r>
        <w:rPr>
          <w:rStyle w:val="Bodytext2"/>
          <w:rFonts w:eastAsiaTheme="minorHAnsi"/>
          <w:noProof/>
          <w:sz w:val="24"/>
        </w:rPr>
        <w:t>Kõnealune aastaaruanne sisaldab ülevaadet EFSD tagatisfondi finantsseisundist eelmise kalendriaasta lõpu seisuga, eelmise kalendriaasta rahavoogude aruannet ning oluliste tehingute ülevaadet ja muud asjakohast teavet finantskontode kohta. Aruanne sisaldab ka teavet finantsjuhtimise ning tagatisfondi tulemuste ja riski kohta eelmise kalendriaasta lõpu seisuga.</w:t>
      </w:r>
    </w:p>
    <w:p>
      <w:pPr>
        <w:pStyle w:val="Titrearticle"/>
        <w:rPr>
          <w:b/>
          <w:noProof/>
        </w:rPr>
      </w:pPr>
      <w:r>
        <w:rPr>
          <w:b/>
          <w:noProof/>
        </w:rPr>
        <w:t>Artikkel 16</w:t>
      </w:r>
      <w:r>
        <w:rPr>
          <w:b/>
          <w:noProof/>
        </w:rPr>
        <w:br/>
        <w:t>Hindamine ja analüüs</w:t>
      </w:r>
    </w:p>
    <w:p>
      <w:pPr>
        <w:rPr>
          <w:rFonts w:eastAsia="Times New Roman"/>
          <w:noProof/>
          <w:szCs w:val="24"/>
        </w:rPr>
      </w:pPr>
      <w:r>
        <w:rPr>
          <w:noProof/>
        </w:rPr>
        <w:t>1. Komisjon koostab EFSD toimimise kohta hinnangu 31. detsembriks 2020. Komisjon esitab Euroopa Parlamendile ja nõukogule hindamisaruande, mis sisaldab käesoleva määruse kohaldamise sõltumatut analüüsi. Komisjon esitab aruande viivitamata, kui 30. juuniks 2020 on EFSD tagatise kättesaadav summa kinnitatud rahastamis- ja investeerimistoimingutega ammendatud.</w:t>
      </w:r>
    </w:p>
    <w:p>
      <w:pPr>
        <w:rPr>
          <w:noProof/>
        </w:rPr>
      </w:pPr>
      <w:r>
        <w:rPr>
          <w:noProof/>
        </w:rPr>
        <w:t>2. Komisjon hindab EFSD tagatisfondi toimimist enne 31. detsembrit 2020 ja seejärel iga kolme aasta järel. Komisjon esitab hindamisaruande Euroopa Parlamendile ja nõukogule. Hindamisaruandele lisatakse kontrollikoja arvamus.</w:t>
      </w:r>
    </w:p>
    <w:p>
      <w:pPr>
        <w:spacing w:before="360"/>
        <w:jc w:val="center"/>
        <w:rPr>
          <w:noProof/>
        </w:rPr>
      </w:pPr>
      <w:r>
        <w:rPr>
          <w:noProof/>
        </w:rPr>
        <w:t>V PEATÜKK</w:t>
      </w:r>
    </w:p>
    <w:p>
      <w:pPr>
        <w:jc w:val="center"/>
        <w:rPr>
          <w:noProof/>
        </w:rPr>
      </w:pPr>
      <w:r>
        <w:rPr>
          <w:noProof/>
        </w:rPr>
        <w:t>ÜLDSÄTTED</w:t>
      </w:r>
    </w:p>
    <w:p>
      <w:pPr>
        <w:pStyle w:val="Titrearticle"/>
        <w:rPr>
          <w:b/>
          <w:noProof/>
        </w:rPr>
      </w:pPr>
      <w:r>
        <w:rPr>
          <w:b/>
          <w:noProof/>
        </w:rPr>
        <w:t>Artikkel 17</w:t>
      </w:r>
      <w:r>
        <w:rPr>
          <w:b/>
          <w:noProof/>
        </w:rPr>
        <w:br/>
        <w:t>Läbipaistvus ja teabe avalikustamine</w:t>
      </w:r>
    </w:p>
    <w:p>
      <w:pPr>
        <w:widowControl w:val="0"/>
        <w:spacing w:before="0" w:after="0"/>
        <w:rPr>
          <w:b/>
          <w:noProof/>
        </w:rPr>
      </w:pPr>
      <w:r>
        <w:rPr>
          <w:noProof/>
        </w:rPr>
        <w:t>Kõlblikud vastaspooled teevad kooskõlas liidu läbipaistvuse ning tema dokumentidele ja teabele juurdepääsu üldiste põhimõtetega oma veebisaidil avalikkusele kättesaadavaks teabe kõigi käesoleva määruse kohase EFSD tagatisega hõlmatud rahastamis- ja investeerimistoimingute kohta, sealhulgas selle kohta, kuidas need toimingud aitavad kaasa käesoleva määruse üldeesmärkide saavutamisele.</w:t>
      </w:r>
    </w:p>
    <w:p>
      <w:pPr>
        <w:pStyle w:val="Titrearticle"/>
        <w:rPr>
          <w:b/>
          <w:noProof/>
        </w:rPr>
      </w:pPr>
      <w:r>
        <w:rPr>
          <w:b/>
          <w:noProof/>
        </w:rPr>
        <w:t>Artikkel 18</w:t>
      </w:r>
      <w:r>
        <w:rPr>
          <w:b/>
          <w:noProof/>
        </w:rPr>
        <w:br/>
        <w:t>Kontrollikoja audit</w:t>
      </w:r>
    </w:p>
    <w:p>
      <w:pPr>
        <w:rPr>
          <w:noProof/>
        </w:rPr>
      </w:pPr>
      <w:r>
        <w:rPr>
          <w:noProof/>
        </w:rPr>
        <w:t>1. Käesoleva määruse kohase tegevuse välisauditeerimist viib läbi kontrollikoda kooskõlas Euroopa Liidu toimimise lepingu artikliga 287.</w:t>
      </w:r>
    </w:p>
    <w:p>
      <w:pPr>
        <w:rPr>
          <w:noProof/>
        </w:rPr>
      </w:pPr>
      <w:r>
        <w:rPr>
          <w:noProof/>
        </w:rPr>
        <w:t>2. Käesoleva artikli lõike 1 kohaldamisel antakse kontrollikojale taotluse alusel ning kooskõlas ELi toimimise lepingu artikli 287 lõikega 3 juurdepääs kõikidele dokumentidele ja teabele, mida ta oma ülesande täitmiseks vajab.</w:t>
      </w:r>
    </w:p>
    <w:p>
      <w:pPr>
        <w:pStyle w:val="Titrearticle"/>
        <w:rPr>
          <w:b/>
          <w:noProof/>
        </w:rPr>
      </w:pPr>
      <w:r>
        <w:rPr>
          <w:b/>
          <w:noProof/>
        </w:rPr>
        <w:t>Artikkel 19</w:t>
      </w:r>
      <w:r>
        <w:rPr>
          <w:b/>
          <w:noProof/>
        </w:rPr>
        <w:br/>
        <w:t>Pettusevastased meetmed</w:t>
      </w:r>
    </w:p>
    <w:p>
      <w:pPr>
        <w:rPr>
          <w:noProof/>
        </w:rPr>
      </w:pPr>
      <w:r>
        <w:rPr>
          <w:noProof/>
        </w:rPr>
        <w:t>1. Kui komisjonil või kõlblikul vastaspoolel on käesoleva määrusega hõlmatud rahastamis- ja investeerimistoimingute ettevalmistamise, tegemise või lõpetamise etapis põhjust kahtlustada pettust või kelmust, korruptsiooni, rahapesu või muud liidu finantshuve kahjustavat ebaseaduslikku tegevust, teatab ta sellest viivitamata Euroopa Pettustevastasele Ametile (OLAF) ja esitab talle kogu vajaliku teabe.</w:t>
      </w:r>
    </w:p>
    <w:p>
      <w:pPr>
        <w:rPr>
          <w:noProof/>
        </w:rPr>
      </w:pPr>
      <w:r>
        <w:rPr>
          <w:noProof/>
        </w:rPr>
        <w:t>2. OLAF võib korraldada juurdluse, sealhulgas teostada kohapealset kontrolli ja inspekteerimist vastavalt Euroopa Parlamendi ja nõukogu määruse (EL, Euratom) nr 883/2013, nõukogu määruse (EÜ, Euratom) nr 2185/96 ja nõukogu määruse (EÜ, Euratom) nr 2988/95 sätetele ja nendega kehtestatud menetlustele, et kaitsta liidu finantshuve eesmärgiga teha kindlaks, kas käesoleva määrusega hõlmatud rahastamis- ja investeerimistoimingute puhul on esinenud pettust, kelmust, korruptsiooni, rahapesu või muud liidu finantshuve kahjustavat ebaseaduslikku tegevust. OLAF võib edastada juurdluse käigus saadud teabe asjaomase liikmesriigi pädevatele asutustele.</w:t>
      </w:r>
    </w:p>
    <w:p>
      <w:pPr>
        <w:rPr>
          <w:noProof/>
        </w:rPr>
      </w:pPr>
      <w:r>
        <w:rPr>
          <w:noProof/>
        </w:rPr>
        <w:t>Kui selline ebaseaduslik tegevus on tõendatud, astuvad kõlblikud vastaspooled samme väljamakstud summade sissenõudmiseks oma käesoleva määrusega hõlmatud rahastamis- ja investeerimistoimingute puhul, mida selline ebaseaduslik tegevus puudutab.</w:t>
      </w:r>
    </w:p>
    <w:p>
      <w:pPr>
        <w:pStyle w:val="Titrearticle"/>
        <w:rPr>
          <w:b/>
          <w:noProof/>
        </w:rPr>
      </w:pPr>
      <w:r>
        <w:rPr>
          <w:b/>
          <w:noProof/>
        </w:rPr>
        <w:t>Artikkel 20</w:t>
      </w:r>
      <w:r>
        <w:rPr>
          <w:b/>
          <w:noProof/>
        </w:rPr>
        <w:br/>
        <w:t>Välistatud tegevused ja koostööd mittetegevad jurisdiktsioonid</w:t>
      </w:r>
    </w:p>
    <w:p>
      <w:pPr>
        <w:rPr>
          <w:noProof/>
        </w:rPr>
      </w:pPr>
      <w:r>
        <w:rPr>
          <w:noProof/>
        </w:rPr>
        <w:t>1. Kõlblik vastaspool ei toeta oma rahastamis- ja investeerimistoimingutega ühtegi ebaseaduslikul eesmärgil toimuvat tegevust, sealhulgas rahapesu, terrorismi rahastamist, organiseeritud kuritegevust, maksupettust ja maksudest kõrvalehoidumist, korruptsiooni ega liidu finantshuve kahjustavat pettust. Kõlblik vastaspool ei osale üheski rahastamis- ega investeerimistoimingus koostööd mittetegevas jurisdiktsioonis asuva vahendi kaudu vastavalt oma poliitikale nõrgalt reguleeritud või koostööst keelduvate jurisdiktsioonide suhtes, mis põhineb liidu, Majanduskoostöö ja Arengu Organisatsiooni või rahapesuvastase töökonna põhimõtetel.</w:t>
      </w:r>
    </w:p>
    <w:p>
      <w:pPr>
        <w:rPr>
          <w:noProof/>
        </w:rPr>
      </w:pPr>
      <w:r>
        <w:rPr>
          <w:noProof/>
        </w:rPr>
        <w:t>2. Kõlblik vastaspool kohaldab oma rahastamis- ja investeerimistoimingute suhtes liidu õiguses ja eelkõige Euroopa Parlamendi ja nõukogu määruses (EL) 2015/847</w:t>
      </w:r>
      <w:r>
        <w:rPr>
          <w:rStyle w:val="FootnoteReference"/>
          <w:noProof/>
        </w:rPr>
        <w:footnoteReference w:id="36"/>
      </w:r>
      <w:r>
        <w:rPr>
          <w:noProof/>
        </w:rPr>
        <w:t xml:space="preserve"> ning Euroopa Parlamendi ja nõukogu direktiivis (EL) 2015/849</w:t>
      </w:r>
      <w:r>
        <w:rPr>
          <w:rStyle w:val="FootnoteReference"/>
          <w:noProof/>
        </w:rPr>
        <w:footnoteReference w:id="37"/>
      </w:r>
      <w:r>
        <w:rPr>
          <w:noProof/>
        </w:rPr>
        <w:t xml:space="preserve"> sätestatud põhimõtteid ja standardeid, mille kohaselt tuleb vältida finantssüsteemi kasutamist rahapesuks ja terrorismi rahastamiseks. Kõlblik vastaspool seab käesoleva määruse kohaselt nii otse kui ka vahendajate kaudu toimuva rahastamise tingimuseks teabe avalikustamise tegelikult kasu saavate omanike kohta vastavalt direktiivile (EL) 2015/849.</w:t>
      </w:r>
    </w:p>
    <w:p>
      <w:pPr>
        <w:spacing w:before="360"/>
        <w:jc w:val="center"/>
        <w:rPr>
          <w:noProof/>
        </w:rPr>
      </w:pPr>
      <w:r>
        <w:rPr>
          <w:noProof/>
        </w:rPr>
        <w:t>VI PEATÜKK</w:t>
      </w:r>
    </w:p>
    <w:p>
      <w:pPr>
        <w:jc w:val="center"/>
        <w:rPr>
          <w:noProof/>
        </w:rPr>
      </w:pPr>
      <w:r>
        <w:rPr>
          <w:noProof/>
        </w:rPr>
        <w:t>LÕPPSÄTTED</w:t>
      </w:r>
    </w:p>
    <w:p>
      <w:pPr>
        <w:pStyle w:val="Titrearticle"/>
        <w:rPr>
          <w:b/>
          <w:noProof/>
        </w:rPr>
      </w:pPr>
      <w:r>
        <w:rPr>
          <w:b/>
          <w:noProof/>
        </w:rPr>
        <w:t>Artikkel 21</w:t>
      </w:r>
      <w:r>
        <w:rPr>
          <w:b/>
          <w:noProof/>
        </w:rPr>
        <w:br/>
        <w:t xml:space="preserve">Jõustumine </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b/>
          <w:noProof/>
          <w:u w:val="single"/>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Ettepanek võtta vastu Euroopa Parlamendi ja nõukogu määrus Euroopa Jätkusuutliku Arengu Fondi kohta </w:t>
      </w:r>
    </w:p>
    <w:p>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3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01 03 </w:t>
      </w:r>
    </w:p>
    <w:p>
      <w:pPr>
        <w:pStyle w:val="Text1"/>
        <w:pBdr>
          <w:top w:val="single" w:sz="4" w:space="1" w:color="auto"/>
          <w:left w:val="single" w:sz="4" w:space="4" w:color="auto"/>
          <w:bottom w:val="single" w:sz="4" w:space="1" w:color="auto"/>
          <w:right w:val="single" w:sz="4" w:space="4" w:color="auto"/>
        </w:pBdr>
        <w:rPr>
          <w:noProof/>
        </w:rPr>
      </w:pPr>
      <w:r>
        <w:rPr>
          <w:noProof/>
        </w:rPr>
        <w:t>Tegevusala vastavalt tegevuspõhise eelarvestamise struktuurile: Rahvusvahelised majandus- ja rahandusküsimused</w:t>
      </w:r>
    </w:p>
    <w:p>
      <w:pPr>
        <w:pStyle w:val="ManualHeading2"/>
        <w:rPr>
          <w:bCs/>
          <w:noProof/>
          <w:szCs w:val="24"/>
        </w:rPr>
      </w:pPr>
      <w:r>
        <w:t>1.3.</w:t>
      </w:r>
      <w:r>
        <w:tab/>
      </w:r>
      <w:r>
        <w:rPr>
          <w:noProof/>
        </w:rPr>
        <w:t xml:space="preserve">Ettepaneku/algatuse liik </w:t>
      </w:r>
    </w:p>
    <w:p>
      <w:pPr>
        <w:pStyle w:val="Text1"/>
        <w:rPr>
          <w:b/>
          <w:noProof/>
          <w:sz w:val="22"/>
        </w:rPr>
      </w:pPr>
      <w:r>
        <w:rPr>
          <w:noProof/>
          <w:sz w:val="22"/>
        </w:rPr>
        <w:sym w:font="Webdings" w:char="F072"/>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uut meedet, mis </w:t>
      </w:r>
      <w:r>
        <w:rPr>
          <w:b/>
          <w:noProof/>
        </w:rPr>
        <w:t>tuleneb katseprojektist / ettevalmistavast meetmest</w:t>
      </w:r>
      <w:r>
        <w:rPr>
          <w:rStyle w:val="FootnoteReference"/>
          <w:b/>
          <w:noProof/>
        </w:rPr>
        <w:footnoteReference w:id="3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autoSpaceDE w:val="0"/>
        <w:autoSpaceDN w:val="0"/>
        <w:adjustRightInd w:val="0"/>
        <w:spacing w:before="0" w:after="0"/>
        <w:ind w:left="720"/>
        <w:rPr>
          <w:noProof/>
        </w:rPr>
      </w:pPr>
      <w:r>
        <w:rPr>
          <w:noProof/>
        </w:rPr>
        <w:t>EFSD koosseisu kuuluvad piirkondlikud investeerimisplatvormid, mis ühendavad seniseid segarahastuid ja EFSD tagatist.</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Toetada investeeringuid teatavates ELi-välistes piirkondades, et kõrvaldada rände algpõhjused.</w:t>
      </w:r>
    </w:p>
    <w:p>
      <w:pPr>
        <w:pStyle w:val="ManualHeading3"/>
        <w:rPr>
          <w:bCs/>
          <w:noProof/>
          <w:szCs w:val="24"/>
        </w:rPr>
      </w:pPr>
      <w:r>
        <w:t>1.4.2.</w:t>
      </w:r>
      <w:r>
        <w:tab/>
      </w:r>
      <w:r>
        <w:rPr>
          <w:noProof/>
        </w:rPr>
        <w:t xml:space="preserve">Erieesmärgid ning asjaomased tegevusalad vastavalt tegevuspõhise juhtimise ja eelarvestamise struktuurile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Erieesmärk </w:t>
      </w:r>
    </w:p>
    <w:p>
      <w:pPr>
        <w:pStyle w:val="Text1"/>
        <w:pBdr>
          <w:top w:val="single" w:sz="4" w:space="1" w:color="auto"/>
          <w:left w:val="single" w:sz="4" w:space="4" w:color="auto"/>
          <w:bottom w:val="single" w:sz="4" w:space="1" w:color="auto"/>
          <w:right w:val="single" w:sz="4" w:space="4" w:color="auto"/>
        </w:pBdr>
        <w:rPr>
          <w:noProof/>
        </w:rPr>
      </w:pPr>
      <w:r>
        <w:rPr>
          <w:noProof/>
        </w:rPr>
        <w:t>Luua ühtne rahastamispakett, millest rahastatakse investeeringuid teatavates ELi-välistes piirkondades, et toetada majanduskasvu ja luua töökohti, suurendada vastastikust täiendavust, pakkuda innovaatilisi tooteid ja kaasata erasektori vahendeid.</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struktuurile</w:t>
      </w:r>
    </w:p>
    <w:p>
      <w:pPr>
        <w:pStyle w:val="Text1"/>
        <w:pBdr>
          <w:top w:val="single" w:sz="4" w:space="1" w:color="auto"/>
          <w:left w:val="single" w:sz="4" w:space="4" w:color="auto"/>
          <w:bottom w:val="single" w:sz="4" w:space="1" w:color="auto"/>
          <w:right w:val="single" w:sz="4" w:space="4" w:color="auto"/>
        </w:pBdr>
        <w:rPr>
          <w:noProof/>
        </w:rPr>
      </w:pPr>
      <w:r>
        <w:rPr>
          <w:noProof/>
        </w:rPr>
        <w:t>01 03 – Rahvusvahelised majandus- ja rahandusküsimused</w:t>
      </w:r>
    </w:p>
    <w:p>
      <w:pPr>
        <w:pStyle w:val="ManualHeading3"/>
        <w:rPr>
          <w:bCs/>
          <w:noProof/>
          <w:szCs w:val="24"/>
        </w:rPr>
      </w:pPr>
      <w:r>
        <w:t>1.4.3.</w:t>
      </w:r>
      <w:r>
        <w:tab/>
      </w:r>
      <w:r>
        <w:rPr>
          <w:noProof/>
        </w:rPr>
        <w:t>Oodatavad tulemused ja mõju</w:t>
      </w:r>
    </w:p>
    <w:p>
      <w:pPr>
        <w:pStyle w:val="Text1"/>
        <w:rPr>
          <w:i/>
          <w:noProof/>
          <w:sz w:val="20"/>
        </w:rPr>
      </w:pPr>
      <w:r>
        <w:rPr>
          <w:i/>
          <w:noProof/>
          <w:sz w:val="20"/>
        </w:rPr>
        <w:t>Täpsustage, milline peaks olema ettepaneku/algatuse oodatav mõju tagatisesaajatele/sihtrühmale.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Euroopa Jätkusuutliku Arengu Fond (EFSD) hõlmab uut tagatist, mille raames pakutakse innovatiivseid vahendeid erasektori kaasamiseks, näiteks tagatisi, mis katavad konkreetseid taristuprojektide riske.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ELi tagatisel peaks olema mitmekordistav mõju. Nagu Euroopa Strateegiliste Investeeringute Fond (EFSI) ja mitu muud alates 2007. aastast ELi toetusel tegutsevat ELi segarahastut, on ka EFSD tagatisfondi eesmärk kaasata täiendavaid investeeringuid eelkõige erainvestoritelt. Selleks annab ta osalisi esimese järjekoha kahju ja </w:t>
      </w:r>
      <w:r>
        <w:rPr>
          <w:i/>
          <w:noProof/>
        </w:rPr>
        <w:t>pari passu</w:t>
      </w:r>
      <w:r>
        <w:rPr>
          <w:noProof/>
        </w:rPr>
        <w:t xml:space="preserve"> tagatisi finantsasutustele (tavaliselt rahvusvahelistele finantsasutustele), kes omakorda annavad toetust (laene, tagatisi, omakapitali jms) teistele tagatisesaajatele. Seega on ELi eelarvest antud tagatise ja kaasatud koguinvesteeringute vahel kaks vahendite kaasamise astet. Esimesel astmel võimaldab ELi tagatis anda täiendavat rahastamist („sisene finantsvõimendus“) vahendava rahvusvahelise finantsasutuse kaudu. Teisel astmel, projekti staadiumis, võimaldab rahvusvahelise finantsasutuse poolne rahastamine kaasata täiendavaid investeeringuid („väline finantsvõimendus“).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Seega võimaldab algatus koos segarahastamisega 2020. aastaks kaasata kokku kuni 44 miljardit eurot investeeringuid. </w:t>
      </w:r>
    </w:p>
    <w:p>
      <w:pPr>
        <w:pStyle w:val="ManualHeading3"/>
        <w:rPr>
          <w:bCs/>
          <w:noProof/>
          <w:szCs w:val="24"/>
        </w:rPr>
      </w:pPr>
      <w:r>
        <w:t>1.4.4.</w:t>
      </w:r>
      <w:r>
        <w:tab/>
      </w:r>
      <w:r>
        <w:rPr>
          <w:noProof/>
        </w:rPr>
        <w:t xml:space="preserve">Tulemus- ja mõjunäitajad </w:t>
      </w:r>
    </w:p>
    <w:p>
      <w:pPr>
        <w:pStyle w:val="Text1"/>
        <w:rPr>
          <w:rFonts w:ascii="ECSquareSansPro" w:eastAsia="ECSquareSansPro" w:cs="ECSquareSansPro"/>
          <w:noProof/>
          <w:sz w:val="20"/>
          <w:szCs w:val="20"/>
        </w:rPr>
      </w:pPr>
      <w:r>
        <w:rPr>
          <w:i/>
          <w:noProof/>
          <w:sz w:val="20"/>
        </w:rPr>
        <w:t>Näitajad, mille alusel hinnatakse ettepaneku/algatuse elluviimist</w:t>
      </w:r>
    </w:p>
    <w:p>
      <w:pPr>
        <w:pStyle w:val="Text1"/>
        <w:pBdr>
          <w:top w:val="single" w:sz="4" w:space="1" w:color="auto"/>
          <w:left w:val="single" w:sz="4" w:space="4" w:color="auto"/>
          <w:bottom w:val="single" w:sz="4" w:space="0" w:color="auto"/>
          <w:right w:val="single" w:sz="4" w:space="4" w:color="auto"/>
        </w:pBdr>
        <w:rPr>
          <w:noProof/>
        </w:rPr>
      </w:pPr>
      <w:r>
        <w:rPr>
          <w:noProof/>
        </w:rPr>
        <w:t>Segarahastamistegevuse jaoks on välja töötatud ühine ja minimaalne näitajate kogum, mis kajastab projektide väljundeid ja kavandatud tulemusi. Neid näitajaid saab kasutada Euroopa Jätkusuutliku Arengu Fondi (EFSD) rakendamise jälgimiseks.</w:t>
      </w:r>
    </w:p>
    <w:p>
      <w:pPr>
        <w:pStyle w:val="ManualHeading2"/>
        <w:rPr>
          <w:bCs/>
          <w:noProof/>
          <w:szCs w:val="24"/>
        </w:rPr>
      </w:pPr>
      <w:r>
        <w:t>1.5.</w:t>
      </w:r>
      <w:r>
        <w:tab/>
      </w:r>
      <w:r>
        <w:rPr>
          <w:noProof/>
        </w:rPr>
        <w:t xml:space="preserve">Ettepaneku/algatuse põhjendus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Euroopa Jätkusuutliku Arengu Fond (EFSD) on vahend, millega saavutada välisinvesteeringute kava (1. sammas) poliitikaeesmärke, mis on sõnastatud komisjoni 7. juuni 2016. aasta teatises Euroopa rände tegevuskava alusel uue ELi ja kolmandate riikide partnerlusraamistiku loomise kohta. EFSD on eelkõige terviklik finantspake, millest rahastatakse investeeringuid teatavates ELi-välistes piirkondades. Seejuures kaasatakse Aafrikas ja ELi naabruspoliitika riikides avaliku ja erasektori investeeringuid.</w:t>
      </w:r>
    </w:p>
    <w:p>
      <w:pPr>
        <w:pStyle w:val="ManualHeading3"/>
        <w:rPr>
          <w:bCs/>
          <w:noProof/>
          <w:szCs w:val="24"/>
        </w:rPr>
      </w:pPr>
      <w:r>
        <w:t>1.5.2.</w:t>
      </w:r>
      <w:r>
        <w:tab/>
      </w:r>
      <w:r>
        <w:rPr>
          <w:noProof/>
        </w:rPr>
        <w:t>ELi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Jätkusuutliku Arengu Fondi (EFSD) eesmärk on uue tagatisega ja krediidikvaliteedi parandamise kaudu edendada innovatiivset ja muud liiki toetust. Uus tagatis hõlmab innovatiivseid vahendeid, et kõrvaldada erasektori investeeringute kitsaskohti, mida turg ei ole suutnud kõrvaldada. Need vahendid on näiteks esimese järjekoha kahju tagatised erasektori projektide tagatisportfellidele, riskikapital, laenutagatised VKEdele ja tagatised seoses taristuprojektide konkreetsete riskidega. </w:t>
      </w:r>
    </w:p>
    <w:p>
      <w:pPr>
        <w:pStyle w:val="Text1"/>
        <w:pBdr>
          <w:top w:val="single" w:sz="4" w:space="1" w:color="auto"/>
          <w:left w:val="single" w:sz="4" w:space="4" w:color="auto"/>
          <w:bottom w:val="single" w:sz="4" w:space="1" w:color="auto"/>
          <w:right w:val="single" w:sz="4" w:space="4" w:color="auto"/>
        </w:pBdr>
        <w:rPr>
          <w:noProof/>
        </w:rPr>
      </w:pPr>
      <w:r>
        <w:rPr>
          <w:noProof/>
        </w:rPr>
        <w:t>Euroopa Jätkusuutliku Arengu Fondi (EFSD) tagatav või rahastav tegevus on liidu välistegevuse eriti nähtav ja tõhus vahend. EFSD annab nõutava ELi poliitilise ja rahalise toetuse kõlblike vastaspoolte poolsele rahastamisele, mida pakutakse nendele riikidele ja investeerimisprojektidele, mis muidu ei oleks kõlblikud suurte riskide tõttu.</w:t>
      </w:r>
    </w:p>
    <w:p>
      <w:pPr>
        <w:pStyle w:val="ListParagraph"/>
        <w:spacing w:after="120"/>
        <w:jc w:val="both"/>
        <w:rPr>
          <w:rFonts w:ascii="Times New Roman" w:hAnsi="Times New Roman"/>
          <w:sz w:val="24"/>
          <w:szCs w:val="24"/>
        </w:rPr>
      </w:pP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Komisjonil on uuenduslike rahastamisvahenditega laialdased kogemused.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Need võeti kasutusele 2007.–2013. aasta mitmeaastase finantsraamistiku raames ning järk-järgult on segarahastamine muutunud oluliseks ELi väliskoostöö vahendiks, mis täiendab teisi rakendusmeetodeid. Praeguseks on ELi piirkondlikud segarahastud loodud kõigis ELi väliskoostöö piirkondades. 2015. aasta lõpuks moodustas ELi eelarve ja EAFi vahenditest antavate toetuste heakskiidetud summa umbes 2,7 miljardit eurot, mis on viinud investeeringute kogusumma umbes 50 miljardi euroni.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Naabruspoliitika investeerimisplatvormi eelkäija – naabruspoliitika investeerimisrahastu – on tegutsenud edukalt: alates 2007. aastast on see saanud ELi eelarvest kokku 1,432 miljardit eurot assigneeringuid. Liikmesriikide osalus naabruspoliitika investeerimisrahastu usaldusfondis on rohkem kui 80 miljonit eurot. Naabruspoliitika investeerimisrahastu sihtfondi toetusega on ellu viidud 112 projekti. Naabruspoliitika investeerimisrahastu sihtfondi panus on alates 2008. aastast aidanud kaasata ligikaudu 13,83 miljardit eurot Euroopa ja rahvusvaheliste finantsasutuste poolset rahastust. Investeeringute kogusumma ulatub ligikaudu umbes 28,10 miljardi euroni. Seega on iga rahastust antud euro võimendanud investeeringuid ligikaudu 20kordselt. </w:t>
      </w:r>
    </w:p>
    <w:p>
      <w:pPr>
        <w:pStyle w:val="Text1"/>
        <w:pBdr>
          <w:top w:val="single" w:sz="4" w:space="1" w:color="auto"/>
          <w:left w:val="single" w:sz="4" w:space="4" w:color="auto"/>
          <w:bottom w:val="single" w:sz="4" w:space="1" w:color="auto"/>
          <w:right w:val="single" w:sz="4" w:space="4" w:color="auto"/>
        </w:pBdr>
        <w:rPr>
          <w:noProof/>
        </w:rPr>
      </w:pPr>
      <w:r>
        <w:rPr>
          <w:noProof/>
        </w:rPr>
        <w:t>2007. aastal Aafrika jaoks loodud ELi ja Aafrika infrastruktuuri usaldusfondist on toetatud peamiselt energia-, transpordi- ja veesektori projekte kokku rohkem kui 500 miljoni euroga. 2015. aastal loodi komisjoni otsusega C(2015) 5210</w:t>
      </w:r>
      <w:r>
        <w:rPr>
          <w:rStyle w:val="FootnoteReference"/>
          <w:noProof/>
        </w:rPr>
        <w:footnoteReference w:id="40"/>
      </w:r>
      <w:r>
        <w:rPr>
          <w:noProof/>
        </w:rPr>
        <w:t xml:space="preserve"> Aafrika investeerimisrahastu.</w:t>
      </w:r>
    </w:p>
    <w:p>
      <w:pPr>
        <w:pStyle w:val="Text1"/>
        <w:pBdr>
          <w:top w:val="single" w:sz="4" w:space="1" w:color="auto"/>
          <w:left w:val="single" w:sz="4" w:space="4" w:color="auto"/>
          <w:bottom w:val="single" w:sz="4" w:space="1" w:color="auto"/>
          <w:right w:val="single" w:sz="4" w:space="4" w:color="auto"/>
        </w:pBdr>
        <w:rPr>
          <w:noProof/>
        </w:rPr>
      </w:pPr>
      <w:r>
        <w:rPr>
          <w:noProof/>
        </w:rPr>
        <w:t>Ajavahemikul 2007–2013 viidi läbi kahe rahastu vahehindamine: ELi ja Aafrika infrastruktuuri usaldusfondi hindamine 2012. aastal ja naabruspoliitika investeerimisrahastu oma 2013. aastal. Mõlemal juhul leiti, et kumbki on kasulik ja tõhus vahend oma eesmärkide – Euroopa naabruspartnerluse ja Aafrika taristu arendamise – saavutamise seisukohalt. Eelkõige said kiitva hinnangu projektide kindlaksmääramine, nende asjakohasus ja ülesehitus. Kumbi vahend saavutas märkimisväärse finantsvõimenduse, täites seega oma eesmärgi. Vahehindamise aruandes leiti, et mõlemad on andnud märkimisväärse panuse partnerluse arengusse ning finantsasutustevahelisse ja komisjoniga tehtavasse koostöösse ja tegevuse koordineerimisse. Esitati ka mitmeid soovitusi. Eelkõige soovitati parandada otsuste tegemise struktuuri, eriti ELi delegatsioonide ja partnerriikide rolli, ning täiendavalt uurida erasektori kaasamise ja konkreetsete rahastamisvahendite, näiteks riskimaandamisinstrumentide kaasamise võimalusi. Lisaks soovitati parandada tulemuste mõõtmise raamistiku rakendamist.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Neid järeldusi ja 2012. aasta detsembris loodud väliskoostöö segarahastuse ELi platvormi muude aruannete järeldusi on kasutatud selleks, et anda soovitusi rahastamisvahendite ühendamise abil antava ELi abi tulemuslikkuse parandamiseks. Euroopa Kontrollikoda avaldas 2014. aastas oktoobris eriaruande segarahastamise kohta. Selles esitatud järeldused on igati kooskõlas eespool nimetatud järeldustega: ELi välispoliitika toetamiseks piirkondlike investeerimisrahastute toetuste ühendamine finantseerimisasutuste laenudega on üldiselt tõhus ja projektid on asjakohased. Soovitused olid järgmised: tagada ELi toetusest tuleneva täiendavuse dokumenteeritud hindamine, tagada, et juhatusele esitataks ainult küpseid projekte, koostada ELi segarahastamise suunised, suurendada ELi delegatsioonide proaktiivsust, lihtsustada otsuste vastuvõtmise protsessi, suurendada komisjoni järelevalvet projektide üle ja tagada ELi rahastamise nähtavus.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Peaaegu kõik soovitused on väliskoostöö rahastamisvahendite ühendamise ELi platvorm juba täitnud: koostanud ühtlustatud ja täiustatud projektitaotluse vormi ja taotlemise juhendi ning töötanud välja tulemuste mõõtmise raamistiku koos standardnäitajatega.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Eeltoodule lisaks teostati 2014. aastal Aafrika investeerimisrahastu eelhindamine vastavalt Euroopa Parlamendi ja nõukogu määruse (EL, Euratom) nr 966/2012 (mis käsitleb Euroopa Liidu üldeelarve suhtes kohaldatavaid finantseeskirju ning millega tunnistatakse kehtetuks nõukogu määrus (EÜ, Euratom) nr 1605/2002) artiklile 140, mida kohaldatakse vastavalt nõukogu määruse (EL) nr 2015/323 artiklitele 17 ja 40. Eelhindamise käigus käsitleti küsimust, kuidas kavandatav rahastu on kooskõlas rahastamisvahendeid käsitleva finantsmäärusega. Selles aruandes esitatud soovitusi on Aafrika investeerimisrahastu juhtimisel arvesse võetud ja need on asjakohased ka ELi Aafrika investeerimisplatvormi puhul.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Eelhindamise tulemused näitavad, et tulenevalt Aafrika probleemide laadist, suurusest ja suunitlusest (nt linnastumine, põhiteenuste kättesaadavuse vähenemine, toidupuudus, vaesus, kliimamuutuse mõju), ELi ja partnerriikide koostöö praegustest eesmärkidest (jätkusuutlik ja kaasav areng ja majanduskasv, kontinendi integratsioon, vaesuse kaotamine, kliimamuutus) ning vajadusest kaasata täiendavaid rahalisi vahendeid, peab rahastamisraamistik olema paindlik. Neid tulemusi arvesse võttes ning pidades silmas vajadust kõrvaldada rände algpõhjused, saab Aafrika investeerimisplatvorm anda lisaväärtust Aafrika jaoks kõige probleemsemates valdkondades. Kui erinevaid abiandmise vorme kohandatakse vastavalt konkreetsetele riigipõhistele riskidele ning konkreetsete projektide ja sektorite jaoks, aitab Aafrika investeerimisplatvorm täita säästva arengu eesmärke ja seega kõrvaldada mõningaid rände algpõhjuseid.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Aafrika investeerimisrahastu praegune portfell ja rahastamisvahendid ongi ette nähtud projektidele, mis aitavad kaasa rände algpõhjuste kõrvaldamisele. Finantssektori ning mikro-, väike- ja keskmise suurusega ettevõtete kohalike pankade ja spetsiaalsete usaldusfonde kaudu toetamise projektide, samuti põllumajanduse, rahastamise ja maaelu arengu, sealhulgas maapiirkondade teedevõrgu ja elektrifitseerimise toetamise projektide peaeesmärk on töökohtade loomine. Nende kõrval aga aitavad töökohti luua ka konkreetsed (taastuv)energiasektori ja laiemalt võttes kogu transpordisektori taristuprojektid, mis ei hõlma ainult maapiirkondade teid, vaid ka maanteede ja sadamate ehitamist ja taastamist. ELi ja Aafrika infrastruktuuri usaldusfondi aastaaruandes on teatavate energiaprojektide tulemuste seas nimetatud ka töökohtade loomist ja vaesuse vähendamist. </w:t>
      </w:r>
    </w:p>
    <w:p>
      <w:pPr>
        <w:pStyle w:val="Text1"/>
        <w:pBdr>
          <w:top w:val="single" w:sz="4" w:space="1" w:color="auto"/>
          <w:left w:val="single" w:sz="4" w:space="4" w:color="auto"/>
          <w:bottom w:val="single" w:sz="4" w:space="1" w:color="auto"/>
          <w:right w:val="single" w:sz="4" w:space="4" w:color="auto"/>
        </w:pBdr>
        <w:rPr>
          <w:noProof/>
        </w:rPr>
      </w:pPr>
      <w:r>
        <w:rPr>
          <w:noProof/>
        </w:rPr>
        <w:t>ELi ja Aafrika infrastruktuuri usaldusfondi portfelli ja Aafrika investeerimisrahastu rahastamisvahendite analüüsist ilmneb, et kõnealused rahastud aitavad kaasa rände algpõhjuste kõrvaldamisele ning saavutada finantsvõimendust partnerfinantsasutustelt. Aafrika investeerimisrahastu rahastatava 150 projekti läbivaatamise tulemusel selgus, et rände algpõhjuste kõrvaldamisele aitab kaasa 30 % projekte. Mõned projektid on suunatud töökohtade loomisele ning mikro-, väikeste ja keskmise suurusega ettevõtete toetamisele, kuid enamiku projektide eesmärk on toetada sotsiaal-majanduslikku arengut ja vastupanuvõimet ning mõningatel juhtudel kõrvaleesmärgina ka töökohtade loomist ja vaesuse vähendamist. Aafrika investeerimisrahastust rahastatavad Saheli ja Tšaadi järve ning Aafrika Sarve piirkonna projektid hõlmavad praegu 18 riiki 23 EFSD raames abikõlblikust riigist.</w:t>
      </w:r>
    </w:p>
    <w:p>
      <w:pPr>
        <w:pStyle w:val="Text1"/>
        <w:pBdr>
          <w:top w:val="single" w:sz="4" w:space="1" w:color="auto"/>
          <w:left w:val="single" w:sz="4" w:space="4" w:color="auto"/>
          <w:bottom w:val="single" w:sz="4" w:space="1" w:color="auto"/>
          <w:right w:val="single" w:sz="4" w:space="4" w:color="auto"/>
        </w:pBdr>
        <w:rPr>
          <w:noProof/>
        </w:rPr>
      </w:pPr>
      <w:r>
        <w:rPr>
          <w:noProof/>
        </w:rPr>
        <w:t>2015. aasta ühisteatises „Euroopa naabruspoliitika ülevaade“ rõhutati, et naabruskonna riikide stabiliseerimisele ja nendega partnerlussidemete loomisele suunatud ELi tegevuse põhirõhk tuleks asetada majanduslikule ja sotsiaalsele arengule. EL peaks laiendama koostööd rahvusvaheliste finantseerimisasutustega, erasektori arengu toetavate rahvusvaheliste organisatsioonidega ja algatustega, millega edendatakse kaasavat majanduskasvu, töökohtade loomist ja elutingimuste parandamist. Lisaks tuleks edendada meetmeid, millega tugevdatakse partnerlust erasektoriga, ning hoogustada uuenduslikke lähenemisviise nagu toetuste ja laenude segarahastuse kasutamist, kuna need võimaldavad kaasata täiendavaid vahendeid ja suurendada ELi abi mõju. Selles rõhutati ka vajadust suunata jõupingutused oskuste arendamisele ning eelkõige noorte naiste ja meeste jaoks võimaluste loomisele.</w:t>
      </w:r>
    </w:p>
    <w:p>
      <w:pPr>
        <w:pStyle w:val="Text1"/>
        <w:pBdr>
          <w:top w:val="single" w:sz="4" w:space="1" w:color="auto"/>
          <w:left w:val="single" w:sz="4" w:space="4" w:color="auto"/>
          <w:bottom w:val="single" w:sz="4" w:space="1" w:color="auto"/>
          <w:right w:val="single" w:sz="4" w:space="4" w:color="auto"/>
        </w:pBdr>
        <w:rPr>
          <w:noProof/>
        </w:rPr>
      </w:pPr>
      <w:r>
        <w:rPr>
          <w:noProof/>
        </w:rPr>
        <w:t>Segarahastute järjekordne hindamine on praegu käimas ja selle lõpparuanne peaks valmima enne 2016. aasta lõppu.</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Nagu on märgitud komisjoni 7. juuni 2016. aasta teatises Euroopa rände tegevuskava alusel uue ELi ja kolmandate riikide partnerlusraamistiku loomise kohta, teeb komisjon ettepaneku luua ambitsioonikas välisinvesteeringute kava, mis aitaks kõrvaldada rände algpõhjuseid.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Tehakse ettepanek luua ühtse kontaktpunkti põhimõttel uue juhtimisstruktuuriga uus strateegiline raamistik, kus kasutatakse mitmesuguseid uuenduslikke rahastamisvahendeid ja mis suudaks rände algpõhjuste kõrvaldamisse kaasata erasektorit, edendades investeerimise alustamist teatavates Aafrika piirkondades ka ELi naabruspoliitika riikides. See põhineks juba olemasolevatel ELi rahastutel ja vahenditel.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EFSD on eelkõige ühtne rahastamispakett, millest rahastatakse investeeringuid teatavates ELi-välistes piirkondades, et toetada majanduskasvu ja luua töökohti, suurendada vastastikust täiendavust, pakkuda innovaatilisi tooteid ja kaasata erasektori vahendeid. Eeldatakse, et aastani 2020 Euroopa Arengufondist ja ELi eelarvest saadava 3,35 miljardi euro suuruse eraldisega, millest EFSD tagatisfondi on algselt ette nähtud 0,75 miljardit eurot, suudab EFSD kaasata kokku 44 miljardit eurot täiendavaid investeeringuid.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3,35 miljardist eurost saadakse 2,6 miljardit eurot olemasolevate segarahastute suunitluse muutmise teel. Käesoleva määruse ettepaneku kohaselt tuleks EFSD tagatisfondi eraldada 350 miljonit eurot ELi eelarvest ja 400 miljonit eurot EAFist. Uue investeerimiskava keskne koostisosa ja üldraamistik on EFSD, mis põhineb kolmel sambal: loodav </w:t>
      </w:r>
      <w:r>
        <w:rPr>
          <w:b/>
          <w:noProof/>
        </w:rPr>
        <w:t>investeerimisfond</w:t>
      </w:r>
      <w:r>
        <w:rPr>
          <w:noProof/>
        </w:rPr>
        <w:t xml:space="preserve"> (1. sammas); </w:t>
      </w:r>
      <w:r>
        <w:rPr>
          <w:b/>
          <w:noProof/>
        </w:rPr>
        <w:t>tehniline abi</w:t>
      </w:r>
      <w:r>
        <w:rPr>
          <w:noProof/>
        </w:rPr>
        <w:t xml:space="preserve">, millega aidatakse kohalikel ametiasutustel ja ettevõtetel suurendada elluviidavate jätkusuutlike projektide hulka ja kaasata investoreid (2. sammas), ning rida temaatilisi, riiklikke ja piirkondlikke ELi arengukoostöö programme koos struktureeritud poliitilise dialoogiga, mille eesmärk on </w:t>
      </w:r>
      <w:r>
        <w:rPr>
          <w:b/>
          <w:noProof/>
        </w:rPr>
        <w:t>parandada investeerimiskliimat ja üldist poliitilist keskkonda</w:t>
      </w:r>
      <w:r>
        <w:rPr>
          <w:noProof/>
        </w:rPr>
        <w:t xml:space="preserve"> asjaomastes riikides (3. sammas). </w:t>
      </w:r>
    </w:p>
    <w:p>
      <w:pPr>
        <w:pStyle w:val="Text1"/>
        <w:pBdr>
          <w:top w:val="single" w:sz="4" w:space="1" w:color="auto"/>
          <w:left w:val="single" w:sz="4" w:space="4" w:color="auto"/>
          <w:bottom w:val="single" w:sz="4" w:space="1" w:color="auto"/>
          <w:right w:val="single" w:sz="4" w:space="4" w:color="auto"/>
        </w:pBdr>
        <w:rPr>
          <w:noProof/>
        </w:rPr>
      </w:pPr>
      <w:r>
        <w:rPr>
          <w:noProof/>
        </w:rPr>
        <w:t>Need kolm täiendavad üksteist ja tagavad laialdaselt kooskõlastatud lähenemisviisi.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EFSDsse kuuluvad nii olemasolevad segarahastud, mille suunitlust muudetakse, kui ka tagatisvahend, mis luuakse erasektori vahendite kaasamiseks ja mis pakub uusi innovatiivseid vahendeid, näiteks konkreetseid taristuprojektide riske katvaid tagatisi. Olemasolevad segarahastud ühendatakse piirkondlikesse investeerimisplatvormidesse. Need toimivad ühtse kontaktpunktina, kuhu saavad ettepanekuid esitada rahvusvahelised finantsasutused ja muud avaliku ja erasektori investorid. Piirkondlikud investeerimisplatvormid pakuvad erinevat laadi rahalist toetust toetuskõlblikele investeeringutele. </w:t>
      </w:r>
    </w:p>
    <w:p>
      <w:pPr>
        <w:pStyle w:val="Text1"/>
        <w:pBdr>
          <w:top w:val="single" w:sz="4" w:space="1" w:color="auto"/>
          <w:left w:val="single" w:sz="4" w:space="4" w:color="auto"/>
          <w:bottom w:val="single" w:sz="4" w:space="1" w:color="auto"/>
          <w:right w:val="single" w:sz="4" w:space="4" w:color="auto"/>
        </w:pBdr>
        <w:rPr>
          <w:noProof/>
        </w:rPr>
      </w:pPr>
      <w:r>
        <w:rPr>
          <w:noProof/>
        </w:rPr>
        <w:t>Kuna kahepoolset rahastamist ja ELi toetuste abil rahastamist ühendav Aafrika investeerimisplatvorm on tegutseb Euroopa tasandil, võimaldab see suurendada sidusust ja parandada rahastajate tegevuse koordineerimist vastavalt Pariisi deklaratsiooni põhimõtetele ja ELi finantsmäärusele. ELi tegevust täiendatakse liikmesriikide vahenditega, tugevdades väliskoostöö Euroopa mõõdet ja suurendades ELi nähtavust.</w:t>
      </w:r>
    </w:p>
    <w:p>
      <w:pPr>
        <w:pStyle w:val="ManualHeading2"/>
        <w:rPr>
          <w:bCs/>
          <w:noProof/>
          <w:szCs w:val="24"/>
        </w:rPr>
      </w:pPr>
      <w:r>
        <w:t>1.6.</w:t>
      </w:r>
      <w:r>
        <w:tab/>
      </w:r>
      <w:r>
        <w:rPr>
          <w:noProof/>
        </w:rPr>
        <w:t xml:space="preserve">Meetme kestus ja finantsmõju </w:t>
      </w:r>
    </w:p>
    <w:p>
      <w:pPr>
        <w:pStyle w:val="Text1"/>
        <w:rPr>
          <w:noProof/>
        </w:rPr>
      </w:pPr>
      <w:r>
        <w:rPr>
          <w:noProof/>
        </w:rPr>
        <w:sym w:font="Webdings" w:char="F072"/>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ebdings" w:char="F072"/>
      </w:r>
      <w:r>
        <w:rPr>
          <w:noProof/>
        </w:rPr>
        <w:tab/>
        <w:t xml:space="preserve">Ettepanek/algatus hõlmab ajavahemikku 2017–2020 </w:t>
      </w:r>
    </w:p>
    <w:p>
      <w:pPr>
        <w:pStyle w:val="ListDash2"/>
        <w:rPr>
          <w:noProof/>
        </w:rPr>
      </w:pPr>
      <w:r>
        <w:rPr>
          <w:noProof/>
        </w:rPr>
        <w:sym w:font="Webdings" w:char="F072"/>
      </w:r>
      <w:r>
        <w:rPr>
          <w:noProof/>
        </w:rPr>
        <w:t xml:space="preserve">Finantsmõju avaldub ajavahemikul 2017–2020 kõlblike vastaspooltega sõlmitud lepingute kohaselt. </w:t>
      </w:r>
      <w:r>
        <w:rPr>
          <w:noProof/>
        </w:rPr>
        <w:tab/>
      </w:r>
      <w:r>
        <w:rPr>
          <w:b/>
          <w:noProof/>
        </w:rPr>
        <w:br/>
      </w:r>
      <w:r>
        <w:rPr>
          <w:noProof/>
        </w:rPr>
        <w:t xml:space="preserve">Kõlblike vastaspoolte ja lõplike tagatisesaajate või finantsvahendajate vahelised lepingud sõlmitakse EFSD tagatislepingute alusel, mille maksimaalne kestus on neli aastat. </w:t>
      </w:r>
    </w:p>
    <w:p>
      <w:pPr>
        <w:pStyle w:val="Text1"/>
        <w:rPr>
          <w:noProof/>
        </w:rPr>
      </w:pPr>
      <w:r>
        <w:rPr>
          <w:noProof/>
        </w:rPr>
        <w:sym w:font="Wingdings" w:char="F0A8"/>
      </w:r>
      <w:r>
        <w:rPr>
          <w:b/>
          <w:i/>
          <w:noProof/>
        </w:rPr>
        <w:t xml:space="preserve"> </w:t>
      </w:r>
      <w:r>
        <w:rPr>
          <w:b/>
          <w:noProof/>
        </w:rPr>
        <w:t>Piiramatu kestusega</w:t>
      </w:r>
      <w:r>
        <w:rPr>
          <w:noProof/>
        </w:rPr>
        <w:t xml:space="preserve"> ettepanek/algatus</w:t>
      </w:r>
    </w:p>
    <w:p>
      <w:pPr>
        <w:pStyle w:val="ListDash1"/>
        <w:rPr>
          <w:noProof/>
        </w:rPr>
      </w:pPr>
      <w:r>
        <w:rPr>
          <w:noProof/>
        </w:rPr>
        <w:t xml:space="preserve">Esialgne käivitamisperiood, </w:t>
      </w:r>
    </w:p>
    <w:p>
      <w:pPr>
        <w:pStyle w:val="ListDash1"/>
        <w:rPr>
          <w:noProof/>
        </w:rPr>
      </w:pPr>
      <w:r>
        <w:rPr>
          <w:noProof/>
        </w:rPr>
        <w:t>millele järgneb täielik rakendamine.</w:t>
      </w:r>
    </w:p>
    <w:p>
      <w:pPr>
        <w:pStyle w:val="ManualHeading2"/>
        <w:rPr>
          <w:bCs/>
          <w:noProof/>
          <w:szCs w:val="24"/>
        </w:rPr>
      </w:pPr>
      <w:r>
        <w:t>1.7.</w:t>
      </w:r>
      <w:r>
        <w:tab/>
      </w:r>
      <w:r>
        <w:rPr>
          <w:noProof/>
        </w:rPr>
        <w:t>Kavandatud eelarve täitmise viisid</w:t>
      </w:r>
      <w:r>
        <w:rPr>
          <w:rStyle w:val="FootnoteReference"/>
          <w:noProof/>
        </w:rPr>
        <w:footnoteReference w:id="41"/>
      </w:r>
      <w:r>
        <w:rPr>
          <w:rStyle w:val="FootnoteReference"/>
          <w:noProof/>
        </w:rPr>
        <w:t xml:space="preserve"> </w:t>
      </w:r>
    </w:p>
    <w:p>
      <w:pPr>
        <w:pStyle w:val="Text1"/>
        <w:rPr>
          <w:noProof/>
        </w:rPr>
      </w:pPr>
      <w:r>
        <w:rPr>
          <w:noProof/>
        </w:rPr>
        <w:t>X</w:t>
      </w:r>
      <w:r>
        <w:rPr>
          <w:i/>
          <w:noProof/>
        </w:rPr>
        <w:t xml:space="preserve"> </w:t>
      </w:r>
      <w:r>
        <w:rPr>
          <w:b/>
          <w:noProof/>
        </w:rPr>
        <w:t>Otsene eelarve täitmine</w:t>
      </w:r>
      <w:r>
        <w:rPr>
          <w:noProof/>
        </w:rPr>
        <w:t xml:space="preserve"> komisjoni poolt (EFSD tagatisfondi puhul)</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noProof/>
        </w:rPr>
        <w:t xml:space="preserve">Eelarve täitmine </w:t>
      </w:r>
      <w:r>
        <w:rPr>
          <w:b/>
          <w:noProof/>
        </w:rPr>
        <w:t>koostöös liikmesriikidega</w:t>
      </w:r>
      <w:r>
        <w:rPr>
          <w:noProof/>
        </w:rPr>
        <w:t xml:space="preserve"> </w:t>
      </w:r>
    </w:p>
    <w:p>
      <w:pPr>
        <w:pStyle w:val="Text1"/>
        <w:rPr>
          <w:noProof/>
        </w:rPr>
      </w:pPr>
      <w:r>
        <w:rPr>
          <w:noProof/>
        </w:rPr>
        <w:sym w:font="Webdings" w:char="F072"/>
      </w:r>
      <w:r>
        <w:rPr>
          <w:i/>
          <w:noProof/>
        </w:rPr>
        <w:t xml:space="preserve"> </w:t>
      </w:r>
      <w:r>
        <w:rPr>
          <w:b/>
          <w:noProof/>
        </w:rPr>
        <w:t>Kaudne eelarve täitmine</w:t>
      </w:r>
      <w:r>
        <w:rPr>
          <w:noProof/>
        </w:rPr>
        <w:t xml:space="preserve">, mille puhul eelarve täitmise ülesanded on usaldatud (EFSD tagatisega kaetud vahendid): </w:t>
      </w:r>
    </w:p>
    <w:p>
      <w:pPr>
        <w:pStyle w:val="ListDash2"/>
        <w:rPr>
          <w:noProof/>
        </w:rPr>
      </w:pPr>
      <w:r>
        <w:rPr>
          <w:noProof/>
        </w:rPr>
        <w:t>X rahvusvahelistele organisatsioonidele ja nende allasutustele;</w:t>
      </w:r>
    </w:p>
    <w:p>
      <w:pPr>
        <w:pStyle w:val="ListDash2"/>
        <w:rPr>
          <w:noProof/>
        </w:rPr>
      </w:pPr>
      <w:r>
        <w:rPr>
          <w:noProof/>
        </w:rPr>
        <w:t>X Euroopa Investeerimispangale ja Euroopa Investeerimisfondile;</w:t>
      </w:r>
    </w:p>
    <w:p>
      <w:pPr>
        <w:pStyle w:val="ListDash2"/>
        <w:rPr>
          <w:noProof/>
        </w:rPr>
      </w:pPr>
      <w:r>
        <w:rPr>
          <w:noProof/>
        </w:rPr>
        <w:t>X avalik-õiguslikele asutustele;</w:t>
      </w:r>
    </w:p>
    <w:p>
      <w:pPr>
        <w:pStyle w:val="ListDash2"/>
        <w:rPr>
          <w:noProof/>
        </w:rPr>
      </w:pPr>
      <w:r>
        <w:rPr>
          <w:noProof/>
        </w:rPr>
        <w:t>X erandina määruse (EL, Euratom) nr 966/2012 artikli 58 lõike 1 punkt c alapunkt vii liikmesriigi eraõiguslikele asutustele, kes esitavad piisavad finantstagatised;</w:t>
      </w:r>
    </w:p>
    <w:p>
      <w:pPr>
        <w:pStyle w:val="ListDash2"/>
        <w:rPr>
          <w:noProof/>
        </w:rPr>
      </w:pPr>
      <w:r>
        <w:rPr>
          <w:noProof/>
        </w:rPr>
        <w:t>X erandina määruse (EL, Euratom) nr 966/2012 artikli 58 lõike 1 punkt c alapunkt vii partnerriigi eraõiguslikele asutustele, kes esitavad piisavad finantstagatised;</w:t>
      </w:r>
    </w:p>
    <w:p>
      <w:pPr>
        <w:pStyle w:val="ListDash2"/>
        <w:rPr>
          <w:noProof/>
        </w:rPr>
      </w:pPr>
      <w:r>
        <w:rPr>
          <w:noProof/>
        </w:rPr>
        <w:t>X avalikke teenuseid osutavatele eraõiguslikele asutustele, kuivõrd nad esitavad piisavad finantstagatised;</w:t>
      </w:r>
    </w:p>
    <w:p>
      <w:pPr>
        <w:pStyle w:val="ListDash2"/>
        <w:rPr>
          <w:noProof/>
        </w:rPr>
      </w:pPr>
      <w:r>
        <w:rPr>
          <w:noProof/>
        </w:rPr>
        <w:sym w:font="Wingdings" w:char="F0A8"/>
      </w:r>
      <w:r>
        <w:rPr>
          <w:noProof/>
        </w:rPr>
        <w:t xml:space="preserve"> 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EFSD tagatisfondi rahastamist ja haldamist rakendab komisjon eelarve otsese täitmise raames, kuid tagatisega hõlmatud vahendeid rakendatakse kaudse eelarve täitmise raames.</w:t>
      </w: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Komisjon esitab Euroopa Parlamendile ja nõukogule igal aastal aruande EFSD tagatisega hõlmatud rahastamis- ja investeerimistoimingute kohta. Aruanne avalikustatakse. Aruandes esitatakse: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noProof/>
        </w:rPr>
        <w:tab/>
        <w:t>EFSD tagatisega hõlmatud rahastamis- ja investeerimistoimingute analüüs sektorite, riikide ja piirkondade kaupa, analüüs nende toimingute vastavuse kohta käesolevale määrusele, eelkõige sellele, kas need vastavad eesmärgile kõrvaldada rände algpõhjuseid ja toetada sotsiaal-majanduslikku arengut vastavalt jätkusuutliku arengu eesmärkidele, ning analüüs selle kohta, kas rahastamine vastab artiklis 3 sätestatud üldeesmärkidele;</w:t>
      </w:r>
    </w:p>
    <w:p>
      <w:pPr>
        <w:pStyle w:val="Text1"/>
        <w:pBdr>
          <w:top w:val="single" w:sz="4" w:space="1" w:color="auto"/>
          <w:left w:val="single" w:sz="4" w:space="4" w:color="auto"/>
          <w:bottom w:val="single" w:sz="4" w:space="1" w:color="auto"/>
          <w:right w:val="single" w:sz="4" w:space="4" w:color="auto"/>
        </w:pBdr>
        <w:ind w:left="851"/>
        <w:rPr>
          <w:noProof/>
        </w:rPr>
      </w:pPr>
      <w:r>
        <w:rPr>
          <w:noProof/>
        </w:rPr>
        <w:t>b)</w:t>
      </w:r>
      <w:r>
        <w:rPr>
          <w:noProof/>
        </w:rPr>
        <w:tab/>
        <w:t>koondanalüüs EFSD tagatisega hõlmatud rahastamis- ja investeerimistoimingute lisaväärtuse, erasektori vahendite kaasamise, hinnanguliste ja tegelike väljundite ning tulemuste ja mõju, sh töökohtade loomisele avalduva mõju kohta;</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c) </w:t>
      </w:r>
      <w:r>
        <w:rPr>
          <w:noProof/>
        </w:rPr>
        <w:tab/>
        <w:t>analüüs selle kohta, mil määral aitavad käesoleva määrusega hõlmatud toimingud kaasa artiklis 3 sätestatud üldeesmärkide saavutamisele;</w:t>
      </w:r>
    </w:p>
    <w:p>
      <w:pPr>
        <w:pStyle w:val="Text1"/>
        <w:pBdr>
          <w:top w:val="single" w:sz="4" w:space="1" w:color="auto"/>
          <w:left w:val="single" w:sz="4" w:space="4" w:color="auto"/>
          <w:bottom w:val="single" w:sz="4" w:space="1" w:color="auto"/>
          <w:right w:val="single" w:sz="4" w:space="4" w:color="auto"/>
        </w:pBdr>
        <w:ind w:left="851"/>
        <w:rPr>
          <w:noProof/>
        </w:rPr>
      </w:pPr>
      <w:r>
        <w:rPr>
          <w:noProof/>
        </w:rPr>
        <w:t>d)</w:t>
      </w:r>
      <w:r>
        <w:rPr>
          <w:noProof/>
        </w:rPr>
        <w:tab/>
      </w:r>
      <w:r>
        <w:rPr>
          <w:noProof/>
        </w:rPr>
        <w:tab/>
        <w:t>EFSD tagatise kasutamise nõuetekohasuse ja iga esitatud pakkumise peamistele tulemusnäitajatele vastavuse kohta;</w:t>
      </w:r>
    </w:p>
    <w:p>
      <w:pPr>
        <w:pStyle w:val="Text1"/>
        <w:pBdr>
          <w:top w:val="single" w:sz="4" w:space="1" w:color="auto"/>
          <w:left w:val="single" w:sz="4" w:space="4" w:color="auto"/>
          <w:bottom w:val="single" w:sz="4" w:space="1" w:color="auto"/>
          <w:right w:val="single" w:sz="4" w:space="4" w:color="auto"/>
        </w:pBdr>
        <w:ind w:left="851"/>
        <w:rPr>
          <w:noProof/>
        </w:rPr>
      </w:pPr>
      <w:r>
        <w:rPr>
          <w:noProof/>
        </w:rPr>
        <w:t>e)</w:t>
      </w:r>
      <w:r>
        <w:rPr>
          <w:noProof/>
        </w:rPr>
        <w:tab/>
      </w:r>
      <w:r>
        <w:rPr>
          <w:noProof/>
        </w:rPr>
        <w:tab/>
        <w:t>EFSD tagatisega teostatud toimingute abil saavutatud finantsvõimenduse analüüs;</w:t>
      </w:r>
    </w:p>
    <w:p>
      <w:pPr>
        <w:pStyle w:val="Text1"/>
        <w:pBdr>
          <w:top w:val="single" w:sz="4" w:space="1" w:color="auto"/>
          <w:left w:val="single" w:sz="4" w:space="4" w:color="auto"/>
          <w:bottom w:val="single" w:sz="4" w:space="1" w:color="auto"/>
          <w:right w:val="single" w:sz="4" w:space="4" w:color="auto"/>
        </w:pBdr>
        <w:ind w:left="851"/>
        <w:rPr>
          <w:noProof/>
        </w:rPr>
      </w:pPr>
      <w:r>
        <w:rPr>
          <w:noProof/>
        </w:rPr>
        <w:t>f)</w:t>
      </w:r>
      <w:r>
        <w:rPr>
          <w:noProof/>
        </w:rPr>
        <w:tab/>
      </w:r>
      <w:r>
        <w:rPr>
          <w:noProof/>
        </w:rPr>
        <w:tab/>
        <w:t>tagatisesaajatele üle kantud rahasumma ning rahastamis- ja investeerimistoimingute koondanalüüs vastaspoolte kaupa;</w:t>
      </w:r>
    </w:p>
    <w:p>
      <w:pPr>
        <w:pStyle w:val="Text1"/>
        <w:pBdr>
          <w:top w:val="single" w:sz="4" w:space="1" w:color="auto"/>
          <w:left w:val="single" w:sz="4" w:space="4" w:color="auto"/>
          <w:bottom w:val="single" w:sz="4" w:space="1" w:color="auto"/>
          <w:right w:val="single" w:sz="4" w:space="4" w:color="auto"/>
        </w:pBdr>
        <w:ind w:left="851"/>
        <w:rPr>
          <w:noProof/>
        </w:rPr>
      </w:pPr>
      <w:r>
        <w:rPr>
          <w:noProof/>
        </w:rPr>
        <w:t>g)</w:t>
      </w:r>
      <w:r>
        <w:rPr>
          <w:noProof/>
        </w:rPr>
        <w:tab/>
      </w:r>
      <w:r>
        <w:rPr>
          <w:noProof/>
        </w:rPr>
        <w:tab/>
        <w:t>kõlblike vastaspoolte rahastamis- ja investeerimistoimingute lisaväärtuse ning nende toimingutega seotud koguriski analüüs;</w:t>
      </w:r>
    </w:p>
    <w:p>
      <w:pPr>
        <w:pStyle w:val="Text1"/>
        <w:pBdr>
          <w:top w:val="single" w:sz="4" w:space="1" w:color="auto"/>
          <w:left w:val="single" w:sz="4" w:space="4" w:color="auto"/>
          <w:bottom w:val="single" w:sz="4" w:space="1" w:color="auto"/>
          <w:right w:val="single" w:sz="4" w:space="4" w:color="auto"/>
        </w:pBdr>
        <w:ind w:left="851"/>
        <w:rPr>
          <w:noProof/>
        </w:rPr>
      </w:pPr>
      <w:r>
        <w:rPr>
          <w:noProof/>
        </w:rPr>
        <w:t>h)</w:t>
      </w:r>
      <w:r>
        <w:rPr>
          <w:noProof/>
        </w:rPr>
        <w:tab/>
      </w:r>
      <w:r>
        <w:rPr>
          <w:noProof/>
        </w:rPr>
        <w:tab/>
        <w:t>üksikasjalik teave EFSD tagatise alusel esitatud nõuete, kahju, tulude, sissenõutud summade ja muude laekunud maksete kohta;</w:t>
      </w:r>
    </w:p>
    <w:p>
      <w:pPr>
        <w:pStyle w:val="Text1"/>
        <w:pBdr>
          <w:top w:val="single" w:sz="4" w:space="1" w:color="auto"/>
          <w:left w:val="single" w:sz="4" w:space="4" w:color="auto"/>
          <w:bottom w:val="single" w:sz="4" w:space="1" w:color="auto"/>
          <w:right w:val="single" w:sz="4" w:space="4" w:color="auto"/>
        </w:pBdr>
        <w:ind w:left="851"/>
        <w:rPr>
          <w:noProof/>
        </w:rPr>
      </w:pPr>
      <w:r>
        <w:rPr>
          <w:noProof/>
        </w:rPr>
        <w:t>i)</w:t>
      </w:r>
      <w:r>
        <w:rPr>
          <w:noProof/>
        </w:rPr>
        <w:tab/>
      </w:r>
      <w:r>
        <w:rPr>
          <w:noProof/>
        </w:rPr>
        <w:tab/>
        <w:t>sõltumatu välisaudiitori auditeeritud raamatupidamisaruanded käesoleva määrusega hõlmatud kõlblike vastaspoolte rahastamis- ja investeerimistoimingute kohta.</w:t>
      </w:r>
    </w:p>
    <w:p>
      <w:pPr>
        <w:pStyle w:val="Text1"/>
        <w:pBdr>
          <w:top w:val="single" w:sz="4" w:space="1" w:color="auto"/>
          <w:left w:val="single" w:sz="4" w:space="4" w:color="auto"/>
          <w:bottom w:val="single" w:sz="4" w:space="1" w:color="auto"/>
          <w:right w:val="single" w:sz="4" w:space="4" w:color="auto"/>
        </w:pBdr>
        <w:rPr>
          <w:noProof/>
        </w:rPr>
      </w:pPr>
      <w:r>
        <w:rPr>
          <w:noProof/>
        </w:rPr>
        <w:t>2. ELi tagatisega kaetud riske ja EFSD tagatisfondi valitsemist käsitleva aruandluse raames esitavad kõlblikud vastaspooled, kellega on sõlmitud tagatisleping, komisjoni arvepidamise huvides komisjonile ja kontrollikojale igal aastal käesoleva määrusega hõlmatud rahastamis- ja investeerimistoimingute kohta sõltumatu välisaudiitori auditeeritud raamatupidamisaruande, mis sisaldab muu hulgas järgmist teavet:</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r>
      <w:r>
        <w:rPr>
          <w:noProof/>
        </w:rPr>
        <w:tab/>
        <w:t>käesoleva määrusega hõlmatud kõlblike vastaspoolte rahastamis- ja investeerimistoimingute riskanalüüs, sealhulgas teave selle kohta, kas ELi kohustustega seoses on täidetud liidu raamatupidamiseeskirju, mille on kehtestanud komisjoni peaarvepidaja rahvusvaheliselt tunnustatud avaliku sektori raamatupidamisstandardite alusel;</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r>
      <w:r>
        <w:rPr>
          <w:noProof/>
        </w:rPr>
        <w:tab/>
        <w:t>liidu võetud ja tasumata finantskohustused, mis tulenevad käesoleva määrusega hõlmatud kõlblike vastaspoolte ja nende rahastamis- ja investeerimistoimingute jaoks antud EFSD tagatisest toimingute kaupa.</w:t>
      </w:r>
    </w:p>
    <w:p>
      <w:pPr>
        <w:pStyle w:val="Text1"/>
        <w:pBdr>
          <w:top w:val="single" w:sz="4" w:space="1" w:color="auto"/>
          <w:left w:val="single" w:sz="4" w:space="4" w:color="auto"/>
          <w:bottom w:val="single" w:sz="4" w:space="1" w:color="auto"/>
          <w:right w:val="single" w:sz="4" w:space="4" w:color="auto"/>
        </w:pBdr>
        <w:rPr>
          <w:noProof/>
        </w:rPr>
      </w:pPr>
      <w:r>
        <w:rPr>
          <w:noProof/>
        </w:rPr>
        <w:t>Vastaspooled esitavad komisjonile taotluse korral mis tahes täiendava teabe, mida on vaja käesolevast määrusest tulenevate komisjoni kohustuste täitmiseks.</w:t>
      </w:r>
    </w:p>
    <w:p>
      <w:pPr>
        <w:pStyle w:val="Text1"/>
        <w:pBdr>
          <w:top w:val="single" w:sz="4" w:space="1" w:color="auto"/>
          <w:left w:val="single" w:sz="4" w:space="4" w:color="auto"/>
          <w:bottom w:val="single" w:sz="4" w:space="1" w:color="auto"/>
          <w:right w:val="single" w:sz="4" w:space="4" w:color="auto"/>
        </w:pBdr>
        <w:rPr>
          <w:noProof/>
        </w:rPr>
      </w:pPr>
      <w:r>
        <w:rPr>
          <w:noProof/>
        </w:rPr>
        <w:t>3. Komisjon esitab iga aasta 31. märtsiks Euroopa Parlamendile, nõukogule ja kontrollikojale komisjoni raamatupidamise aastaruande jaoks nõutava teabe EFSD tagatisfondi olukorra kohta. Iga aasta 31. maiks esitab komisjon Euroopa Parlamendile, nõukogule ja kontrollikojale aastaaruande EGSD tagatisfondi valitsemise kohta eelmisel kalendriaastal, sealhulgas analüüsi rahastamise piisavuse, tagatisfondi täituvuse ja selle täiendamise vajaduse kohta. Kõnealune aastaaruanne sisaldab ülevaadet EFSD tagatisfondi finantsseisundist eelmise kalendriaasta lõpu seisuga, eelmise kalendriaasta rahavoogude aruannet ning oluliste tehingute ülevaadet ja muud asjakohast teavet finantskontode kohta. Aruanne sisaldab ka teavet finantsjuhtimise ning tagatisfondi tulemuste ja riski kohta eelmise kalendriaasta lõpu seisuga.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Komisjon koostab EFSD toimimise kohta hinnangu 31. detsembriks 2019. Komisjon esitab hindamisaruande Euroopa Parlamendile ja nõukogule. </w:t>
      </w:r>
    </w:p>
    <w:p>
      <w:pPr>
        <w:pStyle w:val="Text1"/>
        <w:pBdr>
          <w:top w:val="single" w:sz="4" w:space="1" w:color="auto"/>
          <w:left w:val="single" w:sz="4" w:space="4" w:color="auto"/>
          <w:bottom w:val="single" w:sz="4" w:space="1" w:color="auto"/>
          <w:right w:val="single" w:sz="4" w:space="4" w:color="auto"/>
        </w:pBdr>
        <w:rPr>
          <w:noProof/>
        </w:rPr>
      </w:pPr>
      <w:r>
        <w:rPr>
          <w:noProof/>
        </w:rPr>
        <w:t>5. Komisjon koostab EFSD tagatisfondi kasutamise kohta hinnangu 30. juuniks 2020 ja seejärel iga kolme aasta järel. Komisjon esitab hindamisaruande Euroopa Parlamendile ja nõukogule. Hindamisaruandele lisatakse kontrollikoja arvamus.</w:t>
      </w:r>
    </w:p>
    <w:p>
      <w:pPr>
        <w:pStyle w:val="Text1"/>
        <w:pBdr>
          <w:top w:val="single" w:sz="4" w:space="1" w:color="auto"/>
          <w:left w:val="single" w:sz="4" w:space="4" w:color="auto"/>
          <w:bottom w:val="single" w:sz="4" w:space="1" w:color="auto"/>
          <w:right w:val="single" w:sz="4" w:space="4" w:color="auto"/>
        </w:pBdr>
        <w:rPr>
          <w:noProof/>
        </w:rPr>
      </w:pPr>
      <w:r>
        <w:rPr>
          <w:noProof/>
        </w:rPr>
        <w:t>6. 30. juuniks 2020 esitab komisjon Euroopa Parlamendile ja nõukogule aruande, mis sisaldab käesoleva määruse kohaldamise sõltumatut analüüsi. Komisjon esitab aruande viivitamata, kui 30. juuniks 2020 on EFSD tagatise kättesaadav summa kinnitatud rahastamis- ja investeerimistoimingutega ammendatud.</w:t>
      </w:r>
    </w:p>
    <w:p>
      <w:pPr>
        <w:rPr>
          <w:noProof/>
        </w:rPr>
      </w:pPr>
    </w:p>
    <w:p>
      <w:pPr>
        <w:pStyle w:val="ManualHeading2"/>
        <w:rPr>
          <w:bCs/>
          <w:noProof/>
          <w:szCs w:val="24"/>
        </w:rPr>
      </w:pPr>
      <w:r>
        <w:t>2.2.</w:t>
      </w:r>
      <w:r>
        <w:tab/>
      </w:r>
      <w:r>
        <w:rPr>
          <w:noProof/>
        </w:rPr>
        <w:t xml:space="preserve">Juhtimis- ja kontrollisüsteemid </w:t>
      </w:r>
    </w:p>
    <w:p>
      <w:pPr>
        <w:pStyle w:val="ManualHeading3"/>
        <w:rPr>
          <w:noProof/>
        </w:rPr>
      </w:pPr>
      <w:r>
        <w:t>2.2.1.</w:t>
      </w:r>
      <w:r>
        <w:tab/>
      </w:r>
      <w:r>
        <w:rPr>
          <w:noProof/>
        </w:rPr>
        <w:t xml:space="preserve">Väljaselgitatud riskid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Riskid ELi eelarvele tulenevad liidupoolset eelarvetagatisest, mis antakse kolmandas riigis tegutsevatele kõlblikele vastaspooltele. Tagatisega kaetakse täielikult (allpool nimetatud piirmäära ulatuses) kõik kõlbliku vastaspoole saamata jäänud maksed. </w:t>
      </w:r>
    </w:p>
    <w:p>
      <w:pPr>
        <w:pStyle w:val="Text1"/>
        <w:pBdr>
          <w:top w:val="single" w:sz="4" w:space="1" w:color="auto"/>
          <w:left w:val="single" w:sz="4" w:space="4" w:color="auto"/>
          <w:bottom w:val="single" w:sz="4" w:space="1" w:color="auto"/>
          <w:right w:val="single" w:sz="4" w:space="4" w:color="auto"/>
        </w:pBdr>
        <w:rPr>
          <w:noProof/>
        </w:rPr>
      </w:pPr>
      <w:r>
        <w:rPr>
          <w:noProof/>
        </w:rPr>
        <w:t>ELi tagatise ülemmäär on 1 500 000 000 eurot.</w:t>
      </w:r>
    </w:p>
    <w:p>
      <w:pPr>
        <w:pStyle w:val="Text1"/>
        <w:pBdr>
          <w:top w:val="single" w:sz="4" w:space="1" w:color="auto"/>
          <w:left w:val="single" w:sz="4" w:space="4" w:color="auto"/>
          <w:bottom w:val="single" w:sz="4" w:space="1" w:color="auto"/>
          <w:right w:val="single" w:sz="4" w:space="4" w:color="auto"/>
        </w:pBdr>
        <w:rPr>
          <w:noProof/>
        </w:rPr>
      </w:pPr>
      <w:r>
        <w:rPr>
          <w:noProof/>
        </w:rPr>
        <w:t>Kõlblike vastaspoolte poolt kolmandatele riikidele antavaid laene katvat eelarvetagatist kajastavat eelarvekirjet (märkega „p.m.“) rakendatakse ainult tagatise sellise kasutamise korral kõlbliku vastaspoole poolt, mida ei saa täielikult katta tagatisfondi vahenditest (rahastamise määr vähemalt 750 000 000 eurot). 50 % suurune rahastamismäär põhineb kõlblike vastaspoolte hallatavate tagatiskavade, sealhulgas esimese järjekoha kahju tagatistega juba saadud kogemustel. Tagatise sissenõudmisel tehtud maksed ei ole kunagi ületanud 50 % olemasolevast rahastamisest. Mõnede muude vahenditega võrreldes suurem rahastamise määr tuleneb suuremate riskidega partnerriikide investeerimiskeskkonnast.</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Komisjon vastutab EFSD tagatise haldamise eest. Kavandatud määruse kohased finantstoimingud tehakse vastavalt kõlbliku vastaspoole tavapärastele reeglitele ja kooskõlas usaldusväärse pangandustava põhimõtetega. Kõlblik vastaspool ja komisjon sõlmivad lepingu, milles on sätestatud käesoleva määruse rakendamise üksikasjalikud tingimused ja üksikasjalik kord. Vt ka allpool „Järelevalve ja aruandluse eeskirjad“.</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Puudub</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1. Kui komisjonil on käesoleva määrusega hõlmatud rahastamis- ja investeerimistoimingute ettevalmistamise, tegemise või lõpetamise etapis põhjust kahtlustada pettust või kelmust, korruptsiooni, rahapesu või muud liidu finantshuve kahjustavat ebaseaduslikku tegevust, teatab ta sellest viivitamata OLAFile ning esitab talle kogu vajaliku teabe.</w:t>
      </w:r>
    </w:p>
    <w:p>
      <w:pPr>
        <w:pStyle w:val="Text1"/>
        <w:pBdr>
          <w:top w:val="single" w:sz="4" w:space="1" w:color="auto"/>
          <w:left w:val="single" w:sz="4" w:space="4" w:color="auto"/>
          <w:bottom w:val="single" w:sz="4" w:space="1" w:color="auto"/>
          <w:right w:val="single" w:sz="4" w:space="4" w:color="auto"/>
        </w:pBdr>
        <w:rPr>
          <w:noProof/>
        </w:rPr>
      </w:pPr>
      <w:r>
        <w:rPr>
          <w:noProof/>
        </w:rPr>
        <w:t>2. OLAF võib korraldada juurdluse, sealhulgas teostada kohapealset kontroll ja inspekteerimist vastavalt Euroopa Parlamendi ja nõukogu määruse (EL, Euratom) nr 883/2013, nõukogu määruse (EÜ, Euratom) nr 2185/96 ja nõukogu määruse (EÜ, Euratom) nr 2988/95 sätetele ja menetlustele, et kaitsta liidu finantshuve eesmärgiga teha kindlaks, kas käesoleva määrusega hõlmatud rahastamis- ja investeerimistoimingute puhul on esinenud pettust, kelmust, korruptsiooni, rahapesu või muud liidu finantshuve kahjustavat ebaseaduslikku tegevust. OLAF võib edastada juurdluse käigus saadud teabe asjaomase liikmesriigi pädevatele asutustele.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Kui selline ebaseaduslik tegevus on tõendatud, astuvad kõlblikud vastaspooled samme väljamakstud summade sissenõudmiseks käesoleva määrusega hõlmatud rahastamis- ja investeerimistoimingute puhul, mida selline ebaseaduslik tegevus puudutab. </w:t>
      </w: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Uued eelarveread, mille loomist taotletakse </w:t>
      </w:r>
    </w:p>
    <w:p>
      <w:pPr>
        <w:pStyle w:val="Text1"/>
        <w:rPr>
          <w:i/>
          <w:noProof/>
          <w:sz w:val="20"/>
        </w:rPr>
      </w:pPr>
      <w:r>
        <w:rPr>
          <w:i/>
          <w:noProof/>
          <w:u w:val="single"/>
        </w:rPr>
        <w:t>Järjestatud</w:t>
      </w:r>
      <w:r>
        <w:rPr>
          <w:i/>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rPr>
              <w:t>Kulu</w:t>
            </w:r>
            <w:r>
              <w:rPr>
                <w:noProof/>
                <w:sz w:val="18"/>
              </w:rPr>
              <w:t>liik</w:t>
            </w:r>
          </w:p>
        </w:tc>
        <w:tc>
          <w:tcPr>
            <w:tcW w:w="4440" w:type="dxa"/>
            <w:gridSpan w:val="4"/>
            <w:vAlign w:val="center"/>
          </w:tcPr>
          <w:p>
            <w:pPr>
              <w:spacing w:before="60" w:after="60"/>
              <w:jc w:val="center"/>
              <w:rPr>
                <w:noProof/>
              </w:rPr>
            </w:pPr>
            <w:r>
              <w:rPr>
                <w:noProof/>
                <w:sz w:val="20"/>
              </w:rPr>
              <w:t xml:space="preserve">Rahaline toetus </w:t>
            </w:r>
          </w:p>
        </w:tc>
      </w:tr>
      <w:tr>
        <w:tc>
          <w:tcPr>
            <w:tcW w:w="1080" w:type="dxa"/>
            <w:vMerge/>
            <w:vAlign w:val="center"/>
          </w:tcPr>
          <w:p>
            <w:pPr>
              <w:jc w:val="center"/>
              <w:rPr>
                <w:noProof/>
              </w:rPr>
            </w:pPr>
          </w:p>
        </w:tc>
        <w:tc>
          <w:tcPr>
            <w:tcW w:w="3960" w:type="dxa"/>
            <w:vAlign w:val="center"/>
          </w:tcPr>
          <w:p>
            <w:pPr>
              <w:rPr>
                <w:noProof/>
              </w:rPr>
            </w:pPr>
            <w:r>
              <w:rPr>
                <w:noProof/>
              </w:rPr>
              <w:t xml:space="preserve"> </w:t>
            </w:r>
            <w:r>
              <w:rPr>
                <w:noProof/>
                <w:sz w:val="20"/>
              </w:rPr>
              <w:t>Rubriik 04 Globaalne Euroopa</w:t>
            </w:r>
          </w:p>
        </w:tc>
        <w:tc>
          <w:tcPr>
            <w:tcW w:w="1080" w:type="dxa"/>
            <w:vAlign w:val="center"/>
          </w:tcPr>
          <w:p>
            <w:pPr>
              <w:jc w:val="center"/>
              <w:rPr>
                <w:noProof/>
              </w:rPr>
            </w:pPr>
            <w:r>
              <w:rPr>
                <w:noProof/>
                <w:sz w:val="18"/>
              </w:rPr>
              <w:t>Liigendatud/liigendamata</w:t>
            </w:r>
          </w:p>
        </w:tc>
        <w:tc>
          <w:tcPr>
            <w:tcW w:w="956" w:type="dxa"/>
            <w:vAlign w:val="center"/>
          </w:tcPr>
          <w:p>
            <w:pPr>
              <w:jc w:val="center"/>
              <w:rPr>
                <w:noProof/>
                <w:sz w:val="18"/>
              </w:rPr>
            </w:pPr>
            <w:r>
              <w:rPr>
                <w:noProof/>
                <w:sz w:val="18"/>
              </w:rPr>
              <w:t>EFTA riigid</w:t>
            </w:r>
          </w:p>
        </w:tc>
        <w:tc>
          <w:tcPr>
            <w:tcW w:w="1080" w:type="dxa"/>
            <w:vAlign w:val="center"/>
          </w:tcPr>
          <w:p>
            <w:pPr>
              <w:jc w:val="center"/>
              <w:rPr>
                <w:noProof/>
                <w:sz w:val="18"/>
              </w:rPr>
            </w:pPr>
            <w:r>
              <w:rPr>
                <w:noProof/>
                <w:sz w:val="18"/>
              </w:rPr>
              <w:t>kandidaatriigid</w:t>
            </w: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Rahaline osalus finantsmääruse artikli 21 lõike 2 punkti b tähenduses </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07 Euroopa Liidu tagatis Euroopa Jätkusuutliku Arengu Fondile (EFSD)</w:t>
            </w:r>
          </w:p>
          <w:p>
            <w:pPr>
              <w:spacing w:after="60"/>
              <w:rPr>
                <w:noProof/>
                <w:sz w:val="20"/>
              </w:rPr>
            </w:pPr>
          </w:p>
        </w:tc>
        <w:tc>
          <w:tcPr>
            <w:tcW w:w="1080" w:type="dxa"/>
            <w:vAlign w:val="center"/>
          </w:tcPr>
          <w:p>
            <w:pPr>
              <w:jc w:val="center"/>
              <w:rPr>
                <w:noProof/>
                <w:sz w:val="22"/>
              </w:rPr>
            </w:pPr>
            <w:r>
              <w:rPr>
                <w:noProof/>
                <w:sz w:val="22"/>
              </w:rPr>
              <w:t xml:space="preserve">Liigendamata </w:t>
            </w:r>
          </w:p>
        </w:tc>
        <w:tc>
          <w:tcPr>
            <w:tcW w:w="956" w:type="dxa"/>
            <w:vAlign w:val="center"/>
          </w:tcPr>
          <w:p>
            <w:pPr>
              <w:jc w:val="center"/>
              <w:rPr>
                <w:noProof/>
              </w:rPr>
            </w:pPr>
            <w:r>
              <w:rPr>
                <w:noProof/>
                <w:sz w:val="22"/>
              </w:rPr>
              <w:t>EI</w:t>
            </w:r>
          </w:p>
        </w:tc>
        <w:tc>
          <w:tcPr>
            <w:tcW w:w="1080" w:type="dxa"/>
            <w:vAlign w:val="center"/>
          </w:tcPr>
          <w:p>
            <w:pPr>
              <w:jc w:val="center"/>
              <w:rPr>
                <w:noProof/>
                <w:color w:val="0000FF"/>
                <w:sz w:val="18"/>
              </w:rPr>
            </w:pPr>
            <w:r>
              <w:rPr>
                <w:noProof/>
                <w:sz w:val="22"/>
              </w:rPr>
              <w:t>EI</w:t>
            </w:r>
          </w:p>
        </w:tc>
        <w:tc>
          <w:tcPr>
            <w:tcW w:w="956" w:type="dxa"/>
            <w:vAlign w:val="center"/>
          </w:tcPr>
          <w:p>
            <w:pPr>
              <w:jc w:val="center"/>
              <w:rPr>
                <w:noProof/>
                <w:color w:val="0000FF"/>
                <w:sz w:val="18"/>
              </w:rPr>
            </w:pPr>
            <w:r>
              <w:rPr>
                <w:noProof/>
                <w:sz w:val="22"/>
              </w:rPr>
              <w:t>EI</w:t>
            </w:r>
          </w:p>
        </w:tc>
        <w:tc>
          <w:tcPr>
            <w:tcW w:w="1448" w:type="dxa"/>
            <w:vAlign w:val="center"/>
          </w:tcPr>
          <w:p>
            <w:pPr>
              <w:jc w:val="center"/>
              <w:rPr>
                <w:noProof/>
              </w:rPr>
            </w:pPr>
            <w:r>
              <w:rPr>
                <w:noProof/>
                <w:sz w:val="22"/>
              </w:rPr>
              <w:t>EI</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08 Maksed EFSD tagatisfondi</w:t>
            </w:r>
          </w:p>
        </w:tc>
        <w:tc>
          <w:tcPr>
            <w:tcW w:w="1080" w:type="dxa"/>
            <w:vAlign w:val="center"/>
          </w:tcPr>
          <w:p>
            <w:pPr>
              <w:jc w:val="center"/>
              <w:rPr>
                <w:noProof/>
                <w:sz w:val="22"/>
              </w:rPr>
            </w:pPr>
            <w:r>
              <w:rPr>
                <w:noProof/>
                <w:sz w:val="22"/>
              </w:rPr>
              <w:t>Liigendamata</w:t>
            </w:r>
          </w:p>
        </w:tc>
        <w:tc>
          <w:tcPr>
            <w:tcW w:w="956" w:type="dxa"/>
            <w:vAlign w:val="center"/>
          </w:tcPr>
          <w:p>
            <w:pPr>
              <w:jc w:val="center"/>
              <w:rPr>
                <w:noProof/>
                <w:sz w:val="22"/>
              </w:rPr>
            </w:pPr>
            <w:r>
              <w:rPr>
                <w:noProof/>
                <w:sz w:val="22"/>
              </w:rPr>
              <w:t>JAH</w:t>
            </w:r>
          </w:p>
        </w:tc>
        <w:tc>
          <w:tcPr>
            <w:tcW w:w="1080" w:type="dxa"/>
            <w:vAlign w:val="center"/>
          </w:tcPr>
          <w:p>
            <w:pPr>
              <w:jc w:val="center"/>
              <w:rPr>
                <w:noProof/>
                <w:sz w:val="22"/>
              </w:rPr>
            </w:pPr>
            <w:r>
              <w:rPr>
                <w:noProof/>
                <w:sz w:val="22"/>
              </w:rPr>
              <w:t>JAH</w:t>
            </w:r>
          </w:p>
        </w:tc>
        <w:tc>
          <w:tcPr>
            <w:tcW w:w="956" w:type="dxa"/>
            <w:vAlign w:val="center"/>
          </w:tcPr>
          <w:p>
            <w:pPr>
              <w:jc w:val="center"/>
              <w:rPr>
                <w:noProof/>
                <w:sz w:val="22"/>
              </w:rPr>
            </w:pPr>
            <w:r>
              <w:rPr>
                <w:noProof/>
                <w:sz w:val="22"/>
              </w:rPr>
              <w:t>JAH</w:t>
            </w:r>
          </w:p>
        </w:tc>
        <w:tc>
          <w:tcPr>
            <w:tcW w:w="1448" w:type="dxa"/>
            <w:vAlign w:val="center"/>
          </w:tcPr>
          <w:p>
            <w:pPr>
              <w:jc w:val="center"/>
              <w:rPr>
                <w:noProof/>
                <w:sz w:val="22"/>
              </w:rPr>
            </w:pPr>
            <w:r>
              <w:rPr>
                <w:noProof/>
                <w:sz w:val="22"/>
              </w:rPr>
              <w:t>JAH</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ManualHeading3"/>
        <w:rPr>
          <w:noProof/>
          <w:u w:val="single"/>
        </w:rPr>
      </w:pPr>
      <w:r>
        <w:t>3.2.1.</w:t>
      </w:r>
      <w:r>
        <w:tab/>
      </w:r>
      <w:r>
        <w:rPr>
          <w:noProof/>
        </w:rPr>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Mitmeaastase finantsraamistiku</w:t>
            </w:r>
            <w:r>
              <w:rPr>
                <w:noProof/>
                <w:sz w:val="22"/>
              </w:rPr>
              <w:br/>
            </w:r>
            <w:r>
              <w:rPr>
                <w:b/>
                <w:noProof/>
                <w:sz w:val="22"/>
              </w:rPr>
              <w:t xml:space="preserve">rubriik </w:t>
            </w:r>
          </w:p>
        </w:tc>
        <w:tc>
          <w:tcPr>
            <w:tcW w:w="1080" w:type="dxa"/>
            <w:vAlign w:val="center"/>
          </w:tcPr>
          <w:p>
            <w:pPr>
              <w:spacing w:before="60" w:after="60"/>
              <w:jc w:val="center"/>
              <w:rPr>
                <w:noProof/>
              </w:rPr>
            </w:pPr>
            <w:r>
              <w:rPr>
                <w:noProof/>
                <w:sz w:val="22"/>
              </w:rPr>
              <w:t>Number</w:t>
            </w:r>
          </w:p>
        </w:tc>
        <w:tc>
          <w:tcPr>
            <w:tcW w:w="7817" w:type="dxa"/>
            <w:vAlign w:val="center"/>
          </w:tcPr>
          <w:p>
            <w:pPr>
              <w:spacing w:before="60" w:after="60"/>
              <w:rPr>
                <w:noProof/>
              </w:rPr>
            </w:pPr>
            <w:r>
              <w:rPr>
                <w:noProof/>
                <w:sz w:val="22"/>
              </w:rPr>
              <w:t>Rubriik 4 ELi üleilmne roll</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793"/>
        <w:gridCol w:w="868"/>
        <w:gridCol w:w="868"/>
        <w:gridCol w:w="868"/>
        <w:gridCol w:w="868"/>
        <w:gridCol w:w="868"/>
        <w:gridCol w:w="1777"/>
      </w:tblGrid>
      <w:tr>
        <w:tc>
          <w:tcPr>
            <w:tcW w:w="3960" w:type="dxa"/>
            <w:vAlign w:val="center"/>
          </w:tcPr>
          <w:p>
            <w:pPr>
              <w:jc w:val="center"/>
              <w:rPr>
                <w:noProof/>
              </w:rPr>
            </w:pPr>
            <w:r>
              <w:rPr>
                <w:noProof/>
                <w:sz w:val="22"/>
              </w:rPr>
              <w:t>PEADIREKTORAAT: XX</w:t>
            </w:r>
          </w:p>
        </w:tc>
        <w:tc>
          <w:tcPr>
            <w:tcW w:w="1560" w:type="dxa"/>
            <w:gridSpan w:val="2"/>
          </w:tcPr>
          <w:p>
            <w:pPr>
              <w:rPr>
                <w:noProof/>
                <w:sz w:val="20"/>
              </w:rPr>
            </w:pPr>
          </w:p>
        </w:tc>
        <w:tc>
          <w:tcPr>
            <w:tcW w:w="534" w:type="dxa"/>
          </w:tcPr>
          <w:p>
            <w:pPr>
              <w:jc w:val="center"/>
              <w:rPr>
                <w:noProof/>
                <w:sz w:val="20"/>
              </w:rPr>
            </w:pPr>
          </w:p>
        </w:tc>
        <w:tc>
          <w:tcPr>
            <w:tcW w:w="1026" w:type="dxa"/>
            <w:vAlign w:val="center"/>
          </w:tcPr>
          <w:p>
            <w:pPr>
              <w:jc w:val="center"/>
              <w:rPr>
                <w:noProof/>
                <w:sz w:val="20"/>
              </w:rPr>
            </w:pPr>
            <w:r>
              <w:rPr>
                <w:noProof/>
              </w:rPr>
              <w:t xml:space="preserve">Aasta </w:t>
            </w:r>
            <w:r>
              <w:rPr>
                <w:b/>
                <w:noProof/>
                <w:sz w:val="20"/>
              </w:rPr>
              <w:t>2017</w:t>
            </w:r>
            <w:r>
              <w:rPr>
                <w:rStyle w:val="FootnoteReference"/>
                <w:b/>
                <w:noProof/>
                <w:sz w:val="20"/>
              </w:rPr>
              <w:footnoteReference w:id="42"/>
            </w:r>
          </w:p>
        </w:tc>
        <w:tc>
          <w:tcPr>
            <w:tcW w:w="793" w:type="dxa"/>
            <w:vAlign w:val="center"/>
          </w:tcPr>
          <w:p>
            <w:pPr>
              <w:jc w:val="center"/>
              <w:rPr>
                <w:noProof/>
                <w:sz w:val="20"/>
              </w:rPr>
            </w:pPr>
            <w:r>
              <w:rPr>
                <w:noProof/>
              </w:rPr>
              <w:t xml:space="preserve">Aasta </w:t>
            </w:r>
            <w:r>
              <w:rPr>
                <w:b/>
                <w:noProof/>
                <w:sz w:val="20"/>
              </w:rPr>
              <w:t>2018</w:t>
            </w:r>
          </w:p>
        </w:tc>
        <w:tc>
          <w:tcPr>
            <w:tcW w:w="868" w:type="dxa"/>
            <w:vAlign w:val="center"/>
          </w:tcPr>
          <w:p>
            <w:pPr>
              <w:jc w:val="center"/>
              <w:rPr>
                <w:noProof/>
                <w:sz w:val="20"/>
              </w:rPr>
            </w:pPr>
            <w:r>
              <w:rPr>
                <w:noProof/>
              </w:rPr>
              <w:t xml:space="preserve">Aasta </w:t>
            </w:r>
            <w:r>
              <w:rPr>
                <w:b/>
                <w:noProof/>
                <w:sz w:val="20"/>
              </w:rPr>
              <w:t>2019</w:t>
            </w:r>
          </w:p>
        </w:tc>
        <w:tc>
          <w:tcPr>
            <w:tcW w:w="868" w:type="dxa"/>
            <w:vAlign w:val="center"/>
          </w:tcPr>
          <w:p>
            <w:pPr>
              <w:jc w:val="center"/>
              <w:rPr>
                <w:noProof/>
                <w:sz w:val="20"/>
              </w:rPr>
            </w:pPr>
            <w:r>
              <w:rPr>
                <w:noProof/>
              </w:rPr>
              <w:t xml:space="preserve">Aasta </w:t>
            </w:r>
            <w:r>
              <w:rPr>
                <w:b/>
                <w:noProof/>
                <w:sz w:val="20"/>
              </w:rPr>
              <w:t>2020</w:t>
            </w:r>
          </w:p>
        </w:tc>
        <w:tc>
          <w:tcPr>
            <w:tcW w:w="2604" w:type="dxa"/>
            <w:gridSpan w:val="3"/>
            <w:vAlign w:val="center"/>
          </w:tcPr>
          <w:p>
            <w:pPr>
              <w:jc w:val="center"/>
              <w:rPr>
                <w:b/>
                <w:noProof/>
                <w:sz w:val="18"/>
              </w:rPr>
            </w:pPr>
            <w:r>
              <w:rPr>
                <w:noProof/>
                <w:sz w:val="18"/>
              </w:rPr>
              <w:t>Lisage vajalik arv aastaid, et kajastada kogu finantsmõju kestust (vt punkt 1.6)</w:t>
            </w:r>
          </w:p>
        </w:tc>
        <w:tc>
          <w:tcPr>
            <w:tcW w:w="177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1026" w:type="dxa"/>
            <w:vAlign w:val="center"/>
          </w:tcPr>
          <w:p>
            <w:pPr>
              <w:rPr>
                <w:noProof/>
                <w:sz w:val="20"/>
              </w:rPr>
            </w:pPr>
          </w:p>
        </w:tc>
        <w:tc>
          <w:tcPr>
            <w:tcW w:w="793"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spacing w:before="60"/>
              <w:rPr>
                <w:noProof/>
                <w:sz w:val="22"/>
              </w:rPr>
            </w:pPr>
            <w:r>
              <w:rPr>
                <w:noProof/>
                <w:sz w:val="22"/>
              </w:rPr>
              <w:t xml:space="preserve">01 03 07 Euroopa Liidu tagatis Euroopa Jätkusuutliku Arengu Fondile (EFSD) </w:t>
            </w:r>
          </w:p>
          <w:p>
            <w:pPr>
              <w:rPr>
                <w:noProof/>
                <w:sz w:val="22"/>
              </w:rPr>
            </w:pPr>
          </w:p>
        </w:tc>
        <w:tc>
          <w:tcPr>
            <w:tcW w:w="1440" w:type="dxa"/>
            <w:vAlign w:val="center"/>
          </w:tcPr>
          <w:p>
            <w:pPr>
              <w:spacing w:before="20" w:after="20"/>
              <w:rPr>
                <w:noProof/>
                <w:sz w:val="22"/>
              </w:rPr>
            </w:pPr>
            <w:r>
              <w:rPr>
                <w:noProof/>
                <w:sz w:val="22"/>
              </w:rPr>
              <w:t>Kulukohustused</w:t>
            </w:r>
          </w:p>
        </w:tc>
        <w:tc>
          <w:tcPr>
            <w:tcW w:w="654" w:type="dxa"/>
            <w:gridSpan w:val="2"/>
            <w:vAlign w:val="center"/>
          </w:tcPr>
          <w:p>
            <w:pPr>
              <w:spacing w:before="20" w:after="20"/>
              <w:jc w:val="center"/>
              <w:rPr>
                <w:noProof/>
                <w:sz w:val="22"/>
              </w:rPr>
            </w:pPr>
            <w:r>
              <w:rPr>
                <w:noProof/>
                <w:sz w:val="22"/>
              </w:rPr>
              <w:t>(1)</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ign w:val="center"/>
          </w:tcPr>
          <w:p>
            <w:pPr>
              <w:jc w:val="center"/>
              <w:rPr>
                <w:noProof/>
                <w:sz w:val="22"/>
              </w:rPr>
            </w:pPr>
          </w:p>
        </w:tc>
        <w:tc>
          <w:tcPr>
            <w:tcW w:w="1440" w:type="dxa"/>
            <w:vAlign w:val="center"/>
          </w:tcPr>
          <w:p>
            <w:pPr>
              <w:spacing w:before="20" w:after="20"/>
              <w:rPr>
                <w:noProof/>
                <w:sz w:val="22"/>
              </w:rPr>
            </w:pPr>
            <w:r>
              <w:rPr>
                <w:noProof/>
                <w:sz w:val="22"/>
              </w:rPr>
              <w:t>Maksed</w:t>
            </w:r>
          </w:p>
        </w:tc>
        <w:tc>
          <w:tcPr>
            <w:tcW w:w="654" w:type="dxa"/>
            <w:gridSpan w:val="2"/>
            <w:vAlign w:val="center"/>
          </w:tcPr>
          <w:p>
            <w:pPr>
              <w:spacing w:before="20" w:after="20"/>
              <w:jc w:val="center"/>
              <w:rPr>
                <w:noProof/>
                <w:sz w:val="22"/>
              </w:rPr>
            </w:pPr>
            <w:r>
              <w:rPr>
                <w:noProof/>
                <w:sz w:val="22"/>
              </w:rPr>
              <w:t>(2)</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restart"/>
            <w:vAlign w:val="center"/>
          </w:tcPr>
          <w:p>
            <w:pPr>
              <w:spacing w:before="60"/>
              <w:rPr>
                <w:noProof/>
                <w:sz w:val="22"/>
              </w:rPr>
            </w:pPr>
            <w:r>
              <w:rPr>
                <w:noProof/>
                <w:sz w:val="22"/>
              </w:rPr>
              <w:t xml:space="preserve">01 03 08 Maksed EFSD tagatisfondi </w:t>
            </w:r>
          </w:p>
          <w:p>
            <w:pPr>
              <w:rPr>
                <w:noProof/>
                <w:sz w:val="22"/>
              </w:rPr>
            </w:pPr>
          </w:p>
        </w:tc>
        <w:tc>
          <w:tcPr>
            <w:tcW w:w="1440" w:type="dxa"/>
            <w:vAlign w:val="center"/>
          </w:tcPr>
          <w:p>
            <w:pPr>
              <w:spacing w:before="20" w:after="20"/>
              <w:rPr>
                <w:noProof/>
                <w:sz w:val="22"/>
              </w:rPr>
            </w:pPr>
            <w:r>
              <w:rPr>
                <w:noProof/>
                <w:sz w:val="22"/>
              </w:rPr>
              <w:t>Kulukohustused</w:t>
            </w:r>
          </w:p>
        </w:tc>
        <w:tc>
          <w:tcPr>
            <w:tcW w:w="654" w:type="dxa"/>
            <w:gridSpan w:val="2"/>
            <w:vAlign w:val="center"/>
          </w:tcPr>
          <w:p>
            <w:pPr>
              <w:spacing w:before="20" w:after="20"/>
              <w:jc w:val="center"/>
              <w:rPr>
                <w:noProof/>
                <w:sz w:val="22"/>
              </w:rPr>
            </w:pPr>
            <w:r>
              <w:rPr>
                <w:noProof/>
                <w:sz w:val="22"/>
              </w:rPr>
              <w:t>(1a)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tcPr>
          <w:p>
            <w:pPr>
              <w:jc w:val="center"/>
              <w:rPr>
                <w:noProof/>
                <w:sz w:val="22"/>
              </w:rPr>
            </w:pPr>
          </w:p>
        </w:tc>
        <w:tc>
          <w:tcPr>
            <w:tcW w:w="1440" w:type="dxa"/>
            <w:vAlign w:val="center"/>
          </w:tcPr>
          <w:p>
            <w:pPr>
              <w:spacing w:before="20" w:after="20"/>
              <w:rPr>
                <w:noProof/>
                <w:sz w:val="22"/>
              </w:rPr>
            </w:pPr>
            <w:r>
              <w:rPr>
                <w:noProof/>
                <w:sz w:val="22"/>
              </w:rPr>
              <w:t>Maksed</w:t>
            </w:r>
          </w:p>
        </w:tc>
        <w:tc>
          <w:tcPr>
            <w:tcW w:w="654" w:type="dxa"/>
            <w:gridSpan w:val="2"/>
            <w:vAlign w:val="center"/>
          </w:tcPr>
          <w:p>
            <w:pPr>
              <w:spacing w:before="20" w:after="20"/>
              <w:jc w:val="center"/>
              <w:rPr>
                <w:noProof/>
                <w:sz w:val="22"/>
              </w:rPr>
            </w:pPr>
            <w:r>
              <w:rPr>
                <w:noProof/>
                <w:sz w:val="22"/>
              </w:rPr>
              <w:t>(2 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rPr>
          <w:trHeight w:val="231"/>
        </w:trPr>
        <w:tc>
          <w:tcPr>
            <w:tcW w:w="6054" w:type="dxa"/>
            <w:gridSpan w:val="4"/>
            <w:vAlign w:val="center"/>
          </w:tcPr>
          <w:p>
            <w:pPr>
              <w:spacing w:before="20" w:after="20"/>
              <w:rPr>
                <w:noProof/>
                <w:sz w:val="22"/>
              </w:rPr>
            </w:pPr>
            <w:r>
              <w:rPr>
                <w:noProof/>
                <w:sz w:val="22"/>
              </w:rPr>
              <w:t>Eriprogrammide vahenditest rahastatavad haldusassigneeringud</w:t>
            </w:r>
            <w:r>
              <w:rPr>
                <w:rStyle w:val="FootnoteReference"/>
                <w:noProof/>
                <w:sz w:val="22"/>
              </w:rPr>
              <w:footnoteReference w:id="43"/>
            </w:r>
            <w:r>
              <w:rPr>
                <w:noProof/>
                <w:sz w:val="22"/>
              </w:rPr>
              <w:t xml:space="preserve"> </w:t>
            </w:r>
          </w:p>
          <w:p>
            <w:pPr>
              <w:spacing w:before="0" w:after="0"/>
              <w:rPr>
                <w:noProof/>
                <w:sz w:val="22"/>
              </w:rPr>
            </w:pPr>
          </w:p>
        </w:tc>
        <w:tc>
          <w:tcPr>
            <w:tcW w:w="1026" w:type="dxa"/>
            <w:vAlign w:val="center"/>
          </w:tcPr>
          <w:p>
            <w:pPr>
              <w:rPr>
                <w:b/>
                <w:noProof/>
                <w:sz w:val="20"/>
              </w:rPr>
            </w:pPr>
          </w:p>
        </w:tc>
        <w:tc>
          <w:tcPr>
            <w:tcW w:w="793"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r>
              <w:rPr>
                <w:b/>
                <w:noProof/>
                <w:sz w:val="20"/>
              </w:rPr>
              <w:t>0</w:t>
            </w:r>
          </w:p>
        </w:tc>
        <w:tc>
          <w:tcPr>
            <w:tcW w:w="793"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1777" w:type="dxa"/>
            <w:vAlign w:val="center"/>
          </w:tcPr>
          <w:p>
            <w:pPr>
              <w:spacing w:before="40" w:after="40"/>
              <w:jc w:val="right"/>
              <w:rPr>
                <w:b/>
                <w:noProof/>
                <w:sz w:val="20"/>
              </w:rPr>
            </w:pPr>
            <w:r>
              <w:rPr>
                <w:b/>
                <w:noProof/>
                <w:sz w:val="20"/>
              </w:rPr>
              <w:t>0</w:t>
            </w:r>
          </w:p>
        </w:tc>
      </w:tr>
      <w:tr>
        <w:tc>
          <w:tcPr>
            <w:tcW w:w="3960" w:type="dxa"/>
            <w:vMerge w:val="restart"/>
            <w:vAlign w:val="center"/>
          </w:tcPr>
          <w:p>
            <w:pPr>
              <w:jc w:val="center"/>
              <w:rPr>
                <w:b/>
                <w:noProof/>
              </w:rPr>
            </w:pPr>
            <w:r>
              <w:rPr>
                <w:noProof/>
                <w:sz w:val="22"/>
              </w:rPr>
              <w:t xml:space="preserve">XX </w:t>
            </w:r>
            <w:r>
              <w:rPr>
                <w:b/>
                <w:noProof/>
                <w:sz w:val="22"/>
              </w:rPr>
              <w:t xml:space="preserve">peadirektoraadi </w:t>
            </w:r>
            <w:r>
              <w:rPr>
                <w:b/>
                <w:noProof/>
                <w:sz w:val="22"/>
              </w:rPr>
              <w:br/>
              <w:t>assigneeringud KOKKU</w:t>
            </w:r>
            <w:r>
              <w:rPr>
                <w:noProof/>
                <w:sz w:val="22"/>
              </w:rPr>
              <w:t xml:space="preserve"> </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=1+1a +3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350,000</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Eriprogrammide vahenditest rahastatavad haldusassigneeringud KOKKU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noProof/>
                <w:sz w:val="22"/>
              </w:rPr>
              <w:t xml:space="preserve">Mitmeaastase finantsraamistiku </w:t>
            </w:r>
            <w:r>
              <w:rPr>
                <w:noProof/>
                <w:sz w:val="22"/>
              </w:rPr>
              <w:br/>
            </w:r>
            <w:r>
              <w:rPr>
                <w:b/>
                <w:noProof/>
                <w:sz w:val="22"/>
              </w:rPr>
              <w:t>RUBRIIGI 4</w:t>
            </w:r>
            <w:r>
              <w:rPr>
                <w:b/>
                <w:noProof/>
                <w:sz w:val="22"/>
              </w:rPr>
              <w:br/>
              <w:t>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275,000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275,000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Tegevusassigneeringud KOKKU</w:t>
            </w:r>
          </w:p>
        </w:tc>
        <w:tc>
          <w:tcPr>
            <w:tcW w:w="1440" w:type="dxa"/>
            <w:tcBorders>
              <w:top w:val="single" w:sz="4" w:space="0" w:color="FF0000"/>
            </w:tcBorders>
            <w:vAlign w:val="center"/>
          </w:tcPr>
          <w:p>
            <w:pPr>
              <w:spacing w:beforeLines="20" w:before="48" w:afterLines="20" w:after="48"/>
              <w:rPr>
                <w:noProof/>
                <w:sz w:val="18"/>
              </w:rPr>
            </w:pPr>
            <w:r>
              <w:rPr>
                <w:noProof/>
                <w:sz w:val="18"/>
              </w:rPr>
              <w:t>Kulukohustused</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Eriprogrammide vahenditest rahastatavad haldusassigneeringud KOKKU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noProof/>
                <w:sz w:val="22"/>
              </w:rPr>
              <w:t xml:space="preserve">Mitmeaastase finantsraamistiku </w:t>
            </w:r>
            <w:r>
              <w:rPr>
                <w:noProof/>
                <w:sz w:val="22"/>
              </w:rPr>
              <w:br/>
            </w:r>
            <w:r>
              <w:rPr>
                <w:b/>
                <w:noProof/>
                <w:sz w:val="22"/>
              </w:rPr>
              <w:t>RUBRIIKIDE 1–4</w:t>
            </w:r>
            <w:r>
              <w:rPr>
                <w:b/>
                <w:noProof/>
                <w:sz w:val="22"/>
              </w:rPr>
              <w:br/>
              <w:t>assigneeringud KOKKU</w:t>
            </w:r>
            <w:r>
              <w:rPr>
                <w:noProof/>
                <w:sz w:val="22"/>
              </w:rPr>
              <w:br/>
            </w:r>
            <w:r>
              <w:rPr>
                <w:noProof/>
                <w:sz w:val="20"/>
              </w:rPr>
              <w:t>(Sihtsumma)</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Maksed</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 xml:space="preserve">„Halduskulud“ </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rPr>
              <w:t xml:space="preserve">Aasta </w:t>
            </w:r>
            <w:r>
              <w:rPr>
                <w:b/>
                <w:noProof/>
                <w:sz w:val="20"/>
              </w:rPr>
              <w:t>2017</w:t>
            </w:r>
          </w:p>
        </w:tc>
        <w:tc>
          <w:tcPr>
            <w:tcW w:w="992" w:type="dxa"/>
            <w:vAlign w:val="center"/>
          </w:tcPr>
          <w:p>
            <w:pPr>
              <w:jc w:val="center"/>
              <w:rPr>
                <w:noProof/>
                <w:sz w:val="20"/>
              </w:rPr>
            </w:pPr>
            <w:r>
              <w:rPr>
                <w:noProof/>
              </w:rPr>
              <w:t xml:space="preserve">Aasta </w:t>
            </w:r>
            <w:r>
              <w:rPr>
                <w:b/>
                <w:noProof/>
                <w:sz w:val="20"/>
              </w:rPr>
              <w:t>2018</w:t>
            </w:r>
          </w:p>
        </w:tc>
        <w:tc>
          <w:tcPr>
            <w:tcW w:w="993" w:type="dxa"/>
            <w:vAlign w:val="center"/>
          </w:tcPr>
          <w:p>
            <w:pPr>
              <w:jc w:val="center"/>
              <w:rPr>
                <w:noProof/>
                <w:sz w:val="20"/>
              </w:rPr>
            </w:pPr>
            <w:r>
              <w:rPr>
                <w:noProof/>
              </w:rPr>
              <w:t xml:space="preserve">Aasta </w:t>
            </w:r>
            <w:r>
              <w:rPr>
                <w:b/>
                <w:noProof/>
                <w:sz w:val="20"/>
              </w:rPr>
              <w:t>2019</w:t>
            </w:r>
          </w:p>
        </w:tc>
        <w:tc>
          <w:tcPr>
            <w:tcW w:w="850" w:type="dxa"/>
            <w:vAlign w:val="center"/>
          </w:tcPr>
          <w:p>
            <w:pPr>
              <w:jc w:val="center"/>
              <w:rPr>
                <w:noProof/>
                <w:sz w:val="20"/>
              </w:rPr>
            </w:pPr>
            <w:r>
              <w:rPr>
                <w:noProof/>
              </w:rPr>
              <w:t xml:space="preserve">Aasta </w:t>
            </w:r>
            <w:r>
              <w:rPr>
                <w:b/>
                <w:noProof/>
                <w:sz w:val="20"/>
              </w:rPr>
              <w:t>2020</w:t>
            </w:r>
          </w:p>
        </w:tc>
        <w:tc>
          <w:tcPr>
            <w:tcW w:w="2552" w:type="dxa"/>
            <w:gridSpan w:val="3"/>
            <w:vAlign w:val="center"/>
          </w:tcPr>
          <w:p>
            <w:pPr>
              <w:jc w:val="center"/>
              <w:rPr>
                <w:b/>
                <w:noProof/>
                <w:sz w:val="18"/>
              </w:rPr>
            </w:pPr>
            <w:r>
              <w:rPr>
                <w:noProof/>
                <w:sz w:val="18"/>
              </w:rPr>
              <w:t xml:space="preserve">Lisage vajalik arv aastaid, et kajastada kogu finantsmõju kestust (vt punkt 1.6) </w:t>
            </w:r>
          </w:p>
        </w:tc>
        <w:tc>
          <w:tcPr>
            <w:tcW w:w="1214" w:type="dxa"/>
            <w:vAlign w:val="center"/>
          </w:tcPr>
          <w:p>
            <w:pPr>
              <w:jc w:val="center"/>
              <w:rPr>
                <w:b/>
                <w:noProof/>
                <w:sz w:val="20"/>
              </w:rPr>
            </w:pPr>
            <w:r>
              <w:rPr>
                <w:b/>
                <w:noProof/>
                <w:sz w:val="20"/>
              </w:rPr>
              <w:t>KOKKU</w:t>
            </w:r>
          </w:p>
        </w:tc>
      </w:tr>
      <w:tr>
        <w:trPr>
          <w:gridAfter w:val="10"/>
          <w:wAfter w:w="9947" w:type="dxa"/>
        </w:trPr>
        <w:tc>
          <w:tcPr>
            <w:tcW w:w="3960" w:type="dxa"/>
            <w:vAlign w:val="center"/>
          </w:tcPr>
          <w:p>
            <w:pPr>
              <w:spacing w:before="60" w:after="60"/>
              <w:jc w:val="center"/>
              <w:rPr>
                <w:noProof/>
              </w:rPr>
            </w:pPr>
            <w:r>
              <w:rPr>
                <w:noProof/>
                <w:sz w:val="22"/>
              </w:rPr>
              <w:t>Peadirektoraadid: XX</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Personalikulud</w:t>
            </w:r>
          </w:p>
        </w:tc>
        <w:tc>
          <w:tcPr>
            <w:tcW w:w="1252" w:type="dxa"/>
            <w:vAlign w:val="center"/>
          </w:tcPr>
          <w:p>
            <w:pPr>
              <w:spacing w:before="20" w:after="20"/>
              <w:jc w:val="right"/>
              <w:rPr>
                <w:noProof/>
                <w:sz w:val="20"/>
              </w:rPr>
            </w:pPr>
            <w:r>
              <w:rPr>
                <w:noProof/>
                <w:sz w:val="20"/>
              </w:rPr>
              <w:t>3.264 (0.134*16+</w:t>
            </w:r>
          </w:p>
          <w:p>
            <w:pPr>
              <w:spacing w:before="20" w:after="20"/>
              <w:jc w:val="right"/>
              <w:rPr>
                <w:noProof/>
                <w:sz w:val="20"/>
              </w:rPr>
            </w:pPr>
            <w:r>
              <w:rPr>
                <w:noProof/>
                <w:sz w:val="20"/>
              </w:rPr>
              <w:t>0.07*16)</w:t>
            </w:r>
          </w:p>
        </w:tc>
        <w:tc>
          <w:tcPr>
            <w:tcW w:w="992" w:type="dxa"/>
            <w:vAlign w:val="center"/>
          </w:tcPr>
          <w:p>
            <w:pPr>
              <w:spacing w:before="20" w:after="20"/>
              <w:jc w:val="right"/>
              <w:rPr>
                <w:noProof/>
                <w:sz w:val="20"/>
              </w:rPr>
            </w:pPr>
            <w:r>
              <w:rPr>
                <w:noProof/>
                <w:sz w:val="20"/>
              </w:rPr>
              <w:t>3,264</w:t>
            </w:r>
          </w:p>
        </w:tc>
        <w:tc>
          <w:tcPr>
            <w:tcW w:w="993" w:type="dxa"/>
            <w:vAlign w:val="center"/>
          </w:tcPr>
          <w:p>
            <w:pPr>
              <w:spacing w:before="20" w:after="20"/>
              <w:jc w:val="right"/>
              <w:rPr>
                <w:noProof/>
                <w:sz w:val="20"/>
              </w:rPr>
            </w:pPr>
            <w:r>
              <w:rPr>
                <w:noProof/>
                <w:sz w:val="20"/>
              </w:rPr>
              <w:t>3,264</w:t>
            </w:r>
          </w:p>
        </w:tc>
        <w:tc>
          <w:tcPr>
            <w:tcW w:w="850" w:type="dxa"/>
            <w:vAlign w:val="center"/>
          </w:tcPr>
          <w:p>
            <w:pPr>
              <w:spacing w:before="20" w:after="20"/>
              <w:jc w:val="right"/>
              <w:rPr>
                <w:noProof/>
                <w:sz w:val="20"/>
              </w:rPr>
            </w:pPr>
            <w:r>
              <w:rPr>
                <w:noProof/>
                <w:sz w:val="20"/>
              </w:rPr>
              <w:t>3,264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13,056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Muud halduskulud</w:t>
            </w:r>
          </w:p>
        </w:tc>
        <w:tc>
          <w:tcPr>
            <w:tcW w:w="1252" w:type="dxa"/>
            <w:vAlign w:val="center"/>
          </w:tcPr>
          <w:p>
            <w:pPr>
              <w:spacing w:before="20" w:after="20"/>
              <w:jc w:val="right"/>
              <w:rPr>
                <w:noProof/>
                <w:sz w:val="20"/>
              </w:rPr>
            </w:pPr>
            <w:r>
              <w:rPr>
                <w:noProof/>
                <w:sz w:val="20"/>
              </w:rPr>
              <w:t>0,5</w:t>
            </w:r>
          </w:p>
        </w:tc>
        <w:tc>
          <w:tcPr>
            <w:tcW w:w="992" w:type="dxa"/>
            <w:vAlign w:val="center"/>
          </w:tcPr>
          <w:p>
            <w:pPr>
              <w:spacing w:before="20" w:after="20"/>
              <w:jc w:val="right"/>
              <w:rPr>
                <w:noProof/>
                <w:sz w:val="20"/>
              </w:rPr>
            </w:pPr>
            <w:r>
              <w:rPr>
                <w:noProof/>
                <w:sz w:val="20"/>
              </w:rPr>
              <w:t>0,5</w:t>
            </w:r>
          </w:p>
        </w:tc>
        <w:tc>
          <w:tcPr>
            <w:tcW w:w="993" w:type="dxa"/>
            <w:vAlign w:val="center"/>
          </w:tcPr>
          <w:p>
            <w:pPr>
              <w:spacing w:before="20" w:after="20"/>
              <w:jc w:val="right"/>
              <w:rPr>
                <w:noProof/>
                <w:sz w:val="20"/>
              </w:rPr>
            </w:pPr>
            <w:r>
              <w:rPr>
                <w:noProof/>
                <w:sz w:val="20"/>
              </w:rPr>
              <w:t>0,5</w:t>
            </w:r>
          </w:p>
        </w:tc>
        <w:tc>
          <w:tcPr>
            <w:tcW w:w="850" w:type="dxa"/>
            <w:vAlign w:val="center"/>
          </w:tcPr>
          <w:p>
            <w:pPr>
              <w:spacing w:before="20" w:after="20"/>
              <w:jc w:val="right"/>
              <w:rPr>
                <w:noProof/>
                <w:sz w:val="20"/>
              </w:rPr>
            </w:pPr>
            <w:r>
              <w:rPr>
                <w:noProof/>
                <w:sz w:val="20"/>
              </w:rPr>
              <w:t>0,5</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2,000</w:t>
            </w:r>
          </w:p>
        </w:tc>
      </w:tr>
      <w:tr>
        <w:tc>
          <w:tcPr>
            <w:tcW w:w="3960" w:type="dxa"/>
            <w:vAlign w:val="center"/>
          </w:tcPr>
          <w:p>
            <w:pPr>
              <w:jc w:val="center"/>
              <w:rPr>
                <w:b/>
                <w:noProof/>
              </w:rPr>
            </w:pPr>
            <w:r>
              <w:rPr>
                <w:b/>
                <w:noProof/>
              </w:rPr>
              <w:t>Peadirektoraat</w:t>
            </w:r>
            <w:r>
              <w:rPr>
                <w:noProof/>
              </w:rPr>
              <w:t xml:space="preserve"> XX </w:t>
            </w:r>
            <w:r>
              <w:rPr>
                <w:b/>
                <w:noProof/>
              </w:rPr>
              <w:t>KOKKU</w:t>
            </w:r>
          </w:p>
        </w:tc>
        <w:tc>
          <w:tcPr>
            <w:tcW w:w="2094" w:type="dxa"/>
            <w:gridSpan w:val="2"/>
            <w:vAlign w:val="center"/>
          </w:tcPr>
          <w:p>
            <w:pPr>
              <w:rPr>
                <w:noProof/>
                <w:sz w:val="14"/>
              </w:rPr>
            </w:pPr>
            <w:r>
              <w:rPr>
                <w:noProof/>
                <w:sz w:val="18"/>
              </w:rPr>
              <w:t xml:space="preserve">Assigneeringud </w:t>
            </w:r>
          </w:p>
        </w:tc>
        <w:tc>
          <w:tcPr>
            <w:tcW w:w="1252" w:type="dxa"/>
            <w:vAlign w:val="center"/>
          </w:tcPr>
          <w:p>
            <w:pPr>
              <w:spacing w:before="60" w:after="6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tc>
          <w:tcPr>
            <w:tcW w:w="3960" w:type="dxa"/>
            <w:shd w:val="thinDiagStripe" w:color="C0C0C0" w:fill="auto"/>
            <w:vAlign w:val="center"/>
          </w:tcPr>
          <w:p>
            <w:pPr>
              <w:jc w:val="center"/>
              <w:rPr>
                <w:b/>
                <w:noProof/>
              </w:rPr>
            </w:pPr>
            <w:r>
              <w:rPr>
                <w:noProof/>
                <w:sz w:val="22"/>
              </w:rPr>
              <w:t xml:space="preserve">Mitmeaastase finantsraamistiku </w:t>
            </w:r>
            <w:r>
              <w:rPr>
                <w:noProof/>
                <w:sz w:val="22"/>
              </w:rPr>
              <w:br/>
            </w:r>
            <w:r>
              <w:rPr>
                <w:b/>
                <w:noProof/>
                <w:sz w:val="22"/>
              </w:rPr>
              <w:t>RUBRIIGI 5</w:t>
            </w:r>
            <w:r>
              <w:rPr>
                <w:b/>
                <w:noProof/>
                <w:sz w:val="22"/>
              </w:rPr>
              <w:br/>
              <w:t xml:space="preserve">assigneeringud KOKKU </w:t>
            </w:r>
          </w:p>
        </w:tc>
        <w:tc>
          <w:tcPr>
            <w:tcW w:w="2094" w:type="dxa"/>
            <w:vAlign w:val="center"/>
          </w:tcPr>
          <w:p>
            <w:pPr>
              <w:spacing w:before="40" w:after="40"/>
              <w:rPr>
                <w:noProof/>
              </w:rPr>
            </w:pPr>
            <w:r>
              <w:rPr>
                <w:noProof/>
                <w:sz w:val="18"/>
              </w:rPr>
              <w:t>(Kulukohustused kokku = maksed kokku)</w:t>
            </w:r>
          </w:p>
        </w:tc>
        <w:tc>
          <w:tcPr>
            <w:tcW w:w="1252" w:type="dxa"/>
            <w:vAlign w:val="center"/>
          </w:tcPr>
          <w:p>
            <w:pPr>
              <w:spacing w:before="20" w:after="2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567" w:type="dxa"/>
            <w:vAlign w:val="center"/>
          </w:tcPr>
          <w:p>
            <w:pPr>
              <w:spacing w:before="20" w:after="20"/>
              <w:jc w:val="right"/>
              <w:rPr>
                <w:noProof/>
                <w:sz w:val="20"/>
              </w:rPr>
            </w:pPr>
          </w:p>
        </w:tc>
        <w:tc>
          <w:tcPr>
            <w:tcW w:w="554" w:type="dxa"/>
            <w:vAlign w:val="center"/>
          </w:tcPr>
          <w:p>
            <w:pPr>
              <w:spacing w:before="20" w:after="20"/>
              <w:jc w:val="right"/>
              <w:rPr>
                <w:noProof/>
                <w:sz w:val="20"/>
              </w:rPr>
            </w:pPr>
          </w:p>
        </w:tc>
        <w:tc>
          <w:tcPr>
            <w:tcW w:w="1431"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r>
              <w:rPr>
                <w:rStyle w:val="FootnoteReference"/>
                <w:b/>
                <w:noProof/>
                <w:sz w:val="20"/>
              </w:rPr>
              <w:footnoteReference w:id="44"/>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rPr>
              <w:t xml:space="preserve">Aasta </w:t>
            </w:r>
            <w:r>
              <w:rPr>
                <w:b/>
                <w:noProof/>
                <w:sz w:val="20"/>
              </w:rPr>
              <w:t>2017</w:t>
            </w:r>
          </w:p>
        </w:tc>
        <w:tc>
          <w:tcPr>
            <w:tcW w:w="992" w:type="dxa"/>
            <w:vAlign w:val="center"/>
          </w:tcPr>
          <w:p>
            <w:pPr>
              <w:jc w:val="center"/>
              <w:rPr>
                <w:noProof/>
                <w:sz w:val="20"/>
              </w:rPr>
            </w:pPr>
            <w:r>
              <w:rPr>
                <w:noProof/>
              </w:rPr>
              <w:t>Aasta</w:t>
            </w:r>
            <w:r>
              <w:rPr>
                <w:b/>
                <w:noProof/>
                <w:sz w:val="20"/>
              </w:rPr>
              <w:t xml:space="preserve"> 2018</w:t>
            </w:r>
          </w:p>
        </w:tc>
        <w:tc>
          <w:tcPr>
            <w:tcW w:w="993" w:type="dxa"/>
            <w:vAlign w:val="center"/>
          </w:tcPr>
          <w:p>
            <w:pPr>
              <w:jc w:val="center"/>
              <w:rPr>
                <w:noProof/>
                <w:sz w:val="20"/>
              </w:rPr>
            </w:pPr>
            <w:r>
              <w:rPr>
                <w:noProof/>
              </w:rPr>
              <w:t>Aasta</w:t>
            </w:r>
            <w:r>
              <w:rPr>
                <w:b/>
                <w:noProof/>
                <w:sz w:val="20"/>
              </w:rPr>
              <w:t xml:space="preserve"> 2019</w:t>
            </w:r>
          </w:p>
        </w:tc>
        <w:tc>
          <w:tcPr>
            <w:tcW w:w="850" w:type="dxa"/>
            <w:vAlign w:val="center"/>
          </w:tcPr>
          <w:p>
            <w:pPr>
              <w:jc w:val="center"/>
              <w:rPr>
                <w:noProof/>
                <w:sz w:val="20"/>
              </w:rPr>
            </w:pPr>
            <w:r>
              <w:rPr>
                <w:noProof/>
              </w:rPr>
              <w:t>Aasta</w:t>
            </w:r>
            <w:r>
              <w:rPr>
                <w:b/>
                <w:noProof/>
                <w:sz w:val="20"/>
              </w:rPr>
              <w:t xml:space="preserve"> 2020</w:t>
            </w:r>
          </w:p>
        </w:tc>
        <w:tc>
          <w:tcPr>
            <w:tcW w:w="2552" w:type="dxa"/>
            <w:gridSpan w:val="3"/>
            <w:vAlign w:val="center"/>
          </w:tcPr>
          <w:p>
            <w:pPr>
              <w:jc w:val="center"/>
              <w:rPr>
                <w:b/>
                <w:noProof/>
                <w:sz w:val="18"/>
              </w:rPr>
            </w:pPr>
            <w:r>
              <w:rPr>
                <w:noProof/>
                <w:sz w:val="18"/>
              </w:rPr>
              <w:t>Lisage vajalik arv aastaid, et kajastada kogu finantsmõju kestust (vt punkt 1.6)</w:t>
            </w:r>
          </w:p>
        </w:tc>
        <w:tc>
          <w:tcPr>
            <w:tcW w:w="1214"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rPr>
            </w:pPr>
            <w:r>
              <w:rPr>
                <w:noProof/>
                <w:sz w:val="22"/>
              </w:rPr>
              <w:t>Mitmeaastase finantsraamistiku</w:t>
            </w:r>
            <w:r>
              <w:rPr>
                <w:noProof/>
                <w:sz w:val="22"/>
              </w:rPr>
              <w:br/>
            </w:r>
            <w:r>
              <w:rPr>
                <w:b/>
                <w:noProof/>
                <w:sz w:val="22"/>
              </w:rPr>
              <w:t>RUBRIIKIDE 1–5</w:t>
            </w:r>
            <w:r>
              <w:rPr>
                <w:noProof/>
              </w:rPr>
              <w:br/>
            </w:r>
            <w:r>
              <w:rPr>
                <w:b/>
                <w:noProof/>
                <w:sz w:val="22"/>
              </w:rPr>
              <w:t xml:space="preserve">assigneeringud KOKKU </w:t>
            </w:r>
          </w:p>
        </w:tc>
        <w:tc>
          <w:tcPr>
            <w:tcW w:w="2094" w:type="dxa"/>
            <w:gridSpan w:val="2"/>
            <w:vAlign w:val="center"/>
          </w:tcPr>
          <w:p>
            <w:pPr>
              <w:rPr>
                <w:noProof/>
                <w:sz w:val="14"/>
              </w:rPr>
            </w:pPr>
            <w:r>
              <w:rPr>
                <w:noProof/>
                <w:sz w:val="18"/>
              </w:rPr>
              <w:t>Kulukohustused</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28,746</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28,764</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t>X</w:t>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797"/>
        <w:gridCol w:w="432"/>
        <w:gridCol w:w="720"/>
        <w:gridCol w:w="540"/>
        <w:gridCol w:w="571"/>
        <w:gridCol w:w="149"/>
        <w:gridCol w:w="720"/>
        <w:gridCol w:w="751"/>
        <w:gridCol w:w="149"/>
      </w:tblGrid>
      <w:tr>
        <w:trPr>
          <w:gridAfter w:val="1"/>
          <w:wAfter w:w="149" w:type="dxa"/>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 xml:space="preserve">Aasta </w:t>
            </w:r>
            <w:r>
              <w:rPr>
                <w:b/>
                <w:noProof/>
                <w:sz w:val="18"/>
              </w:rPr>
              <w:t>N</w:t>
            </w:r>
          </w:p>
        </w:tc>
        <w:tc>
          <w:tcPr>
            <w:tcW w:w="1260" w:type="dxa"/>
            <w:gridSpan w:val="2"/>
            <w:vAlign w:val="center"/>
          </w:tcPr>
          <w:p>
            <w:pPr>
              <w:ind w:right="-29"/>
              <w:jc w:val="center"/>
              <w:rPr>
                <w:noProof/>
                <w:sz w:val="18"/>
                <w:szCs w:val="18"/>
              </w:rPr>
            </w:pPr>
            <w:r>
              <w:rPr>
                <w:noProof/>
              </w:rPr>
              <w:t xml:space="preserve">Aasta </w:t>
            </w:r>
            <w:r>
              <w:rPr>
                <w:b/>
                <w:noProof/>
                <w:sz w:val="18"/>
              </w:rPr>
              <w:t>N+1</w:t>
            </w:r>
          </w:p>
        </w:tc>
        <w:tc>
          <w:tcPr>
            <w:tcW w:w="1440" w:type="dxa"/>
            <w:gridSpan w:val="2"/>
            <w:vAlign w:val="center"/>
          </w:tcPr>
          <w:p>
            <w:pPr>
              <w:ind w:right="-29"/>
              <w:jc w:val="center"/>
              <w:rPr>
                <w:noProof/>
                <w:sz w:val="18"/>
                <w:szCs w:val="18"/>
              </w:rPr>
            </w:pPr>
            <w:r>
              <w:rPr>
                <w:noProof/>
              </w:rPr>
              <w:t xml:space="preserve">Aasta </w:t>
            </w:r>
            <w:r>
              <w:rPr>
                <w:b/>
                <w:noProof/>
                <w:sz w:val="18"/>
              </w:rPr>
              <w:t>N+2</w:t>
            </w:r>
          </w:p>
        </w:tc>
        <w:tc>
          <w:tcPr>
            <w:tcW w:w="1620" w:type="dxa"/>
            <w:gridSpan w:val="3"/>
            <w:vAlign w:val="center"/>
          </w:tcPr>
          <w:p>
            <w:pPr>
              <w:ind w:right="-29"/>
              <w:jc w:val="center"/>
              <w:rPr>
                <w:noProof/>
                <w:sz w:val="18"/>
                <w:szCs w:val="18"/>
              </w:rPr>
            </w:pPr>
            <w:r>
              <w:rPr>
                <w:noProof/>
              </w:rPr>
              <w:t xml:space="preserve">Aasta </w:t>
            </w:r>
            <w:r>
              <w:rPr>
                <w:b/>
                <w:noProof/>
                <w:sz w:val="18"/>
              </w:rPr>
              <w:t>N+3</w:t>
            </w:r>
          </w:p>
        </w:tc>
        <w:tc>
          <w:tcPr>
            <w:tcW w:w="3600" w:type="dxa"/>
            <w:gridSpan w:val="6"/>
            <w:vAlign w:val="center"/>
          </w:tcPr>
          <w:p>
            <w:pPr>
              <w:jc w:val="center"/>
              <w:rPr>
                <w:noProof/>
                <w:sz w:val="18"/>
                <w:szCs w:val="18"/>
              </w:rPr>
            </w:pPr>
            <w:r>
              <w:rPr>
                <w:noProof/>
                <w:sz w:val="18"/>
              </w:rPr>
              <w:t>Lisage vajalik arv aastaid, et kajastada kogu finantsmõju kestust (vt punkt 1.6)</w:t>
            </w:r>
          </w:p>
        </w:tc>
        <w:tc>
          <w:tcPr>
            <w:tcW w:w="1620" w:type="dxa"/>
            <w:gridSpan w:val="3"/>
            <w:tcBorders>
              <w:left w:val="nil"/>
              <w:bottom w:val="nil"/>
            </w:tcBorders>
            <w:vAlign w:val="center"/>
          </w:tcPr>
          <w:p>
            <w:pPr>
              <w:ind w:right="-29"/>
              <w:jc w:val="center"/>
              <w:rPr>
                <w:noProof/>
                <w:sz w:val="18"/>
                <w:szCs w:val="18"/>
              </w:rPr>
            </w:pPr>
            <w:r>
              <w:rPr>
                <w:b/>
                <w:noProof/>
                <w:sz w:val="18"/>
              </w:rPr>
              <w:t>KOKKU</w:t>
            </w:r>
          </w:p>
        </w:tc>
      </w:tr>
      <w:tr>
        <w:trPr>
          <w:gridAfter w:val="1"/>
          <w:wAfter w:w="149" w:type="dxa"/>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9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Ei</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 xml:space="preserve">ERIEESMÄRK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275,000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25,000</w:t>
            </w: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r>
              <w:rPr>
                <w:noProof/>
                <w:sz w:val="18"/>
              </w:rPr>
              <w:t>350,000</w:t>
            </w: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6" w:type="dxa"/>
            <w:gridSpan w:val="2"/>
            <w:tcBorders>
              <w:bottom w:val="single" w:sz="12" w:space="0" w:color="auto"/>
            </w:tcBorders>
          </w:tcPr>
          <w:p>
            <w:pPr>
              <w:ind w:right="-29"/>
              <w:jc w:val="center"/>
              <w:rPr>
                <w:noProof/>
                <w:sz w:val="18"/>
                <w:szCs w:val="18"/>
              </w:rPr>
            </w:pPr>
          </w:p>
        </w:tc>
        <w:tc>
          <w:tcPr>
            <w:tcW w:w="714"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275,000</w:t>
            </w: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r>
              <w:rPr>
                <w:noProof/>
                <w:sz w:val="18"/>
              </w:rPr>
              <w:t>25,000</w:t>
            </w:r>
          </w:p>
        </w:tc>
        <w:tc>
          <w:tcPr>
            <w:tcW w:w="540" w:type="dxa"/>
            <w:tcBorders>
              <w:top w:val="single" w:sz="12" w:space="0" w:color="auto"/>
              <w:bottom w:val="single" w:sz="12" w:space="0" w:color="auto"/>
            </w:tcBorders>
          </w:tcPr>
          <w:p>
            <w:pPr>
              <w:ind w:right="-29"/>
              <w:jc w:val="center"/>
              <w:rPr>
                <w:noProof/>
                <w:sz w:val="18"/>
                <w:szCs w:val="18"/>
              </w:rPr>
            </w:pPr>
          </w:p>
        </w:tc>
        <w:tc>
          <w:tcPr>
            <w:tcW w:w="797"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ind w:right="-29"/>
              <w:jc w:val="center"/>
              <w:rPr>
                <w:noProof/>
                <w:sz w:val="18"/>
                <w:szCs w:val="18"/>
              </w:rPr>
            </w:pPr>
            <w:r>
              <w:rPr>
                <w:noProof/>
                <w:sz w:val="18"/>
              </w:rPr>
              <w:t>350,000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Ülevaade </w:t>
      </w:r>
    </w:p>
    <w:p>
      <w:pPr>
        <w:pStyle w:val="ListDash1"/>
        <w:rPr>
          <w:noProof/>
        </w:rPr>
      </w:pPr>
      <w:r>
        <w:rPr>
          <w:noProof/>
        </w:rPr>
        <w:sym w:font="Wingdings" w:char="F0A8"/>
      </w:r>
      <w:r>
        <w:rPr>
          <w:noProof/>
        </w:rPr>
        <w:t xml:space="preserve"> Ettepanek/algatus ei hõlma haldusassigneeringute kasutamist </w:t>
      </w:r>
    </w:p>
    <w:p>
      <w:pPr>
        <w:pStyle w:val="ListDash1"/>
        <w:rPr>
          <w:noProof/>
        </w:rPr>
      </w:pPr>
      <w:r>
        <w:rPr>
          <w:noProof/>
        </w:rPr>
        <w:t>X</w:t>
      </w:r>
      <w:r>
        <w:rPr>
          <w:noProof/>
        </w:rPr>
        <w:tab/>
        <w:t>Ettepanek/algatus hõlmab haldusassigneeringute kasutamist, mis toimub järgmiselt:</w:t>
      </w:r>
    </w:p>
    <w:p>
      <w:pPr>
        <w:pStyle w:val="ListDash1"/>
        <w:rPr>
          <w:noProof/>
          <w:sz w:val="20"/>
        </w:rPr>
      </w:pPr>
      <w:r>
        <w:rPr>
          <w:noProof/>
        </w:rPr>
        <w:t xml:space="preserve">Halduskulud. </w:t>
      </w: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rPr>
              <w:t>Aasta</w:t>
            </w:r>
            <w:r>
              <w:rPr>
                <w:noProof/>
                <w:sz w:val="20"/>
                <w:szCs w:val="20"/>
              </w:rPr>
              <w:br/>
            </w:r>
            <w:r>
              <w:rPr>
                <w:b/>
                <w:noProof/>
                <w:sz w:val="20"/>
              </w:rPr>
              <w:t>2017</w:t>
            </w:r>
            <w:r>
              <w:rPr>
                <w:rStyle w:val="FootnoteReference"/>
                <w:b/>
                <w:noProof/>
                <w:sz w:val="20"/>
              </w:rPr>
              <w:footnoteReference w:id="46"/>
            </w:r>
          </w:p>
        </w:tc>
        <w:tc>
          <w:tcPr>
            <w:tcW w:w="1080" w:type="dxa"/>
            <w:vAlign w:val="center"/>
          </w:tcPr>
          <w:p>
            <w:pPr>
              <w:spacing w:before="60" w:after="60" w:line="200" w:lineRule="exact"/>
              <w:jc w:val="center"/>
              <w:rPr>
                <w:noProof/>
                <w:sz w:val="20"/>
                <w:szCs w:val="20"/>
              </w:rPr>
            </w:pPr>
            <w:r>
              <w:rPr>
                <w:noProof/>
                <w:sz w:val="20"/>
              </w:rPr>
              <w:t>Aasta</w:t>
            </w:r>
            <w:r>
              <w:rPr>
                <w:noProof/>
                <w:sz w:val="20"/>
                <w:szCs w:val="20"/>
              </w:rPr>
              <w:br/>
            </w:r>
            <w:r>
              <w:rPr>
                <w:b/>
                <w:noProof/>
                <w:sz w:val="20"/>
              </w:rPr>
              <w:t>2018</w:t>
            </w:r>
          </w:p>
        </w:tc>
        <w:tc>
          <w:tcPr>
            <w:tcW w:w="1080" w:type="dxa"/>
            <w:vAlign w:val="center"/>
          </w:tcPr>
          <w:p>
            <w:pPr>
              <w:spacing w:before="60" w:after="60" w:line="200" w:lineRule="exact"/>
              <w:jc w:val="center"/>
              <w:rPr>
                <w:noProof/>
                <w:sz w:val="20"/>
                <w:szCs w:val="20"/>
              </w:rPr>
            </w:pPr>
            <w:r>
              <w:rPr>
                <w:noProof/>
                <w:sz w:val="20"/>
              </w:rPr>
              <w:t>Aasta</w:t>
            </w:r>
            <w:r>
              <w:rPr>
                <w:noProof/>
                <w:sz w:val="20"/>
                <w:szCs w:val="20"/>
              </w:rPr>
              <w:br/>
            </w:r>
            <w:r>
              <w:rPr>
                <w:b/>
                <w:noProof/>
                <w:sz w:val="20"/>
              </w:rPr>
              <w:t>2019</w:t>
            </w:r>
          </w:p>
        </w:tc>
        <w:tc>
          <w:tcPr>
            <w:tcW w:w="1080" w:type="dxa"/>
            <w:vAlign w:val="center"/>
          </w:tcPr>
          <w:p>
            <w:pPr>
              <w:spacing w:before="60" w:after="60" w:line="200" w:lineRule="exact"/>
              <w:jc w:val="center"/>
              <w:rPr>
                <w:noProof/>
                <w:sz w:val="20"/>
                <w:szCs w:val="20"/>
              </w:rPr>
            </w:pPr>
            <w:r>
              <w:rPr>
                <w:noProof/>
                <w:sz w:val="20"/>
              </w:rPr>
              <w:t>Aasta</w:t>
            </w:r>
            <w:r>
              <w:rPr>
                <w:noProof/>
                <w:sz w:val="20"/>
                <w:szCs w:val="20"/>
              </w:rPr>
              <w:br/>
            </w:r>
            <w:r>
              <w:rPr>
                <w:b/>
                <w:noProof/>
                <w:sz w:val="20"/>
              </w:rPr>
              <w:t>2020</w:t>
            </w:r>
          </w:p>
        </w:tc>
        <w:tc>
          <w:tcPr>
            <w:tcW w:w="3240" w:type="dxa"/>
            <w:vAlign w:val="center"/>
          </w:tcPr>
          <w:p>
            <w:pPr>
              <w:spacing w:line="200" w:lineRule="exact"/>
              <w:jc w:val="center"/>
              <w:rPr>
                <w:b/>
                <w:noProof/>
                <w:sz w:val="16"/>
                <w:szCs w:val="16"/>
              </w:rPr>
            </w:pPr>
            <w:r>
              <w:rPr>
                <w:noProof/>
                <w:sz w:val="16"/>
              </w:rPr>
              <w:t>Lisage vajalik arv aastaid, et kajastada kogu finantsmõju kestust (vt punkt 1.6)</w:t>
            </w:r>
          </w:p>
        </w:tc>
        <w:tc>
          <w:tcPr>
            <w:tcW w:w="1080" w:type="dxa"/>
            <w:vAlign w:val="center"/>
          </w:tcPr>
          <w:p>
            <w:pPr>
              <w:spacing w:before="60" w:after="60" w:line="200" w:lineRule="exact"/>
              <w:jc w:val="center"/>
              <w:rPr>
                <w:b/>
                <w:noProof/>
                <w:sz w:val="16"/>
                <w:szCs w:val="16"/>
              </w:rPr>
            </w:pPr>
            <w:r>
              <w:rPr>
                <w:b/>
                <w:noProof/>
                <w:sz w:val="16"/>
              </w:rPr>
              <w:t>Mitmeaastase finantsraamistiku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RUBIRIIK 5</w:t>
            </w:r>
            <w:r>
              <w:rPr>
                <w:noProof/>
              </w:rPr>
              <w:br/>
            </w:r>
            <w:r>
              <w:rPr>
                <w:b/>
                <w:noProof/>
              </w:rPr>
              <w:t>KOKKU</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Cs w:val="24"/>
              </w:rPr>
            </w:pPr>
            <w:r>
              <w:rPr>
                <w:noProof/>
                <w:szCs w:val="24"/>
              </w:rPr>
              <w:t xml:space="preserve">Personalikulud </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13,056</w:t>
            </w:r>
          </w:p>
        </w:tc>
      </w:tr>
      <w:tr>
        <w:trPr>
          <w:trHeight w:val="585"/>
        </w:trPr>
        <w:tc>
          <w:tcPr>
            <w:tcW w:w="1980" w:type="dxa"/>
            <w:vAlign w:val="center"/>
          </w:tcPr>
          <w:p>
            <w:pPr>
              <w:spacing w:before="60" w:after="60" w:line="200" w:lineRule="exact"/>
              <w:ind w:left="72"/>
              <w:jc w:val="left"/>
              <w:rPr>
                <w:noProof/>
                <w:szCs w:val="24"/>
              </w:rPr>
            </w:pPr>
            <w:r>
              <w:rPr>
                <w:noProof/>
                <w:szCs w:val="24"/>
              </w:rPr>
              <w:t xml:space="preserve">Muud halduskulud </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2,000</w:t>
            </w:r>
          </w:p>
        </w:tc>
      </w:tr>
      <w:tr>
        <w:trPr>
          <w:trHeight w:val="585"/>
        </w:trPr>
        <w:tc>
          <w:tcPr>
            <w:tcW w:w="1980" w:type="dxa"/>
            <w:shd w:val="clear" w:color="auto" w:fill="CCCCCC"/>
            <w:vAlign w:val="center"/>
          </w:tcPr>
          <w:p>
            <w:pPr>
              <w:spacing w:before="60" w:after="60" w:line="200" w:lineRule="exact"/>
              <w:ind w:right="-124"/>
              <w:jc w:val="center"/>
              <w:rPr>
                <w:b/>
                <w:noProof/>
                <w:szCs w:val="24"/>
              </w:rPr>
            </w:pPr>
            <w:r>
              <w:rPr>
                <w:b/>
                <w:noProof/>
                <w:szCs w:val="24"/>
              </w:rPr>
              <w:t xml:space="preserve">Mitmeaastase finantsraamistiku RUBRIIK 5 kokku </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15,056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Mitmeaastase finantsraamistiku</w:t>
            </w:r>
            <w:r>
              <w:rPr>
                <w:noProof/>
              </w:rPr>
              <w:t xml:space="preserve"> </w:t>
            </w:r>
            <w:r>
              <w:rPr>
                <w:noProof/>
              </w:rPr>
              <w:br/>
            </w:r>
            <w:r>
              <w:rPr>
                <w:b/>
                <w:noProof/>
              </w:rPr>
              <w:t>RUBRIIGIST 5</w:t>
            </w:r>
            <w:r>
              <w:rPr>
                <w:rStyle w:val="FootnoteReference"/>
                <w:b/>
                <w:noProof/>
              </w:rPr>
              <w:footnoteReference w:id="47"/>
            </w:r>
            <w:r>
              <w:rPr>
                <w:b/>
                <w:noProof/>
              </w:rPr>
              <w:t xml:space="preserve"> välja jäävad kulud</w:t>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Cs w:val="24"/>
              </w:rPr>
            </w:pPr>
            <w:r>
              <w:rPr>
                <w:noProof/>
                <w:szCs w:val="24"/>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Muud</w:t>
            </w:r>
            <w:r>
              <w:rPr>
                <w:noProof/>
                <w:sz w:val="16"/>
              </w:rPr>
              <w:t xml:space="preserve"> </w:t>
            </w:r>
            <w:r>
              <w:rPr>
                <w:noProof/>
                <w:sz w:val="16"/>
              </w:rPr>
              <w:br/>
            </w:r>
            <w:r>
              <w:rPr>
                <w:noProof/>
                <w:szCs w:val="24"/>
              </w:rPr>
              <w:t>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ind w:right="-124"/>
              <w:jc w:val="center"/>
              <w:rPr>
                <w:b/>
                <w:noProof/>
                <w:sz w:val="16"/>
                <w:szCs w:val="16"/>
              </w:rPr>
            </w:pPr>
            <w:r>
              <w:rPr>
                <w:b/>
                <w:noProof/>
              </w:rPr>
              <w:t>Mitmeaastase finantsraamistiku</w:t>
            </w:r>
            <w:r>
              <w:rPr>
                <w:noProof/>
              </w:rPr>
              <w:br/>
            </w:r>
            <w:r>
              <w:rPr>
                <w:b/>
                <w:noProof/>
              </w:rPr>
              <w:t xml:space="preserve">RUBRIIGIST 5 </w:t>
            </w:r>
            <w:r>
              <w:rPr>
                <w:noProof/>
              </w:rPr>
              <w:br/>
            </w:r>
            <w:r>
              <w:rPr>
                <w:b/>
                <w:noProof/>
              </w:rPr>
              <w:t>välja jäävad kulud kokku</w:t>
            </w:r>
            <w:r>
              <w:rPr>
                <w:b/>
                <w:noProof/>
                <w:sz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15,056</w:t>
            </w:r>
          </w:p>
        </w:tc>
      </w:tr>
    </w:tbl>
    <w:p>
      <w:pPr>
        <w:rPr>
          <w:noProof/>
          <w:sz w:val="18"/>
        </w:rPr>
      </w:pPr>
      <w:r>
        <w:rPr>
          <w:noProof/>
          <w:sz w:val="18"/>
        </w:rPr>
        <w:t>Personali ja muude halduskuludega seotud assigneeringute vajadused kaetakse meedet haldava peadirektoraadi assigneeringutest, täiendades neid vajaduse korral assigneeringutega, mida võidakse anda haldavale peadirektoraadile iga-aastase vahendite eraldamise menetluse käigus, arvestades eelarvepiirangutega.</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 xml:space="preserve"> Ettepanek/algatus ei hõlma personali kasutamist. </w:t>
      </w:r>
    </w:p>
    <w:p>
      <w:pPr>
        <w:pStyle w:val="ListDash1"/>
        <w:rPr>
          <w:noProof/>
        </w:rPr>
      </w:pPr>
      <w:r>
        <w:rPr>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20"/>
                <w:szCs w:val="20"/>
              </w:rPr>
            </w:pPr>
            <w:r>
              <w:rPr>
                <w:noProof/>
                <w:sz w:val="20"/>
              </w:rPr>
              <w:t>Aasta</w:t>
            </w:r>
            <w:r>
              <w:rPr>
                <w:noProof/>
                <w:sz w:val="20"/>
                <w:szCs w:val="20"/>
              </w:rPr>
              <w:br/>
            </w:r>
            <w:r>
              <w:rPr>
                <w:b/>
                <w:noProof/>
                <w:sz w:val="20"/>
              </w:rPr>
              <w:t>2017</w:t>
            </w:r>
          </w:p>
        </w:tc>
        <w:tc>
          <w:tcPr>
            <w:tcW w:w="318" w:type="pct"/>
            <w:shd w:val="clear" w:color="auto" w:fill="auto"/>
            <w:vAlign w:val="center"/>
          </w:tcPr>
          <w:p>
            <w:pPr>
              <w:spacing w:before="20" w:after="20"/>
              <w:jc w:val="center"/>
              <w:rPr>
                <w:noProof/>
                <w:sz w:val="20"/>
                <w:szCs w:val="20"/>
              </w:rPr>
            </w:pPr>
            <w:r>
              <w:rPr>
                <w:noProof/>
                <w:sz w:val="20"/>
              </w:rPr>
              <w:t>Aasta</w:t>
            </w:r>
            <w:r>
              <w:rPr>
                <w:noProof/>
                <w:sz w:val="20"/>
                <w:szCs w:val="20"/>
              </w:rPr>
              <w:br/>
            </w:r>
            <w:r>
              <w:rPr>
                <w:b/>
                <w:noProof/>
                <w:sz w:val="20"/>
              </w:rPr>
              <w:t>2018</w:t>
            </w:r>
          </w:p>
        </w:tc>
        <w:tc>
          <w:tcPr>
            <w:tcW w:w="1270" w:type="pct"/>
            <w:shd w:val="clear" w:color="auto" w:fill="auto"/>
            <w:vAlign w:val="center"/>
          </w:tcPr>
          <w:p>
            <w:pPr>
              <w:spacing w:before="20" w:after="20"/>
              <w:jc w:val="center"/>
              <w:rPr>
                <w:noProof/>
                <w:sz w:val="20"/>
                <w:szCs w:val="20"/>
              </w:rPr>
            </w:pPr>
            <w:r>
              <w:rPr>
                <w:noProof/>
                <w:sz w:val="20"/>
              </w:rPr>
              <w:t xml:space="preserve">Aasta </w:t>
            </w:r>
            <w:r>
              <w:rPr>
                <w:b/>
                <w:noProof/>
                <w:sz w:val="20"/>
              </w:rPr>
              <w:t>2019</w:t>
            </w:r>
          </w:p>
        </w:tc>
        <w:tc>
          <w:tcPr>
            <w:tcW w:w="345" w:type="pct"/>
            <w:shd w:val="clear" w:color="auto" w:fill="auto"/>
            <w:vAlign w:val="center"/>
          </w:tcPr>
          <w:p>
            <w:pPr>
              <w:spacing w:before="20" w:after="20"/>
              <w:jc w:val="center"/>
              <w:rPr>
                <w:noProof/>
                <w:sz w:val="20"/>
                <w:szCs w:val="20"/>
              </w:rPr>
            </w:pPr>
            <w:r>
              <w:rPr>
                <w:noProof/>
                <w:sz w:val="20"/>
              </w:rPr>
              <w:t xml:space="preserve">Aasta </w:t>
            </w:r>
            <w:r>
              <w:rPr>
                <w:b/>
                <w:noProof/>
                <w:sz w:val="20"/>
              </w:rPr>
              <w:t>2020</w:t>
            </w:r>
          </w:p>
        </w:tc>
        <w:tc>
          <w:tcPr>
            <w:tcW w:w="848" w:type="pct"/>
            <w:gridSpan w:val="3"/>
            <w:shd w:val="clear" w:color="auto" w:fill="auto"/>
            <w:vAlign w:val="center"/>
          </w:tcPr>
          <w:p>
            <w:pPr>
              <w:jc w:val="center"/>
              <w:rPr>
                <w:b/>
                <w:noProof/>
                <w:sz w:val="16"/>
                <w:szCs w:val="16"/>
              </w:rPr>
            </w:pPr>
            <w:r>
              <w:rPr>
                <w:noProof/>
                <w:sz w:val="16"/>
              </w:rPr>
              <w:t>Lisage vajalik arv aastaid, et kajastada kogu finantsmõju kestust (vt punkt 1.6)</w:t>
            </w:r>
          </w:p>
        </w:tc>
      </w:tr>
      <w:tr>
        <w:trPr>
          <w:gridBefore w:val="1"/>
          <w:wBefore w:w="5" w:type="pct"/>
          <w:trHeight w:val="289"/>
          <w:jc w:val="center"/>
        </w:trPr>
        <w:tc>
          <w:tcPr>
            <w:tcW w:w="3803"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345"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270"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1193" w:type="pct"/>
          <w:trHeight w:val="248"/>
          <w:jc w:val="center"/>
        </w:trPr>
        <w:tc>
          <w:tcPr>
            <w:tcW w:w="380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48"/>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 xml:space="preserve"> XX 01 02 01 (peakorteri üldvahenditest rahastatavad lepingulised töötajad, riikide lähetatud eksperdid ja renditud tööjõud</w:t>
            </w:r>
            <w:r>
              <w:rPr>
                <w:rStyle w:val="FootnoteReference"/>
                <w:noProof/>
                <w:sz w:val="16"/>
              </w:rPr>
              <w:footnoteReference w:id="49"/>
            </w:r>
            <w:r>
              <w:rPr>
                <w:noProof/>
                <w:sz w:val="16"/>
              </w:rPr>
              <w:t>)</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renditud tööjõud ja noored eksperdid delegatsioonides)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(lepingulised töötajad, renditud tööjõud ja riikide lähetatud eksperdid kaudse teadustegevuse valdkonnas)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renditud tööjõud ja riikide lähetatud eksperdid otsese teadustegevuse valdkonnas)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Muud eelarveread</w:t>
            </w: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1270"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4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6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1270"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4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6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osutab asjaomasele poliitikavaldkonnale või eelarvejaotisele.</w:t>
      </w:r>
    </w:p>
    <w:p>
      <w:pPr>
        <w:pStyle w:val="Text1"/>
        <w:rPr>
          <w:noProof/>
          <w:sz w:val="18"/>
          <w:szCs w:val="18"/>
        </w:rPr>
      </w:pPr>
      <w:r>
        <w:rPr>
          <w:noProof/>
          <w:sz w:val="18"/>
        </w:rPr>
        <w:t>Personalivajadused kaetakse meedet haldavate peadirektoraadi töötajatega;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r>
              <w:rPr>
                <w:noProof/>
                <w:sz w:val="20"/>
              </w:rPr>
              <w:t>Euroopa Jätkusuutliku Arengu Fondi teavitus ja tutvustamistegevuse operatiiv- ja finantsjuhtimine</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r>
              <w:rPr>
                <w:noProof/>
                <w:sz w:val="20"/>
              </w:rPr>
              <w:t>Euroopa Jätkusuutliku Arengu Fondi teavitus ja tutvustamistegevuse operatiiv- ja finantsjuhtimine</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A8"/>
      </w:r>
      <w:r>
        <w:rPr>
          <w:noProof/>
        </w:rPr>
        <w:t xml:space="preserve"> Ettepanek/algatus on kooskõlas kehtiva mitmeaastase finantsraamistikuga</w:t>
      </w:r>
    </w:p>
    <w:p>
      <w:pPr>
        <w:pStyle w:val="ListDash1"/>
        <w:rPr>
          <w:noProof/>
        </w:rPr>
      </w:pPr>
      <w:r>
        <w:rPr>
          <w:noProof/>
        </w:rPr>
        <w:t>X 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Nagu on osutatud punktis 3.2.1, toetatakse EFSD Tagatisfondi 100 miljonit euro kulukohustuste assigneeringute ja maksete assigneeringutega Euroopa naabruspoliitika rahastamisvahendist (peatükk 22 04) 25 miljoni euroga aastas aastail 2017–2020. </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t>X</w:t>
      </w:r>
      <w:r>
        <w:rPr>
          <w:noProof/>
        </w:rPr>
        <w:tab/>
        <w:t>Ettepanek/algatus eeldab mitmeaastase finantsraamistiku ettenägemata kulude varu rakendamist.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Komisjon kavatseb 2017. aastal määruse 1311/2013 artikli 13 kohaselt kasutusele võtta ettenägemata kulude varu 250 miljoni euro ulatuses.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r>
        <w:rPr>
          <w:noProof/>
        </w:rPr>
        <w:t>X 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Aasta</w:t>
            </w:r>
            <w:r>
              <w:rPr>
                <w:b/>
                <w:noProof/>
                <w:sz w:val="20"/>
              </w:rPr>
              <w:t xml:space="preserve"> 2017</w:t>
            </w:r>
          </w:p>
        </w:tc>
        <w:tc>
          <w:tcPr>
            <w:tcW w:w="964" w:type="dxa"/>
            <w:vAlign w:val="center"/>
          </w:tcPr>
          <w:p>
            <w:pPr>
              <w:jc w:val="center"/>
              <w:rPr>
                <w:noProof/>
                <w:sz w:val="20"/>
              </w:rPr>
            </w:pPr>
            <w:r>
              <w:rPr>
                <w:noProof/>
              </w:rPr>
              <w:t>Aasta</w:t>
            </w:r>
            <w:r>
              <w:rPr>
                <w:b/>
                <w:noProof/>
                <w:sz w:val="20"/>
              </w:rPr>
              <w:t xml:space="preserve"> 2018</w:t>
            </w:r>
          </w:p>
        </w:tc>
        <w:tc>
          <w:tcPr>
            <w:tcW w:w="964" w:type="dxa"/>
            <w:vAlign w:val="center"/>
          </w:tcPr>
          <w:p>
            <w:pPr>
              <w:jc w:val="center"/>
              <w:rPr>
                <w:noProof/>
                <w:sz w:val="20"/>
              </w:rPr>
            </w:pPr>
            <w:r>
              <w:rPr>
                <w:noProof/>
              </w:rPr>
              <w:t>Aasta</w:t>
            </w:r>
            <w:r>
              <w:rPr>
                <w:b/>
                <w:noProof/>
                <w:sz w:val="20"/>
              </w:rPr>
              <w:t xml:space="preserve"> 2019</w:t>
            </w:r>
          </w:p>
        </w:tc>
        <w:tc>
          <w:tcPr>
            <w:tcW w:w="964" w:type="dxa"/>
            <w:vAlign w:val="center"/>
          </w:tcPr>
          <w:p>
            <w:pPr>
              <w:jc w:val="center"/>
              <w:rPr>
                <w:noProof/>
                <w:sz w:val="20"/>
              </w:rPr>
            </w:pPr>
            <w:r>
              <w:rPr>
                <w:noProof/>
              </w:rPr>
              <w:t>Aasta</w:t>
            </w:r>
            <w:r>
              <w:rPr>
                <w:b/>
                <w:noProof/>
                <w:sz w:val="20"/>
              </w:rPr>
              <w:t xml:space="preserve"> 2020</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rPr>
            </w:pPr>
            <w:r>
              <w:rPr>
                <w:i/>
                <w:noProof/>
                <w:sz w:val="20"/>
              </w:rPr>
              <w:t xml:space="preserve">Euroopa Arengufond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r>
        <w:trPr>
          <w:cantSplit/>
        </w:trPr>
        <w:tc>
          <w:tcPr>
            <w:tcW w:w="2340" w:type="dxa"/>
          </w:tcPr>
          <w:p>
            <w:pPr>
              <w:rPr>
                <w:noProof/>
                <w:sz w:val="20"/>
              </w:rPr>
            </w:pPr>
            <w:r>
              <w:rPr>
                <w:noProof/>
                <w:sz w:val="20"/>
              </w:rPr>
              <w:t>ELi liikmesriigid ja muud punktis 2.1 loetletud rahastajad</w:t>
            </w:r>
          </w:p>
        </w:tc>
        <w:tc>
          <w:tcPr>
            <w:tcW w:w="964" w:type="dxa"/>
            <w:vAlign w:val="center"/>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1158" w:type="dxa"/>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bl>
    <w:p>
      <w:pPr>
        <w:rPr>
          <w:noProof/>
        </w:rPr>
      </w:pPr>
      <w:r>
        <w:rPr>
          <w:noProof/>
        </w:rPr>
        <w:br/>
      </w:r>
    </w:p>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sym w:font="Wingdings" w:char="F0A8"/>
      </w:r>
      <w:r>
        <w:rPr>
          <w:noProof/>
        </w:rPr>
        <w:t xml:space="preserve"> Ettepanekul/algatusel puudub finantsmõju tuludele.</w:t>
      </w:r>
    </w:p>
    <w:p>
      <w:pPr>
        <w:pStyle w:val="ListDash1"/>
        <w:rPr>
          <w:noProof/>
        </w:rPr>
      </w:pPr>
      <w:r>
        <w:rPr>
          <w:noProof/>
        </w:rPr>
        <w:sym w:font="Wingdings" w:char="F0A8"/>
      </w:r>
      <w:r>
        <w:rPr>
          <w:noProof/>
        </w:rPr>
        <w:t xml:space="preserve"> Ettepanekul/algatusel on järgmine finantsmõju:</w:t>
      </w:r>
    </w:p>
    <w:p>
      <w:pPr>
        <w:pStyle w:val="ListNumberLevel3"/>
        <w:rPr>
          <w:noProof/>
        </w:rPr>
      </w:pPr>
      <w:r>
        <w:rPr>
          <w:noProof/>
        </w:rPr>
        <w:sym w:font="Wingdings" w:char="F0A8"/>
      </w:r>
      <w:r>
        <w:rPr>
          <w:noProof/>
        </w:rPr>
        <w:t xml:space="preserve"> omavahenditele </w:t>
      </w:r>
    </w:p>
    <w:p>
      <w:pPr>
        <w:pStyle w:val="ListNumberLevel3"/>
        <w:rPr>
          <w:noProof/>
        </w:rPr>
      </w:pPr>
      <w:r>
        <w:rPr>
          <w:noProof/>
        </w:rPr>
        <w:t>X</w:t>
      </w:r>
      <w:r>
        <w:rPr>
          <w:noProof/>
        </w:rPr>
        <w:tab/>
        <w:t xml:space="preserve">mitmesugustele tuludele </w:t>
      </w:r>
    </w:p>
    <w:p>
      <w:pPr>
        <w:spacing w:before="0"/>
        <w:jc w:val="right"/>
        <w:rPr>
          <w:i/>
          <w:noProof/>
          <w:sz w:val="20"/>
        </w:rPr>
      </w:pPr>
      <w:r>
        <w:rPr>
          <w:noProof/>
        </w:rPr>
        <w:t>miljonites eurodes (kolm kohta pärast koma)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1615"/>
        <w:gridCol w:w="844"/>
        <w:gridCol w:w="844"/>
        <w:gridCol w:w="811"/>
        <w:gridCol w:w="811"/>
        <w:gridCol w:w="547"/>
        <w:gridCol w:w="547"/>
        <w:gridCol w:w="547"/>
      </w:tblGrid>
      <w:tr>
        <w:trPr>
          <w:trHeight w:val="388"/>
        </w:trPr>
        <w:tc>
          <w:tcPr>
            <w:tcW w:w="0" w:type="auto"/>
            <w:vMerge w:val="restart"/>
            <w:vAlign w:val="center"/>
          </w:tcPr>
          <w:p>
            <w:pPr>
              <w:spacing w:before="40" w:after="40"/>
              <w:rPr>
                <w:noProof/>
                <w:sz w:val="18"/>
              </w:rPr>
            </w:pPr>
            <w:r>
              <w:rPr>
                <w:noProof/>
                <w:sz w:val="18"/>
              </w:rPr>
              <w:t>Tulude eelarverida:</w:t>
            </w:r>
          </w:p>
        </w:tc>
        <w:tc>
          <w:tcPr>
            <w:tcW w:w="0" w:type="auto"/>
            <w:vMerge w:val="restart"/>
            <w:vAlign w:val="center"/>
          </w:tcPr>
          <w:p>
            <w:pPr>
              <w:jc w:val="center"/>
              <w:rPr>
                <w:noProof/>
                <w:sz w:val="18"/>
              </w:rPr>
            </w:pPr>
            <w:r>
              <w:rPr>
                <w:noProof/>
                <w:sz w:val="18"/>
              </w:rPr>
              <w:t>Jooksva aasta eelarves kättesaadavad assigneeringud</w:t>
            </w:r>
          </w:p>
        </w:tc>
        <w:tc>
          <w:tcPr>
            <w:tcW w:w="0" w:type="auto"/>
            <w:gridSpan w:val="7"/>
            <w:vAlign w:val="center"/>
          </w:tcPr>
          <w:p>
            <w:pPr>
              <w:jc w:val="center"/>
              <w:rPr>
                <w:noProof/>
                <w:sz w:val="18"/>
              </w:rPr>
            </w:pPr>
            <w:r>
              <w:rPr>
                <w:noProof/>
                <w:sz w:val="18"/>
              </w:rPr>
              <w:t>Ettepaneku/algatuse mõju</w:t>
            </w:r>
            <w:r>
              <w:rPr>
                <w:rStyle w:val="FootnoteReference"/>
                <w:noProof/>
                <w:sz w:val="18"/>
              </w:rPr>
              <w:footnoteReference w:id="51"/>
            </w:r>
          </w:p>
        </w:tc>
      </w:tr>
      <w:tr>
        <w:trPr>
          <w:trHeight w:val="388"/>
        </w:trPr>
        <w:tc>
          <w:tcPr>
            <w:tcW w:w="0" w:type="auto"/>
            <w:vMerge/>
          </w:tcPr>
          <w:p>
            <w:pPr>
              <w:spacing w:before="40" w:after="40"/>
              <w:rPr>
                <w:noProof/>
                <w:sz w:val="18"/>
              </w:rPr>
            </w:pPr>
          </w:p>
        </w:tc>
        <w:tc>
          <w:tcPr>
            <w:tcW w:w="0" w:type="auto"/>
            <w:vMerge/>
          </w:tcPr>
          <w:p>
            <w:pPr>
              <w:spacing w:beforeLines="40" w:before="96" w:afterLines="40" w:after="96"/>
              <w:rPr>
                <w:i/>
                <w:noProof/>
                <w:sz w:val="18"/>
              </w:rPr>
            </w:pPr>
          </w:p>
        </w:tc>
        <w:tc>
          <w:tcPr>
            <w:tcW w:w="0" w:type="auto"/>
            <w:vAlign w:val="center"/>
          </w:tcPr>
          <w:p>
            <w:pPr>
              <w:jc w:val="center"/>
              <w:rPr>
                <w:noProof/>
                <w:sz w:val="18"/>
              </w:rPr>
            </w:pPr>
            <w:r>
              <w:rPr>
                <w:noProof/>
              </w:rPr>
              <w:t>Aasta</w:t>
            </w:r>
            <w:r>
              <w:rPr>
                <w:b/>
                <w:noProof/>
                <w:sz w:val="18"/>
              </w:rPr>
              <w:t xml:space="preserve"> 2017</w:t>
            </w:r>
          </w:p>
        </w:tc>
        <w:tc>
          <w:tcPr>
            <w:tcW w:w="0" w:type="auto"/>
            <w:vAlign w:val="center"/>
          </w:tcPr>
          <w:p>
            <w:pPr>
              <w:jc w:val="center"/>
              <w:rPr>
                <w:noProof/>
                <w:sz w:val="18"/>
              </w:rPr>
            </w:pPr>
            <w:r>
              <w:rPr>
                <w:noProof/>
              </w:rPr>
              <w:t>Aasta</w:t>
            </w:r>
            <w:r>
              <w:rPr>
                <w:b/>
                <w:noProof/>
                <w:sz w:val="18"/>
              </w:rPr>
              <w:t xml:space="preserve"> 2018</w:t>
            </w:r>
          </w:p>
        </w:tc>
        <w:tc>
          <w:tcPr>
            <w:tcW w:w="0" w:type="auto"/>
            <w:vAlign w:val="center"/>
          </w:tcPr>
          <w:p>
            <w:pPr>
              <w:jc w:val="center"/>
              <w:rPr>
                <w:noProof/>
                <w:sz w:val="18"/>
              </w:rPr>
            </w:pPr>
            <w:r>
              <w:rPr>
                <w:noProof/>
              </w:rPr>
              <w:t>Aasta</w:t>
            </w:r>
            <w:r>
              <w:rPr>
                <w:b/>
                <w:noProof/>
                <w:sz w:val="18"/>
              </w:rPr>
              <w:t xml:space="preserve"> 2019</w:t>
            </w:r>
          </w:p>
        </w:tc>
        <w:tc>
          <w:tcPr>
            <w:tcW w:w="0" w:type="auto"/>
            <w:vAlign w:val="center"/>
          </w:tcPr>
          <w:p>
            <w:pPr>
              <w:jc w:val="center"/>
              <w:rPr>
                <w:noProof/>
                <w:sz w:val="18"/>
              </w:rPr>
            </w:pPr>
            <w:r>
              <w:rPr>
                <w:noProof/>
              </w:rPr>
              <w:t>Aasta</w:t>
            </w:r>
            <w:r>
              <w:rPr>
                <w:b/>
                <w:noProof/>
                <w:sz w:val="18"/>
              </w:rPr>
              <w:t xml:space="preserve"> 2020</w:t>
            </w:r>
          </w:p>
        </w:tc>
        <w:tc>
          <w:tcPr>
            <w:tcW w:w="0" w:type="auto"/>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0" w:type="auto"/>
            <w:vAlign w:val="center"/>
          </w:tcPr>
          <w:p>
            <w:pPr>
              <w:spacing w:before="40" w:after="40"/>
              <w:rPr>
                <w:noProof/>
                <w:sz w:val="18"/>
                <w:szCs w:val="18"/>
              </w:rPr>
            </w:pPr>
            <w:r>
              <w:rPr>
                <w:b/>
                <w:i/>
                <w:noProof/>
              </w:rPr>
              <w:t>Uus artikkel</w:t>
            </w:r>
            <w:r>
              <w:rPr>
                <w:noProof/>
              </w:rPr>
              <w:t xml:space="preserve"> 6 3 5 – Rahaline toetus Euroopa Jätkusuutliku Arengu Fondile – Sihtotstarbeline tulu</w:t>
            </w: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rPr>
              <w:t>Uus punkt</w:t>
            </w:r>
            <w:r>
              <w:rPr>
                <w:noProof/>
              </w:rPr>
              <w:t xml:space="preserve"> 6 3 5 0 – EAFi rahaline toetus EFSD-le</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rPr>
              <w:t>Uus punkt</w:t>
            </w:r>
            <w:r>
              <w:rPr>
                <w:noProof/>
              </w:rPr>
              <w:t xml:space="preserve"> 6 3 5 1 – Liikmesriikide ning nende asutuste, üksuste ja füüsiliste isikute rahaline osalus Euroopa Jätkusuutliku Arengu Fondis</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rPr>
              <w:t>Uus punkt</w:t>
            </w:r>
            <w:r>
              <w:rPr>
                <w:noProof/>
              </w:rPr>
              <w:t xml:space="preserve"> 6 3 5 2 – Kolmandate riikide ning nende asutuste, üksuste ja füüsiliste isikute rahaline osalus Euroopa Jätkusuutliku Arengu Fondis</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rPr>
              <w:t>Uus punkt</w:t>
            </w:r>
            <w:r>
              <w:rPr>
                <w:noProof/>
              </w:rPr>
              <w:t xml:space="preserve"> 6 3 5 3 – Rahvusvaheliste organisatsioonide rahaline osalus Euroopa Jätkusuutliku Arengu Fondis</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b/>
                <w:i/>
                <w:noProof/>
                <w:sz w:val="18"/>
                <w:szCs w:val="18"/>
              </w:rPr>
            </w:pPr>
            <w:r>
              <w:rPr>
                <w:b/>
                <w:i/>
                <w:noProof/>
              </w:rPr>
              <w:t>Uus artikkel</w:t>
            </w:r>
            <w:r>
              <w:rPr>
                <w:i/>
                <w:noProof/>
              </w:rPr>
              <w:t xml:space="preserve"> </w:t>
            </w:r>
            <w:r>
              <w:rPr>
                <w:noProof/>
              </w:rPr>
              <w:t>8 3 6 – ELi tagatis Euroopa Jätkusuutliku Arengu Fondile (EFSD)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bl>
    <w:p>
      <w:pPr>
        <w:pStyle w:val="Text1"/>
        <w:rPr>
          <w:noProof/>
          <w:szCs w:val="24"/>
        </w:rPr>
      </w:pPr>
      <w:r>
        <w:rPr>
          <w:noProof/>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07 Euroopa Liidu tagatis Euroopa Jätkusuutliku Arengu Fondile (EFSD)</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08 EFSD tagatisfondi rahastamine</w:t>
      </w:r>
    </w:p>
    <w:p>
      <w:pPr>
        <w:pStyle w:val="Text1"/>
        <w:rPr>
          <w:noProof/>
          <w:szCs w:val="24"/>
        </w:rPr>
      </w:pPr>
      <w:r>
        <w:rPr>
          <w:noProof/>
        </w:rPr>
        <w:t>Tuludele avalduva mõju arvutamise meetod</w:t>
      </w:r>
    </w:p>
    <w:p>
      <w:pPr>
        <w:pStyle w:val="Text1"/>
        <w:pBdr>
          <w:top w:val="single" w:sz="4" w:space="1" w:color="auto"/>
          <w:left w:val="single" w:sz="4" w:space="4" w:color="auto"/>
          <w:bottom w:val="single" w:sz="4" w:space="1" w:color="auto"/>
          <w:right w:val="single" w:sz="4" w:space="4" w:color="auto"/>
        </w:pBdr>
        <w:rPr>
          <w:noProof/>
          <w:szCs w:val="24"/>
        </w:rPr>
      </w:pPr>
      <w:r>
        <w:rPr>
          <w:noProof/>
        </w:rPr>
        <w:t>EAFi rahalise toetuse suurus kajastab esialgset hinnangut EFSD tagatise arengule.</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9749E" w15:done="0"/>
  <w15:commentEx w15:paraId="5B6B798F" w15:done="0"/>
  <w15:commentEx w15:paraId="45234A93" w15:done="0"/>
  <w15:commentEx w15:paraId="75F0CB41" w15:done="0"/>
  <w15:commentEx w15:paraId="31B2855C" w15:done="0"/>
  <w15:commentEx w15:paraId="28B2E0EE" w15:done="0"/>
  <w15:commentEx w15:paraId="716BE160" w15:done="0"/>
  <w15:commentEx w15:paraId="52B214B0" w15:done="0"/>
  <w15:commentEx w15:paraId="14D084AC" w15:done="0"/>
  <w15:commentEx w15:paraId="1E7E8112" w15:done="0"/>
  <w15:commentEx w15:paraId="762A470F" w15:done="0"/>
  <w15:commentEx w15:paraId="4EF4FB24" w15:done="0"/>
  <w15:commentEx w15:paraId="2753751D" w15:done="0"/>
  <w15:commentEx w15:paraId="47C095A1" w15:done="0"/>
  <w15:commentEx w15:paraId="42390EE4" w15:done="0"/>
  <w15:commentEx w15:paraId="21FD0CA8" w15:done="0"/>
  <w15:commentEx w15:paraId="03DB5BFB" w15:done="0"/>
  <w15:commentEx w15:paraId="11646296" w15:done="0"/>
  <w15:commentEx w15:paraId="5326C306" w15:done="0"/>
  <w15:commentEx w15:paraId="11148F4E" w15:done="0"/>
  <w15:commentEx w15:paraId="5CCA59CF" w15:done="0"/>
  <w15:commentEx w15:paraId="59E4360F" w15:done="0"/>
  <w15:commentEx w15:paraId="22FAD1D1" w15:done="0"/>
  <w15:commentEx w15:paraId="0B4FF5C7" w15:done="0"/>
  <w15:commentEx w15:paraId="15948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SquareSansPro">
    <w:altName w:val="Malgun Gothic"/>
    <w:panose1 w:val="00000000000000000000"/>
    <w:charset w:val="81"/>
    <w:family w:val="auto"/>
    <w:notTrueType/>
    <w:pitch w:val="default"/>
    <w:sig w:usb0="00000000" w:usb1="09060000" w:usb2="00000010" w:usb3="00000000" w:csb0="0008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COM(2016) 385.</w:t>
      </w:r>
    </w:p>
  </w:footnote>
  <w:footnote w:id="3">
    <w:p>
      <w:pPr>
        <w:pStyle w:val="FootnoteText"/>
        <w:ind w:left="284" w:hanging="284"/>
      </w:pPr>
      <w:r>
        <w:rPr>
          <w:rStyle w:val="FootnoteReference"/>
        </w:rPr>
        <w:footnoteRef/>
      </w:r>
      <w:r>
        <w:tab/>
        <w:t>Aafrika puhul on see kindlaks määratud Cotonou lepinguga (ELT L 287, 4.11.2010), ELi naabruspoliitika riikide puhul aga Euroopa Parlamendi ja nõukogu 11. märtsi 2014. aasta määrusega (EL) nr 232/2014, millega luuakse Euroopa naabruspoliitika rahastamisvahend (ELT L 77, 15.3.2014, lk 27).</w:t>
      </w:r>
    </w:p>
  </w:footnote>
  <w:footnote w:id="4">
    <w:p>
      <w:pPr>
        <w:pStyle w:val="FootnoteText"/>
        <w:ind w:left="284" w:hanging="284"/>
      </w:pPr>
      <w:r>
        <w:rPr>
          <w:rStyle w:val="FootnoteReference"/>
        </w:rPr>
        <w:footnoteRef/>
      </w:r>
      <w:r>
        <w:tab/>
        <w:t>Aafrika puhul vt komisjoni otsus (2015)5210 ja naabruspoliitika riikide puhul komisjoni rakendusotsus (2016)3436.</w:t>
      </w:r>
    </w:p>
  </w:footnote>
  <w:footnote w:id="5">
    <w:p>
      <w:pPr>
        <w:pStyle w:val="FootnoteText"/>
        <w:ind w:left="284" w:hanging="284"/>
      </w:pPr>
      <w:r>
        <w:rPr>
          <w:rStyle w:val="FootnoteReference"/>
        </w:rPr>
        <w:footnoteRef/>
      </w:r>
      <w:r>
        <w:tab/>
        <w:t>EÜT L 317, 15.12.2000, viimati muudetud ELT L 287, 4.11.2010.</w:t>
      </w:r>
    </w:p>
  </w:footnote>
  <w:footnote w:id="6">
    <w:p>
      <w:pPr>
        <w:pStyle w:val="FootnoteText"/>
        <w:ind w:left="284" w:hanging="284"/>
      </w:pPr>
      <w:r>
        <w:rPr>
          <w:rStyle w:val="FootnoteReference"/>
        </w:rPr>
        <w:footnoteRef/>
      </w:r>
      <w:r>
        <w:tab/>
        <w:t>JOIN(2015) 50 final.</w:t>
      </w:r>
    </w:p>
  </w:footnote>
  <w:footnote w:id="7">
    <w:p>
      <w:pPr>
        <w:pStyle w:val="FootnoteText"/>
        <w:tabs>
          <w:tab w:val="left" w:pos="284"/>
        </w:tabs>
        <w:ind w:left="284" w:hanging="284"/>
      </w:pPr>
      <w:r>
        <w:rPr>
          <w:rStyle w:val="FootnoteReference"/>
        </w:rPr>
        <w:footnoteRef/>
      </w:r>
      <w:r>
        <w:tab/>
      </w:r>
      <w:r>
        <w:rPr>
          <w:color w:val="141413"/>
        </w:rPr>
        <w:t>ELT(2006/C 46/01).</w:t>
      </w:r>
    </w:p>
  </w:footnote>
  <w:footnote w:id="8">
    <w:p>
      <w:pPr>
        <w:pStyle w:val="FootnoteText"/>
        <w:tabs>
          <w:tab w:val="left" w:pos="284"/>
        </w:tabs>
        <w:ind w:left="284" w:hanging="284"/>
      </w:pPr>
      <w:r>
        <w:rPr>
          <w:rStyle w:val="FootnoteReference"/>
        </w:rPr>
        <w:footnoteRef/>
      </w:r>
      <w:r>
        <w:tab/>
        <w:t>KOM(2011) 637 final</w:t>
      </w:r>
    </w:p>
  </w:footnote>
  <w:footnote w:id="9">
    <w:p>
      <w:pPr>
        <w:pStyle w:val="FootnoteText"/>
        <w:ind w:left="284" w:hanging="284"/>
      </w:pPr>
      <w:r>
        <w:rPr>
          <w:rStyle w:val="FootnoteReference"/>
        </w:rPr>
        <w:footnoteRef/>
      </w:r>
      <w:r>
        <w:tab/>
        <w:t>SWD(2015) 182 final.</w:t>
      </w:r>
    </w:p>
  </w:footnote>
  <w:footnote w:id="10">
    <w:p>
      <w:pPr>
        <w:pStyle w:val="FootnoteText"/>
        <w:ind w:left="284" w:hanging="284"/>
      </w:pPr>
      <w:r>
        <w:rPr>
          <w:rStyle w:val="FootnoteReference"/>
        </w:rPr>
        <w:footnoteRef/>
      </w:r>
      <w:r>
        <w:tab/>
        <w:t>COM(2014) 263 final</w:t>
      </w:r>
    </w:p>
  </w:footnote>
  <w:footnote w:id="11">
    <w:p>
      <w:pPr>
        <w:pStyle w:val="FootnoteText"/>
        <w:tabs>
          <w:tab w:val="left" w:pos="284"/>
        </w:tabs>
        <w:ind w:left="284" w:hanging="284"/>
      </w:pPr>
      <w:r>
        <w:rPr>
          <w:rStyle w:val="FootnoteReference"/>
        </w:rPr>
        <w:footnoteRef/>
      </w:r>
      <w:r>
        <w:tab/>
        <w:t>JOIN(2015) 50 final.</w:t>
      </w:r>
    </w:p>
  </w:footnote>
  <w:footnote w:id="12">
    <w:p>
      <w:pPr>
        <w:pStyle w:val="FootnoteText"/>
        <w:tabs>
          <w:tab w:val="left" w:pos="284"/>
        </w:tabs>
        <w:ind w:left="284" w:hanging="284"/>
      </w:pPr>
      <w:r>
        <w:rPr>
          <w:rStyle w:val="FootnoteReference"/>
        </w:rPr>
        <w:footnoteRef/>
      </w:r>
      <w:r>
        <w:tab/>
        <w:t>COM(2015) 81 final/2.</w:t>
      </w:r>
    </w:p>
  </w:footnote>
  <w:footnote w:id="13">
    <w:p>
      <w:pPr>
        <w:pStyle w:val="FootnoteText"/>
        <w:ind w:left="284" w:hanging="284"/>
      </w:pPr>
      <w:r>
        <w:rPr>
          <w:rStyle w:val="FootnoteReference"/>
        </w:rPr>
        <w:footnoteRef/>
      </w:r>
      <w:r>
        <w:tab/>
        <w:t>COM(2016) 110.</w:t>
      </w:r>
    </w:p>
  </w:footnote>
  <w:footnote w:id="14">
    <w:p>
      <w:pPr>
        <w:pStyle w:val="FootnoteText"/>
        <w:ind w:left="284" w:hanging="284"/>
      </w:pPr>
      <w:r>
        <w:rPr>
          <w:rStyle w:val="FootnoteReference"/>
        </w:rPr>
        <w:footnoteRef/>
      </w:r>
      <w:r>
        <w:tab/>
        <w:t>Euroopa Parlamendi ja nõukogu 25. juuni 2015. aasta määrus (EL) 2015/1017, mis käsitleb Euroopa Strateegiliste Investeeringute Fondi, Euroopa investeerimisnõustamise keskust ja Euroopa investeerimisprojektide portaali ning millega muudetakse määrusi (EL) nr 1291/2013 ja (EL) nr 1316/2013 – Euroopa Strateegiliste Investeeringute Fond (ELT L 169, 1.7.2015, lk 1).</w:t>
      </w:r>
    </w:p>
  </w:footnote>
  <w:footnote w:id="15">
    <w:p>
      <w:pPr>
        <w:pStyle w:val="FootnoteText"/>
        <w:ind w:left="284" w:hanging="284"/>
      </w:pPr>
      <w:r>
        <w:rPr>
          <w:rStyle w:val="FootnoteReference"/>
        </w:rPr>
        <w:footnoteRef/>
      </w:r>
      <w:r>
        <w:tab/>
        <w:t>Aafrika puhul vt komisjoni otsus (2015)5210 ja naabruspoliitika riikide puhul komisjoni rakendusotsus (2016)3436.</w:t>
      </w:r>
    </w:p>
  </w:footnote>
  <w:footnote w:id="16">
    <w:p>
      <w:pPr>
        <w:pStyle w:val="FootnoteText"/>
        <w:tabs>
          <w:tab w:val="left" w:pos="284"/>
        </w:tabs>
        <w:ind w:left="284" w:hanging="284"/>
      </w:pPr>
      <w:r>
        <w:rPr>
          <w:rStyle w:val="FootnoteReference"/>
        </w:rPr>
        <w:footnoteRef/>
      </w:r>
      <w:r>
        <w:tab/>
        <w:t>JOIN(2015) 50 final.</w:t>
      </w:r>
    </w:p>
  </w:footnote>
  <w:footnote w:id="17">
    <w:p>
      <w:pPr>
        <w:pStyle w:val="FootnoteText"/>
        <w:tabs>
          <w:tab w:val="left" w:pos="284"/>
        </w:tabs>
        <w:ind w:left="284" w:hanging="284"/>
      </w:pPr>
      <w:r>
        <w:rPr>
          <w:rStyle w:val="FootnoteReference"/>
        </w:rPr>
        <w:footnoteRef/>
      </w:r>
      <w:r>
        <w:tab/>
      </w:r>
      <w:r>
        <w:rPr>
          <w:color w:val="141413"/>
        </w:rPr>
        <w:t>(2006/C 46/01)</w:t>
      </w:r>
    </w:p>
  </w:footnote>
  <w:footnote w:id="18">
    <w:p>
      <w:pPr>
        <w:pStyle w:val="FootnoteText"/>
        <w:tabs>
          <w:tab w:val="left" w:pos="284"/>
        </w:tabs>
        <w:ind w:left="284" w:hanging="284"/>
      </w:pPr>
      <w:r>
        <w:rPr>
          <w:rStyle w:val="FootnoteReference"/>
        </w:rPr>
        <w:footnoteRef/>
      </w:r>
      <w:r>
        <w:tab/>
      </w:r>
      <w:r>
        <w:rPr>
          <w:color w:val="000000"/>
        </w:rPr>
        <w:t>KOM(2011) 637 final</w:t>
      </w:r>
    </w:p>
  </w:footnote>
  <w:footnote w:id="19">
    <w:p>
      <w:pPr>
        <w:pStyle w:val="FootnoteText"/>
        <w:tabs>
          <w:tab w:val="left" w:pos="284"/>
        </w:tabs>
        <w:ind w:left="284" w:hanging="284"/>
      </w:pPr>
      <w:r>
        <w:rPr>
          <w:rStyle w:val="FootnoteReference"/>
        </w:rPr>
        <w:footnoteRef/>
      </w:r>
      <w:r>
        <w:tab/>
        <w:t>SWD(2015) 182 final</w:t>
      </w:r>
    </w:p>
  </w:footnote>
  <w:footnote w:id="20">
    <w:p>
      <w:pPr>
        <w:pStyle w:val="FootnoteText"/>
        <w:ind w:left="284" w:hanging="284"/>
      </w:pPr>
      <w:r>
        <w:rPr>
          <w:rStyle w:val="FootnoteReference"/>
        </w:rPr>
        <w:footnoteRef/>
      </w:r>
      <w:r>
        <w:tab/>
        <w:t>ELT L 210, 6.8.2013, lk 1.</w:t>
      </w:r>
    </w:p>
  </w:footnote>
  <w:footnote w:id="21">
    <w:p>
      <w:pPr>
        <w:pStyle w:val="FootnoteText"/>
        <w:ind w:left="284" w:hanging="284"/>
      </w:pPr>
      <w:r>
        <w:rPr>
          <w:rStyle w:val="FootnoteReference"/>
        </w:rPr>
        <w:footnoteRef/>
      </w:r>
      <w:r>
        <w:tab/>
        <w:t xml:space="preserve">COM(2015) 5210. </w:t>
      </w:r>
    </w:p>
  </w:footnote>
  <w:footnote w:id="22">
    <w:p>
      <w:pPr>
        <w:pStyle w:val="FootnoteText"/>
        <w:ind w:left="284" w:hanging="284"/>
      </w:pPr>
      <w:r>
        <w:rPr>
          <w:rStyle w:val="FootnoteReference"/>
        </w:rPr>
        <w:footnoteRef/>
      </w:r>
      <w:r>
        <w:tab/>
        <w:t xml:space="preserve">COM(2016) 3436. </w:t>
      </w:r>
    </w:p>
  </w:footnote>
  <w:footnote w:id="23">
    <w:p>
      <w:pPr>
        <w:pStyle w:val="FootnoteText"/>
        <w:ind w:left="284" w:hanging="284"/>
        <w:rPr>
          <w:sz w:val="18"/>
          <w:szCs w:val="18"/>
        </w:rPr>
      </w:pPr>
      <w:r>
        <w:rPr>
          <w:rStyle w:val="FootnoteReference"/>
        </w:rPr>
        <w:footnoteRef/>
      </w:r>
      <w:r>
        <w:tab/>
        <w:t>EÜT L 317, 15.12.2000, viimati muudetud ELT L 287, 4.11.2010.</w:t>
      </w:r>
    </w:p>
  </w:footnote>
  <w:footnote w:id="24">
    <w:p>
      <w:pPr>
        <w:pStyle w:val="FootnoteText"/>
        <w:ind w:left="284" w:hanging="284"/>
      </w:pPr>
      <w:r>
        <w:rPr>
          <w:rStyle w:val="FootnoteReference"/>
        </w:rPr>
        <w:footnoteRef/>
      </w:r>
      <w:r>
        <w:tab/>
        <w:t>Cotonou lepingu II lisa.</w:t>
      </w:r>
    </w:p>
  </w:footnote>
  <w:footnote w:id="25">
    <w:p>
      <w:pPr>
        <w:pStyle w:val="FootnoteText"/>
        <w:ind w:left="284" w:hanging="284"/>
      </w:pPr>
      <w:r>
        <w:rPr>
          <w:rStyle w:val="FootnoteReference"/>
        </w:rPr>
        <w:footnoteRef/>
      </w:r>
      <w:r>
        <w:tab/>
        <w:t>Euroopa Parlamendi ja nõukogu 25. oktoobri 2012. aasta määrus (EL, Euratom) nr 966/2012, mis käsitleb Euroopa Liidu üldeelarve suhtes kohaldatavaid finantseeskirju ning millega tunnistatakse kehtetuks nõukogu määrus (EÜ, Euratom) nr 1605/2002 (ELT L 298, 26.10.2012, lk 1).</w:t>
      </w:r>
    </w:p>
  </w:footnote>
  <w:footnote w:id="26">
    <w:p>
      <w:pPr>
        <w:pStyle w:val="FootnoteText"/>
        <w:ind w:left="284" w:hanging="284"/>
      </w:pPr>
      <w:r>
        <w:rPr>
          <w:rStyle w:val="FootnoteReference"/>
        </w:rPr>
        <w:footnoteRef/>
      </w:r>
      <w:r>
        <w:tab/>
        <w:t>Sisekokkulepe nõukogus kokku tulnud liikmesriikide valitsuste esindajate vahel Euroopa Liidu abi rahastamise kohta mitmeaastase finantsraamistiku (2014–2020) alusel vastavalt AKV–ELi partnerluslepingule ning finantsabi eraldamise kohta nendele ülemeremaadele ja -territooriumidele, mille suhtes kohaldatakse Euroopa Liidu toimimise lepingu neljandat osa (ELT L 210, 6.8.2013, lk 1).</w:t>
      </w:r>
    </w:p>
  </w:footnote>
  <w:footnote w:id="27">
    <w:p>
      <w:pPr>
        <w:pStyle w:val="FootnoteText"/>
        <w:ind w:left="284" w:hanging="284"/>
      </w:pPr>
      <w:r>
        <w:rPr>
          <w:rStyle w:val="FootnoteReference"/>
        </w:rPr>
        <w:footnoteRef/>
      </w:r>
      <w:r>
        <w:tab/>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28">
    <w:p>
      <w:pPr>
        <w:pStyle w:val="FootnoteText"/>
        <w:ind w:left="284" w:hanging="284"/>
      </w:pPr>
      <w:r>
        <w:rPr>
          <w:rStyle w:val="FootnoteReference"/>
        </w:rPr>
        <w:footnoteRef/>
      </w:r>
      <w:r>
        <w:tab/>
        <w:t>Nõukogu 11. novembri 1996. aasta määrus (Euratom, EÜ) nr 2185/96, mis käsitleb komisjoni tehtavat kohapealset kontrolli ja inspekteerimist, et kaitsta Euroopa ühenduste finantshuve pettuste ja igasuguse muu eeskirjade eiramiste eest (EÜT L 292, 15.11.1996, lk 2).</w:t>
      </w:r>
    </w:p>
  </w:footnote>
  <w:footnote w:id="29">
    <w:p>
      <w:pPr>
        <w:pStyle w:val="FootnoteText"/>
        <w:ind w:left="284" w:hanging="284"/>
      </w:pPr>
      <w:r>
        <w:rPr>
          <w:rStyle w:val="FootnoteReference"/>
        </w:rPr>
        <w:footnoteRef/>
      </w:r>
      <w:r>
        <w:tab/>
        <w:t>Nõukogu 18. detsembri 1995. aasta määrus (EÜ, Euratom) nr 2988/95 Euroopa ühenduste finantshuvide kaitse kohta (EÜT L 312, 23.12.1995, lk 1).</w:t>
      </w:r>
    </w:p>
  </w:footnote>
  <w:footnote w:id="30">
    <w:p>
      <w:pPr>
        <w:pStyle w:val="FootnoteText"/>
        <w:ind w:left="284" w:hanging="284"/>
      </w:pPr>
      <w:r>
        <w:rPr>
          <w:rStyle w:val="FootnoteReference"/>
        </w:rPr>
        <w:footnoteRef/>
      </w:r>
      <w:r>
        <w:tab/>
        <w:t>Euroopa Parlamendi ja nõukogu 11. märtsi 2014. aasta määrus (EL) nr 236/2014, milles sätestatakse liidu välistegevuse rahastamisvahendite rakendamise ühised eeskirjad ja menetlused (ELT L 77, 15.3.2014, lk 95).</w:t>
      </w:r>
    </w:p>
  </w:footnote>
  <w:footnote w:id="31">
    <w:p>
      <w:pPr>
        <w:pStyle w:val="FootnoteText"/>
        <w:ind w:left="284" w:hanging="284"/>
      </w:pPr>
      <w:r>
        <w:rPr>
          <w:rStyle w:val="FootnoteReference"/>
        </w:rPr>
        <w:footnoteRef/>
      </w:r>
      <w:r>
        <w:tab/>
        <w:t>Nõukogu 2. märtsi 2015. aasta määrus (EL) 2015/323, mis käsitleb 11. Euroopa Arengufondi suhtes kohaldatavat finantsmäärust (ELT L 58, 3.3.2015, lk 17).</w:t>
      </w:r>
    </w:p>
  </w:footnote>
  <w:footnote w:id="32">
    <w:p>
      <w:pPr>
        <w:pStyle w:val="FootnoteText"/>
        <w:ind w:left="284" w:hanging="284"/>
      </w:pPr>
      <w:r>
        <w:rPr>
          <w:rStyle w:val="FootnoteReference"/>
        </w:rPr>
        <w:footnoteRef/>
      </w:r>
      <w:r>
        <w:tab/>
        <w:t>EÜT L 317, 15.12.2000, viimati muudetud ELT L 287, 4.11.2010.</w:t>
      </w:r>
    </w:p>
  </w:footnote>
  <w:footnote w:id="33">
    <w:p>
      <w:pPr>
        <w:pStyle w:val="FootnoteText"/>
        <w:ind w:left="284" w:hanging="284"/>
      </w:pPr>
      <w:r>
        <w:rPr>
          <w:rStyle w:val="FootnoteReference"/>
        </w:rPr>
        <w:footnoteRef/>
      </w:r>
      <w:r>
        <w:tab/>
      </w:r>
      <w:r>
        <w:rPr>
          <w:color w:val="000000"/>
        </w:rPr>
        <w:t>Euroopa Parlamendi ja nõukogu 11. märtsi 2014. aasta määrus (EL) nr 232/2014, millega luuakse Euroopa naabruspoliitika rahastamisvahend (ELT L 77, 15.3.2014, lk 27).</w:t>
      </w:r>
    </w:p>
  </w:footnote>
  <w:footnote w:id="34">
    <w:p>
      <w:pPr>
        <w:pStyle w:val="FootnoteText"/>
        <w:ind w:left="284" w:hanging="284"/>
        <w:rPr>
          <w:sz w:val="18"/>
          <w:szCs w:val="18"/>
        </w:rPr>
      </w:pPr>
      <w:r>
        <w:rPr>
          <w:rStyle w:val="FootnoteReference"/>
        </w:rPr>
        <w:footnoteRef/>
      </w:r>
      <w:r>
        <w:tab/>
        <w:t>Euroopa Parlamendi ja nõukogu 11. märtsi 2014. aasta määrus (EL) nr 233/2014, millega luuakse arengukoostöö rahastamisvahend aastateks 2014–2020 (ELT L 77, 15.3.2014, lk 44).</w:t>
      </w:r>
    </w:p>
  </w:footnote>
  <w:footnote w:id="35">
    <w:p>
      <w:pPr>
        <w:pStyle w:val="FootnoteText"/>
        <w:ind w:left="284" w:hanging="284"/>
      </w:pPr>
      <w:r>
        <w:rPr>
          <w:rStyle w:val="FootnoteReference"/>
        </w:rPr>
        <w:footnoteRef/>
      </w:r>
      <w:r>
        <w:tab/>
        <w:t xml:space="preserve">Sisekokkulepe nõukogus kokku tulnud liikmesriikide valitsuste esindajate vahel Euroopa Liidu abi rahastamise kohta mitmeaastase finantsraamistiku (2014–2020) alusel vastavalt AKV–ELi partnerluslepingule ning finantsabi eraldamise kohta nendele ülemeremaadele ja -territooriumidele, mille suhtes kohaldatakse Euroopa Liidu toimimise lepingu neljandat osa (ELT L 210, 6.8.2013, lk 1). </w:t>
      </w:r>
    </w:p>
  </w:footnote>
  <w:footnote w:id="36">
    <w:p>
      <w:pPr>
        <w:pStyle w:val="FootnoteText"/>
        <w:ind w:left="284" w:hanging="284"/>
      </w:pPr>
      <w:r>
        <w:rPr>
          <w:rStyle w:val="FootnoteReference"/>
        </w:rPr>
        <w:footnoteRef/>
      </w:r>
      <w:r>
        <w:tab/>
        <w:t>Euroopa Parlamendi ja nõukogu 20. mai 2015. aasta määrus (EL) 2015/847, mis käsitleb rahaülekannetes edastatavat teavet ja millega tunnistatakse kehtetuks määrus (EÜ) nr 1781/2006 (ELT L 141, 5.6.2015, lk 1).</w:t>
      </w:r>
    </w:p>
  </w:footnote>
  <w:footnote w:id="37">
    <w:p>
      <w:pPr>
        <w:pStyle w:val="FootnoteText"/>
        <w:ind w:left="284" w:hanging="284"/>
      </w:pPr>
      <w:r>
        <w:rPr>
          <w:rStyle w:val="FootnoteReference"/>
        </w:rPr>
        <w:footnoteRef/>
      </w:r>
      <w:r>
        <w:tab/>
        <w:t>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w:t>
      </w:r>
    </w:p>
  </w:footnote>
  <w:footnote w:id="38">
    <w:p>
      <w:pPr>
        <w:pStyle w:val="FootnoteText"/>
        <w:ind w:left="284" w:hanging="284"/>
        <w:rPr>
          <w:szCs w:val="24"/>
        </w:rPr>
      </w:pPr>
      <w:r>
        <w:rPr>
          <w:rStyle w:val="FootnoteReference"/>
        </w:rPr>
        <w:footnoteRef/>
      </w:r>
      <w:r>
        <w:tab/>
        <w:t>ABM: tegevuspõhine juhtimine; ABB: tegevuspõhine eelarvestamine.</w:t>
      </w:r>
    </w:p>
  </w:footnote>
  <w:footnote w:id="39">
    <w:p>
      <w:pPr>
        <w:pStyle w:val="FootnoteText"/>
        <w:ind w:left="284" w:hanging="284"/>
        <w:rPr>
          <w:szCs w:val="24"/>
        </w:rPr>
      </w:pPr>
      <w:r>
        <w:rPr>
          <w:rStyle w:val="FootnoteReference"/>
        </w:rPr>
        <w:footnoteRef/>
      </w:r>
      <w:r>
        <w:tab/>
        <w:t>Vastavalt finantsmääruse artikli 54 lõike 2 punktile a või b.</w:t>
      </w:r>
    </w:p>
  </w:footnote>
  <w:footnote w:id="40">
    <w:p>
      <w:pPr>
        <w:pStyle w:val="FootnoteText"/>
        <w:ind w:left="284" w:hanging="284"/>
      </w:pPr>
      <w:r>
        <w:rPr>
          <w:rStyle w:val="FootnoteReference"/>
        </w:rPr>
        <w:footnoteRef/>
      </w:r>
      <w:r>
        <w:tab/>
        <w:t xml:space="preserve">Komisjoni otsus, milles käsitletakse Aafrika investeerimisrahastut 11. Euroopa Arengufondi raames (C(2015) </w:t>
      </w:r>
      <w:r>
        <w:rPr>
          <w:rStyle w:val="FootnoteReference"/>
          <w:vertAlign w:val="baseline"/>
        </w:rPr>
        <w:t>5210</w:t>
      </w:r>
      <w:r>
        <w:t xml:space="preserve"> final, 29.7.2015)</w:t>
      </w:r>
    </w:p>
  </w:footnote>
  <w:footnote w:id="41">
    <w:p>
      <w:pPr>
        <w:pStyle w:val="FootnoteText"/>
        <w:ind w:left="284" w:hanging="284"/>
        <w:jc w:val="left"/>
        <w:rPr>
          <w:szCs w:val="24"/>
        </w:rPr>
      </w:pPr>
      <w:r>
        <w:rPr>
          <w:rStyle w:val="FootnoteReference"/>
        </w:rPr>
        <w:footnoteRef/>
      </w:r>
      <w:r>
        <w:tab/>
        <w:t xml:space="preserve">Eelarve täitmise viise selgitatakse koos viidetega finantsmäärusele veebisaidil BudgWeb: </w:t>
      </w:r>
      <w:hyperlink r:id="rId1">
        <w:r>
          <w:rPr>
            <w:rStyle w:val="Hyperlink"/>
          </w:rPr>
          <w:t>https://myintracomm.ec.europa.eu/budgweb/EN/man/budgmanag/Pages/budgmanag.aspx</w:t>
        </w:r>
      </w:hyperlink>
      <w:r>
        <w:t xml:space="preserve"> </w:t>
      </w:r>
    </w:p>
  </w:footnote>
  <w:footnote w:id="42">
    <w:p>
      <w:pPr>
        <w:pStyle w:val="FootnoteText"/>
        <w:ind w:left="284" w:hanging="284"/>
        <w:rPr>
          <w:szCs w:val="24"/>
        </w:rPr>
      </w:pPr>
      <w:r>
        <w:rPr>
          <w:rStyle w:val="FootnoteReference"/>
        </w:rPr>
        <w:footnoteRef/>
      </w:r>
      <w:r>
        <w:tab/>
        <w:t>Aasta, mil alustatakse ettepaneku/algatuse rakendamist.</w:t>
      </w:r>
    </w:p>
  </w:footnote>
  <w:footnote w:id="43">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4">
    <w:p>
      <w:pPr>
        <w:pStyle w:val="FootnoteText"/>
        <w:ind w:left="284" w:hanging="284"/>
      </w:pPr>
      <w:r>
        <w:rPr>
          <w:rStyle w:val="FootnoteReference"/>
        </w:rPr>
        <w:footnoteRef/>
      </w:r>
      <w:r>
        <w:tab/>
        <w:t>Üht poliitilise kontaktisikuna tegutsevat lepingulist töötajat rahastatakse Euroopa välisteenistuse (EEAS) eelarvest.</w:t>
      </w:r>
    </w:p>
  </w:footnote>
  <w:footnote w:id="4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46">
    <w:p>
      <w:pPr>
        <w:pStyle w:val="FootnoteText"/>
        <w:ind w:left="284" w:hanging="284"/>
        <w:rPr>
          <w:szCs w:val="24"/>
        </w:rPr>
      </w:pPr>
      <w:r>
        <w:rPr>
          <w:rStyle w:val="FootnoteReference"/>
        </w:rPr>
        <w:footnoteRef/>
      </w:r>
      <w:r>
        <w:tab/>
        <w:t>Aasta, mil alustatakse ettepaneku/algatuse rakendamist.</w:t>
      </w:r>
    </w:p>
  </w:footnote>
  <w:footnote w:id="47">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8">
    <w:p>
      <w:pPr>
        <w:pStyle w:val="FootnoteText"/>
        <w:ind w:left="284" w:hanging="284"/>
        <w:rPr>
          <w:szCs w:val="24"/>
        </w:rPr>
      </w:pPr>
      <w:r>
        <w:rPr>
          <w:rStyle w:val="FootnoteReference"/>
        </w:rPr>
        <w:footnoteRef/>
      </w:r>
      <w:r>
        <w:tab/>
        <w:t xml:space="preserve">Lepingulised töötajad, kohalikud töötajad, riikide lähetatud töötajad, renditud tööjõud, noored eksperdid delegatsioonides. </w:t>
      </w:r>
    </w:p>
  </w:footnote>
  <w:footnote w:id="49">
    <w:p>
      <w:pPr>
        <w:pStyle w:val="FootnoteText"/>
        <w:ind w:left="284" w:hanging="284"/>
      </w:pPr>
      <w:r>
        <w:rPr>
          <w:rStyle w:val="FootnoteReference"/>
        </w:rPr>
        <w:footnoteRef/>
      </w:r>
      <w:r>
        <w:tab/>
        <w:t>Osa koosseisuväliste töötajate vajadusest kaetakse Euroopa naabruspoliitika rahastamisvahendi ja Euroopa Arengufondi eelarverealt rahastatava koosseisuvälise personali institutsioonisisese ümberpaigutamisega, järgides meetme tegevusassigneeringute ümberpaigutamise proportsioone.</w:t>
      </w:r>
    </w:p>
  </w:footnote>
  <w:footnote w:id="50">
    <w:p>
      <w:pPr>
        <w:pStyle w:val="FootnoteText"/>
        <w:ind w:left="284" w:hanging="284"/>
        <w:rPr>
          <w:szCs w:val="24"/>
        </w:rPr>
      </w:pPr>
      <w:r>
        <w:rPr>
          <w:rStyle w:val="FootnoteReference"/>
        </w:rPr>
        <w:footnoteRef/>
      </w:r>
      <w:r>
        <w:tab/>
        <w:t>Tegevusassigneeringutest rahastatavate koosseisuväliste töötajate ülempiiri arvestades (endised B..A read).</w:t>
      </w:r>
    </w:p>
  </w:footnote>
  <w:footnote w:id="51">
    <w:p>
      <w:pPr>
        <w:pStyle w:val="FootnoteText"/>
        <w:ind w:left="284" w:hanging="284"/>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
  </w:num>
  <w:num w:numId="19">
    <w:abstractNumId w:val="2"/>
  </w:num>
  <w:num w:numId="20">
    <w:abstractNumId w:val="1"/>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2"/>
  </w:num>
  <w:num w:numId="29">
    <w:abstractNumId w:val="9"/>
  </w:num>
  <w:num w:numId="30">
    <w:abstractNumId w:val="12"/>
  </w:num>
  <w:num w:numId="31">
    <w:abstractNumId w:val="7"/>
  </w:num>
  <w:num w:numId="32">
    <w:abstractNumId w:val="21"/>
  </w:num>
  <w:num w:numId="33">
    <w:abstractNumId w:val="6"/>
  </w:num>
  <w:num w:numId="34">
    <w:abstractNumId w:val="13"/>
  </w:num>
  <w:num w:numId="35">
    <w:abstractNumId w:val="17"/>
  </w:num>
  <w:num w:numId="36">
    <w:abstractNumId w:val="18"/>
  </w:num>
  <w:num w:numId="37">
    <w:abstractNumId w:val="8"/>
  </w:num>
  <w:num w:numId="38">
    <w:abstractNumId w:val="16"/>
  </w:num>
  <w:num w:numId="39">
    <w:abstractNumId w:val="2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28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08:43: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914D61CEBCCA4BBABD222849A641D347"/>
    <w:docVar w:name="LW_CROSSREFERENCE" w:val="&lt;UNUSED&gt;"/>
    <w:docVar w:name="LW_DocType" w:val="COM"/>
    <w:docVar w:name="LW_EMISSION" w:val="14.9.2016"/>
    <w:docVar w:name="LW_EMISSION_ISODATE" w:val="2016-09-14"/>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Ettepanek:"/>
    <w:docVar w:name="LW_SUPERTITRE" w:val="&lt;UNUSED&gt;"/>
    <w:docVar w:name="LW_TITRE.OBJ.CP" w:val="milles käsitletakse Euroopa Jätkusuutliku Arengu Fondi (EFSD) ning millega luuakse EFSD tagatis ja EFSD tagatisfond"/>
    <w:docVar w:name="LW_TYPE.DOC.CP" w:val="EUROOPA PARLAMENDI JA NÕUKOGU MÄÄRUS,"/>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t-EE" w:eastAsia="et-EE" w:bidi="et-EE"/>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16"/>
      </w:numPr>
    </w:pPr>
    <w:rPr>
      <w:rFonts w:eastAsia="Times New Roman"/>
    </w:rPr>
  </w:style>
  <w:style w:type="character" w:styleId="CommentReference">
    <w:name w:val="annotation reference"/>
    <w:rPr>
      <w:rFonts w:cs="Times New Roman"/>
      <w:sz w:val="16"/>
      <w:szCs w:val="16"/>
      <w:lang w:val="et-EE" w:eastAsia="et-EE"/>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t-EE" w:eastAsia="et-EE"/>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17"/>
      </w:numPr>
      <w:contextualSpacing/>
    </w:pPr>
    <w:rPr>
      <w:rFonts w:eastAsia="Times New Roman"/>
    </w:rPr>
  </w:style>
  <w:style w:type="paragraph" w:styleId="ListBullet4">
    <w:name w:val="List Bullet 4"/>
    <w:basedOn w:val="Normal"/>
    <w:pPr>
      <w:numPr>
        <w:numId w:val="18"/>
      </w:numPr>
      <w:contextualSpacing/>
    </w:pPr>
    <w:rPr>
      <w:rFonts w:eastAsia="Times New Roman"/>
    </w:rPr>
  </w:style>
  <w:style w:type="paragraph" w:styleId="ListNumber2">
    <w:name w:val="List Number 2"/>
    <w:basedOn w:val="Normal"/>
    <w:pPr>
      <w:numPr>
        <w:numId w:val="19"/>
      </w:numPr>
      <w:contextualSpacing/>
    </w:pPr>
    <w:rPr>
      <w:rFonts w:eastAsia="Times New Roman"/>
    </w:rPr>
  </w:style>
  <w:style w:type="paragraph" w:styleId="ListNumber3">
    <w:name w:val="List Number 3"/>
    <w:basedOn w:val="Normal"/>
    <w:pPr>
      <w:numPr>
        <w:numId w:val="20"/>
      </w:numPr>
      <w:contextualSpacing/>
    </w:pPr>
    <w:rPr>
      <w:rFonts w:eastAsia="Times New Roman"/>
    </w:rPr>
  </w:style>
  <w:style w:type="paragraph" w:styleId="ListNumber4">
    <w:name w:val="List Number 4"/>
    <w:basedOn w:val="Normal"/>
    <w:pPr>
      <w:numPr>
        <w:numId w:val="21"/>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t-EE" w:eastAsia="et-EE"/>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t-EE" w:eastAsia="et-EE" w:bidi="et-EE"/>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16"/>
      </w:numPr>
    </w:pPr>
    <w:rPr>
      <w:rFonts w:eastAsia="Times New Roman"/>
    </w:rPr>
  </w:style>
  <w:style w:type="character" w:styleId="CommentReference">
    <w:name w:val="annotation reference"/>
    <w:rPr>
      <w:rFonts w:cs="Times New Roman"/>
      <w:sz w:val="16"/>
      <w:szCs w:val="16"/>
      <w:lang w:val="et-EE" w:eastAsia="et-EE"/>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t-EE" w:eastAsia="et-EE"/>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17"/>
      </w:numPr>
      <w:contextualSpacing/>
    </w:pPr>
    <w:rPr>
      <w:rFonts w:eastAsia="Times New Roman"/>
    </w:rPr>
  </w:style>
  <w:style w:type="paragraph" w:styleId="ListBullet4">
    <w:name w:val="List Bullet 4"/>
    <w:basedOn w:val="Normal"/>
    <w:pPr>
      <w:numPr>
        <w:numId w:val="18"/>
      </w:numPr>
      <w:contextualSpacing/>
    </w:pPr>
    <w:rPr>
      <w:rFonts w:eastAsia="Times New Roman"/>
    </w:rPr>
  </w:style>
  <w:style w:type="paragraph" w:styleId="ListNumber2">
    <w:name w:val="List Number 2"/>
    <w:basedOn w:val="Normal"/>
    <w:pPr>
      <w:numPr>
        <w:numId w:val="19"/>
      </w:numPr>
      <w:contextualSpacing/>
    </w:pPr>
    <w:rPr>
      <w:rFonts w:eastAsia="Times New Roman"/>
    </w:rPr>
  </w:style>
  <w:style w:type="paragraph" w:styleId="ListNumber3">
    <w:name w:val="List Number 3"/>
    <w:basedOn w:val="Normal"/>
    <w:pPr>
      <w:numPr>
        <w:numId w:val="20"/>
      </w:numPr>
      <w:contextualSpacing/>
    </w:pPr>
    <w:rPr>
      <w:rFonts w:eastAsia="Times New Roman"/>
    </w:rPr>
  </w:style>
  <w:style w:type="paragraph" w:styleId="ListNumber4">
    <w:name w:val="List Number 4"/>
    <w:basedOn w:val="Normal"/>
    <w:pPr>
      <w:numPr>
        <w:numId w:val="21"/>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t-EE" w:eastAsia="et-EE"/>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0D17-BB27-4628-A1F9-5B3F61EF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43</Pages>
  <Words>9312</Words>
  <Characters>72176</Characters>
  <Application>Microsoft Office Word</Application>
  <DocSecurity>0</DocSecurity>
  <Lines>2187</Lines>
  <Paragraphs>915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2016-09-07T10:30:00Z</cp:lastPrinted>
  <dcterms:created xsi:type="dcterms:W3CDTF">2016-10-14T12:04:00Z</dcterms:created>
  <dcterms:modified xsi:type="dcterms:W3CDTF">2016-10-19T06:43:00Z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