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11E90033FD4D448CE1B0D1883A7113" style="width:450.45pt;height:37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Het voorstel vindt plaats in de context van de hervorming van de SAP-oorsprongsregels van 2010 ingevoerd met Verordening (EU) nr. 1063/2010 van 18 november 2010, die Verordening (EEG) nr. 2454/93 heeft gewijzigd.</w:t>
      </w:r>
    </w:p>
    <w:p>
      <w:pPr>
        <w:rPr>
          <w:noProof/>
        </w:rPr>
      </w:pPr>
      <w:r>
        <w:rPr>
          <w:noProof/>
        </w:rPr>
        <w:t>Met de hervorming is onder voorwaarden Turkije in het systeem van cumulatie van de oorsprong opgenomen dat tot dan toe tussen de Unie, Zwitserland en Noorwegen in werking was.</w:t>
      </w:r>
    </w:p>
    <w:p>
      <w:pPr>
        <w:rPr>
          <w:noProof/>
        </w:rPr>
      </w:pPr>
      <w:r>
        <w:rPr>
          <w:noProof/>
        </w:rPr>
        <w:t>Met de hervorming is ook een nieuw systeem van certificering van de oorsprong door geregistreerde exporteurs ingevoerd, waarvan de toepassing is uitgesteld tot 1 januari 2017.</w:t>
      </w:r>
    </w:p>
    <w:p>
      <w:pPr>
        <w:rPr>
          <w:noProof/>
        </w:rPr>
      </w:pPr>
      <w:r>
        <w:rPr>
          <w:noProof/>
        </w:rPr>
        <w:t>Op basis van bovenstaande elementen moet het bestaande rechtsinstrument van toepassing op het systeem van cumulatie van de oorsprong tussen de Unie en Noorwegen worden herzien. Dit is het doel van het onderhavige voorstel.</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rFonts w:eastAsia="Arial Unicode MS"/>
          <w:noProof/>
        </w:rPr>
      </w:pPr>
      <w:r>
        <w:rPr>
          <w:noProof/>
        </w:rPr>
        <w:t>Het voorstel is in overeenstemming met het gemeenschappelijk handelsbeleid, met name het beleid op het gebied van douane, het vrije verkeer van goederen en de regels van oorsprong.</w:t>
      </w:r>
    </w:p>
    <w:p>
      <w:pPr>
        <w:pStyle w:val="ManualHeading2"/>
        <w:rPr>
          <w:rFonts w:eastAsia="Arial Unicode MS"/>
          <w:noProof/>
        </w:rPr>
      </w:pPr>
      <w:r>
        <w:rPr>
          <w:noProof/>
          <w:color w:val="000000"/>
          <w:u w:color="000000"/>
          <w:bdr w:val="nil"/>
        </w:rPr>
        <w:t>•</w:t>
      </w:r>
      <w:r>
        <w:rPr>
          <w:noProof/>
        </w:rPr>
        <w:tab/>
        <w:t>Samenhang met andere beleidsgebieden van de Unie</w:t>
      </w:r>
    </w:p>
    <w:p>
      <w:pPr>
        <w:pBdr>
          <w:top w:val="nil"/>
          <w:left w:val="nil"/>
          <w:bottom w:val="nil"/>
          <w:right w:val="nil"/>
          <w:between w:val="nil"/>
          <w:bar w:val="nil"/>
        </w:pBdr>
        <w:spacing w:before="0" w:after="240"/>
        <w:rPr>
          <w:rFonts w:eastAsia="Arial Unicode MS"/>
          <w:noProof/>
        </w:rPr>
      </w:pPr>
      <w:r>
        <w:rPr>
          <w:noProof/>
        </w:rPr>
        <w:t>N.v.t.</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spacing w:before="75" w:after="75"/>
        <w:rPr>
          <w:bCs/>
          <w:noProof/>
        </w:rPr>
      </w:pPr>
      <w:r>
        <w:rPr>
          <w:noProof/>
        </w:rPr>
        <w:t>Het Verdrag betreffende de werking van de Europese Unie, en met name artikel 218, lid 6;</w:t>
      </w:r>
      <w:r>
        <w:rPr>
          <w:noProof/>
        </w:rPr>
        <w:br/>
        <w:t>Besluit nr. 2001/101/EG van de Raad van 05.12.2000.</w:t>
      </w:r>
    </w:p>
    <w:p>
      <w:pPr>
        <w:pStyle w:val="ManualHeading2"/>
        <w:rPr>
          <w:rFonts w:eastAsia="Arial Unicode MS"/>
          <w:noProof/>
          <w:u w:color="000000"/>
          <w:bdr w:val="nil"/>
        </w:rPr>
      </w:pPr>
      <w:r>
        <w:rPr>
          <w:noProof/>
        </w:rPr>
        <w:t>•</w:t>
      </w:r>
      <w:r>
        <w:rPr>
          <w:noProof/>
        </w:rPr>
        <w:tab/>
        <w:t xml:space="preserve">Subsidiariteit (voor niet-exclusieve bevoegdheden) </w:t>
      </w:r>
    </w:p>
    <w:p>
      <w:pPr>
        <w:pBdr>
          <w:top w:val="nil"/>
          <w:left w:val="nil"/>
          <w:bottom w:val="nil"/>
          <w:right w:val="nil"/>
          <w:between w:val="nil"/>
          <w:bar w:val="nil"/>
        </w:pBdr>
        <w:spacing w:before="0" w:after="240"/>
        <w:rPr>
          <w:rFonts w:eastAsia="Arial Unicode MS"/>
          <w:noProof/>
        </w:rPr>
      </w:pPr>
      <w:r>
        <w:rPr>
          <w:noProof/>
        </w:rPr>
        <w:t>Het voorstel houdt verband met het gemeenschappelijk handelsbeleid, een exclusieve bevoegdheid van de Unie.</w:t>
      </w:r>
    </w:p>
    <w:p>
      <w:pPr>
        <w:pStyle w:val="ManualHeading2"/>
        <w:rPr>
          <w:rFonts w:eastAsia="Arial Unicode MS"/>
          <w:noProof/>
          <w:u w:color="000000"/>
          <w:bdr w:val="nil"/>
        </w:rPr>
      </w:pPr>
      <w:r>
        <w:rPr>
          <w:noProof/>
        </w:rPr>
        <w:t>•</w:t>
      </w:r>
      <w:r>
        <w:rPr>
          <w:noProof/>
        </w:rPr>
        <w:tab/>
        <w:t>Evenredigheid</w:t>
      </w:r>
    </w:p>
    <w:p>
      <w:pPr>
        <w:spacing w:before="75" w:after="150"/>
        <w:rPr>
          <w:bCs/>
          <w:noProof/>
        </w:rPr>
      </w:pPr>
      <w:r>
        <w:rPr>
          <w:noProof/>
        </w:rPr>
        <w:t>Dit voorstel is in overeenstemming met het evenredigheidsbeginsel omdat de gevolgen ervan strikt beperkt zijn tot wat nodig is om te voorzien in de uitbreiding tot Turkije van de bestaande cumulatie met betrekking tot producten van Zwitserse en Noorse oorsprong.</w:t>
      </w:r>
    </w:p>
    <w:p>
      <w:pPr>
        <w:pStyle w:val="ManualHeading2"/>
        <w:rPr>
          <w:rFonts w:eastAsia="Arial Unicode MS"/>
          <w:noProof/>
          <w:u w:color="000000"/>
          <w:bdr w:val="nil"/>
        </w:rPr>
      </w:pPr>
      <w:r>
        <w:rPr>
          <w:noProof/>
        </w:rPr>
        <w:t>•</w:t>
      </w:r>
      <w:r>
        <w:rPr>
          <w:noProof/>
        </w:rPr>
        <w:tab/>
        <w:t>Keuze van het instrument</w:t>
      </w:r>
    </w:p>
    <w:p>
      <w:pPr>
        <w:spacing w:before="75" w:after="75"/>
        <w:rPr>
          <w:bCs/>
          <w:noProof/>
        </w:rPr>
      </w:pPr>
      <w:r>
        <w:rPr>
          <w:noProof/>
        </w:rPr>
        <w:t>Overeenkomstig artikel 218, lid 6, van het Verdrag betreffende de werking van de Europese Unie stelt de Raad op voorstel van de onderhandelaar een besluit houdende sluiting van de overeenkomst vast. Dit is een voorstel voor een dergelijk besluit.</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Ex-postevaluaties/geschiktheidscontroles van bestaande wetgeving</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rPr>
        <w:t>•</w:t>
      </w:r>
      <w:r>
        <w:rPr>
          <w:noProof/>
        </w:rPr>
        <w:tab/>
        <w:t>Raadplegingen van belanghebbenden</w:t>
      </w:r>
    </w:p>
    <w:p>
      <w:pPr>
        <w:rPr>
          <w:noProof/>
        </w:rPr>
      </w:pPr>
      <w:r>
        <w:rPr>
          <w:noProof/>
        </w:rPr>
        <w:t>De raadplegingen met de belanghebbende partijen hebben plaats gemaakt voor een overeenkomst die in al haar elementen volledig is aanvaard.</w:t>
      </w:r>
    </w:p>
    <w:p>
      <w:pPr>
        <w:pStyle w:val="ManualHeading2"/>
        <w:rPr>
          <w:rFonts w:eastAsia="Arial Unicode MS"/>
          <w:noProof/>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rPr>
      </w:pPr>
      <w:r>
        <w:rPr>
          <w:noProof/>
        </w:rPr>
        <w:t>Er is met betrekking tot de bijgevoegde routekaart en de richtsnoeren inzake betere regelgeving geen effectbeoordeling uitgevoerd omdat het voorstel betrekking heeft op de cumulatie van de oorsprong tussen de Unie, Zwitserland, Noorwegen en mogelijk Turkije, een systeem dat reeds bestond en dat nu wordt aangepast om te voldoen aan de technische vereisten die de uitvoering van het REX-systeem op 1 januari 2017 met zich mee brengt.</w:t>
      </w:r>
    </w:p>
    <w:p>
      <w:pPr>
        <w:pStyle w:val="ManualHeading2"/>
        <w:rPr>
          <w:rFonts w:eastAsia="Arial Unicode MS"/>
          <w:noProof/>
          <w:u w:color="000000"/>
          <w:bdr w:val="nil"/>
        </w:rPr>
      </w:pPr>
      <w:r>
        <w:rPr>
          <w:noProof/>
        </w:rPr>
        <w:t>•</w:t>
      </w:r>
      <w:r>
        <w:rPr>
          <w:noProof/>
        </w:rPr>
        <w:tab/>
        <w:t>Gezonde regelgeving en vereenvoudiging</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rFonts w:eastAsia="Arial Unicode MS"/>
          <w:noProof/>
        </w:rPr>
      </w:pPr>
      <w:r>
        <w:rPr>
          <w:noProof/>
        </w:rPr>
        <w:t>Het voorstel heeft geen gevolgen voor de bescherming van de grondrechten.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N.v.t.</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monitoring, evaluatie en rapportage</w:t>
      </w:r>
    </w:p>
    <w:p>
      <w:pPr>
        <w:pBdr>
          <w:top w:val="nil"/>
          <w:left w:val="nil"/>
          <w:bottom w:val="nil"/>
          <w:right w:val="nil"/>
          <w:between w:val="nil"/>
          <w:bar w:val="nil"/>
        </w:pBdr>
        <w:spacing w:before="0" w:after="240"/>
        <w:rPr>
          <w:rFonts w:eastAsia="Arial Unicode MS"/>
          <w:noProof/>
        </w:rPr>
      </w:pPr>
      <w:r>
        <w:rPr>
          <w:noProof/>
        </w:rPr>
        <w:t>De maatregel zal regelmatig worden beoordeeld door de partijen, die betrokken zullen zijn bij regelmatige contacten, opleidingssessies en vergaderingen in verband met de tenuitvoerlegging van het REX-systeem.</w:t>
      </w:r>
    </w:p>
    <w:p>
      <w:pPr>
        <w:pStyle w:val="ManualHeading2"/>
        <w:rPr>
          <w:rFonts w:eastAsia="Arial Unicode MS"/>
          <w:noProof/>
          <w:u w:color="000000"/>
          <w:bdr w:val="nil"/>
        </w:rPr>
      </w:pPr>
      <w:r>
        <w:rPr>
          <w:noProof/>
        </w:rPr>
        <w:t>•</w:t>
      </w:r>
      <w:r>
        <w:rPr>
          <w:noProof/>
        </w:rPr>
        <w:tab/>
        <w:t>Toelichtende stukken (voor richtlijnen)</w:t>
      </w:r>
    </w:p>
    <w:p>
      <w:pPr>
        <w:pBdr>
          <w:top w:val="nil"/>
          <w:left w:val="nil"/>
          <w:bottom w:val="nil"/>
          <w:right w:val="nil"/>
          <w:between w:val="nil"/>
          <w:bar w:val="nil"/>
        </w:pBdr>
        <w:spacing w:before="0" w:after="240"/>
        <w:rPr>
          <w:rFonts w:eastAsia="Arial Unicode MS"/>
          <w:noProof/>
        </w:rPr>
      </w:pPr>
      <w:r>
        <w:rPr>
          <w:noProof/>
        </w:rPr>
        <w:t>N.v.t.</w:t>
      </w:r>
    </w:p>
    <w:p>
      <w:pPr>
        <w:pStyle w:val="ManualHeading2"/>
        <w:rPr>
          <w:rFonts w:eastAsia="Arial Unicode MS"/>
          <w:noProof/>
          <w:u w:color="000000"/>
          <w:bdr w:val="nil"/>
        </w:rPr>
      </w:pPr>
      <w:r>
        <w:rPr>
          <w:noProof/>
        </w:rPr>
        <w:t>•</w:t>
      </w:r>
      <w:r>
        <w:rPr>
          <w:noProof/>
        </w:rPr>
        <w:tab/>
        <w:t>Toelichting bij de specifieke bepalingen van het voorstel</w:t>
      </w:r>
    </w:p>
    <w:p>
      <w:pPr>
        <w:autoSpaceDE w:val="0"/>
        <w:autoSpaceDN w:val="0"/>
        <w:adjustRightInd w:val="0"/>
        <w:spacing w:before="0" w:after="0"/>
        <w:rPr>
          <w:noProof/>
        </w:rPr>
      </w:pPr>
      <w:r>
        <w:rPr>
          <w:noProof/>
        </w:rPr>
        <w:t>De vorige overeenkomst in de vorm van een briefwisseling tussen de Gemeenschap en elk van de EVA-landen die tariefpreferenties verleent op grond van het stelsel van algemene preferenties (Noorwegen en Zwitserland) en erin voorziet dat goederen waarin bestanddelen van oorsprong uit Noorwegen of Zwitserland zĳn gebruikt bĳ binnenkomst in het douanegebied van de Gemeenschap worden behandeld als goederen die een component van communautaire oorsprong bevatten, goedgekeurd namens de Europese Gemeenschap (besluit van de Raad van 05.12.2000), dient te worden vervangen door een nieuwe overeenkomst om rekening te houden met de hervorming van de SAP-oorsprongsregels vastgesteld bij Verordening nr. 1063/2010 van 18.11.2010. Na machtiging door de Raad van de Commissie op 8 maart 2012 zijn met Noorwegen over deze nieuwe overeenkomst onderhandelingen gevoerd en afgerond.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2016/0329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tot sluiting van een overeenkomst in de vorm van een briefwisseling tussen de Europese Unie en het Koninkrijk Noorwegen inzake de cumulatie van de oorsprong tussen de Europese Unie, Zwitserland, het Koninkrijk Noorwegen en Turkije in het kader van het stelsel van algemene preferenties van de Europese Unie</w:t>
      </w:r>
    </w:p>
    <w:p>
      <w:pPr>
        <w:pStyle w:val="Institutionquiagit"/>
        <w:rPr>
          <w:noProof/>
        </w:rPr>
      </w:pPr>
      <w:r>
        <w:rPr>
          <w:noProof/>
        </w:rPr>
        <w:t>DE RAAD VAN DE EUROPESE UNIE,</w:t>
      </w:r>
    </w:p>
    <w:p>
      <w:pPr>
        <w:rPr>
          <w:noProof/>
        </w:rPr>
      </w:pPr>
      <w:r>
        <w:rPr>
          <w:noProof/>
        </w:rPr>
        <w:t>Gezien het Verdrag betreffende de werking van de Europese Unie, en met name artikel 207 in samenhang met artikel 218, lid 6, onder a), punt v),</w:t>
      </w:r>
    </w:p>
    <w:p>
      <w:pPr>
        <w:rPr>
          <w:noProof/>
        </w:rPr>
      </w:pPr>
      <w:r>
        <w:rPr>
          <w:noProof/>
        </w:rPr>
        <w:t>Gezien het voorstel van de Europese Commissie,</w:t>
      </w:r>
    </w:p>
    <w:p>
      <w:pPr>
        <w:rPr>
          <w:noProof/>
        </w:rPr>
      </w:pPr>
      <w:r>
        <w:rPr>
          <w:noProof/>
        </w:rPr>
        <w:t xml:space="preserve">Gezien de goedkeuring van het Europees Parlement, </w:t>
      </w:r>
    </w:p>
    <w:p>
      <w:pPr>
        <w:rPr>
          <w:noProof/>
        </w:rPr>
      </w:pPr>
      <w:r>
        <w:rPr>
          <w:noProof/>
        </w:rPr>
        <w:t>Overwegende hetgeen volgt:</w:t>
      </w:r>
    </w:p>
    <w:p>
      <w:pPr>
        <w:pStyle w:val="ManualConsidrant"/>
        <w:rPr>
          <w:noProof/>
        </w:rPr>
      </w:pPr>
      <w:r>
        <w:t>(1)</w:t>
      </w:r>
      <w:r>
        <w:tab/>
      </w:r>
      <w:r>
        <w:rPr>
          <w:noProof/>
        </w:rPr>
        <w:t>Overeenkomstig artikel 41, onder b), van Gedelegeerde Verordening (EU) 2015/2446</w:t>
      </w:r>
      <w:r>
        <w:rPr>
          <w:rStyle w:val="FootnoteReference"/>
          <w:noProof/>
        </w:rPr>
        <w:footnoteReference w:id="1"/>
      </w:r>
      <w:r>
        <w:rPr>
          <w:noProof/>
        </w:rPr>
        <w:t xml:space="preserve"> moeten in Noorwegen, Zwitserland of Turkije verkregen producten waarin materialen zijn verwerkt die daar niet geheel en al zijn verkregen, worden beschouwd als producten van oorsprong uit een begunstigd land, mits deze materialen een toereikende be- of verwerking hebben ondergaan in de zin van artikel 45 van de gedelegeerde verordening (systeem van cumulatie).</w:t>
      </w:r>
    </w:p>
    <w:p>
      <w:pPr>
        <w:pStyle w:val="ManualConsidrant"/>
        <w:rPr>
          <w:noProof/>
        </w:rPr>
      </w:pPr>
      <w:r>
        <w:t>(2)</w:t>
      </w:r>
      <w:r>
        <w:tab/>
      </w:r>
      <w:r>
        <w:rPr>
          <w:noProof/>
        </w:rPr>
        <w:t>Ingevolge artikel 54 van Gedelegeerde Verordening (EU) 2015/2446 van de Commissie is het systeem van cumulatie van toepassing op voorwaarde dat Noorwegen op basis van wederkerigheid producten van oorsprong uit begunstigde landen waarin materialen zijn verwerkt van oorsprong uit de Unie op dezelfde wijze behandelt.</w:t>
      </w:r>
    </w:p>
    <w:p>
      <w:pPr>
        <w:pStyle w:val="ManualConsidrant"/>
        <w:rPr>
          <w:noProof/>
        </w:rPr>
      </w:pPr>
      <w:r>
        <w:t>(3)</w:t>
      </w:r>
      <w:r>
        <w:tab/>
      </w:r>
      <w:r>
        <w:rPr>
          <w:noProof/>
        </w:rPr>
        <w:t>Wat Noorwegen betreft is dit systeem van cumulatie oorspronkelijk ingevoerd via een overeenkomst in de vorm van een briefwisseling tussen de Unie en Noorwegen. Deze briefwisseling heeft plaatsgevonden op 29 januari 2001, nadat de Raad zijn goedkeuring had gegeven bij Besluit 2001/101/EG</w:t>
      </w:r>
      <w:r>
        <w:rPr>
          <w:rStyle w:val="FootnoteReference"/>
          <w:noProof/>
        </w:rPr>
        <w:footnoteReference w:id="2"/>
      </w:r>
      <w:r>
        <w:rPr>
          <w:noProof/>
        </w:rPr>
        <w:t>.</w:t>
      </w:r>
    </w:p>
    <w:p>
      <w:pPr>
        <w:pStyle w:val="ManualConsidrant"/>
        <w:rPr>
          <w:noProof/>
        </w:rPr>
      </w:pPr>
      <w:r>
        <w:t>(4)</w:t>
      </w:r>
      <w:r>
        <w:tab/>
      </w:r>
      <w:r>
        <w:rPr>
          <w:noProof/>
        </w:rPr>
        <w:t>Om de toepassing te verzekeren van een concept oorsprong dat overeenstemt met dat vervat in de oorsprongsregels in het stelsel van algemene preferenties ("SAP") van de Unie, heeft Noorwegen zijn APS-oorsprongsregels gewijzigd. Daarom moet de overeenkomst in de vorm van een briefwisseling tussen de Unie en Noorwegen worden herzien.</w:t>
      </w:r>
    </w:p>
    <w:p>
      <w:pPr>
        <w:pStyle w:val="ManualConsidrant"/>
        <w:rPr>
          <w:noProof/>
        </w:rPr>
      </w:pPr>
      <w:r>
        <w:t>(5)</w:t>
      </w:r>
      <w:r>
        <w:tab/>
      </w:r>
      <w:r>
        <w:rPr>
          <w:noProof/>
        </w:rPr>
        <w:t>Het systeem van wederzijdse aanvaarding van vervangende certificaten van oorsprong, formulier A, door de Unie, Noorwegen en Zwitserland moet op grond van de herziene briefwisseling worden voortgezet en onder voorwaarden door Turkije worden toegepast, teneinde de handel tussen de Unie, Noorwegen, Zwitserland en Turkije te vergemakkelijken.</w:t>
      </w:r>
    </w:p>
    <w:p>
      <w:pPr>
        <w:pStyle w:val="ManualConsidrant"/>
        <w:rPr>
          <w:noProof/>
        </w:rPr>
      </w:pPr>
      <w:r>
        <w:t>(6)</w:t>
      </w:r>
      <w:r>
        <w:tab/>
      </w:r>
      <w:r>
        <w:rPr>
          <w:noProof/>
        </w:rPr>
        <w:t>Bovendien voorzien de oorsprongsregels in het SAP van de Unie in de uitvoering van een nieuw systeem voor het opstellen van bewijzen van oorsprong door geregistreerde exporteurs, dat vanaf 1 januari 2017 moet worden toegepast. Ook in dit opzicht moeten wijzigingen in de briefwisseling worden aangebracht.</w:t>
      </w:r>
    </w:p>
    <w:p>
      <w:pPr>
        <w:pStyle w:val="ManualConsidrant"/>
        <w:rPr>
          <w:noProof/>
        </w:rPr>
      </w:pPr>
      <w:r>
        <w:t>(7)</w:t>
      </w:r>
      <w:r>
        <w:tab/>
      </w:r>
      <w:r>
        <w:rPr>
          <w:noProof/>
        </w:rPr>
        <w:t>Om te anticiperen op de toepassing van dat nieuwe systeem en de desbetreffende regels heeft de Raad de Commissie op 8 maart 2012 gemachtigd om met Noorwegen te onderhandelen over een overeenkomst in de vorm van een briefwisseling die ziet op de wederzijdse aanvaarding van vervangende certificaten van oorsprong, formulier A of vervangende attesten van oorsprong en erin voorziet dat producten waarin bestanddelen van oorsprong uit Noorwegen, Zwitserland of Turkije zĳn gebruikt bĳ binnenkomst in het douanegebied van de Unie moeten worden behandeld als goederen die een component van uniale oorsprong bevatten.</w:t>
      </w:r>
    </w:p>
    <w:p>
      <w:pPr>
        <w:pStyle w:val="ManualConsidrant"/>
        <w:rPr>
          <w:noProof/>
        </w:rPr>
      </w:pPr>
      <w:r>
        <w:t>(8)</w:t>
      </w:r>
      <w:r>
        <w:tab/>
      </w:r>
      <w:r>
        <w:rPr>
          <w:noProof/>
        </w:rPr>
        <w:t xml:space="preserve">De onderhandelingen met Noorwegen zijn gevoerd door de Commissie en hebben geleid tot een overeenkomst in de vorm van een briefwisseling. </w:t>
      </w:r>
    </w:p>
    <w:p>
      <w:pPr>
        <w:pStyle w:val="ManualConsidrant"/>
        <w:rPr>
          <w:noProof/>
        </w:rPr>
      </w:pPr>
      <w:r>
        <w:t>(9)</w:t>
      </w:r>
      <w:r>
        <w:tab/>
      </w:r>
      <w:r>
        <w:rPr>
          <w:noProof/>
        </w:rPr>
        <w:t>De overeenkomst moet namens de Unie worden goedgekeurd,</w:t>
      </w:r>
    </w:p>
    <w:p>
      <w:pPr>
        <w:pStyle w:val="Formuledadoption"/>
        <w:rPr>
          <w:noProof/>
        </w:rPr>
      </w:pPr>
      <w:r>
        <w:rPr>
          <w:noProof/>
        </w:rPr>
        <w:t xml:space="preserve">HEEFT HET VOLGENDE BESLUIT VASTGESTELD: </w:t>
      </w:r>
    </w:p>
    <w:p>
      <w:pPr>
        <w:pStyle w:val="Titrearticle"/>
        <w:rPr>
          <w:noProof/>
        </w:rPr>
      </w:pPr>
      <w:r>
        <w:rPr>
          <w:noProof/>
        </w:rPr>
        <w:t>Artikel 1</w:t>
      </w:r>
    </w:p>
    <w:p>
      <w:pPr>
        <w:spacing w:before="75" w:after="75"/>
        <w:ind w:right="1"/>
        <w:rPr>
          <w:noProof/>
        </w:rPr>
      </w:pPr>
      <w:r>
        <w:rPr>
          <w:noProof/>
        </w:rPr>
        <w:t>De Overeenkomst in de vorm van een briefwisseling tussen de Europese Unie en het Koninkrijk Noorwegen inzake de cumulatie van de oorsprong tussen de Europese Unie, Zwitserland, het Koninkrijk Noorwegen en Turkije in het kader van het stelsel van algemene preferenties van de Europese Unie ("de overeenkomst") wordt namens de Unie goedgekeurd.</w:t>
      </w:r>
    </w:p>
    <w:p>
      <w:pPr>
        <w:rPr>
          <w:noProof/>
        </w:rPr>
      </w:pPr>
      <w:r>
        <w:rPr>
          <w:noProof/>
        </w:rPr>
        <w:t>De tekst van de overeenkomst in de vorm van een briefwisseling is aan dit besluit gehecht.</w:t>
      </w:r>
    </w:p>
    <w:p>
      <w:pPr>
        <w:pStyle w:val="Titrearticle"/>
        <w:keepNext w:val="0"/>
        <w:rPr>
          <w:noProof/>
        </w:rPr>
      </w:pPr>
      <w:r>
        <w:rPr>
          <w:noProof/>
        </w:rPr>
        <w:t>Artikel 2</w:t>
      </w:r>
    </w:p>
    <w:p>
      <w:pPr>
        <w:keepLines/>
        <w:rPr>
          <w:noProof/>
        </w:rPr>
      </w:pPr>
      <w:r>
        <w:rPr>
          <w:noProof/>
        </w:rPr>
        <w:t>De voorzitter van de Raad wijst de persoon aan die gemachtigd is om namens de Europese Unie over te gaan tot de kennisgeving bepaald in lid 18 van de overeenkomst in de vorm van een briefwisseling, teneinde de instemming van de Europese Unie om door de overeenkomst gebonden te zijn tot uitdrukking te brengen</w:t>
      </w:r>
    </w:p>
    <w:p>
      <w:pPr>
        <w:pStyle w:val="Titrearticle"/>
        <w:rPr>
          <w:noProof/>
        </w:rPr>
      </w:pPr>
      <w:r>
        <w:rPr>
          <w:noProof/>
        </w:rPr>
        <w:t>Artikel 3</w:t>
      </w:r>
    </w:p>
    <w:p>
      <w:pPr>
        <w:keepNext/>
        <w:keepLines/>
        <w:rPr>
          <w:noProof/>
        </w:rPr>
      </w:pPr>
      <w:r>
        <w:rPr>
          <w:noProof/>
        </w:rPr>
        <w:t>Dit besluit treedt in werking op 1 januari 2017.</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Gedelegeerde Verordening (EU) 2015/2446 van de Commissie van 28 juli 2015 tot aanvulling van Verordening (EU) nr. 952/2013 van het Europees Parlement en de Raad met nadere regels betreffende een aantal bepalingen van het douanewetboek van de Unie (PB L 343 van 29.12.2015, blz. 1).</w:t>
      </w:r>
    </w:p>
  </w:footnote>
  <w:footnote w:id="2">
    <w:p>
      <w:pPr>
        <w:pStyle w:val="FootnoteText"/>
      </w:pPr>
      <w:r>
        <w:rPr>
          <w:rStyle w:val="FootnoteReference"/>
        </w:rPr>
        <w:footnoteRef/>
      </w:r>
      <w:r>
        <w:tab/>
        <w:t>Besluit 2001/101/EG van de Raad van 5 december 2000 houdende goedkeuring van een overeenkomst in de vorm van een briefwisseling tussen de Europese Gemeenschap en elk van de EVA-landen die tariefpreferenties verlenen in het kader van het Stelsel van algemene preferenties (Noorwegen en Zwitserland), volgens welke goederen waarin bestanddelen van oorsprong uit Noorwegen of Zwitserland zĳn gebruikt, bĳ binnenkomst in het douanegebied van de Gemeenschap worden behandeld als goederen die een component van communautaire oorsprong bevatten (wederkerige overeenkomst) (PB L 38 van 8.2.2001, blz.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289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4E2F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FAE2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146D3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BDE55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BC44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E4CE31C"/>
    <w:lvl w:ilvl="0">
      <w:start w:val="1"/>
      <w:numFmt w:val="decimal"/>
      <w:pStyle w:val="ListNumber"/>
      <w:lvlText w:val="%1."/>
      <w:lvlJc w:val="left"/>
      <w:pPr>
        <w:tabs>
          <w:tab w:val="num" w:pos="360"/>
        </w:tabs>
        <w:ind w:left="360" w:hanging="360"/>
      </w:pPr>
    </w:lvl>
  </w:abstractNum>
  <w:abstractNum w:abstractNumId="7">
    <w:nsid w:val="FFFFFF89"/>
    <w:multiLevelType w:val="singleLevel"/>
    <w:tmpl w:val="BFA0CF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oNotTrackMoves/>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10-19 15:26: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711E90033FD4D448CE1B0D1883A7113"/>
    <w:docVar w:name="LW_CROSSREFERENCE" w:val="&lt;UNUSED&gt;"/>
    <w:docVar w:name="LW_DocType" w:val="COM"/>
    <w:docVar w:name="LW_EMISSION" w:val="21.10.2016"/>
    <w:docVar w:name="LW_EMISSION_ISODATE" w:val="2016-10-21"/>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NLE"/>
    <w:docVar w:name="LW_REF.II.NEW.CP_NUMBER" w:val="0329"/>
    <w:docVar w:name="LW_REF.II.NEW.CP_YEAR" w:val="2016"/>
    <w:docVar w:name="LW_REF.INST.NEW" w:val="COM"/>
    <w:docVar w:name="LW_REF.INST.NEW_ADOPTED" w:val="final"/>
    <w:docVar w:name="LW_REF.INST.NEW_TEXT" w:val="(2016) 668"/>
    <w:docVar w:name="LW_REF.INTERNE" w:val="&lt;UNUSED&gt;"/>
    <w:docVar w:name="LW_SOUS.TITRE.OBJ.CP" w:val="&lt;UNUSED&gt;"/>
    <w:docVar w:name="LW_STATUT.CP" w:val="Voorstel voor een"/>
    <w:docVar w:name="LW_SUPERTITRE" w:val="&lt;UNUSED&gt;"/>
    <w:docVar w:name="LW_TITRE.OBJ.CP" w:val="tot sluiting van een overeenkomst in de vorm van een briefwisseling tussen de Europese Unie en het Koninkrijk Noorwegen inzake de cumulatie van de oorsprong tussen de Europese Unie, Zwitserland, het Koninkrijk Noorwegen en Turkije in het kader van het stelsel van algemene preferenties van de Europese Unie"/>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2CC8-B1B8-4674-B0E3-F9626E22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1301</Words>
  <Characters>7560</Characters>
  <Application>Microsoft Office Word</Application>
  <DocSecurity>0</DocSecurity>
  <Lines>151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dcterms:created xsi:type="dcterms:W3CDTF">2016-10-10T10:01:00Z</dcterms:created>
  <dcterms:modified xsi:type="dcterms:W3CDTF">2016-10-19T13:26:00Z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