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A418F476794C2BB31CF9F00595827E" style="width:450.8pt;height:365.6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Návrh souvisí s reformou pravidel původu v rámci systému GSP z roku 2010 zavedenou nařízením (EU) č. 1063/2010 ze dne 18. listopadu 2010, kterým se změnilo nařízení (EHS) č. 2454/93.</w:t>
      </w:r>
    </w:p>
    <w:p>
      <w:pPr>
        <w:rPr>
          <w:noProof/>
        </w:rPr>
      </w:pPr>
      <w:r>
        <w:rPr>
          <w:noProof/>
        </w:rPr>
        <w:t>Touto reformou bylo do systému kumulace původu, který do té doby fungoval mezi Unií, Švýcarskem a Norskem, podmínečně zahrnuto Turecko.</w:t>
      </w:r>
    </w:p>
    <w:p>
      <w:pPr>
        <w:rPr>
          <w:noProof/>
        </w:rPr>
      </w:pPr>
      <w:r>
        <w:rPr>
          <w:noProof/>
        </w:rPr>
        <w:t>Tato reforma zároveň zavedla nový systém osvědčení o původu vydaných registrovanými vývozci, jehož uplatňování bylo odloženo do 1. ledna 2017.</w:t>
      </w:r>
    </w:p>
    <w:p>
      <w:pPr>
        <w:rPr>
          <w:noProof/>
        </w:rPr>
      </w:pPr>
      <w:r>
        <w:rPr>
          <w:noProof/>
        </w:rPr>
        <w:t>Vzhledem k výše uvedeným skutečnostem je třeba revidovat stávající právní nástroj použitelný pro systém kumulace původu mezi Unií a Norskem. To je cílem tohoto návrhu.</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Návrh je v souladu se společnou obchodní politikou, zejména v celní oblasti, s volným pohybem zboží a s pravidly původu.</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spacing w:before="75" w:after="75"/>
        <w:rPr>
          <w:bCs/>
          <w:noProof/>
        </w:rPr>
      </w:pPr>
      <w:r>
        <w:rPr>
          <w:noProof/>
        </w:rPr>
        <w:t>Smlouva o fungování Evropské unie, a zejména čl. 218 odst. 6 této smlouvy,</w:t>
      </w:r>
      <w:r>
        <w:rPr>
          <w:noProof/>
        </w:rPr>
        <w:br/>
        <w:t>rozhodnutí Rady 2001/101/ES ze dne 5. prosince 2000.</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Návrh souvisí se společnou obchodní politikou, která je ve výlučné pravomoci Unie.</w:t>
      </w:r>
    </w:p>
    <w:p>
      <w:pPr>
        <w:pStyle w:val="ManualHeading2"/>
        <w:rPr>
          <w:rFonts w:eastAsia="Arial Unicode MS"/>
          <w:noProof/>
          <w:u w:color="000000"/>
          <w:bdr w:val="nil"/>
        </w:rPr>
      </w:pPr>
      <w:r>
        <w:rPr>
          <w:noProof/>
        </w:rPr>
        <w:t>•</w:t>
      </w:r>
      <w:r>
        <w:rPr>
          <w:noProof/>
        </w:rPr>
        <w:tab/>
        <w:t>Proporcionalita</w:t>
      </w:r>
    </w:p>
    <w:p>
      <w:pPr>
        <w:spacing w:before="75" w:after="150"/>
        <w:rPr>
          <w:bCs/>
          <w:noProof/>
        </w:rPr>
      </w:pPr>
      <w:r>
        <w:rPr>
          <w:noProof/>
        </w:rPr>
        <w:t>Tento návrh je v souladu se zásadou proporcionality, jelikož jeho účinky jsou přísně omezeny na to, co je nezbytné pro rozšíření kumulace, která funguje ve vztahu k produktům původu ze Švýcarska a Norska, na Turecko.</w:t>
      </w:r>
    </w:p>
    <w:p>
      <w:pPr>
        <w:pStyle w:val="ManualHeading2"/>
        <w:rPr>
          <w:rFonts w:eastAsia="Arial Unicode MS"/>
          <w:noProof/>
          <w:u w:color="000000"/>
          <w:bdr w:val="nil"/>
        </w:rPr>
      </w:pPr>
      <w:r>
        <w:rPr>
          <w:noProof/>
        </w:rPr>
        <w:t>•</w:t>
      </w:r>
      <w:r>
        <w:rPr>
          <w:noProof/>
        </w:rPr>
        <w:tab/>
        <w:t>Volba nástroje</w:t>
      </w:r>
    </w:p>
    <w:p>
      <w:pPr>
        <w:spacing w:before="75" w:after="75"/>
        <w:rPr>
          <w:bCs/>
          <w:noProof/>
        </w:rPr>
      </w:pPr>
      <w:r>
        <w:rPr>
          <w:noProof/>
        </w:rPr>
        <w:t>Podle čl. 218 odst. 6 Smlouvy o fungování Evropské unie přijme Rada na návrh vyjednavače rozhodnutí o uzavření dohody. Toto je návrh takového rozhodnutí.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u w:color="000000"/>
          <w:bdr w:val="nil"/>
        </w:rPr>
      </w:pPr>
      <w:r>
        <w:rPr>
          <w:noProof/>
        </w:rPr>
        <w:t>•</w:t>
      </w:r>
      <w:r>
        <w:rPr>
          <w:noProof/>
        </w:rPr>
        <w:tab/>
        <w:t xml:space="preserve">Hodnocení </w:t>
      </w:r>
      <w:r>
        <w:rPr>
          <w:i/>
          <w:noProof/>
        </w:rPr>
        <w:t>ex post</w:t>
      </w:r>
      <w:r>
        <w:rPr>
          <w:noProof/>
        </w:rPr>
        <w:t xml:space="preserve"> / kontroly účelnosti platných právních předpisů</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2"/>
        <w:rPr>
          <w:rFonts w:eastAsia="Arial Unicode MS"/>
          <w:noProof/>
          <w:u w:color="000000"/>
          <w:bdr w:val="nil"/>
        </w:rPr>
      </w:pPr>
      <w:r>
        <w:rPr>
          <w:noProof/>
        </w:rPr>
        <w:t>•</w:t>
      </w:r>
      <w:r>
        <w:rPr>
          <w:noProof/>
        </w:rPr>
        <w:tab/>
        <w:t>Konzultace se zúčastněnými stranami</w:t>
      </w:r>
    </w:p>
    <w:p>
      <w:pPr>
        <w:rPr>
          <w:noProof/>
        </w:rPr>
      </w:pPr>
      <w:r>
        <w:rPr>
          <w:noProof/>
        </w:rPr>
        <w:t>Z konzultací se zúčastněnými stranami vyplynula dohoda plně vyhovující ve všech jejích aspektech.</w:t>
      </w:r>
    </w:p>
    <w:p>
      <w:pPr>
        <w:pStyle w:val="ManualHeading2"/>
        <w:rPr>
          <w:rFonts w:eastAsia="Arial Unicode MS"/>
          <w:noProof/>
          <w:u w:color="000000"/>
          <w:bdr w:val="nil"/>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Posouzení dopadů nebylo provedeno s odkazem na průvodní plán a pokyny týkající se zlepšování právní úpravy, protože návrh se týká kumulace původu mezi Unií, Švýcarskem, Norskem a případně Tureckem, tedy systému, který již existuje a který se nyní upraví tak, aby splňoval technické požadavky vyplývající ze zavedení systému REX od 1. ledna 2017.</w:t>
      </w:r>
    </w:p>
    <w:p>
      <w:pPr>
        <w:pStyle w:val="ManualHeading2"/>
        <w:rPr>
          <w:rFonts w:eastAsia="Arial Unicode MS"/>
          <w:noProof/>
          <w:u w:color="000000"/>
          <w:bdr w:val="nil"/>
        </w:rPr>
      </w:pPr>
      <w:r>
        <w:rPr>
          <w:noProof/>
        </w:rPr>
        <w:t>•</w:t>
      </w:r>
      <w:r>
        <w:rPr>
          <w:noProof/>
        </w:rPr>
        <w:tab/>
        <w:t>Účelnost a zjednodušování právních předpisů</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2"/>
        <w:rPr>
          <w:rFonts w:eastAsia="Arial Unicode MS"/>
          <w:noProof/>
          <w:u w:color="000000"/>
          <w:bdr w:val="nil"/>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rPr>
        <w:t>Návrh nemá žádné důsledky z hlediska ochrany základních práv.</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monitorování, hodnocení a podávání zpráv</w:t>
      </w:r>
    </w:p>
    <w:p>
      <w:pPr>
        <w:pBdr>
          <w:top w:val="nil"/>
          <w:left w:val="nil"/>
          <w:bottom w:val="nil"/>
          <w:right w:val="nil"/>
          <w:between w:val="nil"/>
          <w:bar w:val="nil"/>
        </w:pBdr>
        <w:spacing w:before="0" w:after="240"/>
        <w:rPr>
          <w:rFonts w:eastAsia="Arial Unicode MS"/>
          <w:noProof/>
        </w:rPr>
      </w:pPr>
      <w:r>
        <w:rPr>
          <w:noProof/>
        </w:rPr>
        <w:t>Opatření budou pravidelně posuzovat smluvní strany, které budou pravidelně v kontaktu a v souvislosti se zavedením systému REX se budou se zúčastňovat školení a jednání.</w:t>
      </w:r>
    </w:p>
    <w:p>
      <w:pPr>
        <w:pStyle w:val="ManualHeading2"/>
        <w:rPr>
          <w:rFonts w:eastAsia="Arial Unicode MS"/>
          <w:noProof/>
          <w:u w:color="000000"/>
          <w:bdr w:val="nil"/>
        </w:rPr>
      </w:pPr>
      <w:r>
        <w:rPr>
          <w:noProof/>
        </w:rPr>
        <w:t>•</w:t>
      </w:r>
      <w:r>
        <w:rPr>
          <w:noProof/>
        </w:rPr>
        <w:tab/>
        <w:t>Informativní dokumenty (u směrnic)</w:t>
      </w:r>
    </w:p>
    <w:p>
      <w:pPr>
        <w:pBdr>
          <w:top w:val="nil"/>
          <w:left w:val="nil"/>
          <w:bottom w:val="nil"/>
          <w:right w:val="nil"/>
          <w:between w:val="nil"/>
          <w:bar w:val="nil"/>
        </w:pBdr>
        <w:spacing w:before="0" w:after="240"/>
        <w:rPr>
          <w:rFonts w:eastAsia="Arial Unicode MS"/>
          <w:noProof/>
        </w:rPr>
      </w:pPr>
      <w:r>
        <w:rPr>
          <w:noProof/>
        </w:rPr>
        <w:t>Nepoužije se.</w:t>
      </w:r>
    </w:p>
    <w:p>
      <w:pPr>
        <w:pStyle w:val="ManualHeading2"/>
        <w:rPr>
          <w:rFonts w:eastAsia="Arial Unicode MS"/>
          <w:noProof/>
          <w:u w:color="000000"/>
          <w:bdr w:val="nil"/>
        </w:rPr>
      </w:pPr>
      <w:r>
        <w:rPr>
          <w:noProof/>
        </w:rPr>
        <w:t>•</w:t>
      </w:r>
      <w:r>
        <w:rPr>
          <w:noProof/>
        </w:rPr>
        <w:tab/>
        <w:t>Podrobné vysvětlení konkrétních ustanovení návrhu</w:t>
      </w:r>
    </w:p>
    <w:p>
      <w:pPr>
        <w:autoSpaceDE w:val="0"/>
        <w:autoSpaceDN w:val="0"/>
        <w:adjustRightInd w:val="0"/>
        <w:spacing w:before="0" w:after="0"/>
        <w:rPr>
          <w:noProof/>
        </w:rPr>
      </w:pPr>
      <w:r>
        <w:rPr>
          <w:noProof/>
        </w:rPr>
        <w:t>Předchozí dohoda ve formě výměny dopisů mezi Společenstvím a každou ze zemí ESVO poskytující celní preference v rámci systému všeobecných preferencí (Norskem a Švýcarskem), kterou se stanoví, že se zbožím se složkou norského nebo švýcarského původu se bude po jeho příchodu na celní území Společenství zacházet jako se zbožím se složkou, která pochází ze Společenství, a která byla schválena jménem Evropského společenství (rozhodnutí Rady ze dne 5. prosince 2000), musí být nahrazena novou dohodou, aby se zohlednila reforma pravidel původu v rámci systému GSP přijatá nařízením č. 1063/2010 ze dne 18. listopadu 2010. Jednání o této nové dohodě byla s Norskem vedena a uzavřena na základě zmocnění, které Rada udělila Komisi dne 8. března 2012.</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2016/0329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o uzavření Dohody ve formě výměny dopisů mezi Evropskou unií a Norským královstvím o kumulaci původu mezi Evropskou unií, Švýcarskem, Norským královstvím a Tureckem v rámci všeobecného systému preferencí Evropské unie</w:t>
      </w:r>
    </w:p>
    <w:p>
      <w:pPr>
        <w:pStyle w:val="Institutionquiagit"/>
        <w:rPr>
          <w:noProof/>
        </w:rPr>
      </w:pPr>
      <w:r>
        <w:rPr>
          <w:noProof/>
        </w:rPr>
        <w:t>RADA EVROPSKÉ UNIE,</w:t>
      </w:r>
    </w:p>
    <w:p>
      <w:pPr>
        <w:rPr>
          <w:noProof/>
        </w:rPr>
      </w:pPr>
      <w:r>
        <w:rPr>
          <w:noProof/>
        </w:rPr>
        <w:t>s ohledem na Smlouvu o fungování Evropské unie, a zejména na článek 207 ve spojení s čl. 218 odst. 6 písm. a) bodem v) této smlouvy,</w:t>
      </w:r>
    </w:p>
    <w:p>
      <w:pPr>
        <w:rPr>
          <w:noProof/>
        </w:rPr>
      </w:pPr>
      <w:r>
        <w:rPr>
          <w:noProof/>
        </w:rPr>
        <w:t>s ohledem na návrh Evropské komise,</w:t>
      </w:r>
    </w:p>
    <w:p>
      <w:pPr>
        <w:rPr>
          <w:noProof/>
        </w:rPr>
      </w:pPr>
      <w:r>
        <w:rPr>
          <w:noProof/>
        </w:rPr>
        <w:t xml:space="preserve">s ohledem na souhlas Evropského parlamentu, </w:t>
      </w:r>
    </w:p>
    <w:p>
      <w:pPr>
        <w:rPr>
          <w:noProof/>
        </w:rPr>
      </w:pPr>
      <w:r>
        <w:rPr>
          <w:noProof/>
        </w:rPr>
        <w:t>vzhledem k těmto důvodům:</w:t>
      </w:r>
    </w:p>
    <w:p>
      <w:pPr>
        <w:pStyle w:val="ManualConsidrant"/>
        <w:rPr>
          <w:noProof/>
        </w:rPr>
      </w:pPr>
      <w:r>
        <w:t>(1)</w:t>
      </w:r>
      <w:r>
        <w:tab/>
      </w:r>
      <w:r>
        <w:rPr>
          <w:noProof/>
        </w:rPr>
        <w:t>Podle čl. 41 písm. b) nařízení Komise v přenesené pravomoci (EU) 2015/2446</w:t>
      </w:r>
      <w:r>
        <w:rPr>
          <w:rStyle w:val="FootnoteReference"/>
          <w:noProof/>
        </w:rPr>
        <w:footnoteReference w:id="1"/>
      </w:r>
      <w:r>
        <w:rPr>
          <w:noProof/>
        </w:rPr>
        <w:t xml:space="preserve"> jsou produkty, které byly získány v Norsku, ve Švýcarsku nebo v Turecku a obsahují materiály, které zde nebyly zcela získány, považovány za produkty mající svůj původ ve zvýhodněné zemi, jestliže byly tyto materiály dostatečně opracovány nebo zpracovány ve smyslu článku 45 uvedeného nařízení v přenesené pravomoci (systém kumulace).</w:t>
      </w:r>
    </w:p>
    <w:p>
      <w:pPr>
        <w:pStyle w:val="ManualConsidrant"/>
        <w:rPr>
          <w:noProof/>
        </w:rPr>
      </w:pPr>
      <w:r>
        <w:t>(2)</w:t>
      </w:r>
      <w:r>
        <w:tab/>
      </w:r>
      <w:r>
        <w:rPr>
          <w:noProof/>
        </w:rPr>
        <w:t>Podle článku 54 nařízení Komise v přenesené pravomoci (EU) 2015/2446 se systém kumulace použije pod podmínkou, že Norsko udělí na základě reciprocity stejné zacházení produktům pocházejícím ze zvýhodněných zemí, které zapracovávají materiály pocházející z Unie.</w:t>
      </w:r>
    </w:p>
    <w:p>
      <w:pPr>
        <w:pStyle w:val="ManualConsidrant"/>
        <w:rPr>
          <w:noProof/>
        </w:rPr>
      </w:pPr>
      <w:r>
        <w:t>(3)</w:t>
      </w:r>
      <w:r>
        <w:tab/>
      </w:r>
      <w:r>
        <w:rPr>
          <w:noProof/>
        </w:rPr>
        <w:t>Pokud jde o Norsko, tento systém kumulace byl původně zaveden prostřednictvím dohody ve formě výměny dopisů mezi Unií a Norskem. Tato výměna dopisů proběhla dne 29. ledna 2001 poté, co ji Rada schválila rozhodnutím 2001/101/ES</w:t>
      </w:r>
      <w:r>
        <w:rPr>
          <w:rStyle w:val="FootnoteReference"/>
          <w:noProof/>
        </w:rPr>
        <w:footnoteReference w:id="2"/>
      </w:r>
      <w:r>
        <w:rPr>
          <w:noProof/>
        </w:rPr>
        <w:t>.</w:t>
      </w:r>
    </w:p>
    <w:p>
      <w:pPr>
        <w:pStyle w:val="ManualConsidrant"/>
        <w:rPr>
          <w:noProof/>
        </w:rPr>
      </w:pPr>
      <w:r>
        <w:t>(4)</w:t>
      </w:r>
      <w:r>
        <w:tab/>
      </w:r>
      <w:r>
        <w:rPr>
          <w:noProof/>
        </w:rPr>
        <w:t>Aby zajistilo uplatňování pojmu původ odpovídajícího pojmu definovanému v pravidlech původu v rámci systému všeobecných celních preferencí („GSP“) Unie, změnilo Norsko svá pravidla původu v rámci systému GSP. Proto je nezbytné dohodu ve formě výměny dopisů mezi Unií a Norskem revidovat.</w:t>
      </w:r>
    </w:p>
    <w:p>
      <w:pPr>
        <w:pStyle w:val="ManualConsidrant"/>
        <w:rPr>
          <w:noProof/>
        </w:rPr>
      </w:pPr>
      <w:r>
        <w:t>(5)</w:t>
      </w:r>
      <w:r>
        <w:tab/>
      </w:r>
      <w:r>
        <w:rPr>
          <w:noProof/>
        </w:rPr>
        <w:t>Systém vzájemného uznávání náhradních osvědčení o původu zboží na tiskopise A Unií, Norskem a Švýcarskem by měl podle revidované výměny dopisů pokračovat a měl by být podmíněně uplatňován Tureckem, aby se usnadnil obchod mezi Unií, Norskem, Švýcarskem a Tureckem.</w:t>
      </w:r>
    </w:p>
    <w:p>
      <w:pPr>
        <w:pStyle w:val="ManualConsidrant"/>
        <w:rPr>
          <w:noProof/>
        </w:rPr>
      </w:pPr>
      <w:r>
        <w:t>(6)</w:t>
      </w:r>
      <w:r>
        <w:tab/>
      </w:r>
      <w:r>
        <w:rPr>
          <w:noProof/>
        </w:rPr>
        <w:t>Pravidla původu v rámci systému GSP Unie navíc počítají se zavedením nového systému pro vydávání dokladů o původu registrovanými vývozci, který se použije ode dne 1. ledna 2017. Změny v dohodě ve formě výměny dopisů je třeba provést i v tomto ohledu.</w:t>
      </w:r>
    </w:p>
    <w:p>
      <w:pPr>
        <w:pStyle w:val="ManualConsidrant"/>
        <w:rPr>
          <w:noProof/>
        </w:rPr>
      </w:pPr>
      <w:r>
        <w:t>(7)</w:t>
      </w:r>
      <w:r>
        <w:tab/>
      </w:r>
      <w:r>
        <w:rPr>
          <w:noProof/>
        </w:rPr>
        <w:t>Při přípravě na uplatňování tohoto nového systému a s ním souvisejících pravidel zmocnila Rada dne 8. března 2012 Komisi ke sjednání dohody ve formě výměny dopisů s Norskem, která se týká vzájemného uznávání náhradních osvědčení o původu zboží na tiskopise A nebo náhradních deklarací o původu a stanoví, že s produkty se složkou norského, švýcarského nebo tureckého původu se má po jejich příchodu na celní území Unie zacházet jako s produkty se složkou, která pochází z Unie.</w:t>
      </w:r>
    </w:p>
    <w:p>
      <w:pPr>
        <w:pStyle w:val="ManualConsidrant"/>
        <w:rPr>
          <w:noProof/>
        </w:rPr>
      </w:pPr>
      <w:r>
        <w:t>(8)</w:t>
      </w:r>
      <w:r>
        <w:tab/>
      </w:r>
      <w:r>
        <w:rPr>
          <w:noProof/>
        </w:rPr>
        <w:t xml:space="preserve">Jednání s Norskem vedená Komisí vyústila v dohodu ve formě výměny dopisů. </w:t>
      </w:r>
    </w:p>
    <w:p>
      <w:pPr>
        <w:pStyle w:val="ManualConsidrant"/>
        <w:rPr>
          <w:noProof/>
        </w:rPr>
      </w:pPr>
      <w:r>
        <w:t>(9)</w:t>
      </w:r>
      <w:r>
        <w:tab/>
      </w:r>
      <w:r>
        <w:rPr>
          <w:noProof/>
        </w:rPr>
        <w:t>Dohoda by měla být schválena jménem Unie,</w:t>
      </w:r>
    </w:p>
    <w:p>
      <w:pPr>
        <w:pStyle w:val="Formuledadoption"/>
        <w:rPr>
          <w:noProof/>
        </w:rPr>
      </w:pPr>
      <w:r>
        <w:rPr>
          <w:noProof/>
        </w:rPr>
        <w:t xml:space="preserve">PŘIJALA TOTO ROZHODNUTÍ: </w:t>
      </w:r>
    </w:p>
    <w:p>
      <w:pPr>
        <w:pStyle w:val="Titrearticle"/>
        <w:rPr>
          <w:noProof/>
        </w:rPr>
      </w:pPr>
      <w:r>
        <w:rPr>
          <w:noProof/>
        </w:rPr>
        <w:t>Článek 1</w:t>
      </w:r>
    </w:p>
    <w:p>
      <w:pPr>
        <w:spacing w:before="75" w:after="75"/>
        <w:ind w:right="1"/>
        <w:rPr>
          <w:noProof/>
        </w:rPr>
      </w:pPr>
      <w:r>
        <w:rPr>
          <w:noProof/>
        </w:rPr>
        <w:t>Dohoda ve formě výměny dopisů mezi Evropskou unií a Norským královstvím o kumulaci původu mezi Evropskou unií, Švýcarskem, Norským královstvím a Tureckem v rámci všeobecného systému preferencí Evropské unie (dále jen „dohoda“) se schvaluje jménem Unie.</w:t>
      </w:r>
    </w:p>
    <w:p>
      <w:pPr>
        <w:rPr>
          <w:noProof/>
        </w:rPr>
      </w:pPr>
      <w:r>
        <w:rPr>
          <w:noProof/>
        </w:rPr>
        <w:t>Znění dohody ve formě výměny dopisů se připojuje k tomuto rozhodnutí.</w:t>
      </w:r>
    </w:p>
    <w:p>
      <w:pPr>
        <w:pStyle w:val="Titrearticle"/>
        <w:keepNext w:val="0"/>
        <w:rPr>
          <w:noProof/>
        </w:rPr>
      </w:pPr>
      <w:r>
        <w:rPr>
          <w:noProof/>
        </w:rPr>
        <w:t>Článek 2</w:t>
      </w:r>
    </w:p>
    <w:p>
      <w:pPr>
        <w:keepLines/>
        <w:rPr>
          <w:noProof/>
        </w:rPr>
      </w:pPr>
      <w:r>
        <w:rPr>
          <w:noProof/>
        </w:rPr>
        <w:t>Předseda Rady jmenuje osobu zmocněnou učinit jménem Evropské unie oznámení uvedené v bodě 18 dohody ve formě výměny dopisů, a vyjádřit tím souhlas Evropské unie s tím, aby byla touto dohodou vázána.</w:t>
      </w:r>
    </w:p>
    <w:p>
      <w:pPr>
        <w:pStyle w:val="Titrearticle"/>
        <w:rPr>
          <w:noProof/>
        </w:rPr>
      </w:pPr>
      <w:r>
        <w:rPr>
          <w:noProof/>
        </w:rPr>
        <w:t>Článek 3</w:t>
      </w:r>
    </w:p>
    <w:p>
      <w:pPr>
        <w:keepLines/>
        <w:rPr>
          <w:noProof/>
        </w:rPr>
      </w:pPr>
      <w:r>
        <w:rPr>
          <w:noProof/>
        </w:rPr>
        <w:t>Toto rozhodnutí vstupuje v platnost dnem 1. ledna 2017.</w:t>
      </w:r>
    </w:p>
    <w:p>
      <w:pPr>
        <w:pStyle w:val="Fait"/>
        <w:rPr>
          <w:noProof/>
        </w:rPr>
      </w:pPr>
      <w:r>
        <w:rPr>
          <w:noProof/>
        </w:rPr>
        <w:t>V Bruselu dne</w:t>
      </w:r>
    </w:p>
    <w:p>
      <w:pPr>
        <w:pStyle w:val="Institutionquisigne"/>
        <w:rPr>
          <w:noProof/>
        </w:rPr>
      </w:pPr>
      <w:r>
        <w:rPr>
          <w:noProof/>
        </w:rPr>
        <w:tab/>
        <w:t>Za Radu</w:t>
      </w:r>
    </w:p>
    <w:p>
      <w:pPr>
        <w:pStyle w:val="Personnequisigne"/>
        <w:rPr>
          <w:noProof/>
        </w:rPr>
      </w:pPr>
      <w:r>
        <w:rPr>
          <w:noProof/>
        </w:rPr>
        <w:tab/>
        <w:t>předseda / 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Nařízení Komise v přenesené pravomoci (EU) 2015/2446 ze dne 28. července 2015, kterým se doplňuje nařízení Evropského parlamentu a Rady (EU) č. 952/2013, pokud jde o podrobná pravidla k některým ustanovením celního kodexu Unie (Úř. věst. L 343, 29.12.2015, s. 1).</w:t>
      </w:r>
    </w:p>
  </w:footnote>
  <w:footnote w:id="2">
    <w:p>
      <w:pPr>
        <w:pStyle w:val="FootnoteText"/>
      </w:pPr>
      <w:r>
        <w:rPr>
          <w:rStyle w:val="FootnoteReference"/>
        </w:rPr>
        <w:footnoteRef/>
      </w:r>
      <w:r>
        <w:tab/>
        <w:t>Rozhodnutí Rady 2001/101/ES ze dne 5. prosince 2000 o schválení dohody ve formě výměny dopisů mezi Evropským společenstvím a každou ze zemí ESVO poskytující celní preference v rámci systému všeobecných preferencí (Norskem a Švýcarskem), kterou se stanoví, že se zbožím se složkou norského nebo švýcarského původu se bude po jeho příchodu na celní území Společenství zacházet jako se zbožím se složkou, která pochází ze Společenství (dohoda o vzájemnosti) (Úř. věst. L 38, 8.2.2001, s.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289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4E2F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FAE2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46D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E55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BC44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E4CE31C"/>
    <w:lvl w:ilvl="0">
      <w:start w:val="1"/>
      <w:numFmt w:val="decimal"/>
      <w:pStyle w:val="ListNumber"/>
      <w:lvlText w:val="%1."/>
      <w:lvlJc w:val="left"/>
      <w:pPr>
        <w:tabs>
          <w:tab w:val="num" w:pos="360"/>
        </w:tabs>
        <w:ind w:left="360" w:hanging="360"/>
      </w:pPr>
    </w:lvl>
  </w:abstractNum>
  <w:abstractNum w:abstractNumId="7">
    <w:nsid w:val="FFFFFF89"/>
    <w:multiLevelType w:val="singleLevel"/>
    <w:tmpl w:val="BFA0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oNotTrackMoves/>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10-19 15:26: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2A418F476794C2BB31CF9F00595827E"/>
    <w:docVar w:name="LW_CROSSREFERENCE" w:val="&lt;UNUSED&gt;"/>
    <w:docVar w:name="LW_DocType" w:val="COM"/>
    <w:docVar w:name="LW_EMISSION" w:val="21.10.2016"/>
    <w:docVar w:name="LW_EMISSION_ISODATE" w:val="2016-10-21"/>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NLE"/>
    <w:docVar w:name="LW_REF.II.NEW.CP_NUMBER" w:val="0329"/>
    <w:docVar w:name="LW_REF.II.NEW.CP_YEAR" w:val="2016"/>
    <w:docVar w:name="LW_REF.INST.NEW" w:val="COM"/>
    <w:docVar w:name="LW_REF.INST.NEW_ADOPTED" w:val="final"/>
    <w:docVar w:name="LW_REF.INST.NEW_TEXT" w:val="(2016) 668"/>
    <w:docVar w:name="LW_REF.INTERNE" w:val="&lt;UNUSED&gt;"/>
    <w:docVar w:name="LW_SOUS.TITRE.OBJ.CP" w:val="&lt;UNUSED&gt;"/>
    <w:docVar w:name="LW_STATUT.CP" w:val="Návrh"/>
    <w:docVar w:name="LW_SUPERTITRE" w:val="&lt;UNUSED&gt;"/>
    <w:docVar w:name="LW_TITRE.OBJ.CP" w:val="o uzav\u345?ení Dohody ve form\u283? vým\u283?ny dopis\u367? mezi Evropskou unií a Norským královstvím o kumulaci p\u367?vodu mezi Evropskou unií, \u352?výcarskem, Norským královstvím a Tureckem v rámci v\u353?eobecného systému preferencí Evropské unie"/>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5</Pages>
  <Words>1084</Words>
  <Characters>6104</Characters>
  <Application>Microsoft Office Word</Application>
  <DocSecurity>0</DocSecurity>
  <Lines>132</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dcterms:created xsi:type="dcterms:W3CDTF">2016-10-14T08:59:00Z</dcterms:created>
  <dcterms:modified xsi:type="dcterms:W3CDTF">2016-10-19T13:26:00Z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