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0FD3DA42130490C9D2146780AE72E80" style="width:450.75pt;height:379.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Šis priekšlikums tiek iesniegts saistībā ar reformu 2010. gada VPS izcelsmes noteikumos, kuri tika ieviesti ar Padomes 2010. gada 18. novembra Regulu (ES) Nr. 1063/2010, ar ko grozīja Regulu (EEK) Nr. 2454/93.</w:t>
      </w:r>
    </w:p>
    <w:p>
      <w:pPr>
        <w:rPr>
          <w:noProof/>
        </w:rPr>
      </w:pPr>
      <w:r>
        <w:rPr>
          <w:noProof/>
        </w:rPr>
        <w:t>Reforma ar nosacījumiem ietvēra Turciju izcelsmes kumulācijas sistēmā, kas līdz tam laikam tika piemērota starp Savienību, Šveici un Norvēģiju.</w:t>
      </w:r>
    </w:p>
    <w:p>
      <w:pPr>
        <w:rPr>
          <w:noProof/>
        </w:rPr>
      </w:pPr>
      <w:r>
        <w:rPr>
          <w:noProof/>
        </w:rPr>
        <w:t>Ar šo reformu ieviesa arī jaunu reģistrēto eksportētāju izcelsmes sertifikācijas sistēmu, kuras piemērošana ir atlikta līdz 2017. gada 1. janvārim.</w:t>
      </w:r>
    </w:p>
    <w:p>
      <w:pPr>
        <w:rPr>
          <w:noProof/>
        </w:rPr>
      </w:pPr>
      <w:r>
        <w:rPr>
          <w:noProof/>
        </w:rPr>
        <w:t>Pamatojoties uz iepriekš minētajiem elementiem, ir jāpārskata pašreizējais juridiskais instruments, ko piemēro izcelsmes kumulācijas sistēmai starp Savienību un Norvēģiju. Tas ir šā priekšlikuma mērķis.</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rPr>
        <w:tab/>
        <w:t>Saskanība ar pašreizējiem noteikumiem konkrētajā politikas jomā</w:t>
      </w:r>
    </w:p>
    <w:p>
      <w:pPr>
        <w:pBdr>
          <w:top w:val="nil"/>
          <w:left w:val="nil"/>
          <w:bottom w:val="nil"/>
          <w:right w:val="nil"/>
          <w:between w:val="nil"/>
          <w:bar w:val="nil"/>
        </w:pBdr>
        <w:spacing w:before="0" w:after="240"/>
        <w:rPr>
          <w:rFonts w:eastAsia="Arial Unicode MS"/>
          <w:noProof/>
        </w:rPr>
      </w:pPr>
      <w:r>
        <w:rPr>
          <w:noProof/>
        </w:rPr>
        <w:t>Priekšlikums atbilst kopējai tirdzniecības politikai, it īpaši muitas, preču brīvas aprites un izcelsmes noteikumu jomā.</w:t>
      </w:r>
    </w:p>
    <w:p>
      <w:pPr>
        <w:pStyle w:val="ManualHeading2"/>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rFonts w:eastAsia="Arial Unicode MS"/>
          <w:noProof/>
        </w:rPr>
      </w:pPr>
      <w:r>
        <w:rPr>
          <w:noProof/>
        </w:rPr>
        <w:t>Nepiemēro.</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spacing w:before="75" w:after="75"/>
        <w:rPr>
          <w:bCs/>
          <w:noProof/>
        </w:rPr>
      </w:pPr>
      <w:r>
        <w:rPr>
          <w:noProof/>
        </w:rPr>
        <w:t>Līgums par Eiropas Savienības darbību, jo īpaši tā 218. panta 6. punkts;</w:t>
      </w:r>
      <w:r>
        <w:rPr>
          <w:noProof/>
        </w:rPr>
        <w:br/>
        <w:t>Padomes 2000. gada 5. decembra Lēmums Nr. 2001/101/EK.</w:t>
      </w:r>
    </w:p>
    <w:p>
      <w:pPr>
        <w:pStyle w:val="ManualHeading2"/>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Priekšlikums ir saistīts ar kopējo tirdzniecības politiku, kas ir Savienības ekskluzīvā kompetencē.</w:t>
      </w:r>
    </w:p>
    <w:p>
      <w:pPr>
        <w:pStyle w:val="ManualHeading2"/>
        <w:rPr>
          <w:rFonts w:eastAsia="Arial Unicode MS"/>
          <w:noProof/>
          <w:u w:color="000000"/>
          <w:bdr w:val="nil"/>
        </w:rPr>
      </w:pPr>
      <w:r>
        <w:rPr>
          <w:noProof/>
        </w:rPr>
        <w:t>•</w:t>
      </w:r>
      <w:r>
        <w:rPr>
          <w:noProof/>
        </w:rPr>
        <w:tab/>
        <w:t>Proporcionalitāte</w:t>
      </w:r>
    </w:p>
    <w:p>
      <w:pPr>
        <w:spacing w:before="75" w:after="150"/>
        <w:rPr>
          <w:bCs/>
          <w:noProof/>
        </w:rPr>
      </w:pPr>
      <w:r>
        <w:rPr>
          <w:noProof/>
        </w:rPr>
        <w:t>Šis priekšlikums ir saskaņā ar proporcionalitātes principu, jo tā ietekme stingri aprobežojas ar to, kas nepieciešams, lai arī uz Turciju attiecinātu kumulāciju, kas pastāv attiecībā uz Šveices un Norvēģijas izcelsmes produktiem.</w:t>
      </w:r>
    </w:p>
    <w:p>
      <w:pPr>
        <w:pStyle w:val="ManualHeading2"/>
        <w:rPr>
          <w:rFonts w:eastAsia="Arial Unicode MS"/>
          <w:noProof/>
          <w:u w:color="000000"/>
          <w:bdr w:val="nil"/>
        </w:rPr>
      </w:pPr>
      <w:r>
        <w:rPr>
          <w:noProof/>
        </w:rPr>
        <w:t>•</w:t>
      </w:r>
      <w:r>
        <w:rPr>
          <w:noProof/>
        </w:rPr>
        <w:tab/>
        <w:t>Instrumenta izvēle</w:t>
      </w:r>
    </w:p>
    <w:p>
      <w:pPr>
        <w:spacing w:before="75" w:after="75"/>
        <w:rPr>
          <w:bCs/>
          <w:noProof/>
        </w:rPr>
      </w:pPr>
      <w:r>
        <w:rPr>
          <w:noProof/>
        </w:rPr>
        <w:t>Saskaņā ar 218. panta 6. punktu Līgumā par Eiropas Savienības darbību Padome pieņem lēmumu, ar kuru atļauj noslēgt nolīgumu pēc sarunu vadītāja priekšlikuma. Šis ir priekšlikums šādam lēmumam.</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Apspriešanās ar ieinteresētajām personām</w:t>
      </w:r>
    </w:p>
    <w:p>
      <w:pPr>
        <w:rPr>
          <w:noProof/>
        </w:rPr>
      </w:pPr>
      <w:r>
        <w:rPr>
          <w:noProof/>
        </w:rPr>
        <w:t>Apspriežoties ar ieinteresētajām personām, ir panākta pilnīga piekrišana visiem nolīguma elementiem.</w:t>
      </w:r>
    </w:p>
    <w:p>
      <w:pPr>
        <w:pStyle w:val="ManualHeading2"/>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rFonts w:eastAsia="Arial Unicode MS"/>
          <w:noProof/>
        </w:rPr>
      </w:pPr>
      <w:r>
        <w:rPr>
          <w:noProof/>
        </w:rPr>
        <w:t xml:space="preserve">Atsaucoties uz pievienoto ceļvedi un labāka regulējuma pamatnostādnēm, ietekmes novērtējums netika veikts, jo priekšlikums attiecas uz izcelsmes kumulēšanu starp Savienību, Šveici, Norvēģiju un, iespējams, Turciju, uz sistēmu, kas pastāvēja jau agrāk un kas tagad ir pielāgota, lai atbilstu tehniskajām prasībām, kas izriet no </w:t>
      </w:r>
      <w:r>
        <w:rPr>
          <w:i/>
          <w:noProof/>
        </w:rPr>
        <w:t>REX</w:t>
      </w:r>
      <w:r>
        <w:rPr>
          <w:noProof/>
        </w:rPr>
        <w:t xml:space="preserve"> sistēmas ieviešanas no 2017. gada 1. janvāra.</w:t>
      </w:r>
    </w:p>
    <w:p>
      <w:pPr>
        <w:pStyle w:val="ManualHeading2"/>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Šim priekšlikumam nav ietekmes uz pamattiesību aizsardzību.</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Nepiemēro.</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rFonts w:eastAsia="Arial Unicode MS"/>
          <w:noProof/>
        </w:rPr>
      </w:pPr>
      <w:r>
        <w:rPr>
          <w:noProof/>
        </w:rPr>
        <w:t xml:space="preserve">Pasākumu regulāri novērtēs puses, kas uzturēs regulāru saziņu, kā arī rīkos apmācības un sanāksmes saistībā ar </w:t>
      </w:r>
      <w:r>
        <w:rPr>
          <w:i/>
          <w:noProof/>
        </w:rPr>
        <w:t>REX</w:t>
      </w:r>
      <w:r>
        <w:rPr>
          <w:noProof/>
        </w:rPr>
        <w:t xml:space="preserve"> sistēmas īstenošanu.</w:t>
      </w:r>
    </w:p>
    <w:p>
      <w:pPr>
        <w:pStyle w:val="ManualHeading2"/>
        <w:rPr>
          <w:rFonts w:eastAsia="Arial Unicode MS"/>
          <w:noProof/>
          <w:u w:color="000000"/>
          <w:bdr w:val="nil"/>
        </w:rPr>
      </w:pPr>
      <w:r>
        <w:rPr>
          <w:noProof/>
        </w:rPr>
        <w:t>•</w:t>
      </w:r>
      <w:r>
        <w:rPr>
          <w:noProof/>
        </w:rPr>
        <w:tab/>
        <w:t>Skaidrojošie dokumenti (direktīvām)</w:t>
      </w:r>
    </w:p>
    <w:p>
      <w:pPr>
        <w:pBdr>
          <w:top w:val="nil"/>
          <w:left w:val="nil"/>
          <w:bottom w:val="nil"/>
          <w:right w:val="nil"/>
          <w:between w:val="nil"/>
          <w:bar w:val="nil"/>
        </w:pBdr>
        <w:spacing w:before="0" w:after="240"/>
        <w:rPr>
          <w:rFonts w:eastAsia="Arial Unicode MS"/>
          <w:noProof/>
        </w:rPr>
      </w:pPr>
      <w:r>
        <w:rPr>
          <w:noProof/>
        </w:rPr>
        <w:t>Nepiemēro.</w:t>
      </w:r>
    </w:p>
    <w:p>
      <w:pPr>
        <w:pStyle w:val="ManualHeading2"/>
        <w:rPr>
          <w:rFonts w:eastAsia="Arial Unicode MS"/>
          <w:noProof/>
          <w:u w:color="000000"/>
          <w:bdr w:val="nil"/>
        </w:rPr>
      </w:pPr>
      <w:r>
        <w:rPr>
          <w:noProof/>
        </w:rPr>
        <w:t>•</w:t>
      </w:r>
      <w:r>
        <w:rPr>
          <w:noProof/>
        </w:rPr>
        <w:tab/>
        <w:t>Konkrēto priekšlikuma noteikumu detalizēts skaidrojums</w:t>
      </w:r>
    </w:p>
    <w:p>
      <w:pPr>
        <w:autoSpaceDE w:val="0"/>
        <w:autoSpaceDN w:val="0"/>
        <w:adjustRightInd w:val="0"/>
        <w:spacing w:before="0" w:after="0"/>
        <w:rPr>
          <w:noProof/>
        </w:rPr>
      </w:pPr>
      <w:r>
        <w:rPr>
          <w:noProof/>
        </w:rPr>
        <w:t>Iepriekšējais Nolīgums vēstuļu apmaiņas veidā starp Kopienu un katru no EBTA valstīm, ar kuru saskaņā ar vispārējo preferenču sistēmu (Norvēģija un Šveice) piešķir tarifa preferences ar noteikumu, ka preces ar Norvēģijas vai Šveices izcelsmes saturu, tām nonākot Kopienas muitas teritorijā, pielīdzina precēm ar Kopienas izcelsmes saturu, kas apstiprināts Eiropas Kopienas vārdā (Padomes 2000. gada 5. decembra Lēmums), ir jāaizstāj ar jaunu nolīgumu, lai ņemtu vērā reformu VPS izcelsmes noteikumos, kas pieņemti ar 2010. gada 18. novembra Regulu Nr. 1063/2010. Saskaņā ar pilnvarām, ko Padome 2012. gada 8. martā piešķīra Komisijai, ar Norvēģiju tika risinātas un noslēgtas sarunas par šo jauno nolīgumu.</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2016/0329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to, lai noslēgtu Nolīgumu vēstuļu apmaiņas veidā starp Eiropas Savienību un Norvēģijas Karalisti par izcelsmes kumulāciju starp Eiropas Savienību, Šveici, Norvēģijas Karalisti un Turciju Eiropas Savienības vispārējo preferenču sistēmas ietvaros</w:t>
      </w:r>
    </w:p>
    <w:p>
      <w:pPr>
        <w:pStyle w:val="Institutionquiagit"/>
        <w:rPr>
          <w:noProof/>
        </w:rPr>
      </w:pPr>
      <w:r>
        <w:rPr>
          <w:noProof/>
        </w:rPr>
        <w:t>EIROPAS SAVIENĪBAS PADOME,</w:t>
      </w:r>
    </w:p>
    <w:p>
      <w:pPr>
        <w:rPr>
          <w:noProof/>
        </w:rPr>
      </w:pPr>
      <w:r>
        <w:rPr>
          <w:noProof/>
        </w:rPr>
        <w:t>ņemot vērā Līgumu par Eiropas Savienības darbību un jo īpaši tā 207. pantu saistībā ar 218. panta 6. punkta a) apakšpunkta v) daļu,</w:t>
      </w:r>
    </w:p>
    <w:p>
      <w:pPr>
        <w:rPr>
          <w:noProof/>
        </w:rPr>
      </w:pPr>
      <w:r>
        <w:rPr>
          <w:noProof/>
        </w:rPr>
        <w:t>ņemot vērā Eiropas Komisijas priekšlikumu,</w:t>
      </w:r>
    </w:p>
    <w:p>
      <w:pPr>
        <w:rPr>
          <w:noProof/>
        </w:rPr>
      </w:pPr>
      <w:r>
        <w:rPr>
          <w:noProof/>
        </w:rPr>
        <w:t xml:space="preserve">ņemot vērā Eiropas Parlamenta piekrišanu, </w:t>
      </w:r>
    </w:p>
    <w:p>
      <w:pPr>
        <w:rPr>
          <w:noProof/>
        </w:rPr>
      </w:pPr>
      <w:r>
        <w:rPr>
          <w:noProof/>
        </w:rPr>
        <w:t>tā kā:</w:t>
      </w:r>
    </w:p>
    <w:p>
      <w:pPr>
        <w:pStyle w:val="ManualConsidrant"/>
        <w:rPr>
          <w:noProof/>
        </w:rPr>
      </w:pPr>
      <w:r>
        <w:t>(1)</w:t>
      </w:r>
      <w:r>
        <w:tab/>
      </w:r>
      <w:r>
        <w:rPr>
          <w:noProof/>
        </w:rPr>
        <w:t>Saskaņā ar Komisijas Deleģētās Regulas (ES) 2015/2446</w:t>
      </w:r>
      <w:r>
        <w:rPr>
          <w:rStyle w:val="FootnoteReference"/>
          <w:noProof/>
        </w:rPr>
        <w:footnoteReference w:id="1"/>
      </w:r>
      <w:r>
        <w:rPr>
          <w:noProof/>
        </w:rPr>
        <w:t xml:space="preserve"> 41. panta b) punktu Norvēģijā, Šveicē vai Turcijā iegūtus produktus, kuru sastāvā ir materiāli, kas nav tur iegūti pilnībā, uzskata par produktiem, kuru izcelsme ir saņēmējā valstī, ar nosacījumu, ka šie materiāli ir pietiekami apstrādāti vai pārstrādāti minētās Deleģētās Regulas 45. panta nozīmē (kumulācijas sistēma).</w:t>
      </w:r>
    </w:p>
    <w:p>
      <w:pPr>
        <w:pStyle w:val="ManualConsidrant"/>
        <w:rPr>
          <w:noProof/>
        </w:rPr>
      </w:pPr>
      <w:r>
        <w:t>(2)</w:t>
      </w:r>
      <w:r>
        <w:tab/>
      </w:r>
      <w:r>
        <w:rPr>
          <w:noProof/>
        </w:rPr>
        <w:t>Saskaņā ar 54. pantu Komisijas Deleģētajā Regulā (ES) 2015/2446 kumulācijas sistēmu piemēro ar nosacījumu, ka Norvēģija pēc savstarpības principa piemēro tādu pašu režīmu produktiem, kuru izcelsme ir saņēmējās valstīs un kuru sastāvā ir materiāli, kuru izcelsme ir Savienībā.</w:t>
      </w:r>
    </w:p>
    <w:p>
      <w:pPr>
        <w:pStyle w:val="ManualConsidrant"/>
        <w:rPr>
          <w:noProof/>
        </w:rPr>
      </w:pPr>
      <w:r>
        <w:t>(3)</w:t>
      </w:r>
      <w:r>
        <w:tab/>
      </w:r>
      <w:r>
        <w:rPr>
          <w:noProof/>
        </w:rPr>
        <w:t>Attiecībā uz Norvēģiju šī kumulatīvā sistēma sākotnēji tika ieviesta ar Nolīgumu vēstuļu apmaiņas veidā starp Eiropas Savienību un Norvēģiju. Minētā vēstuļu apmaiņa notika 2001. gada 29. janvārī pēc tam, kad Padome bija sniegusi piekrišanu ar Lēmumu 2001/101/EK</w:t>
      </w:r>
      <w:r>
        <w:rPr>
          <w:rStyle w:val="FootnoteReference"/>
          <w:noProof/>
        </w:rPr>
        <w:footnoteReference w:id="2"/>
      </w:r>
      <w:r>
        <w:rPr>
          <w:noProof/>
        </w:rPr>
        <w:t>.</w:t>
      </w:r>
    </w:p>
    <w:p>
      <w:pPr>
        <w:pStyle w:val="ManualConsidrant"/>
        <w:rPr>
          <w:noProof/>
        </w:rPr>
      </w:pPr>
      <w:r>
        <w:t>(4)</w:t>
      </w:r>
      <w:r>
        <w:tab/>
      </w:r>
      <w:r>
        <w:rPr>
          <w:noProof/>
        </w:rPr>
        <w:t>Lai nodrošinātu, ka tiek piemērots izcelsmes jēdziens, kas atbilst Savienības vispārējo preferenču sistēmas ("VPS") izcelsmes noteikumiem, Norvēģija ir grozījusi savus VPS izcelsmes noteikumus. Tādēļ ir nepieciešams pārskatīt Nolīgumu vēstuļu apmaiņas veidā starp Eiropas Savienību un Norvēģiju.</w:t>
      </w:r>
    </w:p>
    <w:p>
      <w:pPr>
        <w:pStyle w:val="ManualConsidrant"/>
        <w:rPr>
          <w:noProof/>
        </w:rPr>
      </w:pPr>
      <w:r>
        <w:t>(5)</w:t>
      </w:r>
      <w:r>
        <w:tab/>
      </w:r>
      <w:r>
        <w:rPr>
          <w:noProof/>
        </w:rPr>
        <w:t>Savienības, Norvēģijas un Šveices A veidlapas izcelsmes aizstājējsertifikātu savstarpējās atzīšanas sistēma būtu jāturpina piemērot saskaņā ar pārskatīto vēstuļu apmaiņu un ar nosacījumiem būtu jāpiemēro Turcijai, lai atvieglotu tirdzniecību starp Savienību, Norvēģiju, Šveici un Turciju.</w:t>
      </w:r>
    </w:p>
    <w:p>
      <w:pPr>
        <w:pStyle w:val="ManualConsidrant"/>
        <w:rPr>
          <w:noProof/>
        </w:rPr>
      </w:pPr>
      <w:r>
        <w:t>(6)</w:t>
      </w:r>
      <w:r>
        <w:tab/>
      </w:r>
      <w:r>
        <w:rPr>
          <w:noProof/>
        </w:rPr>
        <w:t>Turklāt Savienības VPS izcelsmes noteikumos paredzēts īstenot jaunu sistēmu, kas paredz, ka izcelsmes apliecinājumus izsniedz reģistrētie eksportētāji, un kas jāpiemēro no 2017. gada 1. janvāra. Vēstuļu apmaiņā jāveic grozījumi arī šajā jomā.</w:t>
      </w:r>
    </w:p>
    <w:p>
      <w:pPr>
        <w:pStyle w:val="ManualConsidrant"/>
        <w:rPr>
          <w:noProof/>
        </w:rPr>
      </w:pPr>
      <w:r>
        <w:t>(7)</w:t>
      </w:r>
      <w:r>
        <w:tab/>
      </w:r>
      <w:r>
        <w:rPr>
          <w:noProof/>
        </w:rPr>
        <w:t>Lai ņemtu vērā minētās jaunās sistēmas piemērošanu un ar to saistītos noteikumus, Padome 2012. gada 8. martā pilnvaroja Komisiju vēstuļu apmaiņas veidā risināt sarunas par nolīgumu ar Norvēģiju attiecībā uz A veidlapas izcelsmes aizstājējsertifikātu vai aizstājējpaziņojumu par izcelsmi savstarpēju atzīšanu un to, ka produktus ar Norvēģijas, Šveices vai Turcijas izcelsmes saturu, tiem nonākot Savienības muitas teritorijā, pielīdzina produktiem ar Savienības izcelsmes saturu.</w:t>
      </w:r>
    </w:p>
    <w:p>
      <w:pPr>
        <w:pStyle w:val="ManualConsidrant"/>
        <w:rPr>
          <w:noProof/>
        </w:rPr>
      </w:pPr>
      <w:r>
        <w:t>(8)</w:t>
      </w:r>
      <w:r>
        <w:tab/>
      </w:r>
      <w:r>
        <w:rPr>
          <w:noProof/>
        </w:rPr>
        <w:t xml:space="preserve">Sarunas ar Norvēģiju risināja Komisija, un to rezultātā tika izstrādāts Nolīgums vēstuļu apmaiņas veidā. </w:t>
      </w:r>
    </w:p>
    <w:p>
      <w:pPr>
        <w:pStyle w:val="ManualConsidrant"/>
        <w:rPr>
          <w:noProof/>
        </w:rPr>
      </w:pPr>
      <w:r>
        <w:t>(9)</w:t>
      </w:r>
      <w:r>
        <w:tab/>
      </w:r>
      <w:r>
        <w:rPr>
          <w:noProof/>
        </w:rPr>
        <w:t>Nolīgums būtu jāapstiprina Savienības vārdā,</w:t>
      </w:r>
    </w:p>
    <w:p>
      <w:pPr>
        <w:pStyle w:val="Formuledadoption"/>
        <w:rPr>
          <w:noProof/>
        </w:rPr>
      </w:pPr>
      <w:r>
        <w:rPr>
          <w:noProof/>
        </w:rPr>
        <w:t xml:space="preserve">IR PIEŅĒMUSI ŠO LĒMUMU. </w:t>
      </w:r>
    </w:p>
    <w:p>
      <w:pPr>
        <w:pStyle w:val="Titrearticle"/>
        <w:rPr>
          <w:noProof/>
        </w:rPr>
      </w:pPr>
      <w:r>
        <w:rPr>
          <w:noProof/>
        </w:rPr>
        <w:t>1. pants</w:t>
      </w:r>
    </w:p>
    <w:p>
      <w:pPr>
        <w:spacing w:before="75" w:after="75"/>
        <w:ind w:right="1"/>
        <w:rPr>
          <w:noProof/>
        </w:rPr>
      </w:pPr>
      <w:r>
        <w:rPr>
          <w:noProof/>
        </w:rPr>
        <w:t>Ar šo Savienībās vārdā tiek apstiprināts Nolīgums vēstuļu apmaiņas veidā starp Eiropas Savienību un Norvēģijas Karalisti par izcelsmes kumulāciju starp Eiropas Savienību, Šveici, Norvēģijas Karalisti un Turciju Eiropas Savienības vispārējo preferenču sistēmas ietvaros ("Nolīgums").</w:t>
      </w:r>
    </w:p>
    <w:p>
      <w:pPr>
        <w:rPr>
          <w:noProof/>
        </w:rPr>
      </w:pPr>
      <w:r>
        <w:rPr>
          <w:noProof/>
        </w:rPr>
        <w:t>Nolīguma vēstuļu apmaiņas veidā teksts ir pievienots šim lēmumam.</w:t>
      </w:r>
    </w:p>
    <w:p>
      <w:pPr>
        <w:pStyle w:val="Titrearticle"/>
        <w:keepNext w:val="0"/>
        <w:rPr>
          <w:noProof/>
        </w:rPr>
      </w:pPr>
      <w:r>
        <w:rPr>
          <w:noProof/>
        </w:rPr>
        <w:t>2. pants</w:t>
      </w:r>
    </w:p>
    <w:p>
      <w:pPr>
        <w:keepLines/>
        <w:rPr>
          <w:noProof/>
        </w:rPr>
      </w:pPr>
      <w:r>
        <w:rPr>
          <w:noProof/>
        </w:rPr>
        <w:t>Padomes priekšsēdētājs norīko personu, kas ir tiesīga Eiropas Savienības vārdā sniegt Nolīguma vēstuļu apmaiņas veidā 18. punktā paredzēto paziņojumu, lai paustu Eiropas Savienības piekrišanu uzņemties šā nolīguma saistības.</w:t>
      </w:r>
    </w:p>
    <w:p>
      <w:pPr>
        <w:pStyle w:val="Titrearticle"/>
        <w:rPr>
          <w:noProof/>
        </w:rPr>
      </w:pPr>
      <w:r>
        <w:rPr>
          <w:noProof/>
        </w:rPr>
        <w:t>3. pants</w:t>
      </w:r>
    </w:p>
    <w:p>
      <w:pPr>
        <w:keepLines/>
        <w:rPr>
          <w:noProof/>
        </w:rPr>
      </w:pPr>
      <w:r>
        <w:rPr>
          <w:noProof/>
        </w:rPr>
        <w:t>Šis lēmums stājas spēkā 2017. gada 1. janvārī.</w:t>
      </w:r>
    </w:p>
    <w:p>
      <w:pPr>
        <w:pStyle w:val="Fait"/>
        <w:rPr>
          <w:noProof/>
        </w:rPr>
      </w:pPr>
      <w:r>
        <w:rPr>
          <w:noProof/>
        </w:rP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Komisijas 2015. gada 28. jūlija Deleģētā regula (ES) 2015/2446, ar ko papildina Eiropas Parlamenta un Padomes Regulu (ES) Nr. 952/2013 attiecībā uz sīki izstrādātiem noteikumiem, kuri attiecas uz dažiem Savienības Muitas kodeksa noteikumiem (OV L 343, 29.12.2015., 1. lpp.).</w:t>
      </w:r>
    </w:p>
  </w:footnote>
  <w:footnote w:id="2">
    <w:p>
      <w:pPr>
        <w:pStyle w:val="FootnoteText"/>
      </w:pPr>
      <w:r>
        <w:rPr>
          <w:rStyle w:val="FootnoteReference"/>
        </w:rPr>
        <w:footnoteRef/>
      </w:r>
      <w:r>
        <w:tab/>
        <w:t>Padomes Lēmums 2001/101/EK (2000. gada 5. decembris), ar ko apstiprina Nolīgumu vēstuļu apmaiņas veidā starp Kopienu un katru no EBTA valstīm, ar kuru saskaņā ar vispārējo preferenču sistēmu (Norvēģija un Šveice) piešķir tarifa preferences ar noteikumu, ka preces ar Norvēģijas vai Šveices izcelsmes saturu, tām nonākot Kopienas muitas teritorijā, pielīdzina precēm ar Kopienas izcelsmes saturu (savstarpējs līgums) (OV L 38, 8.2.2001., 24.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289C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4E2F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FAE2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146D3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BDE55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EBC44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E4CE31C"/>
    <w:lvl w:ilvl="0">
      <w:start w:val="1"/>
      <w:numFmt w:val="decimal"/>
      <w:pStyle w:val="ListNumber"/>
      <w:lvlText w:val="%1."/>
      <w:lvlJc w:val="left"/>
      <w:pPr>
        <w:tabs>
          <w:tab w:val="num" w:pos="360"/>
        </w:tabs>
        <w:ind w:left="360" w:hanging="360"/>
      </w:pPr>
    </w:lvl>
  </w:abstractNum>
  <w:abstractNum w:abstractNumId="7">
    <w:nsid w:val="FFFFFF89"/>
    <w:multiLevelType w:val="singleLevel"/>
    <w:tmpl w:val="BFA0CF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oNotTrackMove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10-19 15:26: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0FD3DA42130490C9D2146780AE72E80"/>
    <w:docVar w:name="LW_CROSSREFERENCE" w:val="&lt;UNUSED&gt;"/>
    <w:docVar w:name="LW_DocType" w:val="COM"/>
    <w:docVar w:name="LW_EMISSION" w:val="21.10.2016"/>
    <w:docVar w:name="LW_EMISSION_ISODATE" w:val="2016-10-21"/>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STATUT" w:val="SJ-019"/>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NLE"/>
    <w:docVar w:name="LW_REF.II.NEW.CP_NUMBER" w:val="0329"/>
    <w:docVar w:name="LW_REF.II.NEW.CP_YEAR" w:val="2016"/>
    <w:docVar w:name="LW_REF.INST.NEW" w:val="COM"/>
    <w:docVar w:name="LW_REF.INST.NEW_ADOPTED" w:val="final"/>
    <w:docVar w:name="LW_REF.INST.NEW_TEXT" w:val="(2016) 668"/>
    <w:docVar w:name="LW_REF.INTERNE" w:val="&lt;UNUSED&gt;"/>
    <w:docVar w:name="LW_SOUS.TITRE.OBJ.CP" w:val="&lt;UNUSED&gt;"/>
    <w:docVar w:name="LW_STATUT.CP" w:val="Priek\u353?likums"/>
    <w:docVar w:name="LW_SUPERTITRE" w:val="&lt;UNUSED&gt;"/>
    <w:docVar w:name="LW_TITRE.OBJ.CP" w:val="par to, lai nosl\u275?gtu Nol\u299?gumu v\u275?stu\u316?u apmai\u326?as veid\u257? starp Eiropas Savien\u299?bu un Norv\u275?\u291?ijas Karalisti par izcelsmes kumul\u257?ciju starp Eiropas Savien\u299?bu, \u352?veici, Norv\u275?\u291?ijas Karalisti un Turciju Eiropas Savien\u299?bas visp\u257?r\u275?jo preferen\u269?u sist\u275?mas ietvaro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984</Words>
  <Characters>6530</Characters>
  <Application>Microsoft Office Word</Application>
  <DocSecurity>0</DocSecurity>
  <Lines>136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18</cp:revision>
  <dcterms:created xsi:type="dcterms:W3CDTF">2016-10-14T15:55:00Z</dcterms:created>
  <dcterms:modified xsi:type="dcterms:W3CDTF">2016-10-19T13:26:00Z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