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7AC9991A3B44FEBB0B908E208A738FA" style="width:450.45pt;height:393.4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l-objettivi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B’180 miljun persuna meqjusa bħala “fqar fl-ilma”, iż-żona tal-Mediterran hija ġeneralment ikkaratterizzata minn livelli għolja ta’ stress idriku. Huwa proprju għalhekk li l-ġestjoni sostenibbli tal-provvista tal-ilma u tas-sistemi tal-ikel fiż-żona hija tant importanti.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It-tibdil fil-klima qiegħed dejjem iżjed jikkawża nuqqasijiet severi tal-ilma fiż-żona, b’impatti kbar fuq l-agrikoltura. Ħafna mill-ilma disponibbli jintuża għall-irrigazzjoni. Dan ifisser li dawn in-nuqqasijiet jirriżultaw fi prodotti tal-uċuħ dejjem jonqsu u irregolari, li jżidu l-pressjoni fuq ir-riżorsi naturali u fuq il-kapaċità tal-provvista ta’ ilma nadif u ikel affordabbli għall-abitanti tar-reġjun.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min-naħa tiegħu jkollu effett negattiv fuq in-nutrizzjoni, is-saħħa, l-għajxien, l-istandards tal-għajxien u l-livelli tal-benesseri. Dan l-istress soċjali u ekonomiku huwa kawża ewlenija ta’ instabbiltà. Jikkontribwixxi wkoll għall-migrazzjoni, kemm internament, għax ħafna familji bl-irziezet jkollhom jimxu lejn l-ibliet kif ukoll esternament, għax parti mill-popolazzjoni tiġi mġiegħla temigra, b’mod partikolari lejn l-Ewropa.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Il-ġestjoni mhux sostenibbli tal-provvista tal-ilma u tas-sistemi tal-ikel fiż-żona tal-Mediterran hija r-riżultat ta' numru ta’ fatturi inkluż l-instabbiltà politika, it-tibdil fil-klima u l-popolazzjoni li qed tikber b’mod rapidu. Waħda mir-raġunijiet prinċipali għal dan hija n-nuqqas ta’ sett ta’ soluzzjonijiet innovattivi komuni li jiġu adattati għar-realtajiet tar-reġjun u li huma faċilment trasferibbli fih. Dawn is-soluzzjonijiet mhumiex qed jingħataw għaliex il-livell globali tal-investiment fir-riċerka u l-innovazzjoni(R&amp;I) fil-Mediterran mhuwiex proporzjonat mad-daqs tal-isfida reġjonali. Il-livelli ta’ investiment ivarjaw ħafna wkoll minn pajjiż għal ieħor. Il-finanzjament mhuwiex ingranat lejn l-indirizzar tal-problema tal-ilma u tal-ikel u l-partijiet interessati rilevanti – pereżempju, is-settur privat – mhux dejjem ikollu kapaċitajiet b’saħħithom biżżejjed tar-R&amp;I. Minbarra dan kollu, l-isforzi tal-kollaborazzjoni fir-R&amp;I bejn l-Istati Membri tal-Unjoni u l-pajjiżi tan-Nofsinhar u tal-Lvant tal-Mediterran huma wisq frammentati (irregolati l-aktar minn ftehimiet bilaterali) biex ikollhom xi impatt sinifikanti.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F’dan il-kuntest u fir-rigward tal-migrazzjoni, l-inizjattiva tal-Programm Konġunt tal-PRIMA, immexxija mill-Istati Parteċipanti mill-Unjoni u min-Nofsinhar tal-Mediterran</w:t>
      </w:r>
      <w:r>
        <w:rPr>
          <w:rStyle w:val="FootnoteReference"/>
          <w:noProof/>
        </w:rPr>
        <w:footnoteReference w:id="1"/>
      </w:r>
      <w:r>
        <w:rPr>
          <w:noProof/>
        </w:rPr>
        <w:t>, hija partikolarment importanti u rilevanti. L-inizjattiva ssegwi l-approċċ tas-Sħubija għall-Migrazzjoni l-ġdida għal kollaborazzjoni finanzjarja msaħħa mal-Istati Membri u ma’ sħab oħra. Dan juri kif il-politika ta’ riċerka tista’ ġġib magħha koordinazzjoni effettiva permezz tal-ingranaġġ tal-baġits nazzjonali u ta' tqarrib tal-pajjiżi tal-Mediterran biex jindirizzaw il-problemi komuni fit-tul.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L-objettiv strateġiku tal-programm huwa li jiżviluppa soluzzjonijiet innovattivi komuni għall-provvista tal-ilma u għas-sistemi tal-ikel li r-reġjun tal-Mediterran jeħtieġ b’mod urġenti. L-ilħuq ta’ dan l-objettiv strateġiku se jagħmel il-provvista tal-ilma u s-sistemi tal-ikel aktar effiċjenti, kosteffikaċi u sostenibbli. B’dan il-mod ir-R&amp;I jistgħu jgħinu biex jissolvew problemi akbar fir-rigward tan-nutrizzjoni, is-saħħa u l-benesseri soċjali, u finalment jgħinu biex jiġu indirizzati x-xejriet tal-migrazzjoni tal-massa. Il-politiki tar-R&amp;I jistgħu għalhekk jiġu ingranati sal-massimu biex jindirizzaw l-isfida tal-migrazzjoni, f’konformità mal-</w:t>
      </w:r>
      <w:r>
        <w:rPr>
          <w:i/>
          <w:noProof/>
        </w:rPr>
        <w:t>Komunikazzjoni tal-Kummissjoni dwar it-twaqqif ta’ Qafas ta’ Sħubija ġdid ma’ pajjiżi terzi skont l-Aġenda Ewropea dwar il-Migrazzjoni</w:t>
      </w:r>
      <w:r>
        <w:rPr>
          <w:noProof/>
        </w:rPr>
        <w:t xml:space="preserve">, (COM(2016)385).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L-isfond istituzzjonali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Il-proċess li wassal għall-Programm Konġunt tal-PRIMA beda bil-Konferenza Ewro-Mediterranja dwar ix-Xjenza, it-Teknoloġija u l-Innovazzjoni f’Barċellona fl-2012. L-għan huwa li tissaħħaħ il-kooperazzjoni Ewro-Mediterranja fir-R&amp;I bħala parti mill-objettivi usa’ tal-politika esterna tal-Unjoni fir-rigward tal-Viċinat tan-Nofsinhar.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Bosta Presidenzi tal-Kunsill enfasizzaw il-ħtieġa li tiġi stabbilita sħubija reġjonali biex tittratta l-isfidi komuni ewlenin, inkluż id-disponibbiltà u l-ġestjoni tal-ilma, l-innovazzjoni u l-koordinazzjoni istituzzjonali. L-idea wara sħubija reġjonali hija li ssir ħidma fuq il-bażi ta’ sjieda konġunta, interess reċiproku u benefiċċju komuni f’qafas strutturat dejjiemi.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Il-Kunsill Kompetittività tal-5 ta’ Diċembru 2014 stieden lill-Kummissjoni tivvaluta jekk il-parteċipazzjoni tal-Unjoni fil-Programm Konġunt tal-PRIMA abbażi tal-Artikolu 185 tat-Trattat dwar il-Funzjonament tal-Unjoni Ewropea (TFUE) tkunx iġġustifikata mill-ambitu tal-objettivi u mil-livell tar-riżorsi meħtieġa. Fil-Konklużjonijiet tiegħu, il-Kunsill approva b’mod partikolari l-fokus tal-programm fuq l-iżvilupp u l-implimentazzjoni ta’ soluzzjonijiet integrati, innovattivi għall-ġestjoni sostenibbli tal-provvista tal-ilma u tas-sistemi tal-ikel fiż-żona tal-Mediterran. Il-Kunsill qies din bħala prijorità, sabiex itejjeb is-saħħa, il-benesseri u l-kundizzjonijiet soċjokulturali tal-popolazzjonijiet taż-żona tal-Mediterran u jagħti spinta lit-tkabbir ekonomiku.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Konsegwentement, f’Diċembru 2014 l-Istati Membri u l-pajjiżi terzi taż-żona tal-Mediterran ippreżentaw proposta lill-Kummissjoni biex jipparteċipaw fil-Programm Konġunt tal-PRIMA.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Fuq il-bażi tal-Konklużjonijiet tal-Kunsill Kompetittività u wara l-preżentazzjoni formali tal-proposta, il-Kummissarju għar-Riċerka, ix-Xjenza u l-Innovazzjoni, Carlos Moedas, talab lis-servizzi tal-Kummissjoni jħejju valutazzjoni tal-impatt tal-għażliet ta’ politika disponibbli, inkluża inizjattiva bbażata fuq il-bażi ġuridika tal-Artikolu 185 tat-TFUE.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Il-Programm Konġunt tal-PRIMA jaqbel mal-kuntest istituzzjonali li, fl-ogħla livell politiku, enfasizza l-ħtieġa li tissaħħaħ il-kooperazzjoni tal-Unjoni mal-pajjiżi tan-Nofsinhar tal-Mediterran fl-oqsma ewlenin tar-riżorsi tal-ilma u tas-sistemi tal-ikel u oqsma relatati.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Il-PRIMA tankra l-isfidi reġjonali ewlenin tar-R&amp;I f’objettivi soċjoekonomiċi u ġeopolitiċi usa’. Hija maħsuba biex tikkomplementa azzjonijiet istituzzjonali rilevanti riċenti fil-politiki tal-Unjoni għajr dawk dwar ir-R&amp;I. Dawn huma elenkati hawn taħt.</w:t>
      </w:r>
    </w:p>
    <w:p>
      <w:pPr>
        <w:pStyle w:val="ListParagraph"/>
        <w:tabs>
          <w:tab w:val="left" w:pos="851"/>
        </w:tabs>
        <w:ind w:left="426"/>
        <w:rPr>
          <w:noProof/>
        </w:rPr>
      </w:pPr>
      <w:bookmarkStart w:id="1" w:name="DQCErrorScope524E31B425C24D65AA35B1F7E22"/>
      <w:bookmarkStart w:id="2" w:name="DQCErrorScope3F002833C11B4B43B70F7EA1A82"/>
      <w:r>
        <w:rPr>
          <w:noProof/>
        </w:rPr>
        <w:t>a)</w:t>
      </w:r>
      <w:r>
        <w:rPr>
          <w:noProof/>
        </w:rPr>
        <w:tab/>
        <w:t>Diplomazija fil-qasam tal-ilma (Konklużjonijiet tal-Kunsill Affarijiet Barranin tat-22 ta’ Lulju 2013)</w:t>
      </w:r>
      <w:bookmarkEnd w:id="1"/>
    </w:p>
    <w:bookmarkEnd w:id="2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L-effetti tat-tibdil fil-klima u l-iżvilupp demografiku u ekonomiku, flimkien mal-istress fuq il-kwalità, id-disponibbiltà u l-ġestjoni tal-ilma huma sfidi ewlenin għas-sigurtà li aktarx iwasslu għal tensjoni u kunflitti dwar l-aċċess għall-ilma. F’dan il-kuntest, l-Unjoni għandha rwol importanti fl-appoġġ tad-diplomazija fil-qasam tal-ilma madwar id-dinja u f’ilmijiet transfruntieri fl-Ewropa – inkluż bil-promozzjoni ta’ inizjattivi dwar l-ilma ma’ pajjiżi fil-viċinat tal-UE u pajjiżi oħra identifikati fl-eżerċizzju tal-UE tal-immappjar tas-sigurtà tal-ilma.</w:t>
      </w:r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3" w:name="DQCErrorScopeAF304570148C4897834707D0411"/>
      <w:bookmarkStart w:id="4" w:name="DQCErrorScope4A638344E1F345D188189717F77"/>
      <w:r>
        <w:rPr>
          <w:noProof/>
        </w:rPr>
        <w:t>b)</w:t>
      </w:r>
      <w:r>
        <w:rPr>
          <w:noProof/>
        </w:rPr>
        <w:tab/>
        <w:t>Reviżjoni tal-Politika Ewropea tal-Viċinat (PEV) (Konklużjonijiet tal-Kunsill Affarijiet Barranin tal-14 ta’ Diċembru 2015)</w:t>
      </w:r>
      <w:bookmarkEnd w:id="3"/>
    </w:p>
    <w:bookmarkEnd w:id="4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Il-Kunsill laqa’ r-Reviżjoni tal-PEV bħala prijorità politika ewlenija għall-Unjoni fis-snin li ġejjin. Dan jinkludi r-rwol kruċjali tar-R&amp;I għall-iżvilupp soċjoekonomiku fil-viċinat u jgħin lill-pajjiżi tal-viċinat jimmodernizzaw u jiddiversifikaw l-ekonomiji tagħhom billi jiffaċilita l-parteċipazzjoni tagħhom f’inizjattivi tal-UE. </w:t>
      </w:r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5" w:name="DQCErrorScopeBEB2408224E145EB82201778394"/>
      <w:bookmarkStart w:id="6" w:name="DQCErrorScope68D1FCE252704A2EBB700ADF3EA"/>
      <w:r>
        <w:rPr>
          <w:noProof/>
        </w:rPr>
        <w:t>c)</w:t>
      </w:r>
      <w:r>
        <w:rPr>
          <w:noProof/>
        </w:rPr>
        <w:tab/>
        <w:t>Għanijiet ta’ Żvilupp Sostenibbli (Konklużjonijiet tal-Kunsill Affarijiet Barranin tas-26 ta’ Mejju 2015)</w:t>
      </w:r>
      <w:bookmarkEnd w:id="5"/>
    </w:p>
    <w:bookmarkEnd w:id="6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Qed issir referenza għall-impenn tal-Orizzont 2020 li jappoġġja l-iżvilupp sostenibbli, kemm fl-Unjoni kif ukoll ma’ sħab internazzjonali, kif ukoll għall-ħtieġa li titrawwem ix-xjenza, it-teknoloġija u l-innovazzjoni bħala parti mill-approċċ globali ta’ wara l-2015 biex jinqered il-faqar u jiġi promoss l-iżvilupp sostenibbli.</w:t>
      </w:r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7" w:name="DQCErrorScope0C72E0DD9CFB4122B4276F06AA7"/>
      <w:bookmarkStart w:id="8" w:name="DQCErrorScopeF113BB198A694E69A9832676F22"/>
      <w:r>
        <w:rPr>
          <w:noProof/>
        </w:rPr>
        <w:t>d)</w:t>
      </w:r>
      <w:r>
        <w:rPr>
          <w:noProof/>
        </w:rPr>
        <w:tab/>
        <w:t>Migrazzjoni (Konklużjonijiet tal-Kunsill Affarijiet Barranin tat-12 ta’ Ottubru 2015 u s-17-18 ta’ Marzu 2016)</w:t>
      </w:r>
      <w:bookmarkEnd w:id="7"/>
    </w:p>
    <w:bookmarkEnd w:id="8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il-Konklużjonijiet tal-Kunsill jirrikonoxxu li l-kriżi tal-migrazzjoni fil-viċinat tal-UE u lil hinn hija ggravata mill-faqar, mill-iżvilupp soċjoekonomiku fqir u mill-ksur tad-drittijiet tal-bniedem, u jitolbu għal politika tal-UE b’saħħitha dwar il-migrazzjoni esterna u l-ażil. Il-Kunsill ġedded ukoll l-impenn tiegħu li jimmobilizza l-istrumenti u l-politiki kollha biex jindirizzaw il-kawżi ewlenin tal-flussi migratorji, prinċipalment il-kundizzjonijiet soċjoekonomiċi fqar u t-tibdil fil-klima.</w:t>
      </w:r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9" w:name="DQCErrorScopeC245A679BBF540FFAB93FFB525D"/>
      <w:bookmarkStart w:id="10" w:name="DQCErrorScopeBBF00399D0A940F2849BB805422"/>
      <w:r>
        <w:rPr>
          <w:noProof/>
        </w:rPr>
        <w:t>e)</w:t>
      </w:r>
      <w:r>
        <w:rPr>
          <w:noProof/>
        </w:rPr>
        <w:tab/>
        <w:t>Diplomazija Ewropea dwar il-klima wara l-COP21 (Konklużjonijiet tal-Kunsill Affarijiet Barranin tal-15 ta’ Frar 2016)</w:t>
      </w:r>
      <w:bookmarkEnd w:id="9"/>
    </w:p>
    <w:bookmarkEnd w:id="10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Fil-kuntest globali tad-diplomazija dwar il-klima, il-Kunsill jirreferi għall-iżvilupp ta’ pjan ta’ azzjoni għad-diplomazija dwar il-klima, inklużi miżuri ta’ sforzi li jiffokaw fuq in-</w:t>
      </w:r>
      <w:r>
        <w:rPr>
          <w:i/>
          <w:noProof/>
        </w:rPr>
        <w:t>nexus</w:t>
      </w:r>
      <w:r>
        <w:rPr>
          <w:noProof/>
        </w:rPr>
        <w:t xml:space="preserve"> tat-tibdil fil-klima, ir-riżorsi naturali (inkluż l-ilma), il-prosperità, l-istabbiltà u l-migrazzjoni.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L-objettivi huma konformi mad-definizzjoni tal-problema u jkopru l-isfidi relatati tar-R&amp;I, biex jiżguraw l-interazzjoni mal-politiki Ewropej, Mediterranji u globali. B’mod partikolari, il-PRIMA hija konsistenti mal-</w:t>
      </w:r>
      <w:r>
        <w:rPr>
          <w:i/>
          <w:noProof/>
        </w:rPr>
        <w:t>Komunikazzjoni tal-Kummissjoni dwar it-twaqqif ta’ Qafas ta’ Sħubija ġdid ma’ pajjiżi terzi skont l-Aġenda Ewropea dwar il-Migrazzjoni</w:t>
      </w:r>
      <w:r>
        <w:rPr>
          <w:noProof/>
        </w:rPr>
        <w:t xml:space="preserve">, (COM(2016)385). Din tiffoka fuq l-indirizzar tal-għeruq tal-migrazzjoni u ċ-ċaqliq sfurzat permezz tal-“politiki kollha tal-UE, inkluża l-edukazzjoni, ir-riċerka, il-bidla fil-klima, l-enerġija, l-ambjent, l-agrikoltura”. Tippromwovi wkoll mudelli ġodda ta’ kooperazzjoni għall-iżvilupp li jinvolvu s-settur privat, mekkaniżmi ta’ finanzjament innovattivi u investimenti fl-SMEs u f’infrastrutturi sostenibbli.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L-Orizzont 2020 diġà identifika “Azzjoni klimatika, ambjent, effiċjenza tar-riżorsi u l-materja prima” u “Sigurtà tal-ikel, agrikoltura u foresterija sostenibbli, riċerka tal-baħar, marittima u tal-ilmijiet interni, u l-bijoekonomija” bħala tnejn mill-isfidi tas-soċjetà ta’ prijorità li jridu jiġu indirizzati bl-appoġġ għall-investimenti fir-R&amp;I. Tirrikonoxxi wkoll li l-attivitajiet tar-R&amp;I mmirati biex jindirizzaw dawn l-isfidi għandhom jitwettqu fil-livell tal-UE u lil hinn, minħabba n-natura transnazzjonali u globali tal-klima u l-ambjent, l-iskala u l-kumplessità tagħhom u l-aspett internazzjonali tal-katina tal-provvista tal-ikel u agrikola.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L-objettivi tar-R&amp;I relatati mal-provvista tal-ilma u mas-sistemi tal-ikel fiż-żona tal-Mediterran jidhru li huma konsistenti ma’ u rilevanti għal dawn l-inizjattivi li ġejjin.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 w:after="240"/>
        <w:rPr>
          <w:noProof/>
        </w:rPr>
      </w:pPr>
      <w:r>
        <w:rPr>
          <w:noProof/>
        </w:rPr>
        <w:t>•</w:t>
      </w:r>
      <w:r>
        <w:rPr>
          <w:noProof/>
        </w:rPr>
        <w:tab/>
        <w:t>L-Aġenda għall-Iżvilupp Wara l-2015 u l-Għanijiet ta’ Żvilupp Sostenibbli.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 w:after="240"/>
        <w:ind w:left="284" w:hanging="284"/>
        <w:rPr>
          <w:noProof/>
        </w:rPr>
      </w:pPr>
      <w:bookmarkStart w:id="11" w:name="DQCErrorScope11C18B7728CD42B9BF99125E845"/>
      <w:r>
        <w:rPr>
          <w:noProof/>
        </w:rPr>
        <w:t>•</w:t>
      </w:r>
      <w:r>
        <w:rPr>
          <w:noProof/>
        </w:rPr>
        <w:tab/>
        <w:t xml:space="preserve">Il-Proċess ta’ Barċellona mniedi f’Novembru 1995 fuq l-inizjattiva tal-Ministri Barranin Ewro-Mediterranji u l-Komunikazzjoni relatata </w:t>
      </w:r>
      <w:r>
        <w:rPr>
          <w:i/>
          <w:noProof/>
        </w:rPr>
        <w:t>Il-Proċess ta’ Barċellona: Unjoni għall-Mediterran</w:t>
      </w:r>
      <w:r>
        <w:rPr>
          <w:noProof/>
        </w:rPr>
        <w:t xml:space="preserve"> (COM(2008)319), li stabbiliet sħubija multilaterali, li tiffoka fuq proġetti reġjonali u transnazzjonali.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 w:after="240"/>
        <w:ind w:left="284" w:hanging="284"/>
        <w:rPr>
          <w:rFonts w:eastAsia="Arial Unicode MS"/>
          <w:noProof/>
        </w:rPr>
      </w:pPr>
      <w:bookmarkStart w:id="12" w:name="DQCErrorScopeE98EFFB07312499E83D70423C1B"/>
      <w:bookmarkEnd w:id="11"/>
      <w:r>
        <w:rPr>
          <w:noProof/>
        </w:rPr>
        <w:t>•</w:t>
      </w:r>
      <w:r>
        <w:rPr>
          <w:noProof/>
        </w:rPr>
        <w:tab/>
        <w:t xml:space="preserve">Il-Komunikazzjoni </w:t>
      </w:r>
      <w:r>
        <w:rPr>
          <w:i/>
          <w:noProof/>
        </w:rPr>
        <w:t>Intejbu u niffukaw il-kooperazzjoni internazzjonali tal-UE fir-riċerka u l-innovazzjoni: Approċċ strateġiku</w:t>
      </w:r>
      <w:r>
        <w:rPr>
          <w:noProof/>
        </w:rPr>
        <w:t xml:space="preserve"> (COM(2012)497), li tistabbilixxi fokus fuq it-trawwim tal-integrazzjoni fi – jew f'konformità ma’ – iż-Żona Ewropea tar-Riċerka (ŻER) għall-viċinat.</w:t>
      </w:r>
    </w:p>
    <w:bookmarkEnd w:id="12"/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għall-Programm tal-PRIMA hija bbażata fuq l-Artikolu 185 tat-TFUE. Dan l-istrument jippermetti lill-UE, fl-implimentazzjoni tal-programm qafas pluriennali, li tagħmel dispożizzjoni għall-parteċipazzjoni fi programmi tar-riċerka u l-iżvilupp imħaddma minn bosta Stati Membri, bi ftehim mal-Istati Membri kkonċernati, inkluża parteċipazzjoni fl-istrutturi maħluqa għat-twettiq ta’ dawk il-programmi.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Is-sussidjarjetà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Il-PRIMA huwa programm konġunt ibbażat fuq u magħmul minn programmi nazzjonali mħaddma u attivitajiet imwettqa mill-Istati Membri parteċipanti u l-Pajjiżi Assoċjati, bl-appoġġ u l-parteċipazzjoni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tal-Kummissjoni għall-Orizzont 2020 tagħmel dispożizzjoni għall-parteċipazzjoni tal-UE fil-PRIMA skont l-Artikolu 185 tat-TFUE. Huwa l-istrument xieraq għall-UE biex tappoġġja l-inizjattiva għaliex jippermetti kemm il-koordinazzjoni tal-programmi ta’ riċerka nazzjonali kif ukoll il-parteċipazzjoni tal-UE fil-programm konġunt.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Il-programmi nazzjonali, bilaterali u transnazzjonali li ntużaw sa issa biex itejbu r-R&amp;I fil-provvista tal-ilma u fis-sistemi tal-ikel ma kinux biżżejjed biex jindirizzaw kwistjonijiet transkonfinali u jattiraw investimenti pubbliċi u privati.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dan, l-isfidi tal-provvista tal-ilma u tas-sistemi tal-ikel fiż-żona Mediterranja huma kumplessi, interrelatati, transnazzjonali u multisettorjali. Dawn jeħtieġu riċerka transdixxiplinarja u soluzzjonijiet integrati li jinkludu l-innovazzjoni. Fatturi oħra, bħall-imġiba soċjali ta’ komunitajiet rurali, ir-restrizzjonijiet ekonomiċi, jew l-istabbiltà tal-oqfsa legali u istituzzjonali, jistgħu jwasslu wkoll għall-adozzjoni tal-miżuri l-aktar xierqa. Pajjiż wieħed waħdu jkun diffiċli għalih li jlaħħaq ma’ din il-kumplessità.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L-esperjenza ta’ inizjattivi simili tal-Artikolu 185 turi li azzjoni fil-livell tal-Unjoni tista’ tipproduċi programm integrat u kkoordinat tajjeb billi:</w:t>
      </w:r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13" w:name="DQCErrorScopeE5226CDC474B42E18C631275240"/>
      <w:bookmarkStart w:id="14" w:name="DQCErrorScope33315A92C65C429AAB4E1385CDD"/>
      <w:r>
        <w:rPr>
          <w:noProof/>
        </w:rPr>
        <w:t>a)</w:t>
      </w:r>
      <w:r>
        <w:rPr>
          <w:noProof/>
        </w:rPr>
        <w:tab/>
        <w:t>Tikseb l-iskala u l-kamp ta' applikazzjoni meħtieġa u jkollha l-massa kritika ta’ riżorsi</w:t>
      </w:r>
      <w:bookmarkEnd w:id="13"/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15" w:name="DQCErrorScope16A5CA42587F4EF4BAD4BB201C5"/>
      <w:bookmarkStart w:id="16" w:name="DQCErrorScope9C9C211D0F5F48AEB74CCDD8D0E"/>
      <w:bookmarkEnd w:id="14"/>
      <w:r>
        <w:rPr>
          <w:noProof/>
        </w:rPr>
        <w:t>b)</w:t>
      </w:r>
      <w:r>
        <w:rPr>
          <w:noProof/>
        </w:rPr>
        <w:tab/>
        <w:t>Tistimola l-effetti ta’ ingranaġġ u jkollha impatti fuq il-politiki esterni tal-UE u l-implikazzjonijiet tagħhom u għall-migrazzjoni</w:t>
      </w:r>
      <w:bookmarkEnd w:id="15"/>
    </w:p>
    <w:p>
      <w:pPr>
        <w:pStyle w:val="ListParagraph"/>
        <w:tabs>
          <w:tab w:val="left" w:pos="851"/>
        </w:tabs>
        <w:ind w:left="851" w:hanging="425"/>
        <w:rPr>
          <w:noProof/>
        </w:rPr>
      </w:pPr>
      <w:bookmarkStart w:id="17" w:name="DQCErrorScope0088E237740644C1811DBFBEFCD"/>
      <w:bookmarkStart w:id="18" w:name="DQCErrorScope27FA86FE9A6A405DBDF5C058304"/>
      <w:bookmarkEnd w:id="16"/>
      <w:r>
        <w:rPr>
          <w:noProof/>
        </w:rPr>
        <w:t>c)</w:t>
      </w:r>
      <w:r>
        <w:rPr>
          <w:noProof/>
        </w:rPr>
        <w:tab/>
        <w:t>Tikkontribwixxi għal kooperazzjoni globali u għall-Viċinat Ewropew tan-Nofsinhar</w:t>
      </w:r>
      <w:bookmarkEnd w:id="17"/>
    </w:p>
    <w:bookmarkEnd w:id="18"/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ma tmurx lil hinn minn dak li hu meħtieġ sabiex jintlaħqu l-għanijiet tagħha. Il-parteċipazzjoni tal-Unjoni fil-PRIMA se sseħħ fil-limiti tal-kompetenza prevista skont it-TFUE u se tiffaċilita u tappoġġja biss, inkluż finanzjarjament, it-twettiq tal-objettivi tal-PRIMA mill-istati parteċipanti. L-istati parteċipanti se jkollhom jaħdmu flimkien biex jikkoordinaw, jallinjaw u jintegraw aħjar il-programmi jew l-attivitajiet nazzjonali rilevanti, u finalment jiżviluppaw aġenda strateġika tar-riċerka komuni fit-tul.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Jekk jogħġbok irreferi wkoll għar-rapport tal-valutazzjoni tal-impatt, it-taqsima 6.5.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Il-konklużjonijiet tal-attivitajiet ta’ konsultazzjoni mal-partijiet interessati u tal-analiżi u t-tqabbil tal-alternattivi fil-valutazzjoni tal-impatt urew li l-Artikolu 185 tat-TFUE huwa l-aktar mod xieraq biex jintlaħqu l-objettivi tal-PRIMA. L-Artikolu 185 tat-TFUE huwa wkoll l-għażla tal-Istati parteċipanti.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L-inizjattiva tal-Artikolu 185 tat-TFUE hija l-aktar mod ta’ intervent effiċjenti u effettiv biex jinkisbu l-objettivi strateġiċi u speċifiċi tal-PRIMA. L-inizjattiva tal-Artikolu 185 tat-TFUE aktarx li jkollha l-ogħla effett globali ta’ ingranaġġ meta mqabbla ma’ strumenti oħra b’mod stabbli, fit-tul u integrat.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L-inizjattiva tal-Artikolu 185 tat-TFUE tkompli tippermetti l-iżvilupp ta’ relazzjoni aktar ugwali mal-pajjiżi tal-viċinat. L-Unjoni u l-pajjiżi kkonċernati se jiddeterminaw flimkien il-prijoritajiet reċiproċi tagħhom, billi jidħlu f’fażi ġdida ta’ kooperazzjoni, f’konformità mal-prijoritajiet tal-Politika Ewropea tal-Viċinat.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TAL-PARTIJIET INTERESSATI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interessati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Ġew organizzati żewġ attivitajiet ta’ konsultazzjoni prinċipali bħala parti mill-valutazzjoni tal-impatt tal-PRIMA: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/>
        <w:ind w:left="284"/>
        <w:rPr>
          <w:noProof/>
        </w:rPr>
      </w:pPr>
      <w:bookmarkStart w:id="19" w:name="DQCErrorScope494E337570964E70A47FDD90669"/>
      <w:r>
        <w:rPr>
          <w:noProof/>
        </w:rPr>
        <w:t>•</w:t>
      </w:r>
      <w:r>
        <w:rPr>
          <w:noProof/>
        </w:rPr>
        <w:tab/>
        <w:t>konsultazzjoni pubblika online għal 12-il ġimgħa, mill-1 ta’ Frar sal-24 ta’ April 2016;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 w:after="240"/>
        <w:ind w:left="284"/>
        <w:rPr>
          <w:noProof/>
        </w:rPr>
      </w:pPr>
      <w:bookmarkStart w:id="20" w:name="DQCErrorScope445A5E953D7F44AAA17156E5859"/>
      <w:bookmarkEnd w:id="19"/>
      <w:r>
        <w:rPr>
          <w:noProof/>
        </w:rPr>
        <w:t>•</w:t>
      </w:r>
      <w:r>
        <w:rPr>
          <w:noProof/>
        </w:rPr>
        <w:tab/>
        <w:t xml:space="preserve">avveniment għall-partijiet interessati li sar f’Malta fis-17 ta’ Marzu 2016. </w:t>
      </w:r>
    </w:p>
    <w:bookmarkEnd w:id="20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Partijiet interessati differenti Ewropej u min-Nofsinhar tal-Mediterran mir-riċerka, l-akkademja, l-industrija u s-soċjetà ċivili taw l-opinjonijiet tagħhom. It-tħejjija tal-proposta qieset bis-sħiħ il-ħafna kontribuzzjonijiet u inputs li rċeviet.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Il-partijiet interessati kkonsultati kienu fil-biċċa l-kbira favur għażla tal-Artikolu 185.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Grupp ta’ esperti esterni (il-Grupp ta’ Esperti tal-PRIMA) mill-Istati Membri Mediterranji u mhux Mediterranji u minn pajjiżi terzi, ġie stabbilit biex jappoġġja l-eżerċizzju tal-valutazzjoni tal-impatt. Is-sejbiet tal-Grupp ġew imqabbla ma’ sejbiet minn sorsi oħra (pereżempju reviżjoni tal-letteratura mwettqa mis-servizzi tal-Kummissjoni, ir-riżultati tal-konsultazzjoni pubblika online) u meqjusa fil-valutazzjoni tal-impatt.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Ġew identifikati għażliet ta’ politika possibbli differenti matul il-valutazzjoni tal-impatt, li jvarjaw f’termini tal-kamp ta' applikazzjoni, il-kopertura ġeografika u t-tip ta’ strument użat. Dawn l-għażliet kollha ġew skrinjati bl-użu tal-Għodda #14 tal-Istrumenti għal Regolamentazzjoni Aħjar. Fuq dik il-bażi, inżammu l-għażliet ta’ politika li ġejjin.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1" w:name="DQCErrorScope549398B1CB90406C8FFC6B4D580"/>
      <w:r>
        <w:rPr>
          <w:noProof/>
        </w:rPr>
        <w:t xml:space="preserve">L-għażla 0: L-ebda tibdil fil-politika - Xenarju bażi - L-Orizzont 2020 se jkompli jipprovdi appoġġ għal kwistjonijiet dwar l-ilma u l-ikel b’mod ġenerali u fuq bażi </w:t>
      </w:r>
      <w:r>
        <w:rPr>
          <w:i/>
          <w:noProof/>
        </w:rPr>
        <w:t>ad hoc</w:t>
      </w:r>
      <w:r>
        <w:rPr>
          <w:noProof/>
        </w:rPr>
        <w:t>. Aktarx li mhux ser jitniedu inizjattivi speċifiċi mmirati lejn l-integrazzjoni tas-sistemi tar-R&amp;I Mediterranji. L-azzjonijiet individwali tipikament idumu tlieta sa erba’ snin, b’impatt limitat.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2" w:name="DQCErrorScopeB9FEAE109B3245958F5775298BA"/>
      <w:bookmarkEnd w:id="21"/>
      <w:r>
        <w:rPr>
          <w:noProof/>
        </w:rPr>
        <w:t>L-għażla 1: Azzjoni tal-ERA-NET Cofund – L-attività prinċipali taħt l-Orizzont 2020 hija l-implimentazzjoni ta’ sejħa konġunta għal proposti unika kkofinanzjata għal kull azzjoni, li tirriżulta fil-finanzjament ta’ riċerka transnazzjonali u/jew proġetti ta’ innovazzjoni. L-azzjonijiet individwali tipikament idumu ħames snin. Din l-għażla tkun tikkonsisti f’sensiela ta’ azzjonijiet tal-ERA-NET Cofund, limitati għall-bqija tal-Orizzont 2020. Ma tkunx tippermetti l-indirizzar b’mod sostanzjali tad-dimensjoni tal-innovazzjoni, għaliex il-programmi nazzjonali li jikkollaboraw u jikkoordinaw l-attivitajiet tagħhom jiffokaw l-aktar fuq l-attivitajiet ta’ riċerka tal-organizzazzjonijiet tar-riċerka pubblika. L-Għażla 1 mhix mistennija li tintegra l-programmi ta’ finanzjament nazzjonali f’aġenda strateġika ta’ riċerka komuni.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3" w:name="DQCErrorScope5A605E9D1EB445EFA717A86292F"/>
      <w:bookmarkEnd w:id="22"/>
      <w:r>
        <w:rPr>
          <w:noProof/>
        </w:rPr>
        <w:t>L-għażla 2: Il-Programm Konġunt tal-PRIMA bbażat fuq l-Artikolu 185 tat-TFUE – Dan jippermetti lill-UE tagħmel dispożizzjonijiet għall-parteċipazzjoni tagħha fil-programmi ta’ riċerka u żvilupp imħaddma minn bosta Stati Membri, inkluża l-parteċipazzjoni tagħha fl-istrutturi maħluqa għall-implimentazzjoni ta’ dawk il-programmi. L-Artikolu 26 tar-Regolament tal-Programm Qafas Orizzont 2020 jispeċifika l-kundizzjonijiet u l-kriterji għall-identifikazzjoni u l-proposta ta’ inizjattiva skont l-Artikolu 185 tat-TFUE.</w:t>
      </w:r>
    </w:p>
    <w:bookmarkEnd w:id="23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Fost kriterji oħra, il-Kummissjoni tista’ tipproponi biss inizjattivi tal-Artikolu 185 jekk ikun hemm il-ħtieġa għal struttura speċifika ta’ implimentazzjoni u l-Istati parteċipanti jkunu esprimew livell għoli ta’ impenn għal integrazzjoni aktar mill-qrib fuq livell xjentifiku, ta’ ġestjoni u finanzjarju. Din l-għażla tinvolvi t-tfassil ta’ aġenda strateġika ta’ riċerka komprensiva u l-implimentazzjoni sħiħa tagħha permezz ta’ sejħiet għal proposti transnazzjonali multipli, imwettqa minn bosta Stati Parteċipanti u implimentata permezz ta’ struttura speċifika ta’ implimentazzjoni (minn hawn ’il quddiem magħrufa bħala korp tal-finanzjament tad-DIS). Dan huwa tipikament impenn fit-tul (għaxar snin). L-Unjoni tipprovdi appoġġ finanzjarju billi tqabbel l-investimenti nazzjonali. Din l-għażla hija l-aħjar waħda biex jintlaħqu l-objettivi speċifiċi u ġenerali u jiġu implimentati numru ta’ piloti u dimostraturi f’oqsma strateġikament importanti relatati mal-provvista tal-ilma u s-sistemi tal-ikel. Din tqis bis-sħiħ it-tagħlimiet kollha miksuba – fir-rigward tal-ġestjoni tal-kontribuzzjoni finanzjarja tal-Unjoni, il-kisba ta’ impatti, eċċ. – mill-implimentazzjoni ta’ inizjattivi tal-Artikolu 185 li saru u li għadhom għaddejjin. Hija mfassla wkoll biex tiżgura ġestjoni finanzjarja soda u tipproteġi l-interessi finanzjarji tal-Unjoni permezz ta’ kontrolli </w:t>
      </w:r>
      <w:r>
        <w:rPr>
          <w:i/>
          <w:noProof/>
        </w:rPr>
        <w:t>ex-ante</w:t>
      </w:r>
      <w:r>
        <w:rPr>
          <w:noProof/>
        </w:rPr>
        <w:t xml:space="preserve"> adegwati, rapportar finanzjarju u verifika </w:t>
      </w:r>
      <w:r>
        <w:rPr>
          <w:i/>
          <w:noProof/>
        </w:rPr>
        <w:t>ex-post.</w:t>
      </w:r>
      <w:r>
        <w:rPr>
          <w:noProof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Billi jitqiesu l-impatti probabbli tagħhom, dawn l-għażliet ġew imqabbla ma’ xulxin bl-użu ta’ xenarju bażi bħala l-punt ta’ referenza u bl-applikazzjoni tal-kriterji li ġejjin.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4" w:name="DQCErrorScope8DD61010E04C49BBB796FEBF975"/>
      <w:r>
        <w:rPr>
          <w:noProof/>
        </w:rPr>
        <w:t>effikaċja: l-għażliet proposti għandhom itejbu l-qafas tar-R&amp;I fiż-żona tal-Mediterran fl-oqsma tal-provvista tal-ilma u tas-sistemi tal-ikel.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5" w:name="DQCErrorScope447E4EC9FBB244788359B4FA47F"/>
      <w:bookmarkEnd w:id="24"/>
      <w:r>
        <w:rPr>
          <w:noProof/>
        </w:rPr>
        <w:t>effiċjenza: l-għażliet proposti għandhom jiksbu l-impatti bl-akbar proporzjon bejn il-kostijiet u l-benefiċċji.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6" w:name="DQCErrorScope429BB87F888E4DC5B6DB8057313"/>
      <w:bookmarkEnd w:id="25"/>
      <w:r>
        <w:rPr>
          <w:noProof/>
        </w:rPr>
        <w:t>konsistenza ma’ politiki oħrajn: l-għażliet proposti għandhom ikunu konsistenti ma’ politiki u programmi oħra tal-UE u nazzjonali tar-R&amp;I u ma’ politiki ta’ koordinazzjoni u kooperazzjoni internazzjonali.</w:t>
      </w:r>
    </w:p>
    <w:bookmarkEnd w:id="26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L-inizjattivi tal-Artikolu 185 tat-TFUE preċedenti u li għadhom għaddejjin juru li din l-inizjattiva aktarx li jkollha effett ta’ ingranaġġ għoli fuq il-fondi pubbliċi nazzjonali b’mod stabbli, fit-tul u integrat, li jgħin biex: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7" w:name="DQCErrorScope67C4DB4461DF47BCA73E64EC588"/>
      <w:r>
        <w:rPr>
          <w:noProof/>
        </w:rPr>
        <w:t>jitwassal l-effett ta’ strutturar mixtieq fuq il-politiki u l-programmi nazzjonali tar-R&amp;I u biex jiġu integrati;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8" w:name="DQCErrorScopeF9A4C79263C7470BBE6D9D1E870"/>
      <w:bookmarkEnd w:id="27"/>
      <w:r>
        <w:rPr>
          <w:noProof/>
        </w:rPr>
        <w:t xml:space="preserve">jippermetti l-formulazzjoni ta’ aġendi strateġiċi ta’ riċerka komuni, stabbli u fit-tul bl-iskala u l-kamp ta' applikazzjoni adegwati tal-azzjonijiet; 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29" w:name="DQCErrorScope467E31A0819B4A1BBB710B1561F"/>
      <w:bookmarkEnd w:id="28"/>
      <w:r>
        <w:rPr>
          <w:noProof/>
        </w:rPr>
        <w:t xml:space="preserve">jappoġġja l-allinjament ta’ programmi nazzjonali tar-R&amp;I; 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30" w:name="DQCErrorScope2B9A7BBC6F514D028A0F93AD144"/>
      <w:bookmarkEnd w:id="29"/>
      <w:r>
        <w:rPr>
          <w:noProof/>
        </w:rPr>
        <w:t>jippermetti l-involviment ta’ pajjiżi sħab fuq l-istess livell;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31" w:name="DQCErrorScope60B67B55F1F246AEA1D476EE511"/>
      <w:bookmarkEnd w:id="30"/>
      <w:r>
        <w:rPr>
          <w:noProof/>
        </w:rPr>
        <w:t>jippermetti l-involviment strutturali ta’ tipi differenti ta’ partijiet interessati, kemm pubbliċi kif ukoll privati, li jġibu flimkien u jużaw l-għarfien u r-riżorsi finanzjarji rispettivi tagħhom;</w:t>
      </w:r>
    </w:p>
    <w:p>
      <w:pPr>
        <w:pStyle w:val="ListBullet1"/>
        <w:tabs>
          <w:tab w:val="clear" w:pos="1134"/>
          <w:tab w:val="num" w:pos="1276"/>
        </w:tabs>
        <w:ind w:left="709"/>
        <w:rPr>
          <w:noProof/>
        </w:rPr>
      </w:pPr>
      <w:bookmarkStart w:id="32" w:name="DQCErrorScope034B43F5018B4FAF8FDFBB719F3"/>
      <w:bookmarkEnd w:id="31"/>
      <w:r>
        <w:rPr>
          <w:noProof/>
        </w:rPr>
        <w:t>isaħħaħ il-kapaċitajiet tar-R&amp;I b’mod dejjiemi.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0"/>
        <w:rPr>
          <w:rFonts w:eastAsia="Arial Unicode MS"/>
          <w:noProof/>
        </w:rPr>
      </w:pPr>
      <w:bookmarkStart w:id="33" w:name="DQCErrorScopeB676C99F8AC74A0A9B1F1E5BC3C"/>
      <w:bookmarkEnd w:id="32"/>
    </w:p>
    <w:bookmarkEnd w:id="33"/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hija konsistenti mal-Artikolu 37 dwar il-Protezzjoni ambjentali tal-Karta tad-Drittijiet Fundamentali tal-UE: “Livell għoli ta’ protezzjoni tal-ambjent u t-titjib fil-kwalità tal-ambjent għandhom jiġu integrati fil-politika tal-Unjoni u għandhom jiġu żgurati skont il-prinċipju tal-iżvilupp sostenibbli”.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autoSpaceDE w:val="0"/>
        <w:autoSpaceDN w:val="0"/>
        <w:rPr>
          <w:noProof/>
        </w:rPr>
      </w:pPr>
      <w:r>
        <w:rPr>
          <w:noProof/>
        </w:rPr>
        <w:t>Id-Dikjarazzjoni Finanzjarja Leġiżlattiva li takkompanja din id-deċiżjoni tistabbilixxi l-implikazzjonijiet baġitarji indikattivi. Il-kontribuzzjoni tal-UE għandha tkun sa EUR 200 miljun inkluża l-kontribuzzjoni tal-EFTA. Il-prezzijiet tal-pakkett huma dawkattwali. Il-kontribuzzjoni tal-UE għandha tkun magħmula bħala parti mill-implimentazzjoni tal-Orizzont 2020 – il-Programm Qafas għar-Riċerka u l-Innovazzjoni.</w:t>
      </w:r>
    </w:p>
    <w:p>
      <w:pPr>
        <w:pStyle w:val="Bullet0"/>
        <w:numPr>
          <w:ilvl w:val="0"/>
          <w:numId w:val="29"/>
        </w:numPr>
        <w:rPr>
          <w:noProof/>
        </w:rPr>
      </w:pPr>
      <w:r>
        <w:rPr>
          <w:noProof/>
        </w:rPr>
        <w:t>Mid-DĠ Agrikoltura u Żvilupp Rurali:</w:t>
      </w:r>
    </w:p>
    <w:p>
      <w:pPr>
        <w:pStyle w:val="Tiret1"/>
        <w:numPr>
          <w:ilvl w:val="0"/>
          <w:numId w:val="28"/>
        </w:numPr>
        <w:rPr>
          <w:noProof/>
        </w:rPr>
      </w:pPr>
      <w:r>
        <w:rPr>
          <w:noProof/>
        </w:rPr>
        <w:t>Sfida tas-Soċjetà 2 “Riċerka u innovazzjoni relatati mal-agrikoltura – Assigurazzjoni ta’ biżżejjed provvisti ta’ ikel sikur u ta’ kwalità għolja”.</w:t>
      </w:r>
    </w:p>
    <w:p>
      <w:pPr>
        <w:pStyle w:val="Bullet0"/>
        <w:rPr>
          <w:noProof/>
        </w:rPr>
      </w:pPr>
      <w:r>
        <w:rPr>
          <w:noProof/>
        </w:rPr>
        <w:t>Mid-DĠ R&amp;I:</w:t>
      </w:r>
    </w:p>
    <w:p>
      <w:pPr>
        <w:pStyle w:val="Tiret1"/>
        <w:spacing w:after="0"/>
        <w:ind w:left="1418"/>
        <w:rPr>
          <w:noProof/>
        </w:rPr>
      </w:pPr>
      <w:r>
        <w:rPr>
          <w:noProof/>
        </w:rPr>
        <w:t xml:space="preserve">Sfida tas-Soċjetà 2 “Sigurtà tal-Ikel, Agrikoltura u Foresterija Sostenibbli, Riċerka tal-Baħar, Marittima u tal-Ilmijiet Interni, u l-Bijoekonomija”; </w:t>
      </w:r>
    </w:p>
    <w:p>
      <w:pPr>
        <w:pStyle w:val="Tiret1"/>
        <w:spacing w:before="0" w:after="0"/>
        <w:ind w:left="1418"/>
        <w:rPr>
          <w:noProof/>
        </w:rPr>
      </w:pPr>
      <w:r>
        <w:rPr>
          <w:noProof/>
        </w:rPr>
        <w:t>Sfida tas-Soċjetà 5 “Azzjoni Klimatika, Ambjent, Effiċjenza tar-Riżorsi u Materja Prima”;</w:t>
      </w:r>
    </w:p>
    <w:p>
      <w:pPr>
        <w:pStyle w:val="Tiret1"/>
        <w:spacing w:before="0"/>
        <w:ind w:left="1418"/>
        <w:rPr>
          <w:noProof/>
        </w:rPr>
      </w:pPr>
      <w:r>
        <w:rPr>
          <w:noProof/>
        </w:rPr>
        <w:t xml:space="preserve">Tmexxija industrijali.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L-ammont massimu tal-kontribuzzjoni tal-UE għall-kostijiet amministrattivi huwa sa 5%. Dan jikkorrispondi għal EUR 10 miljuni.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Il-kontribuzzjoni tal-UE se tiġi ġestita mill-Istruttura ta’ Implimentazzjoni tal-Prima PRIMA-IS (ġestjoni indiretta tal-fondi tal-UE). Qabel id-delega tal-ġestjoni u tat-trasferiment tal-fondi, il-PRIMA-IS se tkun soġġetta għal valutazzjoni </w:t>
      </w:r>
      <w:r>
        <w:rPr>
          <w:i/>
          <w:noProof/>
        </w:rPr>
        <w:t>ex-ante</w:t>
      </w:r>
      <w:r>
        <w:rPr>
          <w:noProof/>
        </w:rPr>
        <w:t xml:space="preserve"> skont ir-rekwiżiti stabbiliti fl-Artikolu 61 tar-Regolament Finanzjarju, sabiex tiġi vvalutata l-kapaċità tagħha li timplimenta l-programm, inkluż li tirċievi, talloka u timmonitorja l-kontribuzzjoni finanzjarja tal-UE fil-qafas tal-ġestjoni indiretta tal-baġit tal-UE. 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Id-dispożizzjoni tad-Deċiżjoni u tal-ftehim ta’ delega li jrid jiġi konkluż bejn il-Kummissjoni u l-istruttura speċifika ta’ implimentazzjoni jiżguraw li jitħarsu l-interessi finanzjarji tal-UE. Ir-riskju tan-nuqqas ta’ rkupru huwa kopert mill-garanziji finanzjarji li l-Istati Parteċipanti se jkollhom jipprovdu fi żmien xieraq u l-aktar tard qabel l-iffirmar tal-ftehim ta’ delega.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bookmarkStart w:id="34" w:name="DQCErrorScope86E6243D93E94FF29CBE45A9EF7"/>
    </w:p>
    <w:bookmarkEnd w:id="34"/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L-Istati Parteċipanti u l-UE jagħmlu impenji bil-quddiem biex jikkontribwixxu għall-PRIMA. L-impenn tal-UE ta’ EUR 200 miljun mill-Qafas Finanzjarju Pluriennali attwali se jintuża prinċipalment biex jiffinanzja l-azzjonijiet indiretti li jirriżultaw minn sejħiet imnedija mill-PRIMA-IS. Dan se jkopri sensiela ta’ seba’ Pjanijiet ta’ Ħidma Annwali (2018 – 2024), bl-aħħar impenn mill-Kummissjoni li se jsir fl-2020 u li se jintuża għall-finanzjament ta’ proġetti li jirriżultaw mis-sejħiet fis-snin 2020 – 2024. L-Istati Parteċipanti se jiddeskrivu fil-Pjan ta’ Ħidma Annwali l-attivitajiet tagħhom iffinanzjati minn programmi nazzjonali u mill-baġits rispettivi allokati għal dawn l-attivitajiet. L-Istati Parteċipanti kienu diġà ġew mgħarrfa bil-bżonn li jipprovdu impenji sostanzjali fl-ewwel snin tal-implimentazzjoni tal-programm u biex jiffinanzjaw l-inizjattiva minn qabel biex jinħoloq bilanċ mal-pagament bil-quddiem li sar mill-baġit tal-Unjoni.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bookmarkStart w:id="35" w:name="DQCErrorScopeE6CF19EC8B9440FCAED58263C3A"/>
    </w:p>
    <w:bookmarkEnd w:id="35"/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Il-kontribuzzjoni tal-UE għal kull Pjan ta’ Ħidma Annwali mhux se teċċedi l-impenn tal-Istati Parteċipanti għalih. Dan jiżgura li mill-inqas ikun hemm bilanċ b’kontribuzzjonijiet li jaqblu ta’ finanzjament tal-UE u tal-Istati Parteċipanti. Dan jippermetti mekkaniżmu li jnaqqas l-impenn tal-UE jekk l-Istati Parteċipanti jonqsu milli jimpenjaw kif mistenni.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bookmarkStart w:id="36" w:name="DQCErrorScope9679F8D3E4334B72992D33C6816"/>
    </w:p>
    <w:bookmarkEnd w:id="36"/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il-valutazzjoni mill-Kummissjoni tal-impenji tal-Istati Parteċipanti mwettqa permezz tal-ewwel żewġ pjani ta’ ħidma annwali ġiet prevista fil-proposta leġiżlattiva bħala kundizzjoni għall-kontribuzzjoni finanzjarja tal-UE. Wara din l-evalwazzjoni, il-kontribuzzjoni massima tal-UE tista’ tiġi riveduta skont is-salvagwardji applikabbli rigward it-terminazzjoni, it-tnaqqis jew is-sospensjoni tal-kontribuzzjoni finanzjarja tal-UE, li jistabbilixxu li “</w:t>
      </w:r>
      <w:r>
        <w:rPr>
          <w:i/>
          <w:noProof/>
        </w:rPr>
        <w:t>Jekk l-Istati Parteċipanti ma jikkontribwixxux, jikkontribwixxu parzjalment jew tard għall-finanzjament tal-PRIMA l-Kummissjoni tista’ tittermina, proporzjonalment tnaqqas jew tissospendi l-kontribuzzjoni finanzjarja tal-Unjoni, billi tqis l-ammont ta’ finanzjament allokat mill-Istati Parteċipanti għall-implimentazzjoni tal-PRIMA</w:t>
      </w:r>
      <w:r>
        <w:rPr>
          <w:noProof/>
        </w:rPr>
        <w:t>."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Ħidma Annwali,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Il-Pjanijiet ta’ Ħidma Annwali (AWP) tal-PRIMA se jiżguraw il-konsistenza u l-koordinazzjoni bejn l-attivitajiet kollha u l-orjentazzjoni tagħhom lejn l-ilħuq tal-objettivi operattivi, speċifiċi u ġenerali tal-PRIMA. L-AWP, li huwa soġġett għall-approvazzjoni mill-Kummissjoni se jinkludi: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 Sejħiet għal proposti transnazzjonali li għandhom jiġu ffinanzjati mill-PRIMA-IS bil-kontribuzzjoni tal-UE, skont ir-Regoli għall-Parteċipazzjoni tal-Orizzont 2020;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- Attivitajiet iffinanzjati biss mill-Istati Parteċipanti, u jgħoddu għat-tqabbil mal-kontribuzzjoni tal-Unjoni taħt ċerti kundizzjonijiet. B’mod partikolari, dawn l-attivitajiet se jiġu inklużi fl-AWP wara evalwazzjoni esterna pożittiva minn evalwazzjoni internazzjonali bejn il-pari fir-rigward tal-objettivi tal-Programm Konġunt tal-PRIMA. Dawn se jiġu implimentati f’konformità ma’ prinċipji komuni, li għandhom jiġu miftiehma mill-Istati Parteċipanti u l-Kummissjoni. Dawn l-attivitajiet se jinkludu sejħiet bejn il-programmi tal-Istati Parteċipanti għal proġetti transnazzjonali, organizzati mill-PRIMA-IS (inklużi evalwazzjonijiet tal-proposti). L-attivitajiet għandhom dejjem aktar jindirizzaw ukoll il-Livelli ta' Tlestija Teknoloġika ogħla hekk kif definiti fl-Annessi Ġenerali tal-Programmi ta' Ħidma ta' Orizzont 2020</w:t>
      </w:r>
      <w:r>
        <w:rPr>
          <w:rStyle w:val="FootnoteReference"/>
          <w:noProof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Ir-rappurtar annwali tal-PRIMA-IS se jkopri ż-żewġ aspetti. Dan jippermetti monitoraġġ mill-qrib mis-servizzi tal-Kummissjoni u jiffaċilita t-teħid ta’ miżuri korrettivi, jekk meħtieġ, b’mod partikolari bit-tnaqqis tal-impenji tal-UE għal Pjanijiet ta’ Ħidma Annwali individwali jekk l-implimentazzjoni tal-attivitajiet mill-Istati Parteċipanti ma żżommx il-livell meħtieġ ta’ impenn biex taqbel ma’ dak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Id-Direttorat Ġenerali għar-Riċerka u l-Innovazzjoni adotta arranġamenti ta’ superviżjoni standard għall-inizjattivi tal-Artikolu 185 tat-TFUE. Dawn l-arranġamenti se japplikaw ukoll għall-Programm Konġunt tal-PRIMA. L-effikaċja tagħhom għandha tiġi evalwata kemm fil-livell tal-programm (bil-fokus fuq jekk l-objettivi globali ntlaħqux) kif ukoll fuq livell nazzjonali (bil-fokus fuq l-għanijiet ta’ pajjiżi individwali).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Ir-responsabbiltajiet tas-servizzi tal-Kummissjoni u dawk tal-PRIMA-IS u tal-Istati Parteċipanti fir-rigward tal-monitoraġġ u l-mekkaniżmi tal-verifika huma differenzjati b’mod ċar fl-att bażiku. Se jiġu żviluppati aktar fil-ftehim ta’ delega bejn il-Kummissjoni u l-PRIMA-IS.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Hija prevista evalwazzjoni indipendenti interim kif ukoll finali.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se tiżgura wkoll li l-azzjonijiet kollha meħuda u appoġġjati bħala parti mill-inizjattiva jirrispettaw il-Karta tad-Drittijiet Fundamentali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Derogi mir-Regoli għall-Parteċipazzjoni ta’ Orizzont 2020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L-inizjattiva tal-PRIMA bbażata fuq l-Artikolu 185 fil-fatt teħtieġ derogi limitati biss mir-Regoli għall-Parteċipazzjoni ta’ Orizzont 2020. Biex tiġi żgurata parteċipazzjoni ewlenija bbilanċjata f’azzjonijiet indiretti f’konfigurazzjoni bejn it-Tramuntana u n-Nofsinhar, bħala deroga mill-punt (b) tal-Artikolu 9(1) tar-Regolament (UE) Nru 1290/2013, in-numru minimu ta’ parteċipanti għandu jkun tliet entitajiet ġuridiċi stabbiliti fi tliet Stati Parteċipanti differenti, b’wieħed minnhom ikun stabbilit fi Stat Membru jew f’pajjiż assoċjat mal-Orizzont 2020 u wieħed f’pajjiż terz, assoċjat jew le mal-Orizzont 2020. Id-Deroga mill-Artikolu 9(3) tar-Regolament (UE) Nru 1290/2013 hija meħtieġa biex tiżgura li l-kundizzjonijiet minimi ta’ eliġibbiltà għall-parteċipazzjoni f’azzjonijiet indiretti b’kundizzjoni minima tal-parteċipazzjoni ta’ entità ġuridika waħda ma jkunux diskriminatorji għall-entitajiet stabbiliti f’pajjiżi terzi li jipparteċipaw fil-PRIMA bħala Stati Parteċipanti. Din tkun tapplika biss fil-każ eċċezzjonali meta s-sejħiet għall-proposti fil-pjan ta' ħidma annwali jkunu jinkludu azzjonijiet monobenefiċjarji, u soġġett għall-approvazzjoni tal-Kummissjoni. Id-Derogi mill-Artikolu 12 tar-Regolament (UE) Nru 1290/2013 huma meħtieġa biex titwessa’ l-kooperazzjoni permezz ta’ sejħiet konġunti mnedija mill-Istruttura ta’ Implimentazzjoni tal-PRIMA ma’ entitajiet ġuridiċi għajr pajjiżi terzi u organizzazzjonijiet internazzjonali.</w:t>
      </w:r>
    </w:p>
    <w:p>
      <w:pPr>
        <w:pStyle w:val="Statu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2016/0325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il-parteċipazzjoni tal-Unjoni </w:t>
      </w:r>
      <w:r>
        <w:rPr>
          <w:noProof/>
        </w:rPr>
        <w:br/>
        <w:t xml:space="preserve">fis-Sħubija għar-Riċerka u l-Innovazzjoni fiż-Żona tal-Mediterran (PRIMA) </w:t>
      </w:r>
      <w:r>
        <w:rPr>
          <w:noProof/>
        </w:rPr>
        <w:br/>
        <w:t>imwettqa b’mod konġunt minn bosta Stati Membri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185 u t-tieni paragrafu tal-Artikolu 188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Fil-Komunikazzjoni tagħha tat-3 ta’ Marzu 2010 bl-isem “Ewropa 2020 Strateġija għal tkabbir intelliġenti, sostenibbli u inklussiv” il-Kummissjoni saħqet dwar il-bżonn li jiġu żviluppati kundizzjonijiet favorevoli għall-investiment fl-għarfien u fl-innovazzjoni biex fl-Unjoni jinħoloq tkabbir intelliġenti, sostenibbli u inklussiv. Kemm il-Parlament Ewropew kif ukoll il-Kunsill approvaw dik l-istrateġija.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Ir-Regolament (UE) Nru 1291/2013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stabbilixxa Orizzont 2020 - il-Programm Qafas għar-Riċerka u l-Innovazzjoni (2014-2020) (“Orizzont 2020”). L-Orizzont 2020 għandu l-għan li jikseb impatt akbar fuq ir-riċerka u l-innovazzjoni billi jikkontribwixxi għat-tisħiħ tas-sħubijiet pubbliċi-pubbliċi, inkluż permezz tal-parteċipazzjoni tal-Unjoni fi programmi mwettqa minn bosta Stati Membri.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Is-sħubiji pubbliċi-pubbliċi għandu jkollhom l-għan li jiżviluppaw sinerġiji aktar mill-qrib, iżidu l-koordinazzjoni u jevitaw id-duplikazzjoni mhux meħtieġa mal-programmi ta’ riċerka internazzjonali, nazzjonali, reġjonali u dawk tal-Unjoni, u għandhom josservaw għalkollox il-prinċipji ġenerali ta’ Orizzont 2020, b’mod partikolari dawk li jirrigwardaw attitudni miftuħa u t-trasparenza.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Ir-Regolament (UE) Nru 1291/2013 identifika “</w:t>
      </w:r>
      <w:r>
        <w:rPr>
          <w:noProof/>
        </w:rPr>
        <w:tab/>
      </w:r>
      <w:r>
        <w:rPr>
          <w:noProof/>
        </w:rPr>
        <w:br/>
        <w:t>Azzjoni klimatika, ambjent, effiċjenza tar-riżorsi u l-materja prima” u “Sigurtà tal-ikel, agrikoltura u foresterija sostenibbli, riċerka tal-baħar, marittima u tal-ilmijiet interni, u l-bijoekonomija” bħala tnejn mill-isfidi tas-soċjetà ta’ prijorità li jridu jiġu indirizzati bl-appoġġ għall-investiment fir-riċerka u l-innovazzjoni. Barra minn hekk, ir-Regolament (UE) Nru 1291/2013 jirrikonoxxi li l-attivitajiet tar-riċerka u l-innovazzjoni għal dawn l-isfidi għandhom jitwettqu fil-livell tal-Unjoni u lil hinn, minħabba n-natura transnazzjonali u globali tal-klima u l-ambjent, l-iskala u l-kumplessità tagħhom, u d-dimensjoni internazzjonali tal-katina alimentari u tal-provvista agrikola.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Ir-Regolament (UE) Nru 1291/2013 jirrikonoxxi li l-kooperazzjoni internazzjonali ma’ pajjiżi terzi hija meħtieġa biex tindirizza sfidi komuni b’mod effettiv. Il-kooperazzjoni internazzjonali fir-riċerka u fl-innovazzjoni hija aspett ewlieni tal-impenji globali tal-Unjoni u għandha rwol importanti x’taqdi fis-sħubija tal-Unjoni mal-pajjiżi tal-viċinat. Din il-kooperazzjoni ssegwi l-approċċ meħud fil-politika Ewropea tal-viċinat biex tiddifferenzja l-livell ta’ kooperazzjoni ma’ kull pajjiż fil-viċinat abbażi tal-impenn tagħhom lejn l-Unjoni.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Fil-Komunikazzjoni tagħha tas-7 ta’ Ġunju 2016 dwar it-twaqqif ta’ Qafas ta’ Sħubija ġdid ma’ pajjiżi terzi skont l-Aġenda Ewropea dwar il-Migrazzjoni, il-Kummissjoni enfasizzat il-ħtieġa li tistieden il-politiki kollha, inkluż dwar ir-riċerka u l-innovazzjoni, jindirizzaw il-kawżi ewlenin tal-migrazzjoni permezz ta’ mudell ġdid ta’ kooperazzjoni li jinvolvi lill-investituri privati, l-ingranaġġ ta' riżorsi tal-baġit limitati, u li jiffoka fuq l-SMEs u l-infrastruttura sostenibbli.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Fit-23 ta’ Diċembru 2014, grupp ta’ 19-il pajjiż miż-Żona Mediterranja ppreżentaw lill-Kummissjoni bi proposta għal inizjattiva ta’ Programm Konġunt “Sħubija għar-Riċerka u l-Innovazzjoni fiż-Żona tal-Mediterran” (PRIMA). Fost dawn il-pajjiżi, 14-il pajjiż qablu li b’mod konġunt iwettqu l-inizjattiva PRIMA billi jimpenjaw kontribuzzjonijiet finanzjarji: Ċipru, ir-Repubblika Ċeka, Franza, il-Greċja, l-Italja, il-Lussemburgu, Malta, il-Portugall u Spanja, Stati Membri tal-Unjoni; Iżrael u t-Tuneżija, pajjiżi terzi assoċjati mal-Orizzont 2020; l-Eġittu, il-Libanu u l-Marokk, pajjiżi terzi mhux assoċjati mal-Orizzont 2020.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Il-PRIMA għandha l-għan li timplimenta programm konġunt għall-iżvilupp u l-adozzjoni ta’ soluzzjonijiet innovattivi u integrati għal titjib fl-effiċjenza, is-sikurezza, is-sigurtà u s-sostenibbiltà tal-produzzjoni tal-ikel u l-provvista tal-ilma fiż-żona Mediterranja. Il-PRIMA għandha tikkontribwixxi għall-ilħuq tal-Għanijiet ta’ Żvilupp Sostenibbli maqbula reċentement u għall-Istrateġija Ewropea għal Żvilupp Sostenibbli li ġejja.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Biex tiġi żgurata l-parteċipazzjoni fil-PRIMA tal-pajjiżi terzi mhux assoċjati mal-Orizzont 2020 , jiġifieri l-Eġittu, il-Libanu u l-Marokk, il-ftehimiet internazzjonali bejn l-Unjoni u dawn il-pajjiżi terzi għandhom ikunu meħtieġa sabiex ir-reġim legali stabbilit minn din id-Deċiżjoni jiġi estiż għalihom ukoll.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F’konformità mal-objettivi tal-Orizzont 2020, kwalunkwe Stat Membru ieħor u pajjiż terz assoċjat mal-Orizzont 2020 għandu jkun intitolat jipparteċipa fil-PRIMA jekk jimpenja ruħu li jikkontribwixxi għall-finanzjament tal-PRIMA.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Sabiex jintlaħqu dawn l-objettivi tal-PRIMA, il-parteċipazzjoni ta’ kwalunkwe pajjiż terz ieħor mhux assoċjat mal-Orizzont 2020, b’mod partikolari l-pajjiżi tan-Nofsinhar tal-Mediterran, għandha tkun possibbli jekk il-pajjiż terz jimpenja ruħu li jikkontribwixxi għall-finanzjament tal-PRIMA u jekk il-PRIMA-IS tapprova l-parteċipazzjoni tiegħu. Il-parteċipazzjoni tiegħu għandha tkun prevista wkoll mill-ftehim internazzjonali rilevanti bejn dan il-pajjiż terz u l-Unjoni.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Sabiex tiġi żgurata l-implimentazzjoni konġunta tal-PRIMA, għandha tiġi stabbilita struttura ta’ implimentazzjoni (“PRIMA-IS”). Il-PRIMA-IS għandha tkun ir-riċevitur tal-kontribuzzjoni finanzjarja tal-Unjoni u għandha tiżgura l-implimentazzjoni effiċjenti tal-PRIMA. </w:t>
      </w:r>
    </w:p>
    <w:p>
      <w:pPr>
        <w:pStyle w:val="ManualConsidrant"/>
        <w:rPr>
          <w:noProof/>
          <w:color w:val="000000"/>
        </w:rPr>
      </w:pPr>
      <w:r>
        <w:t>(13)</w:t>
      </w:r>
      <w:r>
        <w:tab/>
      </w:r>
      <w:r>
        <w:rPr>
          <w:noProof/>
        </w:rPr>
        <w:t xml:space="preserve">Il-kontribuzzjoni finanzjarja tal-Unjoni għandha tkun soġġetta għal impenji formali mill-Istati Parteċipanti biex tikkontribwixxi għall-finanzjament tal-PRIMA u għat-twettiq sħiħ ta’ dawk l-impenji skont it-termini ta’ din id-Deċiżjoni. Għandha tingħata flessibbiltà lill-Istati Parteċipanti biex b’mod fakultattiv jikkontribwixxu finanzjarjament għall-PRIMA-IS fid-dawl tal-finanzjament ta’ azzjonijiet indiretti, biex b’hekk jinkiseb grad għoli ta’ integrazzjoni finanzjarja. Barra minn hekk, l-Istati Parteċipanti għandhom jikkontribwixxu finanzjarjament jew </w:t>
      </w:r>
      <w:r>
        <w:rPr>
          <w:i/>
          <w:noProof/>
        </w:rPr>
        <w:t>in natura</w:t>
      </w:r>
      <w:r>
        <w:rPr>
          <w:noProof/>
        </w:rPr>
        <w:t xml:space="preserve"> għall-attivitajiet implimentati mingħajr il-kontribuzzjoni tal-Unjoni.</w:t>
      </w:r>
      <w:r>
        <w:rPr>
          <w:noProof/>
          <w:color w:val="000000"/>
        </w:rPr>
        <w:t xml:space="preserve"> Il-perjodu li matulu l-Istati Parteċipanti għandhom jipprovdu l-kontribuzzjoni tagħhom għandu jiġi definit b’mod ċar.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Għandu jiġi stabbilit limitu għall-kontribuzzjoni tal-Unjoni fil-PRIMA b'finanzjament mill-Orizzont 2020. F’dan il-limitu, il-kontribuzzjoni tal-Unjoni għandha tkun daqs il-kontribuzzjoni tal-Istati Parteċipanti fil-PRIMA ħalli jintlaħaq effett qawwi ta’ ingranaġġ u tkun żgurata integrazzjoni aktar b’saħħitha tal-programmi tal-Istati Parteċipanti. Għandu jkun possibbli li tintuża parti limitata mill-kontribuzzjoni tal-Unjoni biex tkopri l-kostijiet amministrattivi tal-PRIMA-IS.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Sabiex tiġi evitata implimentazzjoni mtawla tal-PRIMA, għandha tiġi ffissata skadenza għat-tnedija tal-aħħar attivitajiet, inklużi l-aħħar sejħiet għal proposti.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L-attivitajiet tal-PRIMA għandhom ikunu f’konformità mal-objettivi u l-prijoritajiet tar-riċerka u l-innovazzjoni ta’ Orizzont 2020 u mal-prinċipji ġenerali u l-kondizzjonijiet stabbiliti fl-Artikolu 26 tar-Regolament (UE) Nru 1291/2013. Il-PRIMA għandha tieħu kont tad-definizzjonijiet tal-OECD dwar il-Livell ta' Tlestija Teknoloġika fil-klassifikazzjoni tar-riċerka teknoloġika, l-iżvilupp tal-prodotti u l-attivitajiet ta' dimostrazzjoni.</w:t>
      </w:r>
    </w:p>
    <w:p>
      <w:pPr>
        <w:pStyle w:val="ManualConsidrant"/>
        <w:rPr>
          <w:noProof/>
          <w:color w:val="002060"/>
        </w:rPr>
      </w:pPr>
      <w:r>
        <w:t>(17)</w:t>
      </w:r>
      <w:r>
        <w:tab/>
      </w:r>
      <w:r>
        <w:rPr>
          <w:noProof/>
        </w:rPr>
        <w:t xml:space="preserve">Sabiex jintlaħqu l-objettivi tal-PRIMA, il-PRIMA-IS għandha tipprovdi appoġġ finanzjarju prinċipalment fil-forma ta’ għotjiet lill-parteċipanti fl-azzjonijiet iffinanzjati mill-PRIMA-IS. Dawk l-azzjonijiet għandhom jintgħażlu wara sejħiet għal proposti miftuħa u kompetittivi taħt ir-responsabbiltà tal-PRIMA-IS. 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Is-sejħiet għal proposti li tieħu ħsieb il-PRIMA-IS għandhom jiġu ppubblikati wkoll fuq il-portal uniku għall-parteċipanti, kif ukoll permezz ta’ mezzi elettroniċi oħra ta’ tixrid ta’ Orizzont 2020 li tieħu ħsieb il-Kummissjoni.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Il-kontribuzzjoni finanzjarja tal-Unjoni għandha tkun ġestita skont il-prinċipju ta’ ġestjoni finanzjarja soda u r-regoli dwar il-ġestjoni indiretta stabbiliti fir-Regolament (UE, Euratom) Nru 966/2012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r-Regolament Delegat tal-Kummissjoni (UE) Nru 1268/2012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Biex jitħarsu l-interessi finanzjarji tal-Unjoni, il-Kummissjoni għandu jkollha d-dritt tnaqqas, tissospendi jew tittermina l-kontribuzzjoni finanzjarja tal-Unjoni jekk il-PRIMA tiġi implimentata b’mod inadegwat, parzjalment jew tard, jew jekk l-Istati Parteċipanti ma jikkontribwixxux, jew jikkontribwixxu parzjalment jew tard, għall-finanzjament tal-PRIMA.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Il-parteċipazzjoni f’azzjonijiet indiretti ffinanzjati mill-PRIMA-IS hija soġġetta għar-Regolament (UE) Nru 1290/2013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>. Madankollu, minħabba l-bżonnijiet operattivi speċifiċi tal-PRIMA, hemm bżonn jingħataw derogi skont l-Artikolu 1(3) ta’ dak ir-Regolament.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Id-derogi mill-punt (b) tal-Artikolu 9(1) u mill-Artikolu 9(3) tar-Regolament (UE) Nru 1290/2013 huma meħtieġa sabiex jieħdu kont tal-ispeċifiċitajiet li jirriżultaw mill-kamp ta' applikazzjoni ġeografiku tal-PRIMA, billi jaġġustaw aktar il-kundizzjonijiet minimi tal-eliġibbiltà għall-parteċipazzjoni f’azzjonijiet indiretti</w:t>
      </w:r>
      <w:r>
        <w:rPr>
          <w:noProof/>
          <w:color w:val="000000"/>
        </w:rPr>
        <w:t xml:space="preserve">. Sabiex tiġi żgurata parteċipazzjoni ewlenija bbilanċjata fl-azzjonijiet indiretti taħt konfigurazzjoni bejn it-Tramuntana u n-Nofsinhar, bħala deroga mill-punt (b) tal-Artikolu 9(1) tar-Regolament (UE) Nru 1290/2013, in-numru minimu ta’ parteċipanti għandu jkun tliet entitajiet ġuridiċi stabbiliti fi tliet Stati Parteċipanti differenti li minnhom waħda hija stabbilita fi Stat Membru jew f’pajjiż assoċjat mal-Orizzont 2020, u waħda hija stabbilita f’pajjiż terz, assoċjat jew le mal-Orizzont 2020. </w:t>
      </w:r>
      <w:r>
        <w:rPr>
          <w:noProof/>
        </w:rPr>
        <w:t>Id-deroga mill-</w:t>
      </w:r>
      <w:r>
        <w:rPr>
          <w:noProof/>
          <w:color w:val="000000"/>
        </w:rPr>
        <w:t xml:space="preserve">Artikolu 9(3) tar-Regolament (UE) Nru 1290/2013 hija meħtieġa sabiex tiżgura li l-kundizzjonijiet minimi tal-eliġibbiltà għall-parteċipazzjoni f’azzjonijiet indiretti ma jkunux diskriminatorji għal entitajiet stabbiliti f’pajjiżi terzi li jipparteċipaw fil-PRIMA bħala Stati Parteċipanti. Sabiex jiġi żgurat li l-kundizzjonijiet tal-finanzjament mhumiex diskriminatorji għall-entitajiet stabbiliti f’pajjiżi terzi li jipparteċipaw fil-PRIMA bħala Stati Parteċipanti, għandu jiġi previst li l-entitajiet ġuridiċi stabbiliti fl-Istati Parteċipanti jkunu eliġibbli għall-finanzjament flimkien mal-entitajiet imsemmija fl-Artikolu 10(1) tar-Regolament (UE) Nru 1290/2013. </w:t>
      </w:r>
      <w:r>
        <w:rPr>
          <w:noProof/>
        </w:rPr>
        <w:t>Id-derogi mill-</w:t>
      </w:r>
      <w:r>
        <w:rPr>
          <w:noProof/>
          <w:color w:val="000000"/>
        </w:rPr>
        <w:t>Artikolu 12 tar-Regolament (UE) Nru 1290/2013 huma meħtieġa sabiex jippermettu t-twessigħ tal-kooperazzjoni permezz ta’ sejħiet konġunti mnedija mill-PRIMA-IS ma’ entitajiet ġuridiċi għajr pajjiżi terzi u organizzazzjonijiet internazzjonali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Għall-finijiet ta’ simplifikazzjoni, il-piż amministrattiv għandu jitnaqqas għall-partijiet kollha. Awditi doppji u dokumentazzjoni u rapportar sproporzjonati għandhom jiġu evitati. Meta jsiru l-awditi, għandhom jiġu kkunsidrati l-ispeċifiċitajiet tal-programmi nazzjonali, kif xieraq.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 xml:space="preserve">Awditi ta’ riċevituri ta’ fondi tal-Unjoni pprovduti skont din id-Deċiżjoni għandhom jiżguraw it-tnaqqis tal-piż amministrattiv, skont ir-Regolament (UE) Nru 1291/2013.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L-interessi finanzjarji tal-Unjoni għandhom jitħarsu permezz ta' miżuri proporzjonati tul iċ-ċiklu tal-infiq kollu, inkluż il-prevenzjoni, il-kxif u l-investigazzjoni ta’ irregolaritajiet, l-irkupru ta’ fondi mitlufa, imħallsa ħażin jew użati ħażin u, meta xieraq, sanzjonijiet amministrattivi skont ir-Regolament (UE, Euratom) Nru 966/2012.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 xml:space="preserve">Il-Kummissjoni għandha tmexxi evalwazzjoni interim li b’mod partikolari tivvaluta l-kwalità u l-effiċjenza tal-PRIMA u l-progress li jkun sar għall-għanijiet stabbiliti u evalwazzjoni finali u għandha tħejji rapporti dwar dawk l-evalwazzjonijiet. 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Fuq talba mill-Kummissjoni, il-PRIMA-IS u l-Istati Parteċipanti għandhom iressqu kwalunkwe informazzjoni li l-Kummissjoni jeħtieġ tinkludi fir-rapporti dwar l-evalwazzjoni tal-PRIMA.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L-objettiv ta’ din id-Deċiżjoni huwa li ssaħħaħ l-integrazzjoni u l-allinjament tas-sistemi tar-riċerka u tal-innovazzjoni fil-pajjiżi Mediterranji fl-oqsma tal-provvista tal-ilma u tas-sistemi tal-ikel. L-iskala tar-riċerka u l-innovazzjoni meħtieġa biex jiġu indirizzati l-isfidi fiż-żona tal-Mediterran hija immensa minħabba l-karattru sistemiku tal-konġestjonijiet ewlenin. Il-kamp ta' applikazzjoni tar-riċerka u tal-innovazzjoni huwa kumpless, multidixxiplinarju u jeħtieġ approċċ b’diversi atturi u transkonfinali. Approċċ kollaborattiv b’sett wiesa’ ta’ Stati Parteċipanti jista’ jgħin biex iżid l-iskala u l-kamp ta' applikazzjoni meħtieġa, billi jinġabru flimkien ir-riżorsi finanzjarji u intellettwali. Għalhekk, peress li l-għan jista’ jintlaħaq aħjar fil-livell tal-Unjoni billi jiġu integrati l-isforzi nazzjonali f’approċċ tal-Unjoni konsistenti, billi jingħaqdu programmi nazzjonali tar-riċerka li huma maqtugħin għalihom, billi tingħata għajnuna biex jitfasslu strateġiji komuni tar-riċerka u l-finanzjament li jegħlbu l-fruntieri nazzjonali, u billi tinkiseb il-massa kritika ta’ atturi u ta' investimenti meħtieġa, l-Unjoni tista’ tadotta miżuri, f’konformità mal-prinċipju tas-sussidjarjetà kif stabbilit fl-Artikolu 5 tat-Trattat dwar l-Unjoni Ewropea. Skont il-prinċipju tal-proporzjonalità, kif stabbilit f’dak l-Artikolu, din id-Deċiżjoni ma tmurx lil hinn minn dak meħtieġ biex jintlaħqu dawk l-għanijiet.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Għalhekk, l-Unjoni għandha tipparteċipa fil-PRIMA,</w:t>
      </w:r>
    </w:p>
    <w:p>
      <w:pPr>
        <w:pStyle w:val="Formuledadoption"/>
        <w:rPr>
          <w:noProof/>
        </w:rPr>
      </w:pPr>
      <w:r>
        <w:rPr>
          <w:noProof/>
        </w:rPr>
        <w:t>ADOTTAW DIN ID-DEĊIŻJONI:</w:t>
      </w:r>
    </w:p>
    <w:p>
      <w:pPr>
        <w:pStyle w:val="Titrearticle"/>
        <w:ind w:left="720"/>
        <w:rPr>
          <w:noProof/>
        </w:rPr>
      </w:pPr>
      <w:bookmarkStart w:id="37" w:name="DQCErrorScopeAA45387AF5E44D8E8BE16B22AEA"/>
      <w:r>
        <w:rPr>
          <w:noProof/>
        </w:rPr>
        <w:t>Artikolu 1</w:t>
      </w:r>
      <w:r>
        <w:rPr>
          <w:noProof/>
        </w:rPr>
        <w:br/>
        <w:t xml:space="preserve">Parteċipazzjoni fil-PRIMA </w:t>
      </w:r>
    </w:p>
    <w:bookmarkEnd w:id="37"/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L-Unjoni għandha tipparteċipa fis-Sħubija għar-Riċerka u l-Innovazzjoni fiż-Żona tal-Mediterran (“PRIMA”) imwettqa b’mod konġunt minn [Ċipru, ir-Repubblika Ċeka, Franza, il-Greċja, Iżrael, l-Italja, il-Lussemburgu, Malta, il-Portugall, Spanja u t-Tuneżija] (“Stati Parteċipanti”), skont il-kundizzjonijiet stabbiliti f’din id-Deċiżjoni.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L-Eġittu, il-Libanu u l-Marokk għandhom isiru Stati Parteċipanti soġġetti għall-konklużjoni ta’ ftehimiet internazzjonali mal-Unjoni li jistabbilixxu t-termini u l-kundizzjonijiet tal-parteċipazzjoni tagħhom fil-PRIMA.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Kwalunkwe Stat Membru u kwalunkwe pajjiż assoċjat mal-Orizzont 2020 għajr dawk elenkati fil-paragrafu 1 jistgħu jieħdu sehem fil-PRIMA sakemm jissodisfaw il-kundizzjoni stabbilita fil-punt (c) tal-Artikolu 4(1) ta’ din id-Deċiżjoni. Jekk jissodisfa dik il-kundizzjoni, għandu jitqies bħala Stat Parteċipanti għall-finijiet ta’ din id-Deċiżjoni.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Kwalunkwe pajjiż terz mhux assoċjat mal-Orizzont 2020 għajr dawk elenkati fil-paragrafu 2 jista’ jieħu sehem fil-PRIMA sakemm:</w:t>
      </w:r>
    </w:p>
    <w:p>
      <w:pPr>
        <w:pStyle w:val="ListNumberLevel2"/>
        <w:ind w:hanging="566"/>
        <w:rPr>
          <w:noProof/>
        </w:rPr>
      </w:pPr>
      <w:bookmarkStart w:id="38" w:name="DQCErrorScope373F36F89FF249078F29341642F"/>
      <w:r>
        <w:rPr>
          <w:noProof/>
        </w:rPr>
        <w:t>jissodisfa l-kundizzjoni stabbilita fil-punt (c) tal-Artikolu 4(1) ta’ din id-Deċiżjoni;</w:t>
      </w:r>
    </w:p>
    <w:p>
      <w:pPr>
        <w:pStyle w:val="ListNumberLevel2"/>
        <w:ind w:hanging="566"/>
        <w:rPr>
          <w:noProof/>
        </w:rPr>
      </w:pPr>
      <w:bookmarkStart w:id="39" w:name="DQCErrorScope1143DA6B21DE4336938BFF28740"/>
      <w:bookmarkEnd w:id="38"/>
      <w:r>
        <w:rPr>
          <w:noProof/>
        </w:rPr>
        <w:t xml:space="preserve">il-PRIMA-IS tapprova l-parteċipazzjoni tiegħu fil-PRIMA wara li teżamina r-rilevanza tal-parteċipazzjoni tiegħu għall-ilħuq tal-objettivi tal-PRIMA; kif ukoll </w:t>
      </w:r>
    </w:p>
    <w:p>
      <w:pPr>
        <w:pStyle w:val="ListNumberLevel2"/>
        <w:ind w:hanging="566"/>
        <w:rPr>
          <w:noProof/>
        </w:rPr>
      </w:pPr>
      <w:bookmarkStart w:id="40" w:name="DQCErrorScopeD8708A61413C4827ACFAD98EB82"/>
      <w:bookmarkEnd w:id="39"/>
      <w:r>
        <w:rPr>
          <w:noProof/>
        </w:rPr>
        <w:t>jikkonkludi ftehim internazzjonali mal-Unjoni li jistabbilixxi t-termini u l-kundizzjonijiet tal-parteċipazzjoni tiegħu fil-PRIMA.</w:t>
      </w:r>
    </w:p>
    <w:p>
      <w:pPr>
        <w:ind w:left="851"/>
        <w:rPr>
          <w:noProof/>
        </w:rPr>
      </w:pPr>
      <w:bookmarkStart w:id="41" w:name="DQCErrorScope83EF9AE609EC456292E7AD284A7"/>
      <w:bookmarkEnd w:id="40"/>
      <w:r>
        <w:rPr>
          <w:noProof/>
        </w:rPr>
        <w:t>Jekk il-pajjiż jikkonforma mar-rekwiżiti stabbiliti fl-ewwel subparagrafu, għandu jitqies bħala Stat Parteċipanti għall-finijiet ta’ din id-Deċiżjoni.</w:t>
      </w:r>
    </w:p>
    <w:bookmarkEnd w:id="41"/>
    <w:p>
      <w:pPr>
        <w:pStyle w:val="Titrearticle"/>
        <w:rPr>
          <w:noProof/>
        </w:rPr>
      </w:pPr>
      <w:r>
        <w:rPr>
          <w:noProof/>
        </w:rPr>
        <w:t>Artikolu 2</w:t>
      </w:r>
      <w:r>
        <w:rPr>
          <w:noProof/>
        </w:rPr>
        <w:br/>
        <w:t xml:space="preserve">L-objettivi tal-PRIMA </w:t>
      </w:r>
    </w:p>
    <w:p>
      <w:pPr>
        <w:pStyle w:val="ManualNumPar1"/>
        <w:rPr>
          <w:noProof/>
        </w:rPr>
      </w:pPr>
      <w:bookmarkStart w:id="42" w:name="DQCErrorScope240457AAD1A64B02A92B231EE17"/>
      <w:r>
        <w:t>1.</w:t>
      </w:r>
      <w:r>
        <w:tab/>
      </w:r>
      <w:r>
        <w:rPr>
          <w:noProof/>
        </w:rPr>
        <w:t>L-objettiv ġenerali tal-PRIMA huwa li tiżviluppa s-soluzzjonijiet innovattivi komuni ppilotati bis-sħiħ u murija għall-provvista tal-ilma u s-sistemi tal-ikel fir-reġjun tal-Mediterran, biex tagħmilhom aktar reżiljenti għall-klima, effiċjenti, kosteffikaċi u sostenibbli, u biex tikkontribwixxi għas-soluzzjoni upstream ta’ problemi dwar in-nutrizzjoni, is-saħħa, il-benesseri u l-migrazzjoni.</w:t>
      </w:r>
    </w:p>
    <w:p>
      <w:pPr>
        <w:pStyle w:val="ManualNumPar1"/>
        <w:rPr>
          <w:noProof/>
        </w:rPr>
      </w:pPr>
      <w:bookmarkStart w:id="43" w:name="DQCErrorScope86CA7DFDAA1B47389BA1EB43B6F"/>
      <w:bookmarkEnd w:id="42"/>
      <w:r>
        <w:t>2.</w:t>
      </w:r>
      <w:r>
        <w:tab/>
      </w:r>
      <w:r>
        <w:rPr>
          <w:noProof/>
        </w:rPr>
        <w:t>Sabiex tikkontribwixxi għall-objettiv ġenerali, il-PRIMA għandha tilħaq dawn l-objettivi speċifiċi li ġejjin:</w:t>
      </w:r>
    </w:p>
    <w:p>
      <w:pPr>
        <w:pStyle w:val="ManualNumPar1"/>
        <w:ind w:left="1418" w:hanging="709"/>
        <w:rPr>
          <w:noProof/>
        </w:rPr>
      </w:pPr>
      <w:bookmarkStart w:id="44" w:name="DQCErrorScopeB73DBF34EA0B424FA2039EE2569"/>
      <w:bookmarkEnd w:id="43"/>
      <w:r>
        <w:rPr>
          <w:noProof/>
        </w:rPr>
        <w:t>(i)</w:t>
      </w:r>
      <w:r>
        <w:rPr>
          <w:noProof/>
        </w:rPr>
        <w:tab/>
        <w:t>il-formulazzjoni ta’ aġenda strateġika komuni stabbli u fit-tul fil-qasam tal-provvista tal-ilma u tas-sistemi tal-ikel;</w:t>
      </w:r>
    </w:p>
    <w:p>
      <w:pPr>
        <w:pStyle w:val="ManualNumPar1"/>
        <w:ind w:left="1418" w:hanging="709"/>
        <w:rPr>
          <w:noProof/>
        </w:rPr>
      </w:pPr>
      <w:bookmarkStart w:id="45" w:name="DQCErrorScope925FBD11C19841C0816BD9AF9E7"/>
      <w:bookmarkEnd w:id="44"/>
      <w:r>
        <w:rPr>
          <w:noProof/>
        </w:rPr>
        <w:t>(ii)</w:t>
      </w:r>
      <w:r>
        <w:rPr>
          <w:noProof/>
        </w:rPr>
        <w:tab/>
        <w:t>l-orjentazzjoni tal-programmi nazzjonali kollha tar-R&amp;I lejn l-implimentazzjoni tal-aġenda strateġika;</w:t>
      </w:r>
    </w:p>
    <w:p>
      <w:pPr>
        <w:pStyle w:val="ManualNumPar1"/>
        <w:ind w:left="1418" w:hanging="709"/>
        <w:rPr>
          <w:noProof/>
        </w:rPr>
      </w:pPr>
      <w:bookmarkStart w:id="46" w:name="DQCErrorScope6B1280F36478472BAA61E697BBD"/>
      <w:bookmarkEnd w:id="45"/>
      <w:r>
        <w:rPr>
          <w:noProof/>
        </w:rPr>
        <w:t>(iii)</w:t>
      </w:r>
      <w:r>
        <w:rPr>
          <w:noProof/>
        </w:rPr>
        <w:tab/>
        <w:t>l-involviment strutturali tal-atturi rilevanti kollha fis-settur pubbliku u privat fl-implimentazzjoni tal-aġenda strateġika billi jinġabru flimkien l-għarfien u r-riżorsi finanzjarji biex tinkiseb il-massa kritika meħtieġa;</w:t>
      </w:r>
    </w:p>
    <w:p>
      <w:pPr>
        <w:pStyle w:val="ManualNumPar1"/>
        <w:ind w:left="1418" w:hanging="709"/>
        <w:rPr>
          <w:noProof/>
        </w:rPr>
      </w:pPr>
      <w:bookmarkStart w:id="47" w:name="DQCErrorScope76E3DFA0C27940C78812735EC85"/>
      <w:bookmarkEnd w:id="46"/>
      <w:r>
        <w:rPr>
          <w:noProof/>
        </w:rPr>
        <w:t>(iv)</w:t>
      </w:r>
      <w:r>
        <w:rPr>
          <w:noProof/>
        </w:rPr>
        <w:tab/>
        <w:t>it-tisħiħ tal-finanzjament u tal-kapaċitajiet ta’ implimentazzjoni tal-atturi kollha involuti.</w:t>
      </w:r>
    </w:p>
    <w:bookmarkEnd w:id="47"/>
    <w:p>
      <w:pPr>
        <w:pStyle w:val="Titrearticle"/>
        <w:rPr>
          <w:noProof/>
        </w:rPr>
      </w:pPr>
      <w:r>
        <w:rPr>
          <w:noProof/>
        </w:rPr>
        <w:t>Artikolu 3</w:t>
      </w:r>
      <w:r>
        <w:rPr>
          <w:noProof/>
        </w:rPr>
        <w:br/>
        <w:t>Il-kontribuzzjoni finanzjarja tal-Unjoni għall-PRIMA</w:t>
      </w:r>
    </w:p>
    <w:p>
      <w:pPr>
        <w:pStyle w:val="ManualNumPar1"/>
        <w:rPr>
          <w:noProof/>
        </w:rPr>
      </w:pPr>
      <w:bookmarkStart w:id="48" w:name="DQCErrorScopeC19A464637EB4CD88FAB8297B6C"/>
      <w:r>
        <w:t>1.</w:t>
      </w:r>
      <w:r>
        <w:tab/>
      </w:r>
      <w:r>
        <w:rPr>
          <w:noProof/>
        </w:rPr>
        <w:t xml:space="preserve">Il-kontribuzzjoni finanzjarja massima tal-Unjoni, inklużi l-approprjazzjonijiet tal-EFTA, għall-PRIMA għandha tkun EUR 200 000 000 biex tkun ugwali għall-kontribuzzjonijiet tal-Istati Parteċipanti. </w:t>
      </w:r>
    </w:p>
    <w:p>
      <w:pPr>
        <w:pStyle w:val="ManualNumPar1"/>
        <w:rPr>
          <w:noProof/>
        </w:rPr>
      </w:pPr>
      <w:bookmarkStart w:id="49" w:name="DQCErrorScope0B2F9100DBD24B7B9F41ADA1FC5"/>
      <w:bookmarkEnd w:id="48"/>
      <w:r>
        <w:t>2.</w:t>
      </w:r>
      <w:r>
        <w:tab/>
      </w:r>
      <w:r>
        <w:rPr>
          <w:noProof/>
        </w:rPr>
        <w:t>Il-kontribuzzjoni finanzjarja tal-Unjoni għandha titħallas mill-approprjazzjonijiet fil-baġit ġenerali tal-Unjoni allokati għall-partijiet rilevanti tal-Programm Speċifiku li jimplimenta l-Orizzont 2020, stabbilit mid-Deċiżjoni tal-Kunsill 2013/743/UE</w:t>
      </w:r>
      <w:r>
        <w:rPr>
          <w:rStyle w:val="FootnoteReference"/>
          <w:noProof/>
        </w:rPr>
        <w:footnoteReference w:id="8"/>
      </w:r>
      <w:r>
        <w:rPr>
          <w:noProof/>
        </w:rPr>
        <w:t>, u b’mod partikolari mill-Parti II “Tmexxija Industrijali” u mill-Parti III “Sfidi tas-soċjetà”, skont il-punt (c)(vi) tal-Artikolu 58(1) u l-Artikoli 60 u 61 tar-Regolament (UE, Euratom) Nru 966/2012.</w:t>
      </w:r>
    </w:p>
    <w:p>
      <w:pPr>
        <w:pStyle w:val="ManualNumPar1"/>
        <w:rPr>
          <w:noProof/>
        </w:rPr>
      </w:pPr>
      <w:bookmarkStart w:id="50" w:name="DQCErrorScope3785DE6F20B44B5F94D84385D52"/>
      <w:bookmarkEnd w:id="49"/>
      <w:r>
        <w:t>3.</w:t>
      </w:r>
      <w:r>
        <w:tab/>
      </w:r>
      <w:r>
        <w:rPr>
          <w:noProof/>
        </w:rPr>
        <w:t xml:space="preserve">Il-kontribuzzjoni finanzjarja tal-Unjoni għandha tintuża mill-istruttura ta’ implimentazzjoni tal-PRIMA (il-“PRIMA-IS”): </w:t>
      </w:r>
    </w:p>
    <w:p>
      <w:pPr>
        <w:pStyle w:val="Point0letter"/>
        <w:numPr>
          <w:ilvl w:val="1"/>
          <w:numId w:val="34"/>
        </w:numPr>
        <w:tabs>
          <w:tab w:val="clear" w:pos="850"/>
          <w:tab w:val="num" w:pos="1276"/>
        </w:tabs>
        <w:ind w:hanging="141"/>
        <w:rPr>
          <w:noProof/>
        </w:rPr>
      </w:pPr>
      <w:bookmarkStart w:id="51" w:name="DQCErrorScope7ECA9835D6594011A4AC762C571"/>
      <w:bookmarkEnd w:id="50"/>
      <w:r>
        <w:rPr>
          <w:noProof/>
        </w:rPr>
        <w:t xml:space="preserve">biex tiffinanzja l-attivitajiet imsemmija fl-Artikolu 6(1)(a); </w:t>
      </w:r>
    </w:p>
    <w:p>
      <w:pPr>
        <w:pStyle w:val="Point0letter"/>
        <w:tabs>
          <w:tab w:val="clear" w:pos="850"/>
          <w:tab w:val="num" w:pos="1276"/>
        </w:tabs>
        <w:ind w:left="1276" w:hanging="567"/>
        <w:rPr>
          <w:noProof/>
        </w:rPr>
      </w:pPr>
      <w:bookmarkStart w:id="52" w:name="DQCErrorScope76008CFD1DBC4D8B86314E0EBCC"/>
      <w:bookmarkEnd w:id="51"/>
      <w:r>
        <w:rPr>
          <w:noProof/>
        </w:rPr>
        <w:t>biex tkopri l-kostijiet amministrattivi tal-PRIMA-IS, sa massimu ta’ 5% tal-kontribuzzjoni finanzjarja tal-Unjoni.</w:t>
      </w:r>
    </w:p>
    <w:bookmarkEnd w:id="52"/>
    <w:p>
      <w:pPr>
        <w:pStyle w:val="Titrearticle"/>
        <w:rPr>
          <w:noProof/>
        </w:rPr>
      </w:pPr>
      <w:r>
        <w:rPr>
          <w:noProof/>
        </w:rPr>
        <w:t>Artikolu 4</w:t>
      </w:r>
      <w:r>
        <w:rPr>
          <w:noProof/>
        </w:rPr>
        <w:br/>
        <w:t>Il-kundizzjonijiet għall-kontribuzzjoni finanzjarja tal-Unjoni għall-PRIMA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Il-kontribuzzjoni finanzjarja tal-Unjoni għandu jkollha dawn il-kundizzjonijiet: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l-Istati Parteċipanti juru li l-PRIMA hija stabbilita skont it-termini stabbiliti f’din id-Deċiżjoni;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id-deżinjazzjoni mill-Istati Parteċipanti jew mill-organizzazzjonijiet iddeżinjati mill-Istati Parteċipanti ta’ entità b’personalità ġuridika,</w:t>
      </w:r>
      <w:r>
        <w:rPr>
          <w:noProof/>
          <w:color w:val="000000"/>
        </w:rPr>
        <w:t xml:space="preserve"> kif imsemmi fl-Artikolu 58(1)(c)(vi) tar-Regolament (UE, Euratom) Nru 966/2012</w:t>
      </w:r>
      <w:r>
        <w:rPr>
          <w:noProof/>
        </w:rPr>
        <w:t>, bħala l-PRIMA-IS. Il-PRIMA-IS għandha tkun responsabbli għall-implimentazzjoni effiċjenti tal-PRIMA, biex tirċievi, talloka u timmonitorja l-kontribuzzjoni finanzjarja tal-Unjoni, kif ukoll il-kontribuzzjoni tal-Istati Parteċipanti, fejn xieraq, u biex tiżgura li l-azzjonijiet meħtieġa kollha jitwettqu biex jintlaħqu l-objettivi tal-PRIMA;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 xml:space="preserve">l-impenn ta’ kull Stat Parteċipant li jikkontribwixxi għall-finanzjament tal-PRIMA; 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il-PRIMA-IS turi l-kapaċità tagħha biex timplimenta l-PRIMA, inkluż li tirċievi, talloka u timmonitorja l-kontribuzzjoni tal-Unjoni fil-qafas tal-ġestjoni indiretta tal-baġit tal-Unjoni skont l-Artikoli 58, 60 u 61 tar-Regolament (UE, Euratom) Nru 966/2012;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l-istabbiliment ta’ mudell ta’ governanza għall-PRIMA skont l-Artikolu 12;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l-adozzjoni mill-PRIMA-IS, wara li tikseb l-approvazzjoni mill-Kummissjoni, tal-prinċipji komuni msemmija fl-Artikolu 6(6).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Matul l-implimentazzjoni tal-PRIMA, il-kontribuzzjoni finanzjarja tal-Unjoni għandu jkollha wkoll dawn il-kundizzjonijiet li ġejjin: </w:t>
      </w:r>
    </w:p>
    <w:p>
      <w:pPr>
        <w:pStyle w:val="Point1letter"/>
        <w:numPr>
          <w:ilvl w:val="3"/>
          <w:numId w:val="22"/>
        </w:numPr>
        <w:rPr>
          <w:noProof/>
        </w:rPr>
      </w:pPr>
      <w:r>
        <w:rPr>
          <w:noProof/>
        </w:rPr>
        <w:t>l-implimentazzjoni mill-PRIMA-IS tal-objettivi stabbiliti fl-Artikolu 2, u tal-attivitajiet imsemmija fl-Artikolu 6;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iż-żamma ta’ mudell ta’ governanza xieraq u effiċjenti skont l-Artikolu 12;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il-PRIMA-IS tkun konformi mar-rekwiżiti tar-rappurtar stabbiliti fl-Artikolu 60(5) tar-Regolament (UE, Euratom) Nru 966/2012;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 xml:space="preserve">it-twettiq mill-Istati Parteċipanti tal-impenji msemmija fil-punt (c) tal-paragrafu 1.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tivvaluta t-twettiq tal-impenji assunti mill-Istati Parteċipanti, b’mod partikolari permezz tal-ewwel żewġ pjanijiet ta’ ħidma annwali tal-PRIMA. Wara dik il-valutazzjoni, il-kontribuzzjoni massima tal-Unjoni msemmija fl-Artikolu 3(1) għandha tiġi riveduta skont l-Artikolu 9.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  <w:r>
        <w:rPr>
          <w:noProof/>
        </w:rPr>
        <w:br/>
        <w:t>Kontribuzzjonijiet mill-Istati Parteċipanti għall-PRIMA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Parteċipanti għandhom jagħmlu l-arranġamenti meħtieġa biex il-korpi ta’ finanzjament nazzjonali tagħhom jagħmlu kontribuzzjonijiet finanzjarji jew </w:t>
      </w:r>
      <w:r>
        <w:rPr>
          <w:i/>
          <w:noProof/>
        </w:rPr>
        <w:t>in natura</w:t>
      </w:r>
      <w:r>
        <w:rPr>
          <w:noProof/>
        </w:rPr>
        <w:t xml:space="preserve"> ta’ mill-anqas EUR 200 000 000 matul il-perjodu mid-data tad-dħul fis-seħħ ta’ din id-Deċiżjoni sal-31 ta’ Diċembru 2028.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Il-Kontribuzzjonijiet mill-Istati Parteċipanti jew il-korpi ta’ finanzjament nazzjonali tagħhom għandhom jikkonsistu minn dan li ġej:</w:t>
      </w:r>
    </w:p>
    <w:p>
      <w:pPr>
        <w:pStyle w:val="Point0letter"/>
        <w:numPr>
          <w:ilvl w:val="1"/>
          <w:numId w:val="20"/>
        </w:numPr>
        <w:tabs>
          <w:tab w:val="clear" w:pos="850"/>
          <w:tab w:val="left" w:pos="1418"/>
        </w:tabs>
        <w:ind w:left="1418" w:hanging="567"/>
        <w:rPr>
          <w:noProof/>
        </w:rPr>
      </w:pPr>
      <w:bookmarkStart w:id="53" w:name="DQCErrorScope7F8EB2039C8B4B23A0D08EE7732"/>
      <w:r>
        <w:rPr>
          <w:noProof/>
        </w:rPr>
        <w:t xml:space="preserve">fejn xieraq, kontribuzzjonijiet finanzjarji lill-PRIMA-IS fid-dawl tal-azzjonijiet indiretti ta’ finanzjament imsemmija fl-Artikolu 6(1)(a); </w:t>
      </w:r>
    </w:p>
    <w:p>
      <w:pPr>
        <w:pStyle w:val="Point0letter"/>
        <w:numPr>
          <w:ilvl w:val="1"/>
          <w:numId w:val="20"/>
        </w:numPr>
        <w:tabs>
          <w:tab w:val="clear" w:pos="850"/>
          <w:tab w:val="left" w:pos="1418"/>
        </w:tabs>
        <w:ind w:left="1418" w:hanging="567"/>
        <w:rPr>
          <w:noProof/>
        </w:rPr>
      </w:pPr>
      <w:bookmarkStart w:id="54" w:name="DQCErrorScope73289259A6EF4A948B39C0E79B6"/>
      <w:bookmarkEnd w:id="53"/>
      <w:r>
        <w:rPr>
          <w:noProof/>
        </w:rPr>
        <w:t xml:space="preserve">kontribuzzjonijiet finanzjarji jew </w:t>
      </w:r>
      <w:r>
        <w:rPr>
          <w:i/>
          <w:noProof/>
        </w:rPr>
        <w:t>in natura</w:t>
      </w:r>
      <w:r>
        <w:rPr>
          <w:noProof/>
        </w:rPr>
        <w:t xml:space="preserve"> fl-implimentazzjoni ta’ attivitajiet imsemmija fl-Artikolu 6(1)(b); kif ukoll</w:t>
      </w:r>
    </w:p>
    <w:p>
      <w:pPr>
        <w:pStyle w:val="Point0letter"/>
        <w:numPr>
          <w:ilvl w:val="1"/>
          <w:numId w:val="20"/>
        </w:numPr>
        <w:tabs>
          <w:tab w:val="clear" w:pos="850"/>
          <w:tab w:val="left" w:pos="1418"/>
        </w:tabs>
        <w:ind w:left="1418" w:hanging="567"/>
        <w:rPr>
          <w:noProof/>
        </w:rPr>
      </w:pPr>
      <w:bookmarkStart w:id="55" w:name="DQCErrorScope9213C8AA34644B008358FA69F49"/>
      <w:bookmarkEnd w:id="54"/>
      <w:r>
        <w:rPr>
          <w:noProof/>
        </w:rPr>
        <w:t>kontribuzzjonijiet finanzjarji għall-baġit amministrattiv tal-PRIMA-IS mhux koperti mill-kontribuzzjoni tal-Unjoni kif stabbilit fl-Artikolu 3(3)(b).</w:t>
      </w:r>
    </w:p>
    <w:bookmarkEnd w:id="55"/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Il-kontribuzzjonijiet </w:t>
      </w:r>
      <w:r>
        <w:rPr>
          <w:i/>
          <w:noProof/>
        </w:rPr>
        <w:t>in natura</w:t>
      </w:r>
      <w:r>
        <w:rPr>
          <w:noProof/>
        </w:rPr>
        <w:t xml:space="preserve"> msemmija fil-punt (b) tal-paragrafu 2 ta’ dan l-Artikolu għandhom jikkonsistu minn kostijiet li jġarrbu l-Istati Parteċipanti permezz tal-korpi ta’ finanzjament nazzjonali tagħhom biex jimplimentaw attivitajiet imsemmija fl-Artikolu 6(1)(b), wara li titnaqqas kull kontribuzzjoni finanzjarja diretta jew indiretta tal-Unjoni għal dawk il-kostijiet.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Għall-finijiet tal-valutazzjoni tal-kontribuzzjonijiet </w:t>
      </w:r>
      <w:r>
        <w:rPr>
          <w:i/>
          <w:noProof/>
        </w:rPr>
        <w:t>in natura</w:t>
      </w:r>
      <w:r>
        <w:rPr>
          <w:noProof/>
        </w:rPr>
        <w:t xml:space="preserve"> msemmija fil-punt (b) tal-paragrafu 2, il-kostijiet għandhom jiġu ddeterminati skont il-prattiki tal-kontabilità normali tal-Istati Parteċipanti jew tal-korpi ta’ finanzjament nazzjonali kkonċernati, l-istandards tal-kontabilità applikabbli tal-Istat Parteċipanti fejn il-korpi ta’ finanzjament nazzjonali kkonċernati huma stabbiliti u l-Istandards Internazzjonali tal-Kontabilità/Standards Internazzjonali tar-Rappurtar Finanzjarju applikabbli. Il-kostijiet għandhom jiġu ċċertifikati minn awditur indipendenti maħtur mill-Istati Parteċipanti jew mill-korpi ta’ finanzjament nazzjonali kkonċernati. Jekk ikun hemm xi inċertezza li tirriżulta miċ-ċertifikazzjoni, il-metodu tal-valutazzjoni jista’ jiġi vverifikat mill-PRIMA-IS. Fil-każ ta’ inċertezzi li jibqgħu, jista’ jiġi awditjat mill-PRIMA-IS.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Il-kontribuzzjonijiet imsemmija fil-punti (a) u (b) tal-paragrafu 2 li jgħoddu bħala kontribuzzjonijiet mill-Istati Parteċipanti għandhom isiru wara d-dħul fis-seħħ ta’ din id-Deċiżjoni għall-attivitajiet inklużi fl-ewwel pjan ta’ ħidma annwali tal-PRIMA, u wara l-adozzjoni mill-PRIMA-IS tal-pjanijiet ta’ ħidma annwali sussegwenti.</w:t>
      </w:r>
    </w:p>
    <w:p>
      <w:pPr>
        <w:pStyle w:val="Titrearticle"/>
        <w:rPr>
          <w:noProof/>
        </w:rPr>
      </w:pPr>
      <w:r>
        <w:rPr>
          <w:noProof/>
        </w:rPr>
        <w:t>Artikolu 6</w:t>
      </w:r>
      <w:r>
        <w:rPr>
          <w:noProof/>
        </w:rPr>
        <w:br/>
        <w:t xml:space="preserve">Attivitajiet u l-implimentazzjoni tal-PRIMA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Il-PRIMA għandha tappoġġja dawn l-attivitajiet li ġejjin:</w:t>
      </w:r>
    </w:p>
    <w:p>
      <w:pPr>
        <w:pStyle w:val="Text1"/>
        <w:rPr>
          <w:noProof/>
        </w:rPr>
      </w:pPr>
      <w:r>
        <w:rPr>
          <w:noProof/>
        </w:rPr>
        <w:t>(a) l-azzjonijiet indiretti fis-sens tar-Regolamenti (UE) Nru 1290/2013 u (UE) Nru 1291/2013 iffinanzjati mill-PRIMA-IS skont l-Artikolu 7, prinċipalment fil-forma ta’ għotjiet wara sejħiet għal proposti transnazzjonali, miftuħa u kompetittivi organizzati mill-PRIMA-IS, inklużi:</w:t>
      </w:r>
    </w:p>
    <w:p>
      <w:pPr>
        <w:pStyle w:val="Text1"/>
        <w:ind w:left="1440"/>
        <w:rPr>
          <w:noProof/>
        </w:rPr>
      </w:pPr>
      <w:bookmarkStart w:id="56" w:name="DQCErrorScopeDDDE98A0DA684E86BBD1EA494B6"/>
      <w:r>
        <w:rPr>
          <w:noProof/>
        </w:rPr>
        <w:t>(i) azzjonijiet ta’ riċerka u innovazzjoni, kif ukoll azzjonijiet ta’ innovazzjoni, inklużi dimostraturi, pjanti pilota, ittestjar, użu prekummerċjali, indirizzar b’mod partikolari tal-Livelli ogħla ta’ Tlestija tat-Teknoloġija;</w:t>
      </w:r>
    </w:p>
    <w:p>
      <w:pPr>
        <w:pStyle w:val="Text1"/>
        <w:ind w:left="1440"/>
        <w:rPr>
          <w:noProof/>
        </w:rPr>
      </w:pPr>
      <w:bookmarkStart w:id="57" w:name="DQCErrorScope04A37A55CB1B418888675FE9900"/>
      <w:bookmarkEnd w:id="56"/>
      <w:r>
        <w:rPr>
          <w:noProof/>
        </w:rPr>
        <w:t>(ii) azzjonijiet ta’ koordinazzjoni u appoġġ li jiffukaw fuq it-tixrid u s-sensibilizzazzjoni biex jippromwovu l-PRIMA u jimmassimizzaw l-impatti tagħha;</w:t>
      </w:r>
    </w:p>
    <w:bookmarkEnd w:id="57"/>
    <w:p>
      <w:pPr>
        <w:pStyle w:val="Text1"/>
        <w:rPr>
          <w:noProof/>
        </w:rPr>
      </w:pPr>
      <w:r>
        <w:rPr>
          <w:noProof/>
        </w:rPr>
        <w:t>(b) attivitajiet iffinanzjati mill-Istati Parteċipanti permezz tal-korpi ta’ finanzjament nazzjonali tagħhom mingħajr il-kontribuzzjoni tal-Unjoni, li qed jindirizzaw dejjem aktar il-Livelli ta' Tlestija Teknoloġika ogħla u li jikkonsistu f':</w:t>
      </w:r>
    </w:p>
    <w:p>
      <w:pPr>
        <w:pStyle w:val="Text1"/>
        <w:ind w:left="1440"/>
        <w:rPr>
          <w:noProof/>
        </w:rPr>
      </w:pPr>
      <w:bookmarkStart w:id="58" w:name="DQCErrorScopeFE20E6458B304DE6831ED055DA1"/>
      <w:r>
        <w:rPr>
          <w:noProof/>
        </w:rPr>
        <w:t>(i) attivitajiet magħżula wara sejħiet għal proposti transnazzjonali, miftuħa u kompetittivi organizzati mill-PRIMA-IS, ġestiti mill-korpi ta’ finanzjament nazzjonali taħt il-programmi nazzjonali tal-Istati Parteċipanti, li jipprovdu appoġġ finanzjarju prinċipalment fil-forma ta’ għotjiet;</w:t>
      </w:r>
    </w:p>
    <w:p>
      <w:pPr>
        <w:pStyle w:val="Text1"/>
        <w:ind w:left="1440"/>
        <w:rPr>
          <w:noProof/>
        </w:rPr>
      </w:pPr>
      <w:bookmarkStart w:id="59" w:name="DQCErrorScopeC7C1008910DF4DADB6027AB0F91"/>
      <w:bookmarkEnd w:id="58"/>
      <w:r>
        <w:rPr>
          <w:noProof/>
        </w:rPr>
        <w:t>(ii) attivitajiet taħt il-programmi nazzjonali tal-Istati Parteċipanti.</w:t>
      </w:r>
    </w:p>
    <w:bookmarkEnd w:id="59"/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Il-PRIMA għandha tiġi implimentata fuq il-bażi ta’ pjanijiet ta’ ħidma annwali, li għandhom jiġu adottati mill-PRIMA-</w:t>
      </w:r>
      <w:r>
        <w:rPr>
          <w:noProof/>
          <w:color w:val="000000"/>
        </w:rPr>
        <w:t>IS, wara li tinkiseb l-approvazzjoni mill-Kummissjoni, sal-aħħar tas-sena ta’ qabel</w:t>
      </w:r>
      <w:r>
        <w:rPr>
          <w:noProof/>
        </w:rPr>
        <w:t>. Bħala eċċezzjoni, il-pjan ta’ ħidma annwali tal-PRIMA għall-2018 jista’ jiġi adottat sal-31 ta’ Marzu 2018. Il-PRIMA-IS għandha tagħmel il-pjan ta’ ħidma annwali pubblikament disponibbli.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L-attivitajiet jistgħu jiġu ffinanzjati biss taħt il-PRIMA jekk ikunu stabbiliti fil-pjan ta’ ħidma annwali tal-PRIMA. Il-pjan ta’ ħidma annwali tal-PRIMA għandu jiddistingwi bejn l-attivitajiet imsemmija fil-punt (a) tal-paragrafu 1, l-attivitajiet imsemmija fil-punt (b) ta’ dak il-paragrafu, kif ukoll il-kostijiet amministrattivi tal-PRIMA-IS. Għandu jipprovdi għall-istimi korrispondenti tagħhom tan-nefqa kif ukoll għall-allokazzjoni tal-baġit għal attivitajiet iffinanzjati bil-kontribuzzjoni tal-Unjoni u għal attivitajiet iffinanzjati mill-Istati Parteċipanti permezz tal-korpi ta’ finanzjament nazzjonali tagħhom mingħajr il-kontribuzzjoni tal-Unjoni. Il-pjan ta’ ħidma annwali tal-PRIMA għandu jinkludi wkoll il-valur stmat tal-kontribuzzjonijiet </w:t>
      </w:r>
      <w:r>
        <w:rPr>
          <w:i/>
          <w:noProof/>
        </w:rPr>
        <w:t>in natura</w:t>
      </w:r>
      <w:r>
        <w:rPr>
          <w:noProof/>
        </w:rPr>
        <w:t xml:space="preserve"> tal-Istati Parteċipanti msemmija fl-Artikolu 5(2)(b).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L-aħħar attivitajiet li għandhom jiġu ffinanzjati, inkluż l-aħħar sejħiet għal proposti taħt il-pjanijiet ta’ ħidma annwali rilevanti tal-PRIMA għandhom jiġu mnedija sal-31 ta’ Diċembru 2024. F’każijiet debitament iġġustifikati, jistgħu jiġu mnedija sal-31 ta’ Diċembru 2025.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L-attivitajiet li se jiġu ffinanzjati mill-Istati Parteċipanti permezz tal-korpi ta’ finanzjament nazzjonali tagħhom mingħajr il-kontribuzzjoni tal-Unjoni, jistgħu jiġu inklużi biss fil-pjan ta’ ħidma annwali tal-PRIMA wara l-eżitu pożittiv tal-evalwazzjoni indipendenti esterna tagħhom minn evalwazzjoni internazzjonali bejn il-pari fir-rigward tal-objettivi tal-PRIMA, kif organizzata mill-PRIMA-IS.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L-attivitajiet inklużi fil-pjan ta’ ħidma annwali tal-PRIMA li huma ffinanzjati mill-Istati Parteċipanti permezz tal-korpi ta’ finanzjament nazzjonali tagħhom mingħajr il-kontribuzzjoni tal-Unjoni għandhom jiġu implimentati f’konformità ma’ prinċipji komuni li għandhom jiġu adottati mill-PRIMA-IS, wara li tinkiseb l-approvazzjoni mill-Kummissjoni. Il-prinċipji komuni għandhom iqisu l-prinċipji stabbiliti f’din id-Deċiżjoni, fit-Titolu VI tar-Regolament (UE, Euratom) Nru 966/2012 u fir-Regolament (UE) Nru 1290/2013, b’mod partikolari l-prinċipji ta’ trattament ugwali, trasparenza, evalwazzjoni internazzjonali bejn il-pari indipendenti u għażla. Il-PRIMA-IS għandha tadotta wkoll, wara li tikseb l-approvazzjoni mill-Kummissjoni, ir-rekwiżiti ta’ rapportur tal-Istati Parteċipanti lill-PRIMA-IS, inkluż fir-rigward ta’ indikaturi mdaħħla f’kull waħda minn dawk l-attivitajiet.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 xml:space="preserve">L-attivitajiet imsemmija fil-punt (b)(i) tal-paragrafu 1 għandhom, flimkien mal-prinċipji komuni msemmija fil-paragrafu 6, jikkonformaw mal-kundizzjonijiet li ġejjin: </w:t>
      </w:r>
    </w:p>
    <w:p>
      <w:pPr>
        <w:pStyle w:val="Text1"/>
        <w:ind w:left="1276" w:hanging="426"/>
        <w:rPr>
          <w:noProof/>
        </w:rPr>
      </w:pPr>
      <w:bookmarkStart w:id="60" w:name="DQCErrorScope1244E8C34A9444199D1F951F20C"/>
      <w:r>
        <w:rPr>
          <w:noProof/>
        </w:rPr>
        <w:t>(a)</w:t>
      </w:r>
      <w:r>
        <w:rPr>
          <w:noProof/>
        </w:rPr>
        <w:tab/>
        <w:t>Il-proposti għandhom ikunu għal proġetti transnazzjonali, bil-parteċipazzjoni minima ta’ mill-anqas tliet entitajiet ġuridiċi indipendenti stabbiliti fi tliet Stati Parteċipanti differenti, li minnhom:</w:t>
      </w:r>
    </w:p>
    <w:p>
      <w:pPr>
        <w:pStyle w:val="Text1"/>
        <w:ind w:left="1843" w:hanging="425"/>
        <w:rPr>
          <w:noProof/>
        </w:rPr>
      </w:pPr>
      <w:bookmarkStart w:id="61" w:name="DQCErrorScope53D92853CC1A4AC4B6DEDF7EA55"/>
      <w:bookmarkEnd w:id="60"/>
      <w:r>
        <w:rPr>
          <w:noProof/>
        </w:rPr>
        <w:t>(i)</w:t>
      </w:r>
      <w:r>
        <w:rPr>
          <w:noProof/>
        </w:rPr>
        <w:tab/>
        <w:t>waħda għandha tkun stabbilita fi Stat Membru jew f’pajjiż assoċjat mal-Orizzont 2020, u</w:t>
      </w:r>
    </w:p>
    <w:p>
      <w:pPr>
        <w:pStyle w:val="Text1"/>
        <w:ind w:left="1843" w:hanging="425"/>
        <w:rPr>
          <w:noProof/>
        </w:rPr>
      </w:pPr>
      <w:bookmarkStart w:id="62" w:name="DQCErrorScopeD2176CD93051445FBF239467062"/>
      <w:bookmarkEnd w:id="61"/>
      <w:r>
        <w:rPr>
          <w:noProof/>
        </w:rPr>
        <w:t>(ii)</w:t>
      </w:r>
      <w:r>
        <w:rPr>
          <w:noProof/>
        </w:rPr>
        <w:tab/>
        <w:t>waħda f’pajjiż terz meqjus bħala Stat Parteċipanti skont din id-Deċiżjoni sad-data ta’ skadenza għas-sottomissjoni taħt is-sejħa għal proposti rilevanti.</w:t>
      </w:r>
    </w:p>
    <w:p>
      <w:pPr>
        <w:pStyle w:val="Text1"/>
        <w:ind w:left="1276" w:hanging="426"/>
        <w:rPr>
          <w:noProof/>
        </w:rPr>
      </w:pPr>
      <w:bookmarkStart w:id="63" w:name="DQCErrorScope29CEC6B11D14403FBE6E805743E"/>
      <w:bookmarkEnd w:id="62"/>
      <w:r>
        <w:rPr>
          <w:noProof/>
        </w:rPr>
        <w:t>(b)</w:t>
      </w:r>
      <w:r>
        <w:rPr>
          <w:noProof/>
        </w:rPr>
        <w:tab/>
        <w:t>Il-proposti għandhom jintgħażlu wara sejħiet għal proposti transnazzjonali u permezz ta’ proċedura b'żewġ passi. L-Ewwel Pass (1) għandu jikkonsisti f’analiżi fuq livell nazzjonali jew transnazzjonali tal-proposti ppreżentati mill-entitajiet ġuridiċi eliġibbli għall-finanzjament taħt il-programmi nazzjonali rilevanti. It-Tieni Pass (2) għandu jikkonsisti minn evalwazzjoni internazzjonali bejn il-pari indipendenti unika organizzata mill-PRIMA-IS. Taħt it-tieni pass (2), il-proposti għandhom jiġu evalwati bl-għajnuna ta’ mill-anqas tliet esperti indipendenti, fuq il-bażi tal-kriterji tal-għoti li ġejjin: eċċellenza, impatt, kwalità u effiċjenza tal-implimentazzjoni.</w:t>
      </w:r>
    </w:p>
    <w:p>
      <w:pPr>
        <w:pStyle w:val="Text1"/>
        <w:ind w:left="1276" w:hanging="426"/>
        <w:rPr>
          <w:noProof/>
        </w:rPr>
      </w:pPr>
      <w:bookmarkStart w:id="64" w:name="DQCErrorScope3EFA2BCD60AD4B84B7F4DC111DE"/>
      <w:bookmarkEnd w:id="63"/>
      <w:r>
        <w:rPr>
          <w:noProof/>
        </w:rPr>
        <w:t>(c)</w:t>
      </w:r>
      <w:r>
        <w:rPr>
          <w:noProof/>
        </w:rPr>
        <w:tab/>
        <w:t>Il-proposti għandhom jiġu kklassifikati skont ir-riżultati tal-evalwazzjoni. L-għażla għandha ssir mill-PRIMA-IS fuq il-bażi ta’ din il-klassifikazzjoni. L-Istati Parteċipanti għandhom jaqblu dwar mod ta’ finanzjament adegwat li jippermetti l-massimizzazzjoni tan-numru ta’ proposti li għandhom jiġu ffinanzjati fuq il-bażi ta’ din il-klassifika, b’mod partikolari billi jiġu pprovduti ammonti ta’ riżerva għall-kontribuzzjonijiet nazzjonali għas-sejħiet għal proposti.</w:t>
      </w:r>
    </w:p>
    <w:bookmarkEnd w:id="64"/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Il-PRIMA-IS għandha timmonitorja u tirrapporta lill-Kummissjoni dwar l-implimentazzjoni tal-attivitajiet kollha inklużi fil-pjan ta’ ħidma annwali tal-PRIMA.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Kwalunkwe komunikazzjoni jew pubblikazzjoni relatata mal-attivitajiet tal-PRIMA, u li ssir f’kooperazzjoni mal-PRIMA, kemm jekk twettaqhom il-PRIMA-IS, Stat Parteċipanti jew il-korpi ta’ finanzjament nazzjonali tiegħu, jew parteċipanti f’attività, għandha tiġi ttikkettata jew ikkotikkettata bħala “[isem l-attività] hi parti mill-programm PRIMA appoġġjat mill-Unjoni Ewropea”.</w:t>
      </w:r>
    </w:p>
    <w:p>
      <w:pPr>
        <w:pStyle w:val="Titrearticle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>Regoli għall-parteċipazzjoni u t-tixrid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Il-PRIMA-IS għandha titqies bħala korp ta’ finanzjament fis-sens tar-Regolament (UE) Nru 1290/2013 u għandha tipprovdi appoġġ finanzjarju għal azzjonijiet indiretti msemmija fl-</w:t>
      </w:r>
      <w:r>
        <w:rPr>
          <w:noProof/>
          <w:color w:val="000000"/>
        </w:rPr>
        <w:t>Artikolu 6(1)(a) ta’ din id-Deċiżjoni skont ir-regoli stabbiliti f’dak ir-Regolament</w:t>
      </w:r>
      <w:r>
        <w:rPr>
          <w:noProof/>
        </w:rPr>
        <w:t>, suġġett għad-derogi stabbiliti f’dan l-Artikolu.</w:t>
      </w:r>
      <w:r>
        <w:rPr>
          <w:noProof/>
          <w:color w:val="000000"/>
        </w:rPr>
        <w:t xml:space="preserve">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Permezz ta’ deroga mill-punt (b) tal-Artikolu 9(1) tar-Regolament (UE) Nru 1290/2013, in-numru minimu ta’ parteċipanti għandu jkun tliet entitajiet ġuridiċi stabbiliti fi tliet Stati Parteċipanti differenti li minnhom: </w:t>
      </w:r>
    </w:p>
    <w:p>
      <w:pPr>
        <w:pStyle w:val="Text1"/>
        <w:ind w:left="1276" w:hanging="426"/>
        <w:rPr>
          <w:noProof/>
        </w:rPr>
      </w:pPr>
      <w:bookmarkStart w:id="65" w:name="DQCErrorScopeC50A7D008EA64AEBB4355D71B55"/>
      <w:r>
        <w:rPr>
          <w:noProof/>
        </w:rPr>
        <w:t>(a)</w:t>
      </w:r>
      <w:r>
        <w:rPr>
          <w:noProof/>
        </w:rPr>
        <w:tab/>
        <w:t xml:space="preserve">waħda għandha tkun stabbilita fi Stat Membru jew f’pajjiż assoċjat mal-Orizzont 2020, u </w:t>
      </w:r>
    </w:p>
    <w:p>
      <w:pPr>
        <w:pStyle w:val="Text1"/>
        <w:ind w:left="1276" w:hanging="426"/>
        <w:rPr>
          <w:noProof/>
        </w:rPr>
      </w:pPr>
      <w:bookmarkStart w:id="66" w:name="DQCErrorScope2323025F85DF48BB8213580C090"/>
      <w:bookmarkEnd w:id="65"/>
      <w:r>
        <w:rPr>
          <w:noProof/>
        </w:rPr>
        <w:t>(b)</w:t>
      </w:r>
      <w:r>
        <w:rPr>
          <w:noProof/>
        </w:rPr>
        <w:tab/>
        <w:t>waħda stabbilita f’pajjiż terz meqjus bħala Stat Parteċipanti skont din id-Deċiżjoni sad-data ta’ skadenza għas-sottomissjoni taħt is-sejħa għal proposti rilevanti.</w:t>
      </w:r>
    </w:p>
    <w:bookmarkEnd w:id="66"/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Permezz ta’ deroga mill-Artikolu 9(3) tar-Regolament (UE) Nru 1290/2013, f’każijiet debitament iġġustifikati previsti fil-pjan ta’ ħidma annwali tal-PRIMA, il-kundizzjoni minima għandha tkun il-parteċipazzjoni ta’ entità ġuridika waħda stabbilita fi Stat Parteċipanti, li huwa Stat Membru, pajjiż assoċjat mal-Orizzont 2020 jew pajjiż terz meqjus bħala Stat Parteċipanti skont din id-Deċiżjoni sal-iskadenza għas-sottomissjoni taħt is-sejħa għal proposti rilevanti.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Flimkien mal-parteċipanti eliġibbli għall-finanzjament skont l-Artikolu 10(1) tar-Regolament (UE) Nru 1290/2013, kwalunkwe entità ġuridika stabbilita fi Stat Parteċipanti għandha tkun eliġibbli għall-finanzjament.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Permezz ta’ deroga mill-</w:t>
      </w:r>
      <w:r>
        <w:rPr>
          <w:noProof/>
          <w:color w:val="000000"/>
        </w:rPr>
        <w:t>Artikolu 12 tar-</w:t>
      </w:r>
      <w:r>
        <w:rPr>
          <w:noProof/>
        </w:rPr>
        <w:t xml:space="preserve">Regolament (UE) Nru 1290/2013, fejn tali attività tkun inkluża fil-pjan ta’ ħidma annwali tal-PRIMA, il-PRIMA-IS tista’ tniedi sejħiet konġunti ma’ pajjiżi terzi għajr l-Istati Parteċipanti jew </w:t>
      </w:r>
      <w:r>
        <w:rPr>
          <w:noProof/>
          <w:color w:val="000000"/>
        </w:rPr>
        <w:t>l-organizzazzjonijiet u l-aġenziji xjentifiċi u teknoloġiċi tagħhom</w:t>
      </w:r>
      <w:r>
        <w:rPr>
          <w:noProof/>
        </w:rPr>
        <w:t>, ma’ organizzazzjonijiet internazzjonali jew ma’ partijiet terzi oħra, b’mod partikolari organizzazzjonijiet mhux governattivi, skont ir-regoli stabbiliti fl-Artikolu 12 tar-Regolament (UE) Nru 1290/2013.</w:t>
      </w:r>
    </w:p>
    <w:p>
      <w:pPr>
        <w:pStyle w:val="Titrearticle"/>
        <w:rPr>
          <w:noProof/>
        </w:rPr>
      </w:pPr>
      <w:r>
        <w:rPr>
          <w:noProof/>
        </w:rPr>
        <w:t>Artikolu 8</w:t>
      </w:r>
      <w:r>
        <w:rPr>
          <w:noProof/>
        </w:rPr>
        <w:br/>
        <w:t xml:space="preserve">Ftehimiet bejn l-Unjoni u l-PRIMA-IS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Soġġetta għal valutazzjoni </w:t>
      </w:r>
      <w:r>
        <w:rPr>
          <w:i/>
          <w:noProof/>
        </w:rPr>
        <w:t>ex ante</w:t>
      </w:r>
      <w:r>
        <w:rPr>
          <w:noProof/>
        </w:rPr>
        <w:t xml:space="preserve"> pożittiva tal-PRIMA-IS skont l-Artikolu 61(1) tar-Regolament (UE, Euratom) Nru 966/2012 u l-għoti ta’ garanziji finanzjarji adegwati skont l-Artikolu 58(1)(c)(vi) tiegħu, il-Kummissjoni, f’isem l-Unjoni, għandha tikkonkludi ftehim ta’ delega u ftehimiet annwali tat-trasferiment tal-fondi mal-PRIMA-IS.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Il-ftehim ta’ delega msemmi fil-paragrafu 1 għandu jiġi konkluż skont l-Artikoli 58(3), 60 u 61 tar-Regolament (UE, Euratom) Nru 966/2012 u l-Artikolu 40 tar-Regolament Delegat (UE) Nru 1268/2012. Fost l-oħrajn dan għandu jistabbilixxi wkoll dawn li ġejjin:</w:t>
      </w:r>
    </w:p>
    <w:p>
      <w:pPr>
        <w:pStyle w:val="Text1"/>
        <w:ind w:left="1418" w:hanging="567"/>
        <w:rPr>
          <w:noProof/>
        </w:rPr>
      </w:pPr>
      <w:bookmarkStart w:id="67" w:name="DQCErrorScopeD717DA1C6B3743728A4976B9F2A"/>
      <w:r>
        <w:rPr>
          <w:noProof/>
        </w:rPr>
        <w:t>(a)</w:t>
      </w:r>
      <w:r>
        <w:rPr>
          <w:noProof/>
        </w:rPr>
        <w:tab/>
        <w:t>ir-rekwiżiti għall-kontribuzzjoni tal-PRIMA-IS dwar l-indikaturi tal-prestazzjoni stabbiliti fl-Anness II għad-Deċiżjoni 2013/743/UE;</w:t>
      </w:r>
    </w:p>
    <w:p>
      <w:pPr>
        <w:pStyle w:val="Text1"/>
        <w:ind w:left="1418" w:hanging="567"/>
        <w:rPr>
          <w:noProof/>
        </w:rPr>
      </w:pPr>
      <w:bookmarkStart w:id="68" w:name="DQCErrorScopeBA2B15F7DF75443293284744EA6"/>
      <w:bookmarkEnd w:id="67"/>
      <w:r>
        <w:rPr>
          <w:noProof/>
        </w:rPr>
        <w:t>(b)</w:t>
      </w:r>
      <w:r>
        <w:rPr>
          <w:noProof/>
        </w:rPr>
        <w:tab/>
        <w:t xml:space="preserve">ir-rekwiżiti għall-kontribuzzjoni tal-PRIMA-IS għall-monitoraġġ imsemmi fl-Anness III għad-Deċiżjoni 2013/743/UE; </w:t>
      </w:r>
    </w:p>
    <w:p>
      <w:pPr>
        <w:pStyle w:val="Text1"/>
        <w:ind w:left="1418" w:hanging="567"/>
        <w:rPr>
          <w:noProof/>
        </w:rPr>
      </w:pPr>
      <w:bookmarkStart w:id="69" w:name="DQCErrorScope250695EA81C74D92A89E2CFAC1F"/>
      <w:bookmarkEnd w:id="68"/>
      <w:r>
        <w:rPr>
          <w:noProof/>
        </w:rPr>
        <w:t>(c)</w:t>
      </w:r>
      <w:r>
        <w:rPr>
          <w:noProof/>
        </w:rPr>
        <w:tab/>
        <w:t>l-indikaturi ta’ prestazzjoni speċifiċi relatati mal-funzjonament tal-PRIMA-IS;</w:t>
      </w:r>
    </w:p>
    <w:p>
      <w:pPr>
        <w:pStyle w:val="Text1"/>
        <w:ind w:left="1418" w:hanging="567"/>
        <w:rPr>
          <w:noProof/>
        </w:rPr>
      </w:pPr>
      <w:bookmarkStart w:id="70" w:name="DQCErrorScope6ECA3DB6D44D4219BABE87D0AA9"/>
      <w:bookmarkEnd w:id="69"/>
      <w:r>
        <w:rPr>
          <w:noProof/>
        </w:rPr>
        <w:t>(d)</w:t>
      </w:r>
      <w:r>
        <w:rPr>
          <w:noProof/>
        </w:rPr>
        <w:tab/>
        <w:t>ir-rekwiżiti għall-PRIMA-IS dwar l-għoti tal-informazzjoni fuq il-kostijiet amministrattivi u ċ-ċifri fid-dettall dwar l-implimentazzjoni tal-PRIMA;</w:t>
      </w:r>
    </w:p>
    <w:p>
      <w:pPr>
        <w:pStyle w:val="Text1"/>
        <w:ind w:left="1418" w:hanging="567"/>
        <w:rPr>
          <w:noProof/>
        </w:rPr>
      </w:pPr>
      <w:bookmarkStart w:id="71" w:name="DQCErrorScopeC4DB080BE62B46DDAE318B07BA8"/>
      <w:bookmarkEnd w:id="70"/>
      <w:r>
        <w:rPr>
          <w:noProof/>
        </w:rPr>
        <w:t>(e)</w:t>
      </w:r>
      <w:r>
        <w:rPr>
          <w:noProof/>
        </w:rPr>
        <w:tab/>
        <w:t>l-arranġamenti dwar l-għoti tad-data meħtieġa biex tiżgura li l-Kummissjoni kapaċi tissodisfa l-obbligi tagħha tat-tixrid u tar-rapportur;</w:t>
      </w:r>
    </w:p>
    <w:p>
      <w:pPr>
        <w:pStyle w:val="Text1"/>
        <w:ind w:left="1418" w:hanging="567"/>
        <w:rPr>
          <w:noProof/>
        </w:rPr>
      </w:pPr>
      <w:bookmarkStart w:id="72" w:name="DQCErrorScopeE6EB2D335BC04C9EBE97660DEE3"/>
      <w:bookmarkEnd w:id="71"/>
      <w:r>
        <w:rPr>
          <w:noProof/>
        </w:rPr>
        <w:t>(f)</w:t>
      </w:r>
      <w:r>
        <w:rPr>
          <w:noProof/>
        </w:rPr>
        <w:tab/>
        <w:t>l-arranġamenti għall-approvazzjoni jew ir-rifjut mill-Kummissjoni tal-abbozz tal-pjan ta’ ħidma annwali tal-PRIMA, il-prinċipji komuni msemmija fl-Artikolu 6(6) u r-rekwiżiti tar-rapportur tal-Istati Membri, qabel jiġu adottati mill-PRIMA-IS; kif ukoll</w:t>
      </w:r>
    </w:p>
    <w:p>
      <w:pPr>
        <w:pStyle w:val="Text1"/>
        <w:ind w:left="1418" w:hanging="567"/>
        <w:rPr>
          <w:noProof/>
        </w:rPr>
      </w:pPr>
      <w:bookmarkStart w:id="73" w:name="DQCErrorScope13C658F0F5D647D181736ABF3D5"/>
      <w:bookmarkEnd w:id="72"/>
      <w:r>
        <w:rPr>
          <w:noProof/>
        </w:rPr>
        <w:t>(g)</w:t>
      </w:r>
      <w:r>
        <w:rPr>
          <w:noProof/>
        </w:rPr>
        <w:tab/>
        <w:t>dispożizzjonijiet għall-pubblikazzjoni ta’ sejħiet għal proposti mill-PRIMA-IS, b’mod partikolari fuq il-portal uniku għall-parteċipanti kif ukoll permezz ta’ mezzi elettroniċi ta’ tixrid oħrajn tal-Orizzont 2020 ġestiti mill-Kummissjoni.</w:t>
      </w:r>
    </w:p>
    <w:bookmarkEnd w:id="73"/>
    <w:p>
      <w:pPr>
        <w:pStyle w:val="Titrearticle"/>
        <w:rPr>
          <w:noProof/>
        </w:rPr>
      </w:pPr>
      <w:r>
        <w:rPr>
          <w:noProof/>
        </w:rPr>
        <w:t>Artikolu 9</w:t>
      </w:r>
      <w:r>
        <w:rPr>
          <w:noProof/>
        </w:rPr>
        <w:br/>
        <w:t>Terminazzjoni, tnaqqis jew sospensjoni tal-kontribuzzjoni finanzjarja tal-Unjoni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Jekk il-PRIMA ma tiġix implimentata jew ma tiġix implimentata kif xieraq, jew tiġi implimentata parzjalment jew tard, il-Kummissjoni tista’ tittermina, tnaqqas proporzjonalment jew tissospendi l-kontribuzzjoni finanzjarja tal-Unjoni skont l-implimentazzjoni attwali tal-PRIMA.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Jekk l-Istati Parteċipanti ma jikkontribwixxux, jikkontribwixxu parzjalment jew tard għall-finanzjament tal-PRIMA, il-Kummissjoni tista’ tittermina, tnaqqas proporzjonalment jew tissospendi l-kontribuzzjoni finanzjarja tal-Unjoni, filwaqt li tqis l-ammont ta’ finanzjament allokat mill-Istati Parteċipanti biex jimplimentaw il-PRIMA. </w:t>
      </w:r>
    </w:p>
    <w:p>
      <w:pPr>
        <w:pStyle w:val="Titrearticle"/>
        <w:rPr>
          <w:noProof/>
        </w:rPr>
      </w:pPr>
      <w:r>
        <w:rPr>
          <w:noProof/>
        </w:rPr>
        <w:t>Artikolu 10</w:t>
      </w:r>
      <w:r>
        <w:rPr>
          <w:noProof/>
        </w:rPr>
        <w:br/>
        <w:t xml:space="preserve">Awditi ex-post </w:t>
      </w:r>
    </w:p>
    <w:p>
      <w:pPr>
        <w:pStyle w:val="ManualNumPar1"/>
        <w:numPr>
          <w:ilvl w:val="0"/>
          <w:numId w:val="50"/>
        </w:numPr>
        <w:rPr>
          <w:noProof/>
        </w:rPr>
      </w:pPr>
      <w:r>
        <w:rPr>
          <w:noProof/>
        </w:rPr>
        <w:t xml:space="preserve">L-awditi </w:t>
      </w:r>
      <w:r>
        <w:rPr>
          <w:i/>
          <w:noProof/>
        </w:rPr>
        <w:t>ex-post</w:t>
      </w:r>
      <w:r>
        <w:rPr>
          <w:noProof/>
        </w:rPr>
        <w:t xml:space="preserve"> tan-nefqa fuq l-azzjonijiet indiretti msemmija fl-Artikolu 6(1)(a) ta’ din id-Deċiżjoni għandhom jitwettqu mill-PRIMA-IS</w:t>
      </w:r>
      <w:r>
        <w:rPr>
          <w:i/>
          <w:noProof/>
        </w:rPr>
        <w:t xml:space="preserve"> </w:t>
      </w:r>
      <w:r>
        <w:rPr>
          <w:noProof/>
        </w:rPr>
        <w:t xml:space="preserve">skont l-Artikolu 29 tar-Regolament (UE) Nru 1291/2013. </w:t>
      </w:r>
    </w:p>
    <w:p>
      <w:pPr>
        <w:pStyle w:val="ManualNumPar1"/>
        <w:numPr>
          <w:ilvl w:val="0"/>
          <w:numId w:val="50"/>
        </w:numPr>
        <w:rPr>
          <w:noProof/>
          <w:color w:val="002060"/>
        </w:rPr>
      </w:pPr>
      <w:r>
        <w:rPr>
          <w:noProof/>
        </w:rPr>
        <w:t>Il-Kummissjoni tista’ tiddeċiedi li tagħmel l-awditi msemmija fil-paragrafu 1 hi stess. F’dawn il-każijiet, għandha tagħmel dan f’konformità mar-regoli applikabbli, b’mod partikolari d-dispożizzjonijiet tar-Regolamenti (UE, Euratom) Nru 966/2012, (UE) Nru 1290/2013 u (UE) Nru 1291/2013.</w:t>
      </w:r>
    </w:p>
    <w:p>
      <w:pPr>
        <w:pStyle w:val="Titrearticle"/>
        <w:rPr>
          <w:noProof/>
        </w:rPr>
      </w:pPr>
      <w:r>
        <w:rPr>
          <w:noProof/>
        </w:rPr>
        <w:t>Artikolu 11</w:t>
      </w:r>
      <w:r>
        <w:rPr>
          <w:noProof/>
        </w:rPr>
        <w:br/>
        <w:t>Protezzjoni tal-interessi finanzjarji tal-Unjoni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tieħu miżuri xierqa biex tiżgura li, meta jiġu implimentati azzjonijiet iffinanzjati skont din id-Deċiżjoni, l-interessi finanzjarji tal-Unjoni jitħarsu bl-applikazzjoni ta’ miżuri preventivi kontra l-frodi, il-korruzzjoni u kull attività illegali oħra, b’kontrolli effikaċi u, jekk jinkixfu irregolaritajiet, bl-irkupru tal-ammonti li jkunu tħallsu ħażin u, meta xieraq, b’sanzjonijiet amministrattivi effikaċi, proporzjonati u dissważivi.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Il-PRIMA-IS għandha tagħti lill-persunal tal-Kummissjoni u lill-persuni oħra awtorizzati mill-Kummissjoni, flimkien mal-Qorti tal-Awdituri, aċċess għas-siti u l-bini tiegħu u għall-informazzjoni kollha, inkluża informazzjoni f’forma elettronika, meħtieġa sabiex isiru l-awditi tagħhom.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L-Uffiċċju Ewropew Kontra l-Frodi (OLAF) jista' jagħmel investigazzjonijiet, inklużi kontrolli u spezzjonijiet fuq il-post, skont id-dispożizzjonijiet u l-proċeduri stabbiliti fir-Regolament tal-Kunsill (Euratom, KE) Nru 2185/96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u r-Regolament (UE, Euratom) Nru 883/2013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bil-għan li jistabbilixxi jekk kienx hemm frodi, korruzzjoni jew xi attività illegali oħra li taffettwa l-interessi finanzjarji tal-Unjoni b’rabta ma’ ftehim għal għotja jew deċiżjoni għal għotja jew kuntratt iffinanzjat, direttament jew indirettament, skont din id-Deċiżjoni.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Mingħajr preġudizzju għall-paragrafi 1, 2 u 3, il-kuntratti, il-ftehimiet għal għotja u d-deċiżjonijiet għal għotja, li jirriżultaw mill-implimentazzjoni ta’ din id-Deċiżjoni għandhom jinkludu dispożizzjonijiet li b’mod espliċitu jagħtu s-setgħa lill-Kummissjoni, il-PRIMA-IS, il-Qorti tal-Awdituri u lill-OLAF, li jwettqu tali awditi u investigazzjonijiet skont il-kompetenzi rispettivi tagħhom. Meta l-implimentazzjoni ta’ azzjoni tiġi esternalizzata jew sottodelegata, kollha kemm hi jew parzjalment, jew meta tkun teħtieġ l-għoti ta’ kuntratt ta’ akkwist jew appoġġ finanzjarju lil parti terza, il-kuntratt, il-ftehim ta’ għotja jew id-deċiżjoni ta’ għotja għandhom jinkludu l-obbligu tal-kuntrattur jew tal-benefiċjarju li jimponi fuq kwalunkwe parti terza involuta l-aċċettazzjoni espliċita ta’ dawn is-setgħat tal-Kummissjoni, tal-PRIMA-IS, tal-Qorti tal-Awdituri u tal-OLAF.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Waqt l-implimentazzjoni tal-PRIMA, l-Istati Parteċipanti għandhom jieħdu l-miżuri leġiżlattivi, regolatorji, amministrattivi jew miżuri oħra meħtieġa biex iħarsu l-interessi finanzjarji tal-Unjoni, b’mod partikolari biex jiżguraw l-irkupru sħiħ ta’ xi ammonti dovuti lill-Unjoni f’konformità mar-Regolament (UE, Euratom) Nru 966/2012 u tar-Regolament Delegat (UE) Nru 1268/2012.</w:t>
      </w:r>
    </w:p>
    <w:p>
      <w:pPr>
        <w:pStyle w:val="Titrearticle"/>
        <w:rPr>
          <w:noProof/>
        </w:rPr>
      </w:pPr>
      <w:r>
        <w:rPr>
          <w:noProof/>
        </w:rPr>
        <w:t>Artikolu 12</w:t>
      </w:r>
      <w:r>
        <w:rPr>
          <w:noProof/>
        </w:rPr>
        <w:br/>
        <w:t>Governanza tal-PRIMA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Il-korpi tal-PRIMA-IS għandhom jinkludu:</w:t>
      </w:r>
    </w:p>
    <w:p>
      <w:pPr>
        <w:pStyle w:val="Text1"/>
        <w:rPr>
          <w:noProof/>
        </w:rPr>
      </w:pPr>
      <w:r>
        <w:rPr>
          <w:noProof/>
        </w:rPr>
        <w:t>(a) l-Assemblea Ġenerali;</w:t>
      </w:r>
    </w:p>
    <w:p>
      <w:pPr>
        <w:pStyle w:val="Text1"/>
        <w:rPr>
          <w:noProof/>
        </w:rPr>
      </w:pPr>
      <w:r>
        <w:rPr>
          <w:noProof/>
        </w:rPr>
        <w:t>(b) il-Bord tat-Tmexxija;</w:t>
      </w:r>
    </w:p>
    <w:p>
      <w:pPr>
        <w:pStyle w:val="Text1"/>
        <w:rPr>
          <w:noProof/>
        </w:rPr>
      </w:pPr>
      <w:r>
        <w:rPr>
          <w:noProof/>
        </w:rPr>
        <w:t>(c) is-Segretarjat;</w:t>
      </w:r>
    </w:p>
    <w:p>
      <w:pPr>
        <w:pStyle w:val="Text1"/>
        <w:rPr>
          <w:noProof/>
        </w:rPr>
      </w:pPr>
      <w:r>
        <w:rPr>
          <w:noProof/>
        </w:rPr>
        <w:t>(d) il-Bord Konsultattiv Xjentifiku.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Il-PRIMA-IS għandha tkun irregolata mill-Assemblea Ġenerali, li fiha l-Istati Parteċipanti kollha jkunu rappreżentati. L-Assemblea Ġenerali għandha tkun il-korp deċiżjonali tal-PRIMA-IS.</w:t>
      </w:r>
    </w:p>
    <w:p>
      <w:pPr>
        <w:pStyle w:val="Text1"/>
        <w:rPr>
          <w:noProof/>
        </w:rPr>
      </w:pPr>
      <w:r>
        <w:rPr>
          <w:noProof/>
        </w:rPr>
        <w:t>L-Assemblea Ġenerali għandha tadotta, wara li tikseb l-approvazzjoni mill-Kummissjoni:</w:t>
      </w:r>
    </w:p>
    <w:p>
      <w:pPr>
        <w:pStyle w:val="Text1"/>
        <w:ind w:left="840"/>
        <w:rPr>
          <w:noProof/>
        </w:rPr>
      </w:pPr>
      <w:bookmarkStart w:id="74" w:name="DQCErrorScopeAA14C93B9B22445B874C6A82028"/>
      <w:r>
        <w:rPr>
          <w:noProof/>
        </w:rPr>
        <w:t>(a)</w:t>
      </w:r>
      <w:r>
        <w:rPr>
          <w:noProof/>
        </w:rPr>
        <w:tab/>
        <w:t>il-pjan ta’ ħidma annwali tal-PRIMA;</w:t>
      </w:r>
    </w:p>
    <w:p>
      <w:pPr>
        <w:pStyle w:val="Text1"/>
        <w:ind w:left="1440" w:hanging="600"/>
        <w:rPr>
          <w:noProof/>
        </w:rPr>
      </w:pPr>
      <w:bookmarkStart w:id="75" w:name="DQCErrorScope0A4720E7DB624F9D8756B21D06B"/>
      <w:bookmarkEnd w:id="74"/>
      <w:r>
        <w:rPr>
          <w:noProof/>
        </w:rPr>
        <w:t>(b)</w:t>
      </w:r>
      <w:r>
        <w:rPr>
          <w:noProof/>
        </w:rPr>
        <w:tab/>
        <w:t>il-prinċipji komuni msemmija fl-Artikolu 6(6); kif ukoll</w:t>
      </w:r>
    </w:p>
    <w:p>
      <w:pPr>
        <w:pStyle w:val="Text1"/>
        <w:ind w:left="840"/>
        <w:rPr>
          <w:noProof/>
        </w:rPr>
      </w:pPr>
      <w:bookmarkStart w:id="76" w:name="DQCErrorScopeCAEEBD5593194B77AEF245129E6"/>
      <w:bookmarkEnd w:id="75"/>
      <w:r>
        <w:rPr>
          <w:noProof/>
        </w:rPr>
        <w:t>(c)</w:t>
      </w:r>
      <w:r>
        <w:rPr>
          <w:noProof/>
        </w:rPr>
        <w:tab/>
        <w:t>ir-rekwiżiti ta’ rappurtar tal-Istati Parteċipanti lill-PRIMA-IS.</w:t>
      </w:r>
    </w:p>
    <w:bookmarkEnd w:id="76"/>
    <w:p>
      <w:pPr>
        <w:pStyle w:val="Text1"/>
        <w:rPr>
          <w:noProof/>
        </w:rPr>
      </w:pPr>
      <w:r>
        <w:rPr>
          <w:noProof/>
        </w:rPr>
        <w:t>L-Assemblea Ġenerali għandha tapprova l-parteċipazzjoni fil-PRIMA ta’ kwalunkwe pajjiż terz mhux assoċjat mal-Orizzont 2020 għajr dawk elenkati fl-Artikolu 1(2) wara li teżamina r-rilevanza tal-parteċipazzjoni tiegħu għall-ilħuq tal-objettivi tal-PRIMA.</w:t>
      </w:r>
    </w:p>
    <w:p>
      <w:pPr>
        <w:ind w:left="851"/>
        <w:rPr>
          <w:noProof/>
        </w:rPr>
      </w:pPr>
      <w:bookmarkStart w:id="77" w:name="DQCErrorScope11237A7F00D64DB38ADB835A970"/>
      <w:r>
        <w:rPr>
          <w:noProof/>
        </w:rPr>
        <w:t>Kull Stat Parteċipanti għandu jkollu vot wieħed fl-Assemblea Ġenerali. Id-deċiżjonijiet għandhom jittieħdu b’kunsens. Fin-nuqqas ta’ dan, l-Assemblea Ġenerali għandha tieħu d-deċiżjonijiet tagħha b’maġġoranza ta’ mill-anqas 75% tal-voti. L-approvazzjoni tal-parteċipazzjoni fil-PRIMA ta’ kwalunkwe pajjiż terz mhux assoċjat mal-Orizzont 2020 għajr dawk elenkati fl-Artikolu 1(2) għandha tkun b’unanimità.</w:t>
      </w:r>
    </w:p>
    <w:p>
      <w:pPr>
        <w:ind w:left="851"/>
        <w:rPr>
          <w:noProof/>
        </w:rPr>
      </w:pPr>
      <w:bookmarkStart w:id="78" w:name="DQCErrorScopeD63838D2C89B4C2588B2E5514CB"/>
      <w:bookmarkEnd w:id="77"/>
      <w:r>
        <w:rPr>
          <w:noProof/>
        </w:rPr>
        <w:t>L-Unjoni, irrappreżentata mill-Kummissjoni, għandha tkun mistiedna għal-laqgħat kollha tal-Assemblea Ġenerali bħala osservatur, u tista’ tieħu sehem fid-diskussjonijiet. Għandha tirċievi d-dokumenti neċessarji kollha.</w:t>
      </w:r>
    </w:p>
    <w:bookmarkEnd w:id="78"/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L-Assemblea Ġenerali għandha tiddetermina n-numru tal-membri tal-Bord tat-Tmexxija, li m’għandux ikun anqas minn ħamsa, u għandha taħtarhom. Il-Bord tat-Tmexxija għandu jissorvelja lis-Segretarjat tal-PRIMA-IS.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L-Assemblea Ġenerali għandha tistabbilixxi s-Segretarjat tal-PRIMA-IS bħala l-korp eżekuttiv tal-PRIMA. </w:t>
      </w:r>
    </w:p>
    <w:p>
      <w:pPr>
        <w:pStyle w:val="Text1"/>
        <w:ind w:left="851"/>
        <w:rPr>
          <w:noProof/>
        </w:rPr>
      </w:pPr>
      <w:r>
        <w:rPr>
          <w:noProof/>
        </w:rPr>
        <w:t>Is-Segretarjat għandu: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jimplimenta l-pjan ta’ ħidma annwali tal-PRIMA;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jipprovdi appoġġ lill-korpi l-oħra tal-PRIMA-IS;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jimmonitorja u jirrapporta dwar l-implimentazzjoni tal-PRIMA;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jimmaniġġja l-kontribuzzjonijiet finanzjarji mill-Unjoni u mill-Istati Parteċipanti u jirrapporta dwar l-użu tagħhom;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jżid il-viżibbiltà tal-PRIMA permezz ta’ promozzjoni u komunikazzjoni;</w:t>
      </w:r>
    </w:p>
    <w:p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jaħdem id f’id mal-Kummissjoni skont il-ftehim ta’ delega msemmi fl-Artikolu 8.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L-Assemblea Ġenerali għandha taħtar Bord Konsultattiv Xjentifiku li jikkonsisti minn esperti indipendenti mill-Istati Parteċipanti, kompetenti f’oqsma rilevanti għall-PRIMA. L-Assemblea Ġenerali għandha tistabbilixxi n-numru ta’ membri tal-Bord Konsultattiv Xjentifiku, id-drittijiet tal-vot tagħhom u l-arranġamenti għall-ħatra tagħhom skont l-Artikolu 40 tar-Regolament (UE) Nru 1290/2013. </w:t>
      </w:r>
    </w:p>
    <w:p>
      <w:pPr>
        <w:ind w:left="851"/>
        <w:rPr>
          <w:noProof/>
        </w:rPr>
      </w:pPr>
      <w:bookmarkStart w:id="79" w:name="DQCErrorScopeA9A66344578D459C97908F30569"/>
      <w:r>
        <w:rPr>
          <w:noProof/>
        </w:rPr>
        <w:t>L-Assemblea Ġenerali tista’ tistabbilixxi gruppi ta’ ħidma speċjalizzati taħt il-Bord Konsultattiv Xjentifiku b’esperti indipendenti addizzjonali għal kompiti speċifiċi.</w:t>
      </w:r>
    </w:p>
    <w:p>
      <w:pPr>
        <w:ind w:left="851"/>
        <w:rPr>
          <w:noProof/>
        </w:rPr>
      </w:pPr>
      <w:bookmarkStart w:id="80" w:name="DQCErrorScopeEA716FA7552F468BA17B486751E"/>
      <w:bookmarkEnd w:id="79"/>
      <w:r>
        <w:rPr>
          <w:noProof/>
        </w:rPr>
        <w:t>Il-Bord Xjentifiku Konsultattiv għandu:</w:t>
      </w:r>
    </w:p>
    <w:bookmarkEnd w:id="80"/>
    <w:p>
      <w:pPr>
        <w:pStyle w:val="Point1letter"/>
        <w:numPr>
          <w:ilvl w:val="3"/>
          <w:numId w:val="33"/>
        </w:numPr>
        <w:rPr>
          <w:noProof/>
        </w:rPr>
      </w:pPr>
      <w:r>
        <w:rPr>
          <w:noProof/>
        </w:rPr>
        <w:t>jagħti pariri lill-Assemblea Ġenerali dwar prijoritajiet u ħtiġijiet strateġiċi;</w:t>
      </w:r>
    </w:p>
    <w:p>
      <w:pPr>
        <w:pStyle w:val="Point1letter"/>
        <w:numPr>
          <w:ilvl w:val="3"/>
          <w:numId w:val="33"/>
        </w:numPr>
        <w:rPr>
          <w:noProof/>
        </w:rPr>
      </w:pPr>
      <w:r>
        <w:rPr>
          <w:noProof/>
        </w:rPr>
        <w:t>jagħti pariri lill-Assemblea Ġenerali dwar il-kontenut u l-kamp ta' applikazzjoni tal-abbozz tal-pjan ta’ ħidma annwali tal-PRIMA mill-perspettiva xjentifika u teknika;</w:t>
      </w:r>
    </w:p>
    <w:p>
      <w:pPr>
        <w:pStyle w:val="Point1letter"/>
        <w:numPr>
          <w:ilvl w:val="3"/>
          <w:numId w:val="33"/>
        </w:numPr>
        <w:rPr>
          <w:noProof/>
        </w:rPr>
      </w:pPr>
      <w:r>
        <w:rPr>
          <w:noProof/>
        </w:rPr>
        <w:t>jirrevedi l-aspetti xjentifiċi u tekniċi tal-implimentazzjoni tal-PRIMA u jagħti opinjoni dwar ir-rapport annwali tiegħu;</w:t>
      </w:r>
    </w:p>
    <w:p>
      <w:pPr>
        <w:pStyle w:val="Point1letter"/>
        <w:numPr>
          <w:ilvl w:val="3"/>
          <w:numId w:val="33"/>
        </w:numPr>
        <w:rPr>
          <w:noProof/>
        </w:rPr>
      </w:pPr>
      <w:r>
        <w:rPr>
          <w:noProof/>
        </w:rPr>
        <w:t>fejn xieraq, jagħti pariri lill-Assemblea Ġenerali biex tistabbilixxi sottokumitati xjentifiċi, task forces u gruppi ta’ ħidma speċjalizzati.</w:t>
      </w:r>
    </w:p>
    <w:p>
      <w:pPr>
        <w:pStyle w:val="Titrearticle"/>
        <w:rPr>
          <w:noProof/>
        </w:rPr>
      </w:pPr>
      <w:r>
        <w:rPr>
          <w:noProof/>
        </w:rPr>
        <w:t>Artikolu 13</w:t>
      </w:r>
      <w:r>
        <w:rPr>
          <w:noProof/>
        </w:rPr>
        <w:br/>
        <w:t>Komunikazzjoni tal-informazzjoni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Fuq talba tal-Kummissjoni, il-PRIMA-IS għandha tibgħat lill-Kummissjoni kwalunkwe informazzjoni meħtieġa għat-tħejjija tar-rapporti msemmija fl-Artikolu 14.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Permezz tal-PRIMA-IS, l-Istati Parteċipanti għandhom iressqu lill-Kummissjoni kull informazzjoni mitluba mill-Parlament Ewropew, il-Kunsill jew il-Qorti tal-Awdituri dwar il-ġestjoni finanzjarja tal-PRIMA.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tinkludi l-informazzjoni msemmija fil-paragrafu 2 ta’ dan l-Artikolu fir-rapporti msemmija fl-Artikolu 14.</w:t>
      </w:r>
    </w:p>
    <w:p>
      <w:pPr>
        <w:pStyle w:val="Titrearticle"/>
        <w:rPr>
          <w:noProof/>
        </w:rPr>
      </w:pPr>
      <w:r>
        <w:rPr>
          <w:noProof/>
        </w:rPr>
        <w:t>Artikolu 14</w:t>
      </w:r>
      <w:r>
        <w:rPr>
          <w:noProof/>
        </w:rPr>
        <w:br/>
        <w:t>Evalwazzjoni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Sat-30 ta’ Ġunju 2022, il-Kummissjoni għandha tagħmel evalwazzjoni interim tal-PRIMA. Il-Kummissjoni għandha tħejji rapport dwar dik l-evalwazzjoni li tinkludi konklużjonijiet tal-evalwazzjoni u osservazzjonijiet mill-Kummissjoni. Il-Kummissjoni għandha tibgħat dak ir-rapport lill-Parlament Ewropew u lill-Kunsill sal-31 ta’ Diċembru 2022.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Sal-31 ta’ Diċembru 2028, il-Kummissjoni għandha tagħmel evalwazzjoni finali tal-PRIMA. Il-Kummissjoni għandha tħejji rapport dwar dik l-evalwazzjoni li jkun fih ir-riżultati tal-evalwazzjoni. Il-Kummissjoni għandha tibgħat dak ir-rapport lill-Parlament Ewropew u lill-Kunsill sat-30 ta’ Ġunju 2029.</w:t>
      </w:r>
    </w:p>
    <w:p>
      <w:pPr>
        <w:pStyle w:val="Titrearticle"/>
        <w:rPr>
          <w:noProof/>
        </w:rPr>
      </w:pPr>
      <w:r>
        <w:rPr>
          <w:noProof/>
        </w:rPr>
        <w:t>Artikolu 15</w:t>
      </w:r>
      <w:r>
        <w:rPr>
          <w:noProof/>
        </w:rPr>
        <w:br/>
        <w:t>Dħul fis-seħħ</w:t>
      </w:r>
    </w:p>
    <w:p>
      <w:pPr>
        <w:rPr>
          <w:noProof/>
        </w:rPr>
      </w:pPr>
      <w:r>
        <w:rPr>
          <w:noProof/>
        </w:rPr>
        <w:t>Din id-Deċiżjoni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16</w:t>
      </w:r>
      <w:r>
        <w:rPr>
          <w:noProof/>
        </w:rPr>
        <w:br/>
        <w:t xml:space="preserve">Destinatarji </w:t>
      </w:r>
    </w:p>
    <w:p>
      <w:pPr>
        <w:rPr>
          <w:noProof/>
        </w:rPr>
      </w:pPr>
      <w:r>
        <w:rPr>
          <w:noProof/>
        </w:rPr>
        <w:t>Din id-Deċiżjoni hija indirizzata lill-Istati Membri.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i w:val="0"/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IL-QAFAS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 fl-istruttura tal-ABM/ABB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It-tul ta’ żmien u l-impatt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Ir-regoli dwar il-ġestjoni u r-rappurtar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ta’ frodi u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L-intestatura(i) tal-qafas finanzjarju pluriennali u l-linja(i) baġitarja(i) tan-nefqa affettwati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Stima tal-impatt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Il-kontribuzzjonijiet minn partijiet terzi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Stima tal-impatt fuq id-dħul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IL-QAFAS TAL-PROPOSTA/INIZJATTIVA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Titolu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Id-Deċiżjoni tal-Parlament Ewropew u tal-Kunsill dwar il-parteċipazzjoni tal-Unjoni Ewropea fi Sħubija għar-Riċerka u l-Innovazzjoni fiż-Żona tal-Mediterran (PRIMA) imwettqa b’mod konġunt minn bosta Stati Membri.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Qasam/Oqsma ta’ politika kkonċernat(i) fl-istruttura tal-ABM/ABB</w:t>
      </w:r>
      <w:r>
        <w:rPr>
          <w:rStyle w:val="FootnoteReference"/>
          <w:noProof/>
        </w:rPr>
        <w:footnoteReference w:id="11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Titolu 08 Riċerka u Innovazzjoni, il-Programm Qafas Orizzont 2020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Natura tal-proposta/inizjattiva </w:t>
      </w:r>
    </w:p>
    <w:p>
      <w:pPr>
        <w:pStyle w:val="Text1"/>
        <w:rPr>
          <w:b/>
          <w:noProof/>
          <w:sz w:val="22"/>
        </w:rPr>
      </w:pPr>
      <w:r>
        <w:rPr>
          <w:noProof/>
        </w:rPr>
        <w:sym w:font="Wingdings" w:char="F07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Il-proposta/l-inizjattiva hija relatata ma’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Il-proposta/inizjattiva hija relatata ma’ </w:t>
      </w:r>
      <w:r>
        <w:rPr>
          <w:b/>
          <w:noProof/>
        </w:rPr>
        <w:t>azzjoni ġdida li ssegwi proġett pilota/azzjoni preparatorja</w:t>
      </w:r>
      <w:r>
        <w:rPr>
          <w:rStyle w:val="FootnoteReference"/>
          <w:b/>
          <w:noProof/>
        </w:rPr>
        <w:footnoteReference w:id="12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Il-proposta/inizjattiva hija relatata </w:t>
      </w:r>
      <w:r>
        <w:rPr>
          <w:b/>
          <w:noProof/>
        </w:rPr>
        <w:t>mal-estensjoni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Il-proposta/inizjattiva hija relatata ma’ </w:t>
      </w:r>
      <w:r>
        <w:rPr>
          <w:b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Objettiv(i)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L-objettiv(i) strateġiku/ċi pluriennali tal-Kummissjoni fil-mira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L-objettiv strateġiku tal-Programm Konġunt tal-PRIMA huwa li jiżviluppa s-soluzzjonijiet innovattivi komuni ppilotati u murija bis-sħiħ fil-qasam tal-provvista tal-ilma u tas-sistemi tal-ikel fir-reġjun tal-Mediterran, biex b’hekk isiru aktar reżiljenti għall-klima, effiċjenti, kosteffikaċi u sostenibbli, u b’hekk jikkontribwixxu biex isolvu l-problemi ta’ livell ogħla fil-qasam tan-nutrizzjoni, is-saħħa, il-benesseri u l-migrazzjoni.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Objettiv(i) speċifiku/ċi u attività/ajiet ABM/ABB ikkonċernati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L-objettiv strateġiku t’hawn fuq jeħtieġ qafas durabbli għar-Riċerka u l-Innovazzjoni, li b’mod konkret jissarraf f’dawn l-objettivi speċifiċi li ġejjin: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• Il-formulazzjoni ta’ aġenda strateġika komuni għar-riċerka u l-innovazzjoni stabbli u fit-tul fil-qasam tal-provvista tal-ilma u tas-sistemi tal-ikel;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• L-orjentazzjoni tal-programmi nazzjonali kollha ta’ riċerka u innovazzjoni lejn l-implimentazzjoni tal-aġenda strateġika għar-riċerka u l-innovazzjoni;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• L-involviment strutturali tal-atturi rilevanti kollha fir-riċerka u l-innovazzjoni (is-settur pubbliku u privat) fl-implimentazzjoni tal-aġenda strateġika għar-riċerka billi jinġabar l-għarfien u r-riżorsi finanzjarji sabiex tinkiseb il-massa kritika meħtieġa;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• It-tisħiħ tal-finanzjament għar-riċerka u l-innovazzjoni u tal-kapaċitajiet ta’ implimentazzjoni tal-atturi kollha involuti.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Riżultat(i) u 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l-proposta/inizjattiva għandu jkollha fuq il-benefiċjarji/gruppi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Il-formulazzjoni ta’ aġenda strateġika komuni għar-riċerka u l-innovazzjoni stabbli u fit-tul fil-qasam tal-provvista tal-ilma u tas-sistemi tal-ikel; li tirriżulta fi progress sinifikanti lejn l-objettivi speċifiċi t’hawn fuq. Effetti addizzjonali, bħal li jiġi attirat investiment privat grazzi għall-impenn istituzzjonali fit-tul prevedibbli; it-trawwim ta’ rabtiet xjentifiċi u diplomatiċi bejn il-parteċipanti (diplomazija xjentifika); ir-rinfurzar ta’ ftehimiet bilaterali tas-S&amp;T bejn l-UE u pajjiżi individwali, huwa mistenni wkoll.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Indikaturi tar-riżultati u tal-impatt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tal-proposta/inizjattiva.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noProof/>
        </w:rPr>
      </w:pPr>
      <w:r>
        <w:rPr>
          <w:noProof/>
        </w:rPr>
        <w:t>Il-progress tal-PRIMA se jitkejjel kif ġej: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noProof/>
        </w:rPr>
      </w:pPr>
      <w:r>
        <w:rPr>
          <w:noProof/>
        </w:rPr>
        <w:t>1. Permezz ta’ indikaturi tal-implimentazzjoni, jiġifieri indikaturi tal-produzzjoni u tal-input, biex jiġi vvalutat l-iżvilupp fuq terminu medju tal-attivitajiet tal-PRIMA: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noProof/>
        </w:rPr>
      </w:pPr>
      <w:r>
        <w:rPr>
          <w:noProof/>
        </w:rPr>
        <w:t>a) Indikaturi tal-produzzjoni: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1" w:name="DQCErrorScope3874604F83BF43E6853CE63EB18"/>
      <w:r>
        <w:rPr>
          <w:noProof/>
        </w:rPr>
        <w:t>• Piloti u dimostraturi fuq skala kbira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2" w:name="DQCErrorScopeE181DBBE4BC5484F8DFB5D096D3"/>
      <w:bookmarkEnd w:id="81"/>
      <w:r>
        <w:rPr>
          <w:noProof/>
        </w:rPr>
        <w:t>• Il-prijoritajiet ta’ (finanzjament) riċerka nazzjonali adattati bħala riżultati u l-prijoritajiet ta’ (R&amp;I) SRIA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3" w:name="DQCErrorScope6164FA6053234152B3DF270738B"/>
      <w:bookmarkEnd w:id="82"/>
      <w:r>
        <w:rPr>
          <w:noProof/>
        </w:rPr>
        <w:t>• Allinjament ta’ programmi nazzjonali tal-finanzjament tar-R&amp;I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4" w:name="DQCErrorScopeEDBC6A6BA49546DBB9902E3E22D"/>
      <w:bookmarkEnd w:id="83"/>
      <w:r>
        <w:rPr>
          <w:noProof/>
        </w:rPr>
        <w:t>• Strateġiji ġodda jew aġġornati tal-pajjiż li jirriflettu l-impatt tal-inizjattiva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5" w:name="DQCErrorScope1B0AFF36B07C491DACC44723C46"/>
      <w:bookmarkEnd w:id="84"/>
      <w:r>
        <w:rPr>
          <w:noProof/>
        </w:rPr>
        <w:t>• Benefiċċji ta’ effiċjenza permezz tal-ġbir flimkien ta’ riżorsi. Kondiviżjoni tal-investiment pubbliku tal-Istati parteċipanti. Volum u sehem tal-kofinanzjament mill-UE u minn pajjiżi terzi tal-Mediterran. Spejjeż operattivi. Żmien għall-Għotja. Żmien għall-Ħlas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6" w:name="DQCErrorScope4A4B7746EEC546ED82B35F225D2"/>
      <w:bookmarkEnd w:id="85"/>
      <w:r>
        <w:rPr>
          <w:noProof/>
        </w:rPr>
        <w:t>• Finanzjament allokat permezz ta’ sejħiet għal proposti transnazzjonali konġunti jew attivitajiet iffinanzjati mhux tal-proġetti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7" w:name="DQCErrorScope9AC8B4DB8A294F7AA106011A399"/>
      <w:bookmarkEnd w:id="86"/>
      <w:r>
        <w:rPr>
          <w:noProof/>
        </w:rPr>
        <w:t>• Tkabbir fis-sehem ta’ mudelli implimentati ta’ ġestjoni sostenibbli tal-provvista tal-ilma u tas-sistemi tal-ikel fiż-żona tal-Mediterran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8" w:name="DQCErrorScopeCC332CB2824042D68A0FBCEBF2D"/>
      <w:bookmarkEnd w:id="87"/>
      <w:r>
        <w:rPr>
          <w:noProof/>
        </w:rPr>
        <w:t>• Tkabbir fis-sehem ta’ strateġiji ġodda implimentati għal titjib fl-effiċjenza tal-ilma u tal-ikel u tnaqqis tal-iskart żviluppat għaż-żona tal-Mediterran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89" w:name="DQCErrorScopeCE61C1BBC5DB47418B10DB6C600"/>
      <w:bookmarkEnd w:id="88"/>
      <w:r>
        <w:rPr>
          <w:noProof/>
        </w:rPr>
        <w:t>• Mudelli u strateġiji kummerċjali ġodda orjentati lejn il-kwalità tal-ilma u tal-ikel adottati fil-livelli nazzjonali u reġjonali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0" w:name="DQCErrorScope70F6AF0F72A045C1B1DE40947AB"/>
      <w:bookmarkEnd w:id="89"/>
      <w:r>
        <w:rPr>
          <w:noProof/>
        </w:rPr>
        <w:t>• Espansjoni tat-timijiet nazzjonali involuti fi proġetti tar-R&amp;I dwar titjib fl-effiċjenza fil-ġestjoni tal-provvista tal-ilma u tas-sistemi tal-ikel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1" w:name="DQCErrorScope496B3CF9904E4B428A2F211DFFC"/>
      <w:bookmarkEnd w:id="90"/>
      <w:r>
        <w:rPr>
          <w:noProof/>
        </w:rPr>
        <w:t>• Numru ta’ pajjiżi li fihom huma implimentati soluzzjonijiet għall-iffrankar tal-ilma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2" w:name="DQCErrorScope988CE3086665472E9A238B629EB"/>
      <w:bookmarkEnd w:id="91"/>
      <w:r>
        <w:rPr>
          <w:noProof/>
        </w:rPr>
        <w:t>• Numru ta’ sejħiet tranżizzjonali kull sena li jindirizzaw il-provvista tal-ilma u s-sistemi tal-ikel</w:t>
      </w:r>
    </w:p>
    <w:bookmarkEnd w:id="92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noProof/>
        </w:rPr>
      </w:pPr>
      <w:r>
        <w:rPr>
          <w:noProof/>
        </w:rPr>
        <w:t>b) Indikaturi tal-input: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3" w:name="DQCErrorScope1F519DB078EE418297B99442EEF"/>
      <w:r>
        <w:rPr>
          <w:noProof/>
        </w:rPr>
        <w:t>• Grad tal-parteċipazzjoni tal-Istati parteċipanti fil-laqgħat tal-Bord tat-Tmexxija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4" w:name="DQCErrorScope55D3A4D5BA3E443E9184C85D035"/>
      <w:bookmarkEnd w:id="93"/>
      <w:r>
        <w:rPr>
          <w:noProof/>
        </w:rPr>
        <w:t>• Pajjiżi addizzjonali li jipparteċipaw fl-inizjattiva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5" w:name="DQCErrorScope665DE52398394A5EB2A66247F34"/>
      <w:bookmarkEnd w:id="94"/>
      <w:r>
        <w:rPr>
          <w:noProof/>
        </w:rPr>
        <w:t>• Pajjiżi li ma jibqgħux Stati parteċipanti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3"/>
        <w:rPr>
          <w:noProof/>
        </w:rPr>
      </w:pPr>
      <w:bookmarkStart w:id="96" w:name="DQCErrorScope46DC8024B3ED4DC6BB45C4E874A"/>
      <w:bookmarkEnd w:id="95"/>
      <w:r>
        <w:rPr>
          <w:noProof/>
        </w:rPr>
        <w:t>• L-impenn finanzjarju attwali in natura mill-Istati Parteċipanti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noProof/>
        </w:rPr>
      </w:pPr>
      <w:bookmarkStart w:id="97" w:name="DQCErrorScopeB8F06C28FC4440C2A7A5F689A82"/>
      <w:bookmarkEnd w:id="96"/>
      <w:r>
        <w:rPr>
          <w:noProof/>
        </w:rPr>
        <w:t>• Progress fuq l-aġġornamenti tal-Aġenda Strateġika għar-Riċerka u l-Innovazzjoni (SRIA)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noProof/>
        </w:rPr>
      </w:pPr>
      <w:bookmarkStart w:id="98" w:name="DQCErrorScope0FF111DE7BA643F6B7C2F4141D6"/>
      <w:bookmarkEnd w:id="97"/>
      <w:r>
        <w:rPr>
          <w:noProof/>
        </w:rPr>
        <w:t>• Parteċipazzjoni fuq l-istess livell mill-pajjiżi terzi kollha</w:t>
      </w:r>
    </w:p>
    <w:bookmarkEnd w:id="98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2. Permezz ta’ indikaturi speċifiċi, ibbażati fuq il-qafas tal-Għanijiet ta’ Żvilupp Sostenibbli (SDGs) u li jiffukaw prinċipalment imma mhux esklussivament fuq is-sigurtà tal-ikel (SDG #2) u l-ġestjoni sostenibbli tal-ilma (SDG #6). L-aktar indikaturi importanti u r-rabta tagħhom mal-objettivi operattivi huma: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 xml:space="preserve">• L-Indiċi tal-Faqar Multidimensjonali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 xml:space="preserve"> Objettiv 1 (riżorsi naturali tal-biedja intelliġenti u sostenibbli jżidu l-produzzjoni),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4 (soluzzjonijiet għall-effiċjenza tal-katina alimentari u tal-ilma, inaqqsu t-telf u l-iskart),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5 (tnaqqis tal-pesti u tal-patoġeni fil-biedja għas-saħħa tal-bniedem).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99" w:name="DQCErrorScopeA62633AD026F497FB3CD8A6A40C"/>
    </w:p>
    <w:bookmarkEnd w:id="99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Piż żejjed tal-popolazzjoni (%)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3 (soluzzjonijiet għall-industrija agroalimentari għall-wirt nutrizzjonali Meditterranju).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0" w:name="DQCErrorScopeF44BABF21E654E07B99760BFEFE"/>
    </w:p>
    <w:bookmarkEnd w:id="100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Użu tal-Art (%).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7 (titjib fis-sostenibbiltà tal-art u tal-ilma f’żoni idrografiċi semi-aridi).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1" w:name="DQCErrorScopeB6425C4488DA44DF992F8A9917D"/>
    </w:p>
    <w:bookmarkEnd w:id="101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Emissjonijiet ta’ gass serra (total u AFOLU – t CO2e)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1.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2" w:name="DQCErrorScope17D5AAADC26E4FD5A54DFB69226"/>
    </w:p>
    <w:bookmarkEnd w:id="102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Rendiment taċ-Ċereali (kg/ha)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1.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3" w:name="DQCErrorScopeF756B30E3D854B04B4816EE7053"/>
    </w:p>
    <w:bookmarkEnd w:id="103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Valur Miżjud Agrikolu (EUR/ħaddiem).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6 (mudelli innovattivi fin-negozju agrikolu għal impjiegi ġodda u tkabbir ekonomiku).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4" w:name="DQCErrorScopeB7706AC4BB5E4BD8A8EA80FEAF3"/>
    </w:p>
    <w:bookmarkEnd w:id="104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Konsum tal-fertilizzanti (kg/ha ta’ raba’).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1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5" w:name="DQCErrorScopeF5D16B16EEF64ACC80187EB33CB"/>
    </w:p>
    <w:bookmarkEnd w:id="105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Produttività tal-ilma għall-għelejjel (kg/m3).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2 (soluzzjonijiet għall-iffrankar tal-ilma fl-agrikoltura).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6" w:name="DQCErrorScopeB48ED024624242EDB5008383C3C"/>
    </w:p>
    <w:bookmarkEnd w:id="106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Proporzjon tal-ilma totali użat.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7.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7" w:name="DQCErrorScope2DA154061B034D36A061DB478D5"/>
    </w:p>
    <w:bookmarkEnd w:id="107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Popolazzjoni li tuża servizzi tal-ilma mmaniġġjati b’mod sikur (rurali, %).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8 (mudelli ta’ governanza ġodda fil-ġestjoni tal-ilma).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8" w:name="DQCErrorScopeED75A2F01ACE43F0AF7AC38B63C"/>
    </w:p>
    <w:bookmarkEnd w:id="108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>• Popolazzjoni li tuża servizzi ta’ sanità ġestiti b’mod sikur (rurali, %).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 xml:space="preserve"> Objettiv 8.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bookmarkStart w:id="109" w:name="DQCErrorScope7488BCA409024C18BBFDB1CDAFC"/>
    </w:p>
    <w:bookmarkEnd w:id="109"/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t xml:space="preserve">• Ammont ta’ residwi agrikoli użati għall-finijiet tal-enerġija (t).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 Objettiv 4.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>Raġunijiet għall-proposta/inizjattiva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Rekwiżit(i) li jrid(u) jiġi/u ssodisfat(i) fuq medda qasira jew medda twila ta’ żmien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Il-PRIMA se tikkombina r-riżorsi tal-EU u nazzjonali biex tiżviluppa, b’mod strutturat, qafas durabbli għar-riċerka u l-innovazzjoni fil-qasam tal-provvista tal-ilma u tas-sistemi tal-ikel fiż-żona tal-Mediterran.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jogħġbok irreferi għar-Rapport tal-Valutazzjoni tal-Impatt tal-PRIMA, li jakkompanja l-proposta leġiżlattiva, għal aktar informazzjoni.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L-inizjattiva hija konformi mal-Qafas ta’ Sħubija ġdid ma’ pajjiżi terzi taħt l-Aġenda Ewropea dwar il-Migrazzjoni għaliex tindirizza xi wħud mill-kawżi ewlenin tal-migrazzjoni; tinsab b’mod ċar fl-interkambju bejn il-politiki tar-riċerka, it-tibdil fil-klima, l-ambjent u l-politika agrikola; u tagħti eżempju tal-mudell il-ġdid ta’ kooperazzjoni għall-iżvilupp li qed jiġi promoss mill-Qafas ta’ Sħubija l-ġdid sa fejn dan jinvolvi l-investituri privati, jappoġġja riżorsi tal-baġit limitati, u jiffoka fuq l-SMEs u l-infrastruttura sostenibbli.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Azzjoni fil-livell tal-UE biss hija kapaċi tikseb programm ikkoordinat tajjeb u integrat li jilħaq l-iskala meħtieġa, il-kamp ta' applikazzjoni u l-massa kritika biex iwettaq l-objettivi speċifiċi u ġenerali. L-azzjoni fil-livell tal-UE hija kkaratterizzata minn effett ta’ ingranaġġ b’saħħtu għaliex timmobilizza investiment pubbliku u privat addizzjonali sinifikanti. Tiġġenera wkoll impatti li jmorru lil hinn mill-politika u s-soluzzjonijiet tar-R&amp;I, biex b’hekk tappoġġja l-politiki esterni tal-UE u l-isforzi biex jiġu indirizzati l-kawżi ewlenin tal-migrazzjoni. L-involviment tal-UE fil-PRIMA aktarx li jsaħħaħ ukoll il-viżibbiltà tal-Ewropa u r-responsabbiltà globali, fl-ispirtu tal-Politika tal-Viċinat tal-UE, li tinkoraġġixxi d-differenzjazzjoni u s-sjieda reċiproka akbar mas-sħab tal-viċinat.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Tagħlimiet meħuda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Il-PRIMA hija mfassla biex topera bħala inizjattiva tal-Art. 185, jiġifieri pprogrammar konġunt pluriennali mwettaq mill-SP, bil-parteċipazzjoni tal-UE. L-esperjenza mill-inizjattivi tal-imgħoddi u dawk li għaddejjin bħalissa mill-FP6 sal-Orizzont 2020 turi effetti pożittivi, b’mod partikolari fuq: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l-integrazzjoni xjentifika, maniġerjali u finanzjarja fit-tul tal-isforzi nazzjonali u Ewropej dwar sfidi komuni b’impenji finanzjarji u politiċi ċari bil-quddiem; mingħajr il-ħtieġa li jiġu istituzzjonalizzati sforzi konġunti jew li jinħolqu strutturi ġodda kbar;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l-effetti ta’ ingranaġġ u t-twassil fir-rigward tal-impatti;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</w:pPr>
      <w:r>
        <w:rPr>
          <w:noProof/>
        </w:rPr>
        <w:t>- it-tmexxija internazzjonali u l-kooperazzjoni globali – kemm f’termini ta’ viżibbiltà, tmexxija xjentifika kif ukoll mudell ġdid għall-kooperazzjoni tal-iżvilupp;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implimentazzjoni effiċjenti u ġestjoni finanzjarja soda.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Kompatibbiltà u sinerġija possibbli ma’ strumenti xierqa oħra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Il-PRIMA se tikkontribwixxi għal numru ta’ inizjattivi ewlenin, b’mod partikolari għall-politika ta’ sostenibbiltà: Ewropa li tuża r-riżorsi b’effiċjenza – Inizjattiva ewlenija, Programm Ewropew tal-Viċinat għall-Agrikoltura u l-Iżvilupp Rurali. Il-PRIMA hija wkoll rilevanti għal numru ta’ politiki esterni, b’mod partikolari l-Qafas ta’ Sħubija ma’ pajjiżi terzi taħt l-Aġenda Ewropea dwar il-migrazzjoni u l-Aġenda tal-Iżvilupp Wara l-2015 u l-Għanijiet ta’ Żvilupp Sostenibbli.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Il-PRIMA se tikkontribwixxi ferm fl-iħuq tal-objettivi tal-Orizzont 2020 u tal-politika dwar ir-Riċerka u l-Innovazzjoni (3O’s - Xjenza miftuħa, Innovazzjoni miftuħa, Miftuħa għad-Dinja).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It-tul ta’ żmien u l-impatt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</w:t>
      </w:r>
      <w:r>
        <w:rPr>
          <w:b/>
          <w:noProof/>
        </w:rPr>
        <w:t xml:space="preserve">b’tul taż-żmien limitat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Proposta/inizjattiva fis-seħħ mid-data tad-dħul fis-seħħ ta’ din id-Deċiżjoni sal-31/12/2028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L-impatt finanzjarju mill-2018 sal-2020 għall-approprjazzjonijiet ta’ impenji u mill-2018 sal-2029 għall-approprjazzjonijiet ta’ ħlasijiet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>tul taż-żmien mhux limitat</w:t>
      </w:r>
    </w:p>
    <w:p>
      <w:pPr>
        <w:pStyle w:val="ListDash1"/>
        <w:rPr>
          <w:noProof/>
        </w:rPr>
      </w:pPr>
      <w:r>
        <w:rPr>
          <w:noProof/>
        </w:rPr>
        <w:t>Implimentazzjoni b’perjodu għat-tnedija minn SSSS sa SSSS,</w:t>
      </w:r>
    </w:p>
    <w:p>
      <w:pPr>
        <w:pStyle w:val="ListDash1"/>
        <w:rPr>
          <w:noProof/>
        </w:rPr>
      </w:pPr>
      <w:r>
        <w:rPr>
          <w:noProof/>
        </w:rPr>
        <w:t xml:space="preserve">u wara tħaddim fuq skala sħiħa. 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Mod(i) ta’ ġestjoni ppjanat(i)</w:t>
      </w:r>
      <w:r>
        <w:rPr>
          <w:rStyle w:val="FootnoteReference"/>
          <w:noProof/>
        </w:rPr>
        <w:footnoteReference w:id="13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il-persunal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baġitarja jiġu fdati lil: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il-korpi nnominati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(għad 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il-BEI u 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il-korpi msemmija fl-Artikoli 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 xml:space="preserve"> korpi rregolati mil-liġi privata b’missjoni ta’ servizz pubbliku sa 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jkunu fdati bl-implimentazzjoni ta’ sħubija pubblika 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tat-TUE,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ikun indikat aktar minn mod wieħed ta’ ġestjoni, jekk jogħġbok agħti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Se tiġi stabbilita entità ġuridika ġdida - iddedikata esklussivament għall-implimentazzjoni tal-PRIMA. Il-kontribuzzjoni finanzjarja tal-UE għall-inizjattiva se tingħata permezz ta’ din l-istruttura.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Ir-regoli dwar il-monitoraġġ u r-rappurtar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Arranġamenti ta’ superviżjoni standard, adottati mid-DĠ RTD għal inizjattivi skont l-Artikolu 185 tat-TFUE li se japplikaw b’mod ugwali għall-Programm Konġunt tal-PRIMA.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Ir-responsabbiltajiet tas-Servizzi tal-Kummissjoni u dawk tal-Istruttura Speċifika ta’ Implimentazzjoni tal-PRIMA (PRIMA-IS) u tal-Istati Parteċipanti se jiġu definiti fl-att bażiku u fil-ftehim ta’ delega.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Il-PRIMA-IS se tkun soġġetta għal valutazzjoni </w:t>
      </w:r>
      <w:r>
        <w:rPr>
          <w:i/>
          <w:noProof/>
        </w:rPr>
        <w:t>ex-ante</w:t>
      </w:r>
      <w:r>
        <w:rPr>
          <w:noProof/>
        </w:rPr>
        <w:t xml:space="preserve"> skont ir-rekwiżiti stabbiliti fl-Artikolu 61 tar-Regolament Finanzjarju qabel jiġi ffirmat il-ftehim ta’ delega. Il-PRIMA-IS tipprovdi rappurtar annwali komprensiv inkluż l-opinjonijiet tal-awdituri u dikjarazzjoni ta’ ġestjoni u hija responsabbli mill-kontroll </w:t>
      </w:r>
      <w:r>
        <w:rPr>
          <w:i/>
          <w:noProof/>
        </w:rPr>
        <w:t>ex-ante</w:t>
      </w:r>
      <w:r>
        <w:rPr>
          <w:noProof/>
        </w:rPr>
        <w:t xml:space="preserve"> tal-infiq tal-azzjonijiet indiretti kollha ffinanzjati mill-PRIMA-IS.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Barra minn hekk, kif meħtieġ mir-Regolament Finanzjarju, l-Istati Parteċipanti se jkollhom jipprovdu garanziji finanzjarji adegwati fi żmien xieraq u mhux aktar tard mill-iffirmar tal-Ftehim ta’ Delega mill-Kummissjoni.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L-Istati Parteċipanti se jiddeterminaw il-kostijiet tal-attivitajiet tagħhom skont il-prattiki tal-kontabilità u l-istandards tal-kontabilità normali tal-Istati Parteċipanti kkonċernati u skont Standards Internazzjonali tal-Kontabilità/Standards Internazzjonali tar-Rapportar Finanzjarju. Dawn jinkludu ċertifikati ta’ awditi u dikjarazzjoni ta’ ġestjoni.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hija osservatur fil-korp tat-teħid tad-deċiżjonijiet tal-PRIMA-IS u tivverifika u tapprova l-Pjan ta’ Ħidma Annwali (AWP) u pjanijiet tal-baġit relatati permezz ta’ deċiżjoni tal-Kummissjoni u r-rapportur annwali. Jekk il-kontijiet ma jistgħux jiġu aċċettati għandha tittieħed azzjoni ta’ segwitu sabiex jittaffa kwalunkwe riskju finanzjarju u ta’ reputazzjoni għall-Kummissjoni. Fejn meħtieġ, il-ħlasijiet lill-PRIMA-IS jiġu sospiżi u/jew irkuprati, jekk meħtieġ billi jintużaw il-garanziji finanzjarji mogħtija mill-Istati Parteċipanti. Jekk il-passi kollha t’hawn fuq ma jkunux adegwati biex jipproteġu l-interessi finanzjarji tal-Unjoni jew biex jiżguraw li l-objettivi tal-politika jintlaħqu kif xieraq, wara konsiderazzjoni xierqa, jista’ jitwettaq awditu tal-PRIMA-IS. Barra minn hekk, il-Kummissjoni tista’ tiddeċiedi jekk meħtieġ li tissospendi l-implimentazzjoni jew tittermina l-Ftehim ta’ Delega.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L-implimentazzjoni tal-PRIMA se tiġi mmonitorjata permezz ta’ rapporti annwali. Dawn jinkludu ħarsa ddettaljata lejn l-attivitajiet tal-PRIMA f’paragun mal-pjan ta’ ħidma strateġiku pluriennali u l-pjan ta’ ħidma annwali, kif ukoll il-progress lejn l-objettivi u indikaturi aġġornati elenkati fil-punt 1.4.4.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Sistema ta’ ġestjoni u kontroll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1) Il-kapaċità tal-PRIMA-IS biex timmaniġġja l-kontribuzzjoni tal-UE u biex tipproteġi l-interess finanzjarju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2) Il-kapaċità tal-Istati Parteċipanti biex jiffinanzjaw il-kontribuzzjonijiet tagħhom lill-programm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3) Impenn importanti bil-quddiem tal-UE fl-2020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Tagħrif li jikkonċerna l-istabbiliment tas-sistema ta’ kontroll intern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Ir-riskju 1 – ara l-punt 2.1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Ir-riskju 2 – il-kontribuzzjoni tal-UE se tiġi rilaxxata b’mod partikolari skont il-kundizzjonijiet stabbiliti fl-att bażiku u fil-ftehim ta’ delega. Mekkaniżmu ta’ terminazzjoni, tnaqqis jew sospensjoni tal-kontribuzzjoni tal-Unjoni huwa previst ukoll fl-att bażiku (Art. 9).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Ir-riskju 3 – L-att bażiku jipprevedi l-possibbiltà li jittermina, inaqqas jew jissospendi l-kontribuzzjoni finanzjarja tal-UE jekk l-impenji tal-SP ma jiġux issodisfati fi żmien xieraq, u l-baġit jiġi allokat mill-ġdid għal inizjattivi oħra fl-2020.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Stima tal-kostijiet u tal-benefiċċji tal-kontrolli u valutazzjoni tal-livell mistenni tar-riskju ta’ żball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L-Art. 10 tal-att bażiku jipprovdi għal verifiki </w:t>
      </w:r>
      <w:r>
        <w:rPr>
          <w:i/>
          <w:noProof/>
        </w:rPr>
        <w:t>ex-post</w:t>
      </w:r>
      <w:r>
        <w:rPr>
          <w:noProof/>
        </w:rPr>
        <w:t xml:space="preserve"> tan-nefqa fuq azzjonijiet indiretti li għandhom jitwettqu skont ir-regoli tal-Orizzont 2020. Il-kostijiet tas-sistema ta’ kontroll huma parti min-nefqa amministrattiva għall-implimentazzjoni tal-PRIMA. Is-sistema se tipprovdi assigurazzjoni raġonevoli u tikseb ġestjoni adegwata tar-riskji identifikati.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għall-prevenzjoni ta’ frodi u 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L-att bażiku jipprovdi sett ta’ miżuri għall-prevenzjoni tal-frodi u l-irregolaritajiet, b’mod partikolari: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L-Art. 11 tal-att bażiku jistabbilixxi fost l-oħrajn li l-PRIMA-IS għandha tagħti aċċess għall-informazzjoni u għall-post tan-negozju meħtieġa biex il-Kummissjoni tikkontrolla, tevalwa u twettaq awditi dwar l-implimentazzjoni tal-PRIMA jew biex l-OLAF iwettaq l-investigazzjonijiet.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L-Art. 4 tal-att bażiku jistabbilixxi fost l-oħrajn li l-kontribuzzjoni tal-UE għandha tingħata bil-kundizzjoni li l-PRIMA tkun konformi mar-rekwiżiti tar-rapportur stabbiliti fl-Art. 60(5) tar-Regolament (UE, Euratom) Nru 966/2012. Skont l-Art. 9, il-Kummissjoni tista’ tittermina, tnaqqas jew tissospendi l-kontribuzzjoni tagħha.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STIMA TAL-IMPATT FINANZJARJU TAL-PROPOSTA/INIZJATTIVA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L-intestatura(i) tal-qafas finanzjarju pluriennali u l-linja(i) baġitarja(i) tan-nefqa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Il-linji baġitarji eżistenti </w:t>
      </w:r>
    </w:p>
    <w:p>
      <w:pPr>
        <w:pStyle w:val="Text1"/>
        <w:rPr>
          <w:noProof/>
        </w:rPr>
      </w:pPr>
      <w:r>
        <w:rPr>
          <w:noProof/>
          <w:u w:val="single"/>
        </w:rPr>
        <w:t>Skont</w:t>
      </w:r>
      <w:r>
        <w:rPr>
          <w:noProof/>
        </w:rPr>
        <w:t xml:space="preserve"> l-intestaturi tal-qafas finanzjarju pluriennali u 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ta'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rFonts w:eastAsiaTheme="minorEastAsia"/>
                <w:noProof/>
                <w:sz w:val="20"/>
              </w:rPr>
              <w:t>Intestatura 1a - Il-Kompetittività għat-tkabbir u għall-impjiegi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tal-EFTA</w:t>
            </w:r>
            <w:r>
              <w:rPr>
                <w:rStyle w:val="FootnoteReference"/>
                <w:noProof/>
                <w:sz w:val="18"/>
              </w:rPr>
              <w:footnoteReference w:id="15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kandidati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1A</w:t>
            </w:r>
          </w:p>
        </w:tc>
        <w:tc>
          <w:tcPr>
            <w:tcW w:w="3960" w:type="dxa"/>
            <w:vAlign w:val="center"/>
          </w:tcPr>
          <w:p>
            <w:pPr>
              <w:pStyle w:val="TextValu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05.090301 – Żgurar ta’ provvisti suffiċjenti ta’ ikel sikur u ta’ kwalità għolja u prodotti oħra b’bażi bijoloġika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IVA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1A</w:t>
            </w:r>
          </w:p>
        </w:tc>
        <w:tc>
          <w:tcPr>
            <w:tcW w:w="3960" w:type="dxa"/>
            <w:vAlign w:val="center"/>
          </w:tcPr>
          <w:p>
            <w:pPr>
              <w:pStyle w:val="TextValu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08.020302 – Titjib fis-sikurezza tal-ikel, l-iżvilupp ta’ agrikoltura sostenibbli, ir-riċerka tal-baħar u marittima, u l-bijoekonomija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1A</w:t>
            </w:r>
          </w:p>
        </w:tc>
        <w:tc>
          <w:tcPr>
            <w:tcW w:w="3960" w:type="dxa"/>
            <w:vAlign w:val="center"/>
          </w:tcPr>
          <w:p>
            <w:pPr>
              <w:pStyle w:val="TextValu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08.020305 - Kisba ta’ ekonomija effiċjenti fir-riżorsi u reżiljenti għat-tibdil fil-klima u provvista sostenibbli ta’ materja prima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IVA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1A</w:t>
            </w:r>
          </w:p>
        </w:tc>
        <w:tc>
          <w:tcPr>
            <w:tcW w:w="3960" w:type="dxa"/>
            <w:vAlign w:val="center"/>
          </w:tcPr>
          <w:p>
            <w:pPr>
              <w:pStyle w:val="TextValu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08.020201 – Tmexxija fin-nanoteknoloġiji, il-materjali avvanzati, il-bijoteknoloġija u l-manifattura u l-ipproċessar avvanzati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Stima tal-impatt fuq in-nefqa </w:t>
      </w:r>
    </w:p>
    <w:p>
      <w:pPr>
        <w:pStyle w:val="Text1"/>
        <w:rPr>
          <w:noProof/>
        </w:rPr>
      </w:pPr>
      <w:r>
        <w:rPr>
          <w:noProof/>
          <w:highlight w:val="lightGray"/>
        </w:rPr>
        <w:t xml:space="preserve">[Din it-taqsima għandha timtela bl-użu ta’ </w:t>
      </w:r>
      <w:hyperlink r:id="rId13">
        <w:r>
          <w:rPr>
            <w:rStyle w:val="Hyperlink"/>
            <w:b/>
            <w:noProof/>
            <w:highlight w:val="lightGray"/>
          </w:rPr>
          <w:t>spreadsheet dwar id-data tal-baġit ta’ natura amministrattiva</w:t>
        </w:r>
      </w:hyperlink>
      <w:r>
        <w:rPr>
          <w:noProof/>
          <w:highlight w:val="lightGray"/>
        </w:rPr>
        <w:t xml:space="preserve"> (it-tieni dokument fl-Anness għal din id-dikjarazzjoni finanzjarja) u mtella’ fuq is-CISNET għal skopijiet ta’ konsultazzjoni bejn is-servizzi.]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Numru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Intestatura 1a - Il-Kompetittività għat-tkabbir u għall-impjiegi</w:t>
            </w:r>
          </w:p>
        </w:tc>
      </w:tr>
    </w:tbl>
    <w:p>
      <w:pPr>
        <w:rPr>
          <w:noProof/>
          <w:sz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1075"/>
        <w:gridCol w:w="1134"/>
        <w:gridCol w:w="1777"/>
      </w:tblGrid>
      <w:tr>
        <w:trPr>
          <w:jc w:val="center"/>
        </w:trPr>
        <w:tc>
          <w:tcPr>
            <w:tcW w:w="39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DĠ: AGRI/H, RTD/F, RTD/I, RTD/D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17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2021-2029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trHeight w:val="213"/>
          <w:jc w:val="center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Approprjazzjonijiet operazzjonali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  <w:jc w:val="center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08.020302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  <w:tr>
        <w:trPr>
          <w:jc w:val="center"/>
        </w:trPr>
        <w:tc>
          <w:tcPr>
            <w:tcW w:w="3960" w:type="dxa"/>
            <w:vMerge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44.000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  <w:tr>
        <w:trPr>
          <w:jc w:val="center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08.020305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7.500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7.500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60.000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75.000</w:t>
            </w:r>
          </w:p>
        </w:tc>
      </w:tr>
      <w:tr>
        <w:trPr>
          <w:jc w:val="center"/>
        </w:trPr>
        <w:tc>
          <w:tcPr>
            <w:tcW w:w="3960" w:type="dxa"/>
            <w:vMerge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1.500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3.750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3.750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66.000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75.000</w:t>
            </w:r>
          </w:p>
        </w:tc>
      </w:tr>
      <w:tr>
        <w:trPr>
          <w:jc w:val="center"/>
        </w:trPr>
        <w:tc>
          <w:tcPr>
            <w:tcW w:w="3960" w:type="dxa"/>
            <w:vMerge w:val="restart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08.020201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(1b)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25.000</w:t>
            </w:r>
          </w:p>
        </w:tc>
      </w:tr>
      <w:tr>
        <w:trPr>
          <w:jc w:val="center"/>
        </w:trPr>
        <w:tc>
          <w:tcPr>
            <w:tcW w:w="3960" w:type="dxa"/>
            <w:vMerge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(2b)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1.250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1.250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25.000</w:t>
            </w:r>
          </w:p>
        </w:tc>
      </w:tr>
      <w:tr>
        <w:trPr>
          <w:jc w:val="center"/>
        </w:trPr>
        <w:tc>
          <w:tcPr>
            <w:tcW w:w="3960" w:type="dxa"/>
            <w:vMerge w:val="restart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għad-DĠ RTD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=1+1a+1b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15.000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120.000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150.000</w:t>
            </w:r>
          </w:p>
        </w:tc>
      </w:tr>
      <w:tr>
        <w:trPr>
          <w:jc w:val="center"/>
        </w:trPr>
        <w:tc>
          <w:tcPr>
            <w:tcW w:w="3960" w:type="dxa"/>
            <w:vMerge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14"/>
              </w:rPr>
              <w:t>=2+2a+2b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3.000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7.500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7.500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132.000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150.000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1075"/>
        <w:gridCol w:w="1134"/>
        <w:gridCol w:w="1777"/>
      </w:tblGrid>
      <w:tr>
        <w:trPr>
          <w:trHeight w:val="319"/>
          <w:jc w:val="center"/>
        </w:trPr>
        <w:tc>
          <w:tcPr>
            <w:tcW w:w="3960" w:type="dxa"/>
            <w:vMerge w:val="restart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 xml:space="preserve">05.090301 </w:t>
            </w:r>
          </w:p>
          <w:p>
            <w:pPr>
              <w:spacing w:before="60" w:after="60"/>
              <w:rPr>
                <w:noProof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(1c)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107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  <w:tr>
        <w:trPr>
          <w:trHeight w:val="319"/>
          <w:jc w:val="center"/>
        </w:trPr>
        <w:tc>
          <w:tcPr>
            <w:tcW w:w="3960" w:type="dxa"/>
            <w:vMerge/>
            <w:vAlign w:val="center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4"/>
              </w:rPr>
              <w:t>(2c)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44.000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  <w:tr>
        <w:trPr>
          <w:trHeight w:val="319"/>
          <w:jc w:val="center"/>
        </w:trPr>
        <w:tc>
          <w:tcPr>
            <w:tcW w:w="3960" w:type="dxa"/>
            <w:vMerge w:val="restart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għad-DĠ AGRI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=1c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5.000</w:t>
            </w:r>
          </w:p>
        </w:tc>
        <w:tc>
          <w:tcPr>
            <w:tcW w:w="1075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  <w:tr>
        <w:trPr>
          <w:trHeight w:val="319"/>
          <w:jc w:val="center"/>
        </w:trPr>
        <w:tc>
          <w:tcPr>
            <w:tcW w:w="3960" w:type="dxa"/>
            <w:vMerge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4"/>
              </w:rPr>
              <w:t>=2c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2.500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44.000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50.000</w:t>
            </w:r>
          </w:p>
        </w:tc>
      </w:tr>
    </w:tbl>
    <w:p>
      <w:pPr>
        <w:rPr>
          <w:noProof/>
        </w:rPr>
      </w:pPr>
      <w:r>
        <w:rPr>
          <w:noProof/>
          <w:sz w:val="22"/>
        </w:rPr>
        <w:br/>
      </w:r>
      <w:r>
        <w:rPr>
          <w:noProof/>
          <w:sz w:val="22"/>
        </w:rPr>
        <w:br/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1075"/>
        <w:gridCol w:w="1134"/>
        <w:gridCol w:w="1777"/>
      </w:tblGrid>
      <w:tr>
        <w:trPr>
          <w:trHeight w:val="697"/>
          <w:jc w:val="center"/>
        </w:trPr>
        <w:tc>
          <w:tcPr>
            <w:tcW w:w="396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2"/>
              </w:rPr>
            </w:pPr>
          </w:p>
        </w:tc>
        <w:tc>
          <w:tcPr>
            <w:tcW w:w="1440" w:type="dxa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</w:p>
        </w:tc>
        <w:tc>
          <w:tcPr>
            <w:tcW w:w="654" w:type="dxa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18"/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2021-2029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trHeight w:val="277"/>
          <w:jc w:val="center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tal-approprjazzjonijiet operazzjonali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160.000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200.000</w:t>
            </w:r>
          </w:p>
        </w:tc>
      </w:tr>
      <w:tr>
        <w:trPr>
          <w:jc w:val="center"/>
        </w:trPr>
        <w:tc>
          <w:tcPr>
            <w:tcW w:w="3960" w:type="dxa"/>
            <w:vMerge/>
          </w:tcPr>
          <w:p>
            <w:pPr>
              <w:rPr>
                <w:noProof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4.000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10.000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10.000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176.000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200.000</w:t>
            </w:r>
          </w:p>
        </w:tc>
      </w:tr>
      <w:tr>
        <w:trPr>
          <w:trHeight w:val="533"/>
          <w:jc w:val="center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tal-approprjazzjonijiet ta’ natura amministrattiva ffinanzjati mill-pakkett għal programmi speċifiċi (08 01 05)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0.222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0.226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0.230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0.678</w:t>
            </w:r>
          </w:p>
        </w:tc>
      </w:tr>
      <w:tr>
        <w:trPr>
          <w:jc w:val="center"/>
        </w:trP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INTESTATURA 1a</w:t>
            </w:r>
            <w:r>
              <w:rPr>
                <w:noProof/>
                <w:sz w:val="22"/>
              </w:rPr>
              <w:br/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20.222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20.226</w:t>
            </w:r>
          </w:p>
        </w:tc>
        <w:tc>
          <w:tcPr>
            <w:tcW w:w="10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160.230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200.678</w:t>
            </w:r>
          </w:p>
        </w:tc>
      </w:tr>
      <w:tr>
        <w:trPr>
          <w:jc w:val="center"/>
        </w:trP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4.222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10.226</w:t>
            </w:r>
          </w:p>
        </w:tc>
        <w:tc>
          <w:tcPr>
            <w:tcW w:w="1075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10.230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>176.000</w:t>
            </w:r>
          </w:p>
        </w:tc>
        <w:tc>
          <w:tcPr>
            <w:tcW w:w="1777" w:type="dxa"/>
            <w:vAlign w:val="center"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200.678</w:t>
            </w:r>
          </w:p>
        </w:tc>
      </w:tr>
    </w:tbl>
    <w:p>
      <w:pPr>
        <w:rPr>
          <w:b/>
          <w:noProof/>
          <w:u w:val="single"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Intestatura tal-qafas finanzjarju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1200"/>
        <w:gridCol w:w="1445"/>
      </w:tblGrid>
      <w:tr>
        <w:trPr>
          <w:jc w:val="center"/>
        </w:trP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200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2021-2029</w:t>
            </w: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gridAfter w:val="7"/>
          <w:wAfter w:w="7343" w:type="dxa"/>
          <w:jc w:val="center"/>
        </w:trPr>
        <w:tc>
          <w:tcPr>
            <w:tcW w:w="3960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DĠ: RTD</w:t>
            </w:r>
          </w:p>
        </w:tc>
      </w:tr>
      <w:tr>
        <w:trPr>
          <w:trHeight w:val="313"/>
          <w:jc w:val="center"/>
        </w:trPr>
        <w:tc>
          <w:tcPr>
            <w:tcW w:w="6054" w:type="dxa"/>
            <w:gridSpan w:val="3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sym w:font="Wingdings" w:char="F09F"/>
            </w:r>
            <w:r>
              <w:rPr>
                <w:noProof/>
                <w:sz w:val="20"/>
              </w:rPr>
              <w:t xml:space="preserve"> Riżorsi umani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0.204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0.208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0.212</w:t>
            </w:r>
          </w:p>
        </w:tc>
        <w:tc>
          <w:tcPr>
            <w:tcW w:w="1200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0.624</w:t>
            </w:r>
          </w:p>
        </w:tc>
      </w:tr>
      <w:tr>
        <w:trPr>
          <w:trHeight w:val="351"/>
          <w:jc w:val="center"/>
        </w:trPr>
        <w:tc>
          <w:tcPr>
            <w:tcW w:w="6054" w:type="dxa"/>
            <w:gridSpan w:val="3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sym w:font="Wingdings" w:char="F09F"/>
            </w:r>
            <w:r>
              <w:rPr>
                <w:noProof/>
                <w:sz w:val="20"/>
              </w:rPr>
              <w:t xml:space="preserve"> Nefqa amministrattiva oħra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0.018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0.018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0. 018</w:t>
            </w:r>
          </w:p>
        </w:tc>
        <w:tc>
          <w:tcPr>
            <w:tcW w:w="1200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0.054</w:t>
            </w:r>
          </w:p>
        </w:tc>
      </w:tr>
      <w:tr>
        <w:trPr>
          <w:jc w:val="center"/>
        </w:trPr>
        <w:tc>
          <w:tcPr>
            <w:tcW w:w="3960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tad-DĠ RTD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0.222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0.226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0.230</w:t>
            </w:r>
          </w:p>
        </w:tc>
        <w:tc>
          <w:tcPr>
            <w:tcW w:w="1200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0.678</w:t>
            </w:r>
          </w:p>
        </w:tc>
      </w:tr>
    </w:tbl>
    <w:p>
      <w:pPr>
        <w:rPr>
          <w:noProof/>
          <w:sz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1200"/>
        <w:gridCol w:w="1445"/>
      </w:tblGrid>
      <w:tr>
        <w:trPr>
          <w:jc w:val="center"/>
        </w:trPr>
        <w:tc>
          <w:tcPr>
            <w:tcW w:w="3960" w:type="dxa"/>
            <w:shd w:val="thinDiagStripe" w:color="C0C0C0" w:fill="auto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tal-approprjazzjonijiet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taħt INTESTATURA 1A “Nefqa amministrattiva”</w:t>
            </w:r>
            <w:r>
              <w:rPr>
                <w:noProof/>
                <w:sz w:val="20"/>
              </w:rPr>
              <w:br/>
              <w:t>tal-qafas finanzjarju pluriennali</w:t>
            </w: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0.222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0.226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0.230</w:t>
            </w:r>
          </w:p>
        </w:tc>
        <w:tc>
          <w:tcPr>
            <w:tcW w:w="1200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0.678</w:t>
            </w:r>
          </w:p>
        </w:tc>
      </w:tr>
    </w:tbl>
    <w:p>
      <w:pPr>
        <w:rPr>
          <w:noProof/>
          <w:sz w:val="20"/>
        </w:rPr>
      </w:pPr>
      <w:bookmarkStart w:id="110" w:name="DQCErrorScope2B179848148A4D359240C562A18"/>
      <w:r>
        <w:rPr>
          <w:noProof/>
          <w:sz w:val="20"/>
        </w:rPr>
        <w:t xml:space="preserve">                                                                                           </w:t>
      </w:r>
      <w:bookmarkEnd w:id="110"/>
      <w:r>
        <w:rPr>
          <w:noProof/>
          <w:sz w:val="20"/>
        </w:rPr>
        <w:t>EUR miljuni (sa tliet punti deċimali)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934"/>
        <w:gridCol w:w="1134"/>
        <w:gridCol w:w="1445"/>
      </w:tblGrid>
      <w:tr>
        <w:trPr>
          <w:jc w:val="center"/>
        </w:trP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noProof/>
              </w:rPr>
              <w:footnoteReference w:id="19"/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3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2021-2029</w:t>
            </w: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jc w:val="center"/>
        </w:trP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</w:rPr>
              <w:t>TOTAL tal-approprjazzjonijiet</w:t>
            </w:r>
            <w:r>
              <w:rPr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t>taħt l-INTESTATURI 1 sa 5</w:t>
            </w:r>
            <w:r>
              <w:rPr>
                <w:noProof/>
                <w:sz w:val="20"/>
              </w:rPr>
              <w:br/>
              <w:t>tal-qafas finanzjarju pluriennali</w:t>
            </w: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20.222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20.226</w:t>
            </w:r>
          </w:p>
        </w:tc>
        <w:tc>
          <w:tcPr>
            <w:tcW w:w="93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160.230</w:t>
            </w: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200.678</w:t>
            </w:r>
          </w:p>
        </w:tc>
      </w:tr>
      <w:tr>
        <w:trPr>
          <w:jc w:val="center"/>
        </w:trP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4.222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10.226</w:t>
            </w:r>
          </w:p>
        </w:tc>
        <w:tc>
          <w:tcPr>
            <w:tcW w:w="93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10.230</w:t>
            </w: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176.000</w:t>
            </w:r>
          </w:p>
        </w:tc>
        <w:tc>
          <w:tcPr>
            <w:tcW w:w="144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200.678</w:t>
            </w:r>
          </w:p>
        </w:tc>
      </w:tr>
    </w:tbl>
    <w:p>
      <w:pPr>
        <w:rPr>
          <w:noProof/>
        </w:rPr>
        <w:sectPr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Impatt stmat fuq l-approprjazzjonijiet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Il-proposta/inizjattiva teħtieġ l-użu ta’ approprjazzjonijiet operazzjonali, kif spjegat hawn taħt:</w:t>
      </w:r>
    </w:p>
    <w:p>
      <w:pPr>
        <w:jc w:val="right"/>
        <w:rPr>
          <w:b/>
          <w:noProof/>
          <w:sz w:val="18"/>
        </w:rPr>
      </w:pPr>
      <w:r>
        <w:rPr>
          <w:noProof/>
          <w:sz w:val="20"/>
        </w:rPr>
        <w:t xml:space="preserve">Approprjazzjonijiet għall-impenji f’miljuni ta’ EUR (sa tliet punti deċimali)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134"/>
        <w:gridCol w:w="441"/>
        <w:gridCol w:w="410"/>
        <w:gridCol w:w="850"/>
        <w:gridCol w:w="426"/>
        <w:gridCol w:w="850"/>
        <w:gridCol w:w="425"/>
        <w:gridCol w:w="851"/>
        <w:gridCol w:w="425"/>
        <w:gridCol w:w="851"/>
        <w:gridCol w:w="567"/>
        <w:gridCol w:w="850"/>
        <w:gridCol w:w="425"/>
        <w:gridCol w:w="851"/>
        <w:gridCol w:w="425"/>
        <w:gridCol w:w="851"/>
        <w:gridCol w:w="708"/>
        <w:gridCol w:w="993"/>
        <w:gridCol w:w="906"/>
        <w:gridCol w:w="900"/>
      </w:tblGrid>
      <w:tr>
        <w:trPr>
          <w:gridAfter w:val="2"/>
          <w:wAfter w:w="1806" w:type="dxa"/>
        </w:trPr>
        <w:tc>
          <w:tcPr>
            <w:tcW w:w="1269" w:type="dxa"/>
            <w:vMerge w:val="restart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 xml:space="preserve">Indika l-objettivi u r-riżultati </w:t>
            </w:r>
          </w:p>
          <w:p>
            <w:pPr>
              <w:jc w:val="right"/>
              <w:rPr>
                <w:b/>
                <w:noProof/>
                <w:sz w:val="18"/>
              </w:rPr>
            </w:pPr>
          </w:p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sym w:font="Wingdings" w:char="F0F2"/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2019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Sena</w:t>
            </w:r>
            <w:r>
              <w:rPr>
                <w:b/>
                <w:noProof/>
                <w:sz w:val="18"/>
              </w:rPr>
              <w:br/>
              <w:t>2025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TOTALI</w:t>
            </w:r>
          </w:p>
        </w:tc>
      </w:tr>
      <w:tr>
        <w:trPr>
          <w:gridAfter w:val="2"/>
          <w:wAfter w:w="1806" w:type="dxa"/>
        </w:trPr>
        <w:tc>
          <w:tcPr>
            <w:tcW w:w="1269" w:type="dxa"/>
            <w:vMerge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2333" w:type="dxa"/>
            <w:gridSpan w:val="18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RIŻULTATI</w:t>
            </w:r>
          </w:p>
        </w:tc>
      </w:tr>
      <w:tr>
        <w:trPr>
          <w:gridAfter w:val="2"/>
          <w:wAfter w:w="1806" w:type="dxa"/>
          <w:cantSplit/>
          <w:trHeight w:val="1134"/>
        </w:trPr>
        <w:tc>
          <w:tcPr>
            <w:tcW w:w="1269" w:type="dxa"/>
            <w:vMerge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Tip</w:t>
            </w:r>
            <w:r>
              <w:rPr>
                <w:rStyle w:val="FootnoteReference"/>
                <w:noProof/>
              </w:rPr>
              <w:footnoteReference w:id="20"/>
            </w:r>
          </w:p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 medju</w:t>
            </w:r>
          </w:p>
        </w:tc>
        <w:tc>
          <w:tcPr>
            <w:tcW w:w="410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Nru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Numru Totali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</w:tr>
      <w:tr>
        <w:tc>
          <w:tcPr>
            <w:tcW w:w="2844" w:type="dxa"/>
            <w:gridSpan w:val="3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OBJETTIV SPEĊIFIKU Nru 1</w:t>
            </w:r>
            <w:r>
              <w:rPr>
                <w:rStyle w:val="FootnoteReference"/>
                <w:noProof/>
              </w:rPr>
              <w:footnoteReference w:id="21"/>
            </w:r>
            <w:r>
              <w:rPr>
                <w:b/>
                <w:noProof/>
                <w:sz w:val="18"/>
              </w:rPr>
              <w:t>…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</w:tr>
      <w:tr>
        <w:trPr>
          <w:gridAfter w:val="2"/>
          <w:wAfter w:w="1806" w:type="dxa"/>
          <w:trHeight w:hRule="exact" w:val="797"/>
        </w:trPr>
        <w:tc>
          <w:tcPr>
            <w:tcW w:w="1269" w:type="dxa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- Riżultat</w:t>
            </w:r>
          </w:p>
        </w:tc>
        <w:tc>
          <w:tcPr>
            <w:tcW w:w="1134" w:type="dxa"/>
          </w:tcPr>
          <w:p>
            <w:pPr>
              <w:jc w:val="lef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Proġetti ta’ Dimostrazzjoni /Pilota*</w:t>
            </w:r>
          </w:p>
        </w:tc>
        <w:tc>
          <w:tcPr>
            <w:tcW w:w="441" w:type="dxa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10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30.000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30.000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708" w:type="dxa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29</w:t>
            </w:r>
          </w:p>
        </w:tc>
        <w:tc>
          <w:tcPr>
            <w:tcW w:w="993" w:type="dxa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200.000</w:t>
            </w:r>
          </w:p>
        </w:tc>
      </w:tr>
      <w:tr>
        <w:tc>
          <w:tcPr>
            <w:tcW w:w="2844" w:type="dxa"/>
            <w:gridSpan w:val="3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OBJETTIV SPEĊIFIKU Nru 2 ...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</w:tr>
      <w:tr>
        <w:trPr>
          <w:gridAfter w:val="2"/>
          <w:wAfter w:w="1806" w:type="dxa"/>
          <w:trHeight w:hRule="exact" w:val="661"/>
        </w:trPr>
        <w:tc>
          <w:tcPr>
            <w:tcW w:w="1269" w:type="dxa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- Riżultat</w:t>
            </w:r>
          </w:p>
        </w:tc>
        <w:tc>
          <w:tcPr>
            <w:tcW w:w="1134" w:type="dxa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Il-proġetti tar-R&amp;Ż**</w:t>
            </w:r>
          </w:p>
        </w:tc>
        <w:tc>
          <w:tcPr>
            <w:tcW w:w="441" w:type="dxa"/>
          </w:tcPr>
          <w:p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6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20.000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30.000</w:t>
            </w: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30.000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708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145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200.000</w:t>
            </w:r>
          </w:p>
        </w:tc>
      </w:tr>
      <w:tr>
        <w:trPr>
          <w:gridAfter w:val="2"/>
          <w:wAfter w:w="1806" w:type="dxa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40.000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55.000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65.000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65.000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67.500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67.500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175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400.000</w:t>
            </w:r>
          </w:p>
        </w:tc>
      </w:tr>
    </w:tbl>
    <w:p>
      <w:pPr>
        <w:jc w:val="left"/>
        <w:rPr>
          <w:b/>
          <w:noProof/>
          <w:sz w:val="18"/>
        </w:rPr>
      </w:pPr>
      <w:r>
        <w:rPr>
          <w:b/>
          <w:noProof/>
          <w:sz w:val="18"/>
        </w:rPr>
        <w:t>* Kontribuzzjoni tal-UE użata għal 10 proġetti ta’ dimostrazzjoni b’kost medju ta’ EUR 10 sa 15-il miljun u 20 pilota b’kost medju ta’ EUR 2.5 miljun għal kull proġett..</w:t>
      </w:r>
    </w:p>
    <w:p>
      <w:pPr>
        <w:jc w:val="left"/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  <w:r>
        <w:rPr>
          <w:b/>
          <w:noProof/>
          <w:sz w:val="18"/>
        </w:rPr>
        <w:t>** Kontribuzzjoni tal-SP użata għal proġetti b’kost medju ta’ EUR 1 sa 1.5 miljun</w:t>
      </w: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Impatt stmat fuq l-approprjazzjonijiet ta’ natura amministrattiva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Il-proposta/inizjattiva ma tirrikjedix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Il-proposta/inizjattiva teħtieġ l-użu ta’ approprjazzjonijiet ta’ natura amministrattiva, kif spjegat hawn taħt:</w:t>
      </w:r>
    </w:p>
    <w:p>
      <w:pPr>
        <w:rPr>
          <w:noProof/>
          <w:sz w:val="16"/>
        </w:rPr>
      </w:pPr>
      <w:r>
        <w:rPr>
          <w:noProof/>
          <w:sz w:val="20"/>
        </w:rPr>
        <w:t xml:space="preserve">EUR miljuni (sa tliet punti deċimali) </w:t>
      </w:r>
    </w:p>
    <w:tbl>
      <w:tblPr>
        <w:tblW w:w="738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>
        <w:trPr>
          <w:trHeight w:val="585"/>
          <w:jc w:val="center"/>
        </w:trPr>
        <w:tc>
          <w:tcPr>
            <w:tcW w:w="1980" w:type="dxa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 xml:space="preserve">2018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>2021-2029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</w:tr>
    </w:tbl>
    <w:p>
      <w:pPr>
        <w:rPr>
          <w:noProof/>
          <w:sz w:val="16"/>
        </w:rPr>
      </w:pPr>
    </w:p>
    <w:tbl>
      <w:tblPr>
        <w:tblW w:w="738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>
        <w:trPr>
          <w:trHeight w:val="585"/>
          <w:jc w:val="center"/>
        </w:trPr>
        <w:tc>
          <w:tcPr>
            <w:tcW w:w="1980" w:type="dxa"/>
            <w:shd w:val="clear" w:color="auto" w:fill="CCCCCC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</w:rPr>
              <w:t>INTESTATURA 5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585"/>
          <w:jc w:val="center"/>
        </w:trPr>
        <w:tc>
          <w:tcPr>
            <w:tcW w:w="19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585"/>
          <w:jc w:val="center"/>
        </w:trPr>
        <w:tc>
          <w:tcPr>
            <w:tcW w:w="19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585"/>
          <w:jc w:val="center"/>
        </w:trPr>
        <w:tc>
          <w:tcPr>
            <w:tcW w:w="1980" w:type="dxa"/>
            <w:shd w:val="clear" w:color="auto" w:fill="CCCCCC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</w:rPr>
              <w:t>Subtotal INTESTATURA 5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</w:tbl>
    <w:p>
      <w:pPr>
        <w:rPr>
          <w:noProof/>
          <w:sz w:val="16"/>
        </w:rPr>
      </w:pPr>
    </w:p>
    <w:tbl>
      <w:tblPr>
        <w:tblW w:w="738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>
        <w:trPr>
          <w:trHeight w:val="585"/>
          <w:jc w:val="center"/>
        </w:trPr>
        <w:tc>
          <w:tcPr>
            <w:tcW w:w="1980" w:type="dxa"/>
            <w:shd w:val="clear" w:color="auto" w:fill="CCCCCC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Barra INTESTATURA 5</w:t>
            </w:r>
            <w:r>
              <w:rPr>
                <w:rStyle w:val="FootnoteReference"/>
                <w:noProof/>
              </w:rPr>
              <w:footnoteReference w:id="22"/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585"/>
          <w:jc w:val="center"/>
        </w:trPr>
        <w:tc>
          <w:tcPr>
            <w:tcW w:w="19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0.204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0.208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0.212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0.624</w:t>
            </w:r>
          </w:p>
        </w:tc>
      </w:tr>
      <w:tr>
        <w:trPr>
          <w:trHeight w:val="585"/>
          <w:jc w:val="center"/>
        </w:trPr>
        <w:tc>
          <w:tcPr>
            <w:tcW w:w="19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  <w:sz w:val="16"/>
              </w:rPr>
              <w:br/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0.018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0.018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0.018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0.054</w:t>
            </w:r>
          </w:p>
        </w:tc>
      </w:tr>
      <w:tr>
        <w:trPr>
          <w:trHeight w:val="585"/>
          <w:jc w:val="center"/>
        </w:trPr>
        <w:tc>
          <w:tcPr>
            <w:tcW w:w="1980" w:type="dxa"/>
            <w:shd w:val="clear" w:color="auto" w:fill="CCCCCC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>barra INTESTATURA 5</w:t>
            </w:r>
            <w:r>
              <w:rPr>
                <w:noProof/>
                <w:sz w:val="16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0.222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0.226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0.230</w:t>
            </w:r>
          </w:p>
        </w:tc>
        <w:tc>
          <w:tcPr>
            <w:tcW w:w="108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0.678</w:t>
            </w:r>
          </w:p>
        </w:tc>
      </w:tr>
    </w:tbl>
    <w:p>
      <w:pPr>
        <w:rPr>
          <w:noProof/>
          <w:sz w:val="16"/>
        </w:rPr>
      </w:pPr>
    </w:p>
    <w:tbl>
      <w:tblPr>
        <w:tblW w:w="7380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>
        <w:trPr>
          <w:trHeight w:val="585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0.222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0.226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0.230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0.678</w:t>
            </w:r>
          </w:p>
        </w:tc>
      </w:tr>
    </w:tbl>
    <w:p>
      <w:pPr>
        <w:jc w:val="left"/>
        <w:rPr>
          <w:noProof/>
          <w:sz w:val="18"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infiq ieħor ta’ natura amministrattiva se jiġu ssodisfati b’approprjazzjonijiet mid-DĠ li diġà huma assenjati għall-ġestjoni tal-azzjoni u/jew kienu ġew ridistribwiti fid-DĠ, flimkien, jekk dan ikun neċessarju, ma’ xi allokazzjoni addizzjonali li tista’ tingħata lid-DĠ ta’ ġestjoni skont il-proċedura annwali ta’ allokazzjoni u fid-dawl tad-diffikultajiet baġitarji.</w:t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Stima tar-riżorsi umani meħtieġa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Stima li trid tingħata f’unitajiet ekwivalenti għall-full time</w:t>
      </w:r>
    </w:p>
    <w:p>
      <w:pPr>
        <w:pStyle w:val="Text1"/>
        <w:rPr>
          <w:i/>
          <w:noProof/>
          <w:sz w:val="16"/>
        </w:rPr>
      </w:pPr>
      <w:bookmarkStart w:id="111" w:name="DQCErrorScope3C56B81D1ED1433399E31CF69E1"/>
    </w:p>
    <w:bookmarkEnd w:id="111"/>
    <w:tbl>
      <w:tblPr>
        <w:tblW w:w="31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1684"/>
        <w:gridCol w:w="2875"/>
        <w:gridCol w:w="1117"/>
        <w:gridCol w:w="1117"/>
        <w:gridCol w:w="1117"/>
      </w:tblGrid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i/>
                <w:noProof/>
                <w:sz w:val="16"/>
              </w:rPr>
            </w:pPr>
          </w:p>
        </w:tc>
        <w:tc>
          <w:tcPr>
            <w:tcW w:w="698" w:type="pct"/>
            <w:vAlign w:val="center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</w:p>
          <w:p>
            <w:pPr>
              <w:pStyle w:val="Text1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2018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</w:p>
          <w:p>
            <w:pPr>
              <w:pStyle w:val="Text1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</w:p>
          <w:p>
            <w:pPr>
              <w:pStyle w:val="Text1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2020</w:t>
            </w:r>
          </w:p>
        </w:tc>
      </w:tr>
      <w:tr>
        <w:trPr>
          <w:trHeight w:val="248"/>
        </w:trPr>
        <w:tc>
          <w:tcPr>
            <w:tcW w:w="627" w:type="pct"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</w:p>
        </w:tc>
        <w:tc>
          <w:tcPr>
            <w:tcW w:w="4373" w:type="pct"/>
            <w:gridSpan w:val="5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Karigi fil-pjan ta’ stabbiliment (uffiċjali u aġenti temporanji)</w:t>
            </w: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 01 01 01 (Kwartieri Ġenerali u l-Uffiċċji ta’ Rappreżentanza tal-Kummissjoni)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 01 01 02 (Delegazzjonijiet)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 01 05 01 (Riċerka indiretta)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48"/>
        </w:trPr>
        <w:tc>
          <w:tcPr>
            <w:tcW w:w="627" w:type="pct"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</w:p>
        </w:tc>
        <w:tc>
          <w:tcPr>
            <w:tcW w:w="4373" w:type="pct"/>
            <w:gridSpan w:val="5"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(f’unitajiet Ekwivalenti għall-Full Time: FTE)</w:t>
            </w:r>
            <w:r>
              <w:rPr>
                <w:rStyle w:val="FootnoteReference"/>
                <w:noProof/>
              </w:rPr>
              <w:footnoteReference w:id="23"/>
            </w:r>
          </w:p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XX 01 02 01 (CA, INT, SNE mill-“pakkett globali”)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XX 01 02 02 (CA, INT, JED, LA u SNE fid-delegazzjonijiet)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1399" w:type="pct"/>
            <w:gridSpan w:val="2"/>
            <w:vMerge w:val="restart"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ss</w:t>
            </w:r>
            <w:r>
              <w:rPr>
                <w:rStyle w:val="FootnoteReference"/>
                <w:noProof/>
              </w:rPr>
              <w:footnoteReference w:id="24"/>
            </w:r>
          </w:p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</w:p>
        </w:tc>
        <w:tc>
          <w:tcPr>
            <w:tcW w:w="1410" w:type="pct"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</w:p>
        </w:tc>
        <w:tc>
          <w:tcPr>
            <w:tcW w:w="698" w:type="pct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1399" w:type="pct"/>
            <w:gridSpan w:val="2"/>
            <w:vMerge/>
          </w:tcPr>
          <w:p>
            <w:pPr>
              <w:pStyle w:val="Text1"/>
              <w:numPr>
                <w:ilvl w:val="0"/>
                <w:numId w:val="23"/>
              </w:numPr>
              <w:rPr>
                <w:b/>
                <w:noProof/>
                <w:sz w:val="16"/>
              </w:rPr>
            </w:pPr>
          </w:p>
        </w:tc>
        <w:tc>
          <w:tcPr>
            <w:tcW w:w="1410" w:type="pct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698" w:type="pct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08</w:t>
            </w:r>
            <w:r>
              <w:rPr>
                <w:noProof/>
                <w:sz w:val="16"/>
              </w:rPr>
              <w:t xml:space="preserve"> 01 05 02 (CA, SNE, INT — Riċerka indiretta)</w:t>
            </w:r>
          </w:p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 01 05 02 (CA, SNE, INT — Riċerka diretta)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Linji baġitarji oħra (speċifika)</w:t>
            </w:r>
          </w:p>
        </w:tc>
        <w:tc>
          <w:tcPr>
            <w:tcW w:w="698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  <w:tc>
          <w:tcPr>
            <w:tcW w:w="706" w:type="pct"/>
          </w:tcPr>
          <w:p>
            <w:pPr>
              <w:pStyle w:val="Text1"/>
              <w:rPr>
                <w:noProof/>
                <w:sz w:val="16"/>
              </w:rPr>
            </w:pPr>
          </w:p>
        </w:tc>
      </w:tr>
      <w:tr>
        <w:trPr>
          <w:trHeight w:val="289"/>
        </w:trPr>
        <w:tc>
          <w:tcPr>
            <w:tcW w:w="2809" w:type="pct"/>
            <w:gridSpan w:val="3"/>
          </w:tcPr>
          <w:p>
            <w:pPr>
              <w:pStyle w:val="Text1"/>
              <w:numPr>
                <w:ilvl w:val="0"/>
                <w:numId w:val="23"/>
              </w:num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  <w:tc>
          <w:tcPr>
            <w:tcW w:w="698" w:type="pct"/>
          </w:tcPr>
          <w:p>
            <w:pPr>
              <w:pStyle w:val="Text1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</w:t>
            </w:r>
          </w:p>
        </w:tc>
        <w:tc>
          <w:tcPr>
            <w:tcW w:w="706" w:type="pct"/>
          </w:tcPr>
          <w:p>
            <w:pPr>
              <w:pStyle w:val="Text1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</w:t>
            </w:r>
          </w:p>
        </w:tc>
        <w:tc>
          <w:tcPr>
            <w:tcW w:w="706" w:type="pct"/>
          </w:tcPr>
          <w:p>
            <w:pPr>
              <w:pStyle w:val="Text1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</w:t>
            </w:r>
          </w:p>
        </w:tc>
      </w:tr>
    </w:tbl>
    <w:p>
      <w:pPr>
        <w:pStyle w:val="Text1"/>
        <w:rPr>
          <w:noProof/>
          <w:sz w:val="16"/>
        </w:rPr>
      </w:pPr>
      <w:r>
        <w:rPr>
          <w:b/>
          <w:noProof/>
        </w:rPr>
        <w:t>XX</w:t>
      </w:r>
      <w:r>
        <w:rPr>
          <w:noProof/>
        </w:rPr>
        <w:t xml:space="preserve"> huwa l-qasam ta’ politika jew it-titolu tal-baġit ikkonċernat.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jintlaħqu mill-uffiċjali tad-DĠ li huma diġà assenjati għall-ġestjoni tal-azzjoni u/jew li diġà ngħataw kariga band’oħra fid-DĠ, flimkien, jekk ikun meħtieġ, ma’ xi allokazzjoni addizzjonali li tista’ tingħata lid-DĠ li jkun qed imexxi l-azzjoni skont il-proċedura ta’ allokazzjoni annwali u fid-dawl tar-restrizzjonijiet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pStyle w:val="Text2"/>
              <w:spacing w:before="40" w:after="0"/>
              <w:ind w:left="0"/>
              <w:jc w:val="left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u w:val="single"/>
              </w:rPr>
              <w:t>Uffiċjali u aġenti kuntrattwali</w:t>
            </w:r>
          </w:p>
          <w:p>
            <w:pPr>
              <w:pStyle w:val="Text2"/>
              <w:spacing w:before="40" w:after="0"/>
              <w:ind w:left="0"/>
              <w:jc w:val="left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Ir-riżorsi umani tat-taqsima 8.2.1 huma kkalkulati b’kost medju ta’ EUR 134,000 għal kull uffiċjal u EUR 70,000 għal kull aġent kuntrattwali u jiżdiedu bi 2% fis-sena. 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Il-ħidmiet prinċipali li joħorġu mill-azzjoni se jkunu: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Parteċipazzjoni fil-laqgħat tal-kumitat tal-PRIMA u fil-laqgħat tal-Kunsill għar-Riċerka tal-PRIMA bħala membru, +/- 3-4 darbiet laqgħat ta’ jumejn/sena 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Osservatur fl-evalwazzjonijiet tal-proposti tal-PRIMA, 2-3 ijiem fis-sena 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Parteċipazzjoni f’laqgħat ta’ ħidma u avvenimenti ta’ tixrid, 2-3 darbiet fis-sena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In-negozjati u t-tħejjija tal-ftehim mal-PRIMA-IS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Il-preparazzjoni tad-deċiżjoni finanzjarja annwali u l-pagamenti relatati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L-approvazzjoni tal-pjan ta’ ħidma annwali</w:t>
            </w:r>
          </w:p>
          <w:p>
            <w:pPr>
              <w:pStyle w:val="Text1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Il-monitoraġġ tal-implimentazzjoni abbażi tar-rapporti annwali, u l-koordinazzjoni tal-evalwazzjonijiet ta’ nofs it-terminu u finali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L-awditjar finanzjarju u legali tal-implimentazzjoni tal-PRIMA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Kompatibbiltà mal-qafas finanzjarju pluriennali attwali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se tirrikjedi programmazzjoni mill-ġdid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liema programmazzjoni mill-ġdid hija meħtieġa, billi tispeċifika l-linji baġitarji kkonċernati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bookmarkStart w:id="112" w:name="DQCErrorScopeFFC850DB5AD3403FBA016333EF9"/>
    </w:p>
    <w:bookmarkEnd w:id="112"/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teħtieġ applikazzjoni tal-istrument ta’ flessibbiltà jew reviżjoni tal-qafas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dak li hemm bżonn, filwaqt li tispeċifika l-intestaturi u l-linji baġitarji kkonċernati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bookmarkStart w:id="113" w:name="DQCErrorScopeAB37CB920F624E0AAFBD15B08AE"/>
    </w:p>
    <w:bookmarkEnd w:id="113"/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Il-kontribuzzjonijiet minn partijiet terzi </w:t>
      </w:r>
    </w:p>
    <w:p>
      <w:pPr>
        <w:pStyle w:val="ListDash1"/>
        <w:rPr>
          <w:noProof/>
        </w:rPr>
      </w:pPr>
      <w:r>
        <w:rPr>
          <w:noProof/>
        </w:rPr>
        <w:t xml:space="preserve">Il-proposta/inizjattiva ma tipprevedix il-kofinanzjament minn partijiet terzi.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 xml:space="preserve"> Il-proposta/inizjattiva tipprovdi għall-kofinanzjament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(sa tliet punti deċimali)</w:t>
      </w:r>
    </w:p>
    <w:tbl>
      <w:tblPr>
        <w:tblW w:w="10246" w:type="dxa"/>
        <w:jc w:val="center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  <w:jc w:val="center"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</w:tr>
      <w:tr>
        <w:trPr>
          <w:cantSplit/>
          <w:jc w:val="center"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Impenji tal-Istati Parteċipanti tal-PRIMA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200.000</w:t>
            </w:r>
          </w:p>
        </w:tc>
      </w:tr>
      <w:tr>
        <w:trPr>
          <w:cantSplit/>
          <w:jc w:val="center"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ta’ 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40.000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200.000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Stima tal-impatt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Il-proposta/inizjattiva m’għandha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għandha l-impatt finanzjarju li ġej: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dħul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EUR miljuni (sa tliet punti deċimali)</w:t>
      </w:r>
    </w:p>
    <w:tbl>
      <w:tblPr>
        <w:tblW w:w="106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  <w:jc w:val="center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tad-dħul baġitarju: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kurrenti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L-impatt tal-proposta/inizjattiva</w:t>
            </w:r>
            <w:r>
              <w:rPr>
                <w:rStyle w:val="FootnoteReference"/>
                <w:noProof/>
                <w:sz w:val="18"/>
              </w:rPr>
              <w:footnoteReference w:id="25"/>
            </w:r>
          </w:p>
        </w:tc>
      </w:tr>
      <w:tr>
        <w:trPr>
          <w:trHeight w:val="388"/>
          <w:jc w:val="center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Niżżel kemm hemm bżonn snin biex turi t-tul ta’ żmien kemm idum l-impatt (ara l-punt 1.6)</w:t>
            </w:r>
          </w:p>
        </w:tc>
      </w:tr>
      <w:tr>
        <w:trPr>
          <w:trHeight w:val="388"/>
          <w:jc w:val="center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Għal dħul “assenjat” mixxellanju, speċifika l-linja(i) tan-nefqa baġitarja affettwati.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bookmarkStart w:id="114" w:name="DQCErrorScope119EF685E3AF4A549C13A122D74"/>
    </w:p>
    <w:bookmarkEnd w:id="114"/>
    <w:p>
      <w:pPr>
        <w:pStyle w:val="Text1"/>
        <w:rPr>
          <w:noProof/>
          <w:sz w:val="20"/>
        </w:rPr>
      </w:pPr>
      <w:r>
        <w:rPr>
          <w:noProof/>
          <w:sz w:val="20"/>
        </w:rPr>
        <w:t>Speċifika l-metodu għall-kalkolu tal-impatt fuq id-dħul.</w:t>
      </w:r>
    </w:p>
    <w:sectPr>
      <w:pgSz w:w="12240" w:h="15840" w:code="1"/>
      <w:pgMar w:top="902" w:right="1134" w:bottom="1247" w:left="90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Il-Programm Konġunt tal-PRIMA jinvolvi 19-il pajjiż:</w:t>
      </w:r>
    </w:p>
    <w:p>
      <w:pPr>
        <w:pStyle w:val="FootnoteText"/>
        <w:rPr>
          <w:lang w:val="it-IT"/>
        </w:rPr>
      </w:pPr>
      <w:r>
        <w:rPr>
          <w:lang w:val="it-IT"/>
        </w:rPr>
        <w:tab/>
        <w:t>- 11-il Stat Membru: il-Kroazja, Ċipru, ir-Repubblika Ċeka, Franza, il-Greċja, l-Italja, il-Lussemburgu, Malta, il-Portugall, is-Slovenja u Spanja;</w:t>
      </w:r>
    </w:p>
    <w:p>
      <w:pPr>
        <w:pStyle w:val="FootnoteText"/>
        <w:rPr>
          <w:lang w:val="it-IT"/>
        </w:rPr>
      </w:pPr>
      <w:r>
        <w:rPr>
          <w:lang w:val="it-IT"/>
        </w:rPr>
        <w:tab/>
        <w:t>- 8 pajjiżi terzi: l-Alġerija, l-Eġittu, Iżrael, il-Ġordan, il-Libanu, il-Marokk, it-Tuneżija u t-Turkija.</w:t>
      </w:r>
    </w:p>
    <w:p>
      <w:pPr>
        <w:pStyle w:val="FootnoteText"/>
        <w:rPr>
          <w:lang w:val="it-IT"/>
        </w:rPr>
      </w:pPr>
      <w:r>
        <w:rPr>
          <w:lang w:val="it-IT"/>
        </w:rPr>
        <w:tab/>
        <w:t>Minn dawn, 14-il pajjiż (Ċipru, ir-Repubblika Ċeka, l-Eġittu, Franza, il-Greċja, Iżrael, l-Italja, il-Libanu, il-Lussemburgu, Malta, il-Marokk, il-Portugall, Spanja u t-Tuneżija) qablu li b’mod konġunt iwettqu l-inizjattiva tal-PRIMA.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 Ewropea C(2016)4614 tal-25 ta' Lulju 2016</w:t>
      </w:r>
    </w:p>
  </w:footnote>
  <w:footnote w:id="3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ĠU C ... [opinjoni tal-KES]</w:t>
      </w:r>
    </w:p>
  </w:footnote>
  <w:footnote w:id="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(UE) Nru 1291/2013 tal-Parlament Ewropew u tal-Kunsill tal-11 ta’ Diċembru 2013 li jistabbilixxi Orizzont 2020 - il-Programm Qafas għar-Riċerka u l-Innovazzjoni (2014-2020) u li jħassar id-Deċiżjoni Nru 1982/2006/KE (ĠU L 347, 20.12.2013, p. 104).</w:t>
      </w:r>
    </w:p>
  </w:footnote>
  <w:footnote w:id="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(UE, Euratom) Nru 966/2012 tal-Parlament Ewropew u tal-Kunsill tal-25 ta’ Ottubru 2012 dwar ir-regoli finanzjarji applikabbli għall-baġit ġenerali tal-Unjoni u li jħassar ir-Regolament tal-Kunsill (KE, Euratom) Nru 1605/2002 (ĠU L 298 tas-26.10.2012, p. 1).</w:t>
      </w:r>
    </w:p>
  </w:footnote>
  <w:footnote w:id="6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ta’ Delega tal-Kummissjoni (UE) Nru 1268/2012 tad-29 ta’ Ottubru 2012 dwar ir-regoli tal-applikazzjoni tar-Regolament (UE, Euratom) Nru 966/2012 (ĠU L 362 tal-31.12.2012, p. 1).</w:t>
      </w:r>
    </w:p>
  </w:footnote>
  <w:footnote w:id="7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(UE) Nru 1290/2013 tal-Parlament Ewropew u tal-Kunsill tal-11 ta’ Diċembru 2013 li jistabbilixxi r-regoli għal parteċipazzjoni u disseminazzjoni f’“Orizzont 2020 - il-Programm Qafas għar-Riċerka u l-Innovazzjoni (2014-2020)” u li jħassar ir-Regolament (KE) Nru 1906/2006 (ĠU L 347, 20.12.2013, p. 81).</w:t>
      </w:r>
    </w:p>
  </w:footnote>
  <w:footnote w:id="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Id-Deċiżjoni tal-Kunsill 2013/743/UE tat-3 ta’ Diċembru 2013 li tistabbilixxi l-programm speċifiku li jimplimenta Orizzont 2020 - il-Programm Qafas għar-Riċerka u l-Innovazzjoni (2014-2020) u li tħassar id-Deċiżjonijiet 2006/971/KE, 2006/972/KE, 2006/973/KE, 2006/974/KE u 2006/975/KE (ĠU L 347, 20.12.2013, p. 965).</w:t>
      </w:r>
    </w:p>
  </w:footnote>
  <w:footnote w:id="9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tal-Kunsill (Euratom, KE) Nru 2185/96 tal-11 ta’ Novembru 1996 dwar il-verifiki u l-ispezzjonijiet fuq il-post imwettqa mill-Kummissjoni sabiex tipproteġi l-interessi finanzjarji tal-Komunità Ewropea kontra l-frodi u irregolaritajiet oħra (ĠU L 292, 15.11.1996, p. 2).</w:t>
      </w:r>
    </w:p>
  </w:footnote>
  <w:footnote w:id="10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Ir-Regolament (UE, Euratom) Nru 883/2013 tal-Parlament Ewropew u tal-Kunsill tal-11 ta’ Settembru 2013 dwar investigazzjonijiet immexxija mill-Uffiċċju Ewropew Kontra l-Frodi (OLAF) u li jħassar ir-Regolament tal-Parlament Ewropew u tal-Kunsill (KE) Nru 1073/1999 u r-Regolament tal-Kunsill (Euratom) Nru 1074/1999 (ĠU L 248, 18.9.2013, p. 1).</w:t>
      </w:r>
    </w:p>
  </w:footnote>
  <w:footnote w:id="11">
    <w:p>
      <w:pPr>
        <w:pStyle w:val="FootnoteText"/>
        <w:rPr>
          <w:szCs w:val="24"/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ABM: ġestjoni bbażata fuq l-attività; ABB: baġit ibbażat fuq l-attività.</w:t>
      </w:r>
    </w:p>
  </w:footnote>
  <w:footnote w:id="12">
    <w:p>
      <w:pPr>
        <w:pStyle w:val="FootnoteText"/>
        <w:rPr>
          <w:szCs w:val="24"/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Kif imsemmi fl-Artikolu 54(2)(a) jew (b) tar-Regolament Finanzjarju.</w:t>
      </w:r>
    </w:p>
  </w:footnote>
  <w:footnote w:id="13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Id-dettalji tal-modi ta’ ġestjoni u r-referenzi għar-Regolament Finanzjarju huma disponibbli fis-sit tal-BudgWeb: </w:t>
      </w:r>
      <w:hyperlink r:id="rId1">
        <w:r>
          <w:rPr>
            <w:rStyle w:val="Hyperlink"/>
            <w:sz w:val="18"/>
            <w:lang w:val="sv-SE"/>
          </w:rPr>
          <w:t>http://www.cc.cec/budg/man/budgmanag/budgmanag_en.html</w:t>
        </w:r>
      </w:hyperlink>
      <w:r>
        <w:rPr>
          <w:rStyle w:val="Hyperlink"/>
          <w:sz w:val="18"/>
          <w:lang w:val="sv-SE"/>
        </w:rPr>
        <w:t>.</w:t>
      </w:r>
    </w:p>
  </w:footnote>
  <w:footnote w:id="14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Diff. = Approprjazzjonijiet differenzjati / Mhux diff. = Approprjazzjonijiet mhux differenzjati.</w:t>
      </w:r>
    </w:p>
  </w:footnote>
  <w:footnote w:id="15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L-EFTA: l-Assoċjazzjoni Ewropea tal-Kummerċ Ħieles. .</w:t>
      </w:r>
    </w:p>
  </w:footnote>
  <w:footnote w:id="16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Pajjiżi kandidati u, fejn applikabbli, pajjiżi kandidati potenzjali mill-Balkani tal-Punent.</w:t>
      </w:r>
    </w:p>
  </w:footnote>
  <w:footnote w:id="17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tal-proposta/inizjattiva.</w:t>
      </w:r>
    </w:p>
  </w:footnote>
  <w:footnote w:id="18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tal-proposta/inizjattiva.</w:t>
      </w:r>
    </w:p>
  </w:footnote>
  <w:footnote w:id="19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tal-proposta/inizjattiva.</w:t>
      </w:r>
    </w:p>
  </w:footnote>
  <w:footnote w:id="20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Ir-riżultati huma l-prodotti u s-servizzi li se jiġu fornuti (eż.: numru ta’ skambji ta’ studenti ffinanzjati, numru ta’ km ta’ toroq mibnija, eċċ.).</w:t>
      </w:r>
    </w:p>
  </w:footnote>
  <w:footnote w:id="21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Kif deskritt fil-punt 1.4.2. “Objettiv(i) speċifiku/ċi ...” </w:t>
      </w:r>
    </w:p>
  </w:footnote>
  <w:footnote w:id="22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Għajnuna teknika u/jew amministrattiva u nefqa b’appoġġ għall-implimentazzjoni ta’ programmi u/jew azzjonijiet tal-UE (dawk li kienu linji “BA”), riċerka indiretta, riċerka diretta.</w:t>
      </w:r>
    </w:p>
  </w:footnote>
  <w:footnote w:id="23">
    <w:p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CA = Aġent Kuntrattwali; LA = Aġent Lokali; SNE = Espert Nazzjonali Sekondat; INT = persunal mill-aġenziji (“Intérimaire”); JED = “Jeune Expert en Délégation” (Esperti Żgħażagħ fid-Delegazzjonijiet).</w:t>
      </w:r>
    </w:p>
  </w:footnote>
  <w:footnote w:id="24">
    <w:p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Sottolimitu għall-persunal estern kopert mill-approprjazzjonijiet operazzjonali (dawk li kienu linji “BA”).</w:t>
      </w:r>
    </w:p>
  </w:footnote>
  <w:footnote w:id="25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Fir-rigward ta’ riżorsi proprji tradizzjonali (dazji doganali, imposti fuq iz-zokkor), l-ammonti indikati għandhom ikunu ammonti netti, jiġifieri ammonti gross wara t-tnaqqis ta’ 25% għall-ispejjeż ta’ 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C044A08"/>
    <w:lvl w:ilvl="0">
      <w:start w:val="1"/>
      <w:numFmt w:val="decimal"/>
      <w:pStyle w:val="ListNumber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E"/>
    <w:multiLevelType w:val="singleLevel"/>
    <w:tmpl w:val="197871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F2074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AEC99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11E6C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489D74ED"/>
    <w:multiLevelType w:val="singleLevel"/>
    <w:tmpl w:val="51F2025E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>
    <w:nsid w:val="7E0A1F4D"/>
    <w:multiLevelType w:val="hybridMultilevel"/>
    <w:tmpl w:val="0C06B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23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0"/>
  </w:num>
  <w:num w:numId="38">
    <w:abstractNumId w:val="21"/>
  </w:num>
  <w:num w:numId="39">
    <w:abstractNumId w:val="9"/>
  </w:num>
  <w:num w:numId="40">
    <w:abstractNumId w:val="11"/>
  </w:num>
  <w:num w:numId="41">
    <w:abstractNumId w:val="7"/>
  </w:num>
  <w:num w:numId="42">
    <w:abstractNumId w:val="20"/>
  </w:num>
  <w:num w:numId="43">
    <w:abstractNumId w:val="6"/>
  </w:num>
  <w:num w:numId="44">
    <w:abstractNumId w:val="12"/>
  </w:num>
  <w:num w:numId="45">
    <w:abstractNumId w:val="16"/>
  </w:num>
  <w:num w:numId="46">
    <w:abstractNumId w:val="17"/>
  </w:num>
  <w:num w:numId="47">
    <w:abstractNumId w:val="8"/>
  </w:num>
  <w:num w:numId="48">
    <w:abstractNumId w:val="15"/>
  </w:num>
  <w:num w:numId="49">
    <w:abstractNumId w:val="24"/>
  </w:num>
  <w:num w:numId="50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18 08:31:31"/>
    <w:docVar w:name="DQCHighlighting" w:val="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8"/>
    <w:docVar w:name="DQCStatus" w:val="Yellow"/>
    <w:docVar w:name="DQCVersion" w:val="3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47AC9991A3B44FEBB0B908E208A738FA"/>
    <w:docVar w:name="LW_CROSSREFERENCE" w:val="{SWD(2016) 331 final}_x000b_{SWD(2016) 332 final}"/>
    <w:docVar w:name="LW_DocType" w:val="COM"/>
    <w:docVar w:name="LW_EMISSION" w:val="18.10.2016"/>
    <w:docVar w:name="LW_EMISSION_ISODATE" w:val="2016-10-18"/>
    <w:docVar w:name="LW_EMISSION_LOCATION" w:val="BRX"/>
    <w:docVar w:name="LW_EMISSION_PREFIX" w:val="Brussell, "/>
    <w:docVar w:name="LW_EMISSION_SUFFIX" w:val=" "/>
    <w:docVar w:name="LW_ID_DOCMODEL" w:val="SJ-026"/>
    <w:docVar w:name="LW_ID_DOCSIGNATURE" w:val="SJ-026"/>
    <w:docVar w:name="LW_ID_DOCSTRUCTURE" w:val="COM/PL/ORG"/>
    <w:docVar w:name="LW_ID_DOCTYPE" w:val="SJ-026"/>
    <w:docVar w:name="LW_ID_STATUT" w:val="SJ-026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25"/>
    <w:docVar w:name="LW_REF.II.NEW.CP_YEAR" w:val="2016"/>
    <w:docVar w:name="LW_REF.INST.NEW" w:val="COM"/>
    <w:docVar w:name="LW_REF.INST.NEW_ADOPTED" w:val="final"/>
    <w:docVar w:name="LW_REF.INST.NEW_TEXT" w:val="(2016) 662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l-parte\u267?ipazzjoni tal-Unjoni _x000b_fis-S\u295?ubija g\u295?ar-Ri\u267?erka u l-Innovazzjoni fi\u380?-\u379?ona tal-Mediterran (PRIMA) _x000b_imwettqa b\u8217?mod kon\u289?unt minn bosta Stati Membri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TextValue">
    <w:name w:val="TextValue"/>
    <w:basedOn w:val="Normal"/>
    <w:link w:val="TextValueChar"/>
    <w:qFormat/>
    <w:pPr>
      <w:spacing w:before="0" w:after="200" w:line="276" w:lineRule="auto"/>
    </w:pPr>
    <w:rPr>
      <w:rFonts w:eastAsiaTheme="minorEastAsia"/>
      <w:szCs w:val="24"/>
    </w:rPr>
  </w:style>
  <w:style w:type="character" w:customStyle="1" w:styleId="TextValueChar">
    <w:name w:val="TextValue Char"/>
    <w:basedOn w:val="DefaultParagraphFont"/>
    <w:link w:val="TextValue"/>
    <w:rPr>
      <w:rFonts w:ascii="Times New Roman" w:eastAsiaTheme="minorEastAsia" w:hAnsi="Times New Roman" w:cs="Times New Roman"/>
      <w:sz w:val="24"/>
      <w:szCs w:val="24"/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0">
    <w:name w:val="N ormal"/>
    <w:basedOn w:val="Point1letter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TextValue">
    <w:name w:val="TextValue"/>
    <w:basedOn w:val="Normal"/>
    <w:link w:val="TextValueChar"/>
    <w:qFormat/>
    <w:pPr>
      <w:spacing w:before="0" w:after="200" w:line="276" w:lineRule="auto"/>
    </w:pPr>
    <w:rPr>
      <w:rFonts w:eastAsiaTheme="minorEastAsia"/>
      <w:szCs w:val="24"/>
    </w:rPr>
  </w:style>
  <w:style w:type="character" w:customStyle="1" w:styleId="TextValueChar">
    <w:name w:val="TextValue Char"/>
    <w:basedOn w:val="DefaultParagraphFont"/>
    <w:link w:val="TextValue"/>
    <w:rPr>
      <w:rFonts w:ascii="Times New Roman" w:eastAsiaTheme="minorEastAsia" w:hAnsi="Times New Roman" w:cs="Times New Roman"/>
      <w:sz w:val="24"/>
      <w:szCs w:val="24"/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rmal0">
    <w:name w:val="N ormal"/>
    <w:basedOn w:val="Point1letter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.cec/budg/leg/internal/leg-070_internal_en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m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EAC4-CB08-4EAF-867E-784B2F17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47</Pages>
  <Words>11651</Words>
  <Characters>89486</Characters>
  <Application>Microsoft Office Word</Application>
  <DocSecurity>0</DocSecurity>
  <Lines>2130</Lines>
  <Paragraphs>1021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22</cp:revision>
  <cp:lastPrinted>2016-09-15T09:06:00Z</cp:lastPrinted>
  <dcterms:created xsi:type="dcterms:W3CDTF">2016-10-18T06:30:00Z</dcterms:created>
  <dcterms:modified xsi:type="dcterms:W3CDTF">2016-10-21T16:01:00Z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SJ-026</vt:lpwstr>
  </property>
  <property fmtid="{D5CDD505-2E9C-101B-9397-08002B2CF9AE}" pid="10" name="DQCStatus">
    <vt:lpwstr>Yellow (DQC version 03)</vt:lpwstr>
  </property>
</Properties>
</file>