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9C93B8F2BDA14C22AB6DE8A6BBF87BFA" style="width:450.75pt;height:408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Sažetak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Procjena učinka – Prijedlog </w:t>
            </w: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>Odluke Europskog parlamenta i Vijeća</w:t>
            </w:r>
          </w:p>
          <w:p>
            <w:pPr>
              <w:spacing w:before="120" w:after="1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color w:val="FFFFFF" w:themeColor="background1"/>
                <w:sz w:val="20"/>
              </w:rPr>
              <w:t xml:space="preserve">o sudjelovanju Europske unije u Partnerstvu za istraživanja i inovacije na mediteranskom području (PRIMA)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Potreba za djelovanjem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Sustavima prehrane i opskrbe vodom na mediteranskom području upravlja se na neodrživ način. Taj problem pogoršavaju klimatske promjene te on ima znatne posljedice i na drugim razinama, uključujući društvenu i gospodarsku zabrinutost, nestabilnost i vanjske migracije.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Glavni je razlog neodrživog upravljanja sustavima prehrane i opskrbe vodom na mediteranskom području nepostojanje skupa zajedničkih inovativnih rješenja koja bi bila prilagođena lokalnoj situaciji u regiji, koja se lako mogu primijeniti diljem regije i koja su u potpunosti isprobana i dokazana na terenu.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Ne očekuje se da će se ta rješenja pojaviti ubrzo jer sveukupna razina ulaganja u istraživanja i inovacije na Mediteranu ne odgovara veličini regionalnog izazova; razine ulaganja znatno se razlikuju među pojedinim zemljama; financiranje nije dobro usmjereno na rješavanje problema vode i prehrane; relevantni uključeni dionici – primjerice oni iz privatnog sektora – nemaju uvijek dovoljno snažne sposobnosti za istraživanja i inovacije; suradnja u području istraživanja i inovacija između država članica EU-a i zemalja južnog i istočnog Mediterana previše je fragmentirana (uglavnom je uređena bilateralnim sporazumima) da bi mogla imati znatan učinak.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Što se nastoji postići ovom inicijativom?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Opći je cilj razviti u potpunosti isprobana i dokazana zajednička inovativna rješenja u području sustava prehrane i opskrbe vodom koja su prijeko potrebna mediteranskoj regiji te tako te sustave učiniti, učinkovitijima, isplativijima i održivijima te pridonijeti rješavanju problema više razine u području prehrane, zdravlja, blagostanja i migracija.</w:t>
            </w:r>
          </w:p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Taj opći cilj može se razložiti na sljedeća četiri posebna cilja: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stvaranje stabilnog, dugoročnog, zajedničkog strateškog programa u području sustava prehrane i opskrbe vodom,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usmjeravanje svih nacionalnih programa u području istraživanja i inovacija na provedbu strateškog programa istraživanja i inovacija,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strukturna uključenost svih relevantnih subjekata iz područja istraživanja i inovacija (iz javnog i privatnog sektora) u provedbu strateškog programa istraživanja i inovacija udruživanjem znanja i financijskih sredstava kako bi se postigla potrebna kritična masa,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jačanje financiranja istraživanja i inovacija te sposobnosti provedbe svih uključenih subjekata.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Koja je dodana vrijednost djelovanja na razini EU-a?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Inicijativa je u potpunom skladu s novim Okvirom za partnerstvo s trećim zemljama u okviru Europskog migracijskog programa jer se njome obuhvaćaju neki od temeljnih uzroka migracija; jasno se smjestila na sjecištu istraživanja, klimatskih promjena, okoliša i poljoprivrednih politika; te daje primjer novog modela razvojne suradnje koji promiče novi okvir za partnerstvo utoliko što uključuje privatne ulagače, iskorištava ograničena proračunska sredstva te se usmjerava na mala i srednja poduzeća (MSP-ove) i održivu infrastrukturu.</w:t>
            </w:r>
          </w:p>
          <w:p>
            <w:pPr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Jedino je djelovanjem na razini EU-a moguće postići dobro koordiniran i integriran program koji bi imao odgovarajuće područje primjene, raspon i kritičnu masu za ostvarivanje posebnih i općih ciljeva. Obilježje djelovanja na razini EU-a jest snažan učinak financijske poluge jer aktivira znatna dodatna javna i privatna ulaganja. Stvara i učinke koji sežu dalje od politika i rješenja u području istraživanja i inovacija, čime se podupiru vanjske politike EU-a i napori da se riješe temeljni uzroci migracija. Sudjelovanjem EU-a u programu PRIMA vjerojatno će se i povećati vidljivost i globalna odgovornost Europe u duhu susjedske politike EU-a, koja potiče diferencijaciju i veću zajedničku odgovornost s partnerima iz susjedstva.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Rješenja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Koje su se zakonodavne i nezakonodavne političke opcije razmatrale? Daje li se prednost nekoj od opcija? Zašto?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2" w:name="_Toc451955141"/>
            <w:bookmarkStart w:id="3" w:name="_Toc452824236"/>
            <w:r>
              <w:rPr>
                <w:rFonts w:ascii="Arial" w:hAnsi="Arial"/>
                <w:b/>
                <w:i/>
                <w:noProof/>
                <w:sz w:val="20"/>
              </w:rPr>
              <w:t xml:space="preserve">Opcija 0.: Bez promjene politika – Osnovni </w:t>
            </w:r>
            <w:bookmarkEnd w:id="2"/>
            <w:bookmarkEnd w:id="3"/>
            <w:r>
              <w:rPr>
                <w:rFonts w:ascii="Arial" w:hAnsi="Arial"/>
                <w:b/>
                <w:i/>
                <w:noProof/>
                <w:sz w:val="20"/>
              </w:rPr>
              <w:t xml:space="preserve">scenarij – </w:t>
            </w:r>
            <w:r>
              <w:rPr>
                <w:rFonts w:ascii="Arial" w:hAnsi="Arial"/>
                <w:noProof/>
                <w:sz w:val="20"/>
              </w:rPr>
              <w:t xml:space="preserve">Programom Obzor 2020. i dalje će se pružati podrška općenitim problemima s vodom i hranom metodom </w:t>
            </w:r>
            <w:r>
              <w:rPr>
                <w:rFonts w:ascii="Arial" w:hAnsi="Arial"/>
                <w:i/>
                <w:noProof/>
                <w:sz w:val="20"/>
              </w:rPr>
              <w:t>ad hoc</w:t>
            </w:r>
            <w:r>
              <w:rPr>
                <w:rFonts w:ascii="Arial" w:hAnsi="Arial"/>
                <w:noProof/>
                <w:sz w:val="20"/>
              </w:rPr>
              <w:t>. Malo je vjerojatno da će se pokrenuti posebne inicijative za integriranje mediteranskih sustava istraživanja i inovacija. Pojedinačna djelovanja obično bi trajala 3 – 4 godine. Učinak bi bio ograničen. Ovoj se opciji ne daje prednost.</w:t>
            </w:r>
          </w:p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t xml:space="preserve">Opcija 1.: Djelovanje zajedničkog fonda ERA-NET – </w:t>
            </w:r>
            <w:r>
              <w:rPr>
                <w:rFonts w:ascii="Arial" w:hAnsi="Arial"/>
                <w:noProof/>
                <w:sz w:val="20"/>
              </w:rPr>
              <w:t xml:space="preserve">Glavna aktivnost u okviru programa Obzor 2020. bila bi provedba jedinstvenog sufinanciranog zajedničkog poziva na podnošenje prijedloga za pojedinačna djelovanja </w:t>
            </w:r>
            <w:r>
              <w:rPr>
                <w:rFonts w:ascii="Arial" w:hAnsi="Arial"/>
                <w:noProof/>
                <w:sz w:val="20"/>
              </w:rPr>
              <w:lastRenderedPageBreak/>
              <w:t>(ili nekoliko njih), što bi rezultiralo financiranjem transnacionalnih istraživačkih i/ili inovacijskih projekata. Pojedinačna djelovanja obično bi trajala 5 godina. Ne bi bilo moguće znatnije se baviti inovacijskom dimenzijom programa jer su nacionalni programi koji bi surađivali i koordinirali svoje aktivnosti uglavnom usmjereni na istraživačke aktivnosti javnih istraživačkih organizacija. Ne očekuje se da bi se opcijom 1. nacionalni programi financiranja integrirali u zajednički strateški program istraživanja. Ovoj se opciji ne daje prednost.</w:t>
            </w:r>
          </w:p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" w:name="_Toc451955143"/>
            <w:bookmarkStart w:id="5" w:name="_Toc452824238"/>
            <w:r>
              <w:rPr>
                <w:rFonts w:ascii="Arial" w:hAnsi="Arial"/>
                <w:b/>
                <w:i/>
                <w:noProof/>
                <w:sz w:val="20"/>
              </w:rPr>
              <w:t xml:space="preserve">Opcija 2.: Zajednički program PRIMA utemeljen na članku 185. UFEU-a – </w:t>
            </w:r>
            <w:bookmarkEnd w:id="4"/>
            <w:bookmarkEnd w:id="5"/>
            <w:r>
              <w:rPr>
                <w:rFonts w:ascii="Arial" w:hAnsi="Arial"/>
                <w:noProof/>
                <w:sz w:val="20"/>
              </w:rPr>
              <w:t>Ovom se opcijom EU-u omogućava da otvori prostor za svoje sudjelovanje u programima istraživanja i razvoja koje provodi nekoliko država članica, uključujući i sudjelovanje u strukturama stvorenima za provedbu tih programa. Člankom 26. Uredbe o okvirnom programu Obzor 2020. utvrđeni su uvjeti i kriteriji za određivanje i predlaganje inicijative u skladu s člankom 185. UFEU-a. Među ostalim je kriterijima i taj da Komisija može predložiti inicijative u skladu s člankom 185. samo ako postoji potreba za posebnom provedbenom strukturom i ako su se države sudionice obvezale na viši stupanj integracije na znanstvenoj, upravljačkoj i financijskoj razini</w:t>
            </w:r>
            <w:r>
              <w:rPr>
                <w:rFonts w:ascii="Arial" w:hAnsi="Arial"/>
                <w:b/>
                <w:i/>
                <w:noProof/>
                <w:sz w:val="20"/>
              </w:rPr>
              <w:t xml:space="preserve">. </w:t>
            </w:r>
            <w:r>
              <w:rPr>
                <w:rFonts w:ascii="Arial" w:hAnsi="Arial"/>
                <w:noProof/>
                <w:sz w:val="20"/>
              </w:rPr>
              <w:t>Ova opcija uključuje sastavljanje opsežnog strateškog istraživačkog programa i njegovu potpunu provedbu putem više transnacionalnih poziva na podnošenje prijedloga, što poduzima nekoliko država sudionica, a provodi se putem namjenske provedbene strukture (tijelo za financiranje NPS-a). Ovo je u pravilu dugoročna obveza (deset godina). Unija će pružiti financijsku potporu jednaku iznosu nacionalnih ulaganja. Ovo je najbolja opcija za postizanje posebnih i općih ciljeva te posebno za provedbu niza pokusnih i pokaznih aktivnosti u strateški važnim područjima povezanima sa sustavima prehrane i opskrbe vodom. Uzima u obzir sva iskustva – u pogledu upravljanja financijskim doprinosima EU-a, postizanja učinka itd. – stečena tijekom provedbe prošlih i trenutačnih inicijativa uspostavljenih u skladu s člankom 185. Ova je opcija zamišljena i tako da se njome osigura dobro financijsko upravljanje te zaštite financijski interesi Europske unije primjerenim ex-ante provjerama, financijskim izvješćivanjem i ex-post provjerom.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Tko podržava koju opciju?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 temelju internetskog savjetovanja s dionicima zaključeno je da je </w:t>
            </w:r>
            <w:r>
              <w:rPr>
                <w:rFonts w:ascii="Arial" w:hAnsi="Arial"/>
                <w:b/>
                <w:noProof/>
                <w:sz w:val="20"/>
              </w:rPr>
              <w:t>opcija 2.</w:t>
            </w:r>
            <w:r>
              <w:rPr>
                <w:rFonts w:ascii="Arial" w:hAnsi="Arial"/>
                <w:noProof/>
                <w:sz w:val="20"/>
              </w:rPr>
              <w:t xml:space="preserve"> najbolja politička opcija.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Stručna skupina u svom izvješću također proglašava</w:t>
            </w:r>
            <w:r>
              <w:rPr>
                <w:rFonts w:ascii="Arial" w:hAnsi="Arial"/>
                <w:b/>
                <w:noProof/>
                <w:sz w:val="20"/>
              </w:rPr>
              <w:t xml:space="preserve"> opciju 2. </w:t>
            </w:r>
            <w:r>
              <w:rPr>
                <w:rFonts w:ascii="Arial" w:hAnsi="Arial"/>
                <w:noProof/>
                <w:sz w:val="20"/>
              </w:rPr>
              <w:t>najpovoljnijom političkom opcijom.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Gledano iz šire političke perspektive, opcija davanja prednosti mora biti razmjerna važnosti problema koji se mora riješiti i njegovoj ozbiljnosti, potrebi da se riješi u potpunosti i bez odgađanja te nastojanju i predanosti sudionika da posvete dovoljno financijskih sredstava i kolektivne svijesti osiguranju uspješnog ishoda. Gledano na taj način, zbog moguće više razine </w:t>
            </w:r>
            <w:r>
              <w:rPr>
                <w:rFonts w:ascii="Arial" w:hAnsi="Arial"/>
                <w:b/>
                <w:noProof/>
                <w:sz w:val="20"/>
              </w:rPr>
              <w:t>djelotvornosti</w:t>
            </w:r>
            <w:r>
              <w:rPr>
                <w:rFonts w:ascii="Arial" w:hAnsi="Arial"/>
                <w:noProof/>
                <w:sz w:val="20"/>
              </w:rPr>
              <w:t xml:space="preserve"> u postizanju utvrđenih ciljeva, bolje </w:t>
            </w:r>
            <w:r>
              <w:rPr>
                <w:rFonts w:ascii="Arial" w:hAnsi="Arial"/>
                <w:b/>
                <w:noProof/>
                <w:sz w:val="20"/>
              </w:rPr>
              <w:t>učinkovitosti</w:t>
            </w:r>
            <w:r>
              <w:rPr>
                <w:rFonts w:ascii="Arial" w:hAnsi="Arial"/>
                <w:noProof/>
                <w:sz w:val="20"/>
              </w:rPr>
              <w:t xml:space="preserve"> provedbe i veće </w:t>
            </w:r>
            <w:r>
              <w:rPr>
                <w:rFonts w:ascii="Arial" w:hAnsi="Arial"/>
                <w:b/>
                <w:noProof/>
                <w:sz w:val="20"/>
              </w:rPr>
              <w:t>usklađenosti</w:t>
            </w:r>
            <w:r>
              <w:rPr>
                <w:rFonts w:ascii="Arial" w:hAnsi="Arial"/>
                <w:noProof/>
                <w:sz w:val="20"/>
              </w:rPr>
              <w:t xml:space="preserve"> s drugim politikama i programima, opcija 2. čini se najprimjerenijom, iako ni ona nije u potpunosti sigurna od mnogih rizika koji bi morali biti smanjeni na odgovarajući način.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Učinci najbolje opcije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Koje su prednosti opcije kojoj se daje prednost (ako ih ima, inače glavne prednosti)?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Opcijom koja je nastala na temelju članka 185. i kojoj se daje prednost postići će se brza integracija nacionalnih programa i aktivnosti u području istraživanja i inovacija na mediteranskom području. Njome će se osigurati učinkovito i djelotvorno donošenje u potpunosti isprobanih i dokazanih, zajedničkih, inovativnih i integriranih rješenja za održivo upravljanje sustavima prehrane i opskrbe vodom. MSP-ovi i ostala poduzeća iz sektora hrane i vode na mediteranskom području dobit će više mogućnosti. Ta opcija imat će dalekosežne pozitivne utjecaje na okoliš. Poboljšat će život poljoprivrednika. Proizvest će zapažene pozitivne gospodarske učinke. Poboljšat će prehranu i zdravlje ljudi na mediteranskom području. Pridonijet će i većoj političkoj stabilnosti te smanjenju unutarnjih i vanjskih migracija.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Koliki su troškovi opcije kojoj se daje prednost (ako ih ima, inače glavni troškovi)</w:t>
            </w:r>
            <w:r>
              <w:rPr>
                <w:rFonts w:ascii="Tahoma" w:hAnsi="Tahoma"/>
                <w:noProof/>
                <w:sz w:val="20"/>
              </w:rPr>
              <w:t>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 ovu je inicijativu potrebno uložiti 200 milijuna EUR iz programa Obzor 2020. tijekom 10 godina trajanja zajedničkog programa PRIMA. Iznos tog financijskog doprinosa EU-a odgovara iznosu na koji su se obvezale države sudionice. Utvrdit će se jasna podjela rada između financijskog doprinosa EU-a i financijskog doprinosa država sudionica. Financijski doprinos EU-a uglavnom će biti usmjeren na aktivnosti u području istraživanja i inovacija na višim razinama tehnološke spremnosti u obliku potpore (s potrebnom kritičnom masom) ograničenom broju strateški odabranih pokusnih i demonstracijskih aktivnosti. Nacionalni financijski doprinosi bit će usmjereni na aktivnosti u području istraživanja i inovacija na nižim razinama tehnološke spremnosti, poput radnji mobilnosti i osposobljavanja, aktivnosti umrežavanja itd. Godišnjim planovima rada osigurat će se dosljednost svih aktivnosti i njihova usmjerenost na postizanje operativnih, posebnih i općih ciljeva.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Kakav će biti utjecaj na poduzeća, mala i srednja poduzeća te mikropoduzeća?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Inicijativom će se poduzećima, MSP-ovima i mikropoduzećima na mediteranskom području, pogotovo onima u sektoru vode i hrane, otvoriti više gospodarskih mogućnosti. Mikropoduzeća te mala i srednja poduzeća glavni su pokretač gospodarstva i zapošljavanja na mediteranskom području. MSP-ovi u području prehrambene industrije čine velik dio ukupnog broja MSP-ova i imaju mnogo potencijala za inovacije. Prema mišljenju stručne skupine programa PRIMA, polovina MSP-ova u području prehrane mogla bi izvoditi inovativne aktivnosti, zbog </w:t>
            </w:r>
            <w:r>
              <w:rPr>
                <w:rFonts w:ascii="Arial" w:hAnsi="Arial"/>
                <w:noProof/>
                <w:sz w:val="20"/>
              </w:rPr>
              <w:lastRenderedPageBreak/>
              <w:t xml:space="preserve">čega bi se u mnogo većoj mjeri mogli uključiti, primjerice, u lance vrijednosti prehrambene industrije.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>Hoće li postojati znatan utjecaj na nacionalne proračune i uprave?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 okviru spomenute inicijative države sudionice pridonijele bi s 200 milijuna EUR. Inicijativom bi se u potpunosti obuhvatili dionici iz javnog sektora u svim državama sudionicama – ministarstva, agencije i ostala tijela za financiranje unutar zemalja EU-a i trećih zemalja – koji imaju interes za probleme s kojima se suočava mediteranska regija u području sustava prehrane i opskrbe vodom. Prijenos znanja i stvaranje vještina smatraju se glavnim učinkom provedbe opcije 2. jer podrazumijevaju stvaranje novih i integriranih načina rada prema mediteranskoj regiji u području istraživanja i inovacija.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Hoće li biti drugih bitnih učinaka?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Učinci opcije koja je nastala na temelju članka 185. široki su i obuhvaćaju učinke na istraživanja i inovacije te industrijske, okolišne, poljoprivredne, prehrambene, zdravstvene, političke i migracijske učinke. 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Daljnje mjere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Kada će se politika preispitati?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U slučaju inicijativa nastalih na temelju članka 185. djelotvornost bi se trebala ocjenjivati na razini programa (jesu li postignuti opći ciljevi) i na nacionalnoj razini (jesu li postignuti ciljevi pojedinih zemalja). Predviđena je i privremena i konačna neovisna evaluacija. Uvjeti i potrebni podaci za te evaluacije moraju se odrediti na početku inicijative nastale na temelju članka 185.</w:t>
            </w:r>
          </w:p>
        </w:tc>
      </w:tr>
    </w:tbl>
    <w:p>
      <w:pPr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588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618"/>
    <w:multiLevelType w:val="hybridMultilevel"/>
    <w:tmpl w:val="82FA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6B9"/>
    <w:multiLevelType w:val="hybridMultilevel"/>
    <w:tmpl w:val="7DF8196C"/>
    <w:lvl w:ilvl="0" w:tplc="AA5879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C07"/>
    <w:multiLevelType w:val="hybridMultilevel"/>
    <w:tmpl w:val="9E6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A8F"/>
    <w:multiLevelType w:val="hybridMultilevel"/>
    <w:tmpl w:val="3D74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4EA2"/>
    <w:multiLevelType w:val="hybridMultilevel"/>
    <w:tmpl w:val="E6F6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6364F"/>
    <w:multiLevelType w:val="hybridMultilevel"/>
    <w:tmpl w:val="634844D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423355A3"/>
    <w:multiLevelType w:val="hybridMultilevel"/>
    <w:tmpl w:val="2402CCF4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F8153DA"/>
    <w:multiLevelType w:val="hybridMultilevel"/>
    <w:tmpl w:val="5408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F4AE4"/>
    <w:multiLevelType w:val="hybridMultilevel"/>
    <w:tmpl w:val="867489CC"/>
    <w:lvl w:ilvl="0" w:tplc="AA58798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C0A86"/>
    <w:multiLevelType w:val="hybridMultilevel"/>
    <w:tmpl w:val="CDB2D99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55E322CC"/>
    <w:multiLevelType w:val="hybridMultilevel"/>
    <w:tmpl w:val="2A9C1D2C"/>
    <w:lvl w:ilvl="0" w:tplc="604CDE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1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466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A74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6D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EA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8C4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3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E87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2531"/>
    <w:multiLevelType w:val="multilevel"/>
    <w:tmpl w:val="F5F67C4A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B5315B"/>
    <w:multiLevelType w:val="hybridMultilevel"/>
    <w:tmpl w:val="3BD8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C57E9"/>
    <w:multiLevelType w:val="hybridMultilevel"/>
    <w:tmpl w:val="C4FEC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CB4522"/>
    <w:multiLevelType w:val="hybridMultilevel"/>
    <w:tmpl w:val="F4D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Prilo\u382?en dokumentu"/>
    <w:docVar w:name="LW_CONFIDENCE" w:val=" "/>
    <w:docVar w:name="LW_CONST_RESTREINT_UE" w:val="RESTREINT UE"/>
    <w:docVar w:name="LW_CORRIGENDUM" w:val="&lt;UNUSED&gt;"/>
    <w:docVar w:name="LW_COVERPAGE_GUID" w:val="9C93B8F2BDA14C22AB6DE8A6BBF87BFA"/>
    <w:docVar w:name="LW_CROSSREFERENCE" w:val="{COM(2016) 662 final}_x000b_{SWD(2016) 332 final}"/>
    <w:docVar w:name="LW_DocType" w:val="NORMAL"/>
    <w:docVar w:name="LW_EMISSION" w:val="18.10.2016."/>
    <w:docVar w:name="LW_EMISSION_ISODATE" w:val="2016-10-18"/>
    <w:docVar w:name="LW_EMISSION_LOCATION" w:val="BRX"/>
    <w:docVar w:name="LW_EMISSION_PREFIX" w:val="Bruxelles, "/>
    <w:docVar w:name="LW_EMISSION_SUFFIX" w:val="&lt;EMPTY&gt;"/>
    <w:docVar w:name="LW_ID_DOCTYPE_NONLW" w:val="CP-02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sudjelovanju Unije u Partnerstvu za istra\u382?ivanja i inovacije na mediteranskom podru\u269?ju (PRIMA), koje zajedni\u269?ki provodi nekoliko dr\u382?ava \u269?lanica"/>
    <w:docVar w:name="LW_PART_NBR" w:val="1"/>
    <w:docVar w:name="LW_PART_NBR_TOTAL" w:val="1"/>
    <w:docVar w:name="LW_REF.INST.NEW" w:val="SWD"/>
    <w:docVar w:name="LW_REF.INST.NEW_ADOPTED" w:val="final"/>
    <w:docVar w:name="LW_REF.INST.NEW_TEXT" w:val="(2016) 331"/>
    <w:docVar w:name="LW_REF.INTERNE" w:val="&lt;UNUSED&gt;"/>
    <w:docVar w:name="LW_SUPERTITRE" w:val="&lt;UNUSED&gt;"/>
    <w:docVar w:name="LW_TITRE.OBJ.CP" w:val="&lt;UNUSED&gt;"/>
    <w:docVar w:name="LW_TYPE.DOC.CP" w:val="RADNI DOKUMENT SLU\u381?BI KOMISIJE_x000b__x000b_SA\u381?ETAK PROCJENE U\u268?INKA_x000b_"/>
    <w:docVar w:name="LW_TYPEACTEPRINCIPAL.CP" w:val="Prijedlog Odluk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, BVI fnr,fr"/>
    <w:basedOn w:val="DefaultParagraphFont"/>
    <w:uiPriority w:val="99"/>
    <w:qFormat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BVI fnr,Footnote symbol,Footnote reference number,note TESI,Appel note de bas de p,Nota,SUPERS,Footnote number,EN Footnote Reference,-E Fußnotenzeichen,number Char Char,number,Ref,styl,styli, BVI fnr,fr"/>
    <w:basedOn w:val="DefaultParagraphFont"/>
    <w:uiPriority w:val="99"/>
    <w:qFormat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228E3-FEEC-429F-8C93-CFCC37DE565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D074E0-9881-4A05-820F-588EED6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1637</Words>
  <Characters>10171</Characters>
  <Application>Microsoft Office Word</Application>
  <DocSecurity>0</DocSecurity>
  <Lines>130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2016-07-28T09:14:00Z</cp:lastPrinted>
  <dcterms:created xsi:type="dcterms:W3CDTF">2016-10-21T13:08:00Z</dcterms:created>
  <dcterms:modified xsi:type="dcterms:W3CDTF">2016-10-21T16:02:00Z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