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B7541406AD0459189EBC0815CA5E7A5" style="width:450.8pt;height:446.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2013/0013 (COD)</w:t>
      </w:r>
    </w:p>
    <w:p>
      <w:pPr>
        <w:pStyle w:val="Typedudocument"/>
        <w:rPr>
          <w:noProof/>
        </w:rPr>
      </w:pPr>
      <w:r>
        <w:rPr>
          <w:noProof/>
        </w:rPr>
        <w:t>SPOROČILO KOMISIJE</w:t>
      </w:r>
      <w:r>
        <w:rPr>
          <w:noProof/>
        </w:rPr>
        <w:br/>
        <w:t>EVROPSKEMU PARLAMENTU</w:t>
      </w:r>
      <w:r>
        <w:rPr>
          <w:noProof/>
        </w:rPr>
        <w:br/>
      </w:r>
      <w:r>
        <w:rPr>
          <w:noProof/>
        </w:rPr>
        <w:br/>
        <w:t xml:space="preserve">v skladu s členom 294(6) Pogodbe o delovanju Evropske unije </w:t>
      </w:r>
      <w:r>
        <w:rPr>
          <w:noProof/>
        </w:rPr>
        <w:br/>
      </w:r>
      <w:r>
        <w:rPr>
          <w:noProof/>
        </w:rPr>
        <w:br/>
        <w:t>v zvezi s</w:t>
      </w:r>
    </w:p>
    <w:p>
      <w:pPr>
        <w:pStyle w:val="Titreobjet"/>
        <w:rPr>
          <w:noProof/>
        </w:rPr>
      </w:pPr>
      <w:r>
        <w:rPr>
          <w:noProof/>
        </w:rPr>
        <w:t>stališčem Sveta glede sprejetja Uredbe Evropskega parlamenta in Sveta o razveljavitvi Uredbe Sveta (EGS) št. 1192/69 o skupnih pravilih za normalizacijo kontov železniških podjetij</w:t>
      </w:r>
    </w:p>
    <w:p>
      <w:pPr>
        <w:pStyle w:val="IntrtEEE"/>
        <w:rPr>
          <w:noProof/>
        </w:rPr>
      </w:pPr>
      <w:r>
        <w:rPr>
          <w:noProof/>
        </w:rPr>
        <w:t>(Besedilo velja za EGP)</w:t>
      </w:r>
    </w:p>
    <w:p>
      <w:pPr>
        <w:pStyle w:val="ManualHeading1"/>
        <w:rPr>
          <w:noProof/>
        </w:rPr>
      </w:pPr>
      <w:r>
        <w:rPr>
          <w:noProof/>
        </w:rPr>
        <w:t>1.</w:t>
      </w:r>
      <w:r>
        <w:rPr>
          <w:noProof/>
        </w:rPr>
        <w:tab/>
        <w:t>Ozadje</w:t>
      </w:r>
    </w:p>
    <w:p>
      <w:pPr>
        <w:tabs>
          <w:tab w:val="left" w:pos="426"/>
          <w:tab w:val="left" w:pos="851"/>
          <w:tab w:val="left" w:pos="1276"/>
        </w:tabs>
        <w:spacing w:after="100" w:afterAutospacing="1"/>
        <w:rPr>
          <w:noProof/>
        </w:rPr>
      </w:pPr>
      <w:r>
        <w:rPr>
          <w:noProof/>
        </w:rPr>
        <w:t>Komisija je 30. januarja 2013 sprejela celovit sveženj šestih zakonodajnih predlogov za zagotovitev večje kakovosti in izbire na področju železniških storitev v Evropi.</w:t>
      </w:r>
    </w:p>
    <w:p>
      <w:pPr>
        <w:spacing w:after="100" w:afterAutospacing="1"/>
        <w:rPr>
          <w:noProof/>
        </w:rPr>
      </w:pPr>
      <w:r>
        <w:rPr>
          <w:noProof/>
        </w:rPr>
        <w:t>Treba je izboljšati kakovost in učinkovitost železnic, da bi postale privlačnejša izbira za potnike in da bi se spodbudil prehod na druge oblike prevoza. Boljše razmerje med kakovostjo in ceno ter trajnost je mogoče doseči z omejenimi javnimi sredstvi.</w:t>
      </w:r>
    </w:p>
    <w:p>
      <w:pPr>
        <w:tabs>
          <w:tab w:val="left" w:pos="426"/>
          <w:tab w:val="left" w:pos="851"/>
          <w:tab w:val="left" w:pos="1276"/>
        </w:tabs>
        <w:rPr>
          <w:noProof/>
        </w:rPr>
      </w:pPr>
      <w:r>
        <w:rPr>
          <w:noProof/>
        </w:rPr>
        <w:t>Namen svežnja je tudi spodbuditi inovacije v železniškem sektorju EU, da bi se izpolnila pričakovanja uporabnikov. To se bo doseglo na tri različne in med seboj povezane načine:</w:t>
      </w:r>
    </w:p>
    <w:p>
      <w:pPr>
        <w:pStyle w:val="Point0number"/>
        <w:numPr>
          <w:ilvl w:val="0"/>
          <w:numId w:val="6"/>
        </w:numPr>
        <w:rPr>
          <w:noProof/>
        </w:rPr>
      </w:pPr>
      <w:r>
        <w:rPr>
          <w:noProof/>
        </w:rPr>
        <w:t>z odprtjem domačih trgov potniškega prometa za konkurenco in uvedbo obveznega razpisnega postopka za javna naročila storitev;</w:t>
      </w:r>
    </w:p>
    <w:p>
      <w:pPr>
        <w:pStyle w:val="Point0number"/>
        <w:numPr>
          <w:ilvl w:val="0"/>
          <w:numId w:val="1"/>
        </w:numPr>
        <w:rPr>
          <w:noProof/>
        </w:rPr>
      </w:pPr>
      <w:r>
        <w:rPr>
          <w:noProof/>
        </w:rPr>
        <w:t>z okrepitvijo neodvisnosti upravljavcev infrastrukture, tako da bodo nadzirali vse glavne funkcije železniškega omrežja in vsem zagotavljali pravičen dostop do železniških storitev;</w:t>
      </w:r>
    </w:p>
    <w:p>
      <w:pPr>
        <w:pStyle w:val="Point0number"/>
        <w:numPr>
          <w:ilvl w:val="0"/>
          <w:numId w:val="1"/>
        </w:numPr>
        <w:rPr>
          <w:noProof/>
        </w:rPr>
      </w:pPr>
      <w:r>
        <w:rPr>
          <w:noProof/>
        </w:rPr>
        <w:t>z okrepitvijo vloge Agencije EU za železnice, da bo postala „univerzalno okence“ za izdajanje dovoljenj za dajanje vozil na trg in varnostnih spričeval prevoznikom, ki bodo veljala po vsej EU.</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Datum predložitve predloga Evropskemu parlamentu in Svetu</w:t>
            </w:r>
            <w:r>
              <w:rPr>
                <w:noProof/>
              </w:rPr>
              <w:br/>
              <w:t>(dokument COM(2013) 26 final — 2013/0013 COD):</w:t>
            </w:r>
          </w:p>
        </w:tc>
        <w:tc>
          <w:tcPr>
            <w:tcW w:w="2483" w:type="dxa"/>
          </w:tcPr>
          <w:p>
            <w:pPr>
              <w:jc w:val="left"/>
              <w:rPr>
                <w:noProof/>
              </w:rPr>
            </w:pPr>
            <w:r>
              <w:rPr>
                <w:noProof/>
              </w:rPr>
              <w:br/>
            </w:r>
            <w:r>
              <w:rPr>
                <w:noProof/>
              </w:rPr>
              <w:br/>
              <w:t>31. januar 2013</w:t>
            </w:r>
          </w:p>
        </w:tc>
      </w:tr>
      <w:tr>
        <w:tc>
          <w:tcPr>
            <w:tcW w:w="6804" w:type="dxa"/>
          </w:tcPr>
          <w:p>
            <w:pPr>
              <w:rPr>
                <w:noProof/>
              </w:rPr>
            </w:pPr>
            <w:r>
              <w:rPr>
                <w:noProof/>
              </w:rPr>
              <w:t xml:space="preserve">Datum mnenja Evropskega ekonomsko-socialnega odbora: </w:t>
            </w:r>
          </w:p>
        </w:tc>
        <w:tc>
          <w:tcPr>
            <w:tcW w:w="2483" w:type="dxa"/>
          </w:tcPr>
          <w:p>
            <w:pPr>
              <w:jc w:val="left"/>
              <w:rPr>
                <w:noProof/>
              </w:rPr>
            </w:pPr>
            <w:r>
              <w:rPr>
                <w:noProof/>
              </w:rPr>
              <w:br/>
              <w:t>11. julij 2013</w:t>
            </w:r>
          </w:p>
        </w:tc>
      </w:tr>
      <w:tr>
        <w:tc>
          <w:tcPr>
            <w:tcW w:w="6804" w:type="dxa"/>
          </w:tcPr>
          <w:p>
            <w:pPr>
              <w:rPr>
                <w:noProof/>
              </w:rPr>
            </w:pPr>
            <w:r>
              <w:rPr>
                <w:noProof/>
              </w:rPr>
              <w:t xml:space="preserve">Datum mnenja Odbora regij: </w:t>
            </w:r>
          </w:p>
        </w:tc>
        <w:tc>
          <w:tcPr>
            <w:tcW w:w="2483" w:type="dxa"/>
          </w:tcPr>
          <w:p>
            <w:pPr>
              <w:jc w:val="left"/>
              <w:rPr>
                <w:noProof/>
              </w:rPr>
            </w:pPr>
            <w:r>
              <w:rPr>
                <w:noProof/>
              </w:rPr>
              <w:t>8. oktober 2013</w:t>
            </w:r>
          </w:p>
        </w:tc>
      </w:tr>
      <w:tr>
        <w:tc>
          <w:tcPr>
            <w:tcW w:w="6804" w:type="dxa"/>
          </w:tcPr>
          <w:p>
            <w:pPr>
              <w:rPr>
                <w:noProof/>
              </w:rPr>
            </w:pPr>
            <w:r>
              <w:rPr>
                <w:noProof/>
              </w:rPr>
              <w:t xml:space="preserve">Datum stališča Evropskega parlamenta, prva obravnava: </w:t>
            </w:r>
          </w:p>
        </w:tc>
        <w:tc>
          <w:tcPr>
            <w:tcW w:w="2483" w:type="dxa"/>
          </w:tcPr>
          <w:p>
            <w:pPr>
              <w:jc w:val="left"/>
              <w:rPr>
                <w:noProof/>
              </w:rPr>
            </w:pPr>
            <w:r>
              <w:rPr>
                <w:noProof/>
              </w:rPr>
              <w:t>26. februar 2014</w:t>
            </w:r>
          </w:p>
        </w:tc>
      </w:tr>
      <w:tr>
        <w:tc>
          <w:tcPr>
            <w:tcW w:w="6804" w:type="dxa"/>
          </w:tcPr>
          <w:p>
            <w:pPr>
              <w:rPr>
                <w:noProof/>
              </w:rPr>
            </w:pPr>
            <w:r>
              <w:rPr>
                <w:noProof/>
              </w:rPr>
              <w:lastRenderedPageBreak/>
              <w:t>Datum sprejetja stališča Sveta:</w:t>
            </w:r>
          </w:p>
        </w:tc>
        <w:tc>
          <w:tcPr>
            <w:tcW w:w="2483" w:type="dxa"/>
          </w:tcPr>
          <w:p>
            <w:pPr>
              <w:jc w:val="left"/>
              <w:rPr>
                <w:noProof/>
              </w:rPr>
            </w:pPr>
            <w:r>
              <w:rPr>
                <w:noProof/>
              </w:rPr>
              <w:t>17. oktober 2016</w:t>
            </w:r>
            <w:r>
              <w:rPr>
                <w:noProof/>
              </w:rPr>
              <w:tab/>
            </w:r>
          </w:p>
        </w:tc>
      </w:tr>
    </w:tbl>
    <w:p>
      <w:pPr>
        <w:pStyle w:val="ManualHeading1"/>
        <w:rPr>
          <w:noProof/>
        </w:rPr>
      </w:pPr>
      <w:r>
        <w:rPr>
          <w:noProof/>
        </w:rPr>
        <w:t>2.</w:t>
      </w:r>
      <w:r>
        <w:rPr>
          <w:noProof/>
        </w:rPr>
        <w:tab/>
        <w:t>Cilj predloga Komisije</w:t>
      </w:r>
    </w:p>
    <w:p>
      <w:pPr>
        <w:autoSpaceDE w:val="0"/>
        <w:autoSpaceDN w:val="0"/>
        <w:adjustRightInd w:val="0"/>
        <w:rPr>
          <w:noProof/>
        </w:rPr>
      </w:pPr>
      <w:r>
        <w:rPr>
          <w:noProof/>
        </w:rPr>
        <w:t xml:space="preserve">Splošni cilj predloga Komisije </w:t>
      </w:r>
      <w:r>
        <w:rPr>
          <w:noProof/>
          <w:sz w:val="22"/>
        </w:rPr>
        <w:t xml:space="preserve">za razveljavitev Uredbe (EGS) </w:t>
      </w:r>
      <w:r>
        <w:rPr>
          <w:noProof/>
        </w:rPr>
        <w:t>št. 1192/69 Sveta o skupnih pravilih za normalizacijo kontov železniških podjetij je, da se odpravijo nedoslednosti v pravnem redu EU in da se v skladu s cilji programa REFIT z razveljavitvijo pravnega akta, ki je postal zastarel, prispeva k poenostavitvi.</w:t>
      </w:r>
    </w:p>
    <w:p>
      <w:pPr>
        <w:autoSpaceDE w:val="0"/>
        <w:autoSpaceDN w:val="0"/>
        <w:adjustRightInd w:val="0"/>
        <w:rPr>
          <w:noProof/>
        </w:rPr>
      </w:pPr>
      <w:r>
        <w:rPr>
          <w:noProof/>
        </w:rPr>
        <w:t>Uredba (EGS) št. 1192/69 (v nadaljnjem besedilu: Uredba) je iz več razlogov neskladna in nezdružljiva z zakonodajnimi določbami, ki so trenutno v veljavi:</w:t>
      </w:r>
    </w:p>
    <w:p>
      <w:pPr>
        <w:pStyle w:val="Bullet0"/>
        <w:numPr>
          <w:ilvl w:val="0"/>
          <w:numId w:val="11"/>
        </w:numPr>
        <w:rPr>
          <w:noProof/>
        </w:rPr>
      </w:pPr>
      <w:r>
        <w:rPr>
          <w:noProof/>
        </w:rPr>
        <w:t>Ker se morajo prevozniki v železniškem prometu upravljati v skladu z načeli, ki veljajo za gospodarske družbe, niso dovoljena nobena državna nadomestila za zavarovanje, pokojnine ali ostale odhodke za poslovanje (razen v primeru nadomestila za opravljanje javnih storitev). To načelo je okvirno določeno v pravilih o državni pomoči iz Pogodbe, natančneje pa je določeno v smernicah o državnih pomočeh za prevoznike v železniškem prometu (2008/C 184/07).</w:t>
      </w:r>
    </w:p>
    <w:p>
      <w:pPr>
        <w:pStyle w:val="Bullet0"/>
        <w:rPr>
          <w:noProof/>
        </w:rPr>
      </w:pPr>
      <w:r>
        <w:rPr>
          <w:noProof/>
        </w:rPr>
        <w:t>Seznam prevoznikov v železniškem prometu, ki so upravičeni do nadomestila v skladu z Uredbo, in razvrstitev vrst nadomestil, ki se lahko plačajo prevoznikom v železniškem prometu, predvidevata vključitev upravljanja infrastrukture v dejavnosti prevoznikov v železniškem prometu, kar je v neskladju z načeli ločevanja bistvenih nalog in ločevanja kontov.</w:t>
      </w:r>
    </w:p>
    <w:p>
      <w:pPr>
        <w:pStyle w:val="Bullet0"/>
        <w:rPr>
          <w:noProof/>
        </w:rPr>
      </w:pPr>
      <w:r>
        <w:rPr>
          <w:noProof/>
        </w:rPr>
        <w:t>V skladu z Uredbo je le 40 prevoznikov v železniškem prometu upravičenih do nadomestila. Ob sprejetju Uredba ni bila problematična, saj so obstoječi prevozniki v železniškem prometu tekmovali izključno z ostalimi načini prevoza in ne z ostalimi prevozniki v železniškem prometu. Vendar je v razmerah liberaliziranega trga, kjer prevozniki v železniškem prometu neposredno tekmujejo s tradicionalnimi monopoli, dodelitev denarnega nadomestila samo nekaterim prevoznikom v železniškem prometu ni več upravičena. Če se finančni pogoji za prevoznike v železniškem prometu razlikujejo (kot posledica Uredbe), za nove prevoznike na trgu niso zagotovljeni nediskriminatorni pogoji dostopa. Novim prevoznikom na trgu je morda na primer težko pritegniti osebje obstoječih prevoznikov v železniškem prometu, saj slednji lahko ponudijo ugodnejše pokojninske pogoje zaradi subvencij, prejetih v okviru Uredbe.</w:t>
      </w:r>
    </w:p>
    <w:p>
      <w:pPr>
        <w:pStyle w:val="Bullet0"/>
        <w:rPr>
          <w:noProof/>
        </w:rPr>
      </w:pPr>
      <w:r>
        <w:rPr>
          <w:noProof/>
        </w:rPr>
        <w:t>Samo plačila nadomestil iz IV. kategorije Uredbe (stroški za naprave na cestno-železniških prehodih) so v skladu z obstoječo zakonodajo. Ta plačila so stroški, povezani z nalogami upravljavca infrastrukture, ki v skladu s členom 8 Direktive 2012/34/EU lahko koristi državno financiranje. Zato so tudi določbe Uredbe, ki se nanašajo na plačila iz IV. kategorije, odveč.</w:t>
      </w:r>
    </w:p>
    <w:p>
      <w:pPr>
        <w:pStyle w:val="ManualHeading1"/>
        <w:rPr>
          <w:noProof/>
        </w:rPr>
      </w:pPr>
      <w:r>
        <w:rPr>
          <w:noProof/>
        </w:rPr>
        <w:t xml:space="preserve"> 3.</w:t>
      </w:r>
      <w:r>
        <w:rPr>
          <w:noProof/>
        </w:rPr>
        <w:tab/>
        <w:t>Pripombe na stališče Sveta</w:t>
      </w:r>
    </w:p>
    <w:p>
      <w:pPr>
        <w:autoSpaceDE w:val="0"/>
        <w:autoSpaceDN w:val="0"/>
        <w:adjustRightInd w:val="0"/>
        <w:spacing w:before="0" w:after="0"/>
        <w:rPr>
          <w:noProof/>
          <w:szCs w:val="24"/>
        </w:rPr>
      </w:pPr>
      <w:r>
        <w:rPr>
          <w:noProof/>
        </w:rPr>
        <w:t>Stališče, ki ga je Svet sprejel na prvi obravnavi 17. oktobra 2016,</w:t>
      </w:r>
      <w:r>
        <w:rPr>
          <w:noProof/>
          <w:color w:val="FF0000"/>
        </w:rPr>
        <w:t xml:space="preserve"> </w:t>
      </w:r>
      <w:r>
        <w:rPr>
          <w:noProof/>
        </w:rPr>
        <w:t>podpira glavne cilje predloga Komisije, čeprav je Svet soglašal, da preloži razveljavitev določb Uredbe v zvezi z normalizacijo kontov glede IV. kategorije, kakor je določeno v Prilogi IV k navedeni uredbi. Zato se bodo še naprej uporabljale do 31. decembra 2017.</w:t>
      </w:r>
    </w:p>
    <w:p>
      <w:pPr>
        <w:pStyle w:val="ManualHeading1"/>
        <w:rPr>
          <w:noProof/>
        </w:rPr>
      </w:pPr>
      <w:r>
        <w:rPr>
          <w:noProof/>
        </w:rPr>
        <w:lastRenderedPageBreak/>
        <w:t>4.</w:t>
      </w:r>
      <w:r>
        <w:rPr>
          <w:noProof/>
        </w:rPr>
        <w:tab/>
        <w:t>Zaključek</w:t>
      </w:r>
    </w:p>
    <w:p>
      <w:pPr>
        <w:autoSpaceDE w:val="0"/>
        <w:autoSpaceDN w:val="0"/>
        <w:adjustRightInd w:val="0"/>
        <w:spacing w:before="0" w:after="0"/>
        <w:rPr>
          <w:noProof/>
        </w:rPr>
      </w:pPr>
      <w:r>
        <w:rPr>
          <w:noProof/>
        </w:rPr>
        <w:t>Komisija sprejme stališče Sveta in tako Evropskemu parlamentu omogoči, da končno besedilo sprejme v drugi obravnavi. Komisija namreč meni, da bi sprejetje tako tržnega kot tehničnega stebra v največji možni meri povečalo koristi v smislu kakovosti storitev, učinkovitosti in konkurenčnosti sektorja železniškega prometa.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6: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B7541406AD0459189EBC0815CA5E7A5"/>
    <w:docVar w:name="LW_CROSSREFERENCE" w:val="&lt;UNUSED&gt;"/>
    <w:docVar w:name="LW_DocType" w:val="COM"/>
    <w:docVar w:name="LW_EMISSION" w:val="24.10.2016"/>
    <w:docVar w:name="LW_EMISSION_ISODATE" w:val="2016-10-24"/>
    <w:docVar w:name="LW_EMISSION_LOCATION" w:val="BRX"/>
    <w:docVar w:name="LW_EMISSION_PREFIX" w:val="Bruselj, "/>
    <w:docVar w:name="LW_EMISSION_SUFFIX" w:val=" "/>
    <w:docVar w:name="LW_ID_DOCMODEL" w:val="SJ-028"/>
    <w:docVar w:name="LW_ID_DOCSTRUCTURE" w:val="COM/PL/CODEC"/>
    <w:docVar w:name="LW_ID_DOCTYPE" w:val="SJ-028"/>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013"/>
    <w:docVar w:name="LW_REF.II.NEW.CP_YEAR" w:val="2013"/>
    <w:docVar w:name="LW_REF.INST.NEW" w:val="COM"/>
    <w:docVar w:name="LW_REF.INST.NEW_ADOPTED" w:val="final"/>
    <w:docVar w:name="LW_REF.INST.NEW_TEXT" w:val="(2016) 688"/>
    <w:docVar w:name="LW_REF.INTERNE" w:val="&lt;UNUSED&gt;"/>
    <w:docVar w:name="LW_SOUS.TITRE.OBJ.CP" w:val="&lt;UNUSED&gt;"/>
    <w:docVar w:name="LW_SUPERTITRE" w:val="&lt;UNUSED&gt;"/>
    <w:docVar w:name="LW_TITRE.OBJ.CP" w:val="stali\u353?\u269?em Sveta glede sprejetja Uredbe Evropskega parlamenta in Sveta o razveljavitvi Uredbe Sveta (EGS) \u353?t. 1192/69 o skupnih pravilih za normalizacijo kontov \u382?elezni\u353?kih podjetij"/>
    <w:docVar w:name="LW_TYPE.DOC.CP" w:val="SPORO\u268?ILO KOMISIJE_x000b_EVROPSKEMU PARLAMENTU_x000b__x000b_v skladu s \u269?lenom 294(6) Pogodbe o delovanju Evropske unije _x000b__x000b_v zvezi s"/>
    <w:docVar w:name="Stamp" w:val="\\dossiers.dgt.cec.eu.int\dossiers\MOVE\MOVE-2016-01282\MOVE-2016-01282-00-00-EN-REV-00.2016101012091581411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l-S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sl-SI"/>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l-S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sl-SI"/>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058">
      <w:bodyDiv w:val="1"/>
      <w:marLeft w:val="0"/>
      <w:marRight w:val="0"/>
      <w:marTop w:val="0"/>
      <w:marBottom w:val="0"/>
      <w:divBdr>
        <w:top w:val="none" w:sz="0" w:space="0" w:color="auto"/>
        <w:left w:val="none" w:sz="0" w:space="0" w:color="auto"/>
        <w:bottom w:val="none" w:sz="0" w:space="0" w:color="auto"/>
        <w:right w:val="none" w:sz="0" w:space="0" w:color="auto"/>
      </w:divBdr>
    </w:div>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BAB8-216C-4F33-A4EF-881997C7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726</Words>
  <Characters>4359</Characters>
  <Application>Microsoft Office Word</Application>
  <DocSecurity>0</DocSecurity>
  <Lines>90</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2016-08-09T08:28:00Z</cp:lastPrinted>
  <dcterms:created xsi:type="dcterms:W3CDTF">2016-10-21T13:19:00Z</dcterms:created>
  <dcterms:modified xsi:type="dcterms:W3CDTF">2016-10-24T10:06:00Z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