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3CE849350AE44D5B14B17CBAD3FC20B" style="width:450.15pt;height:389.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p>
    <w:p>
      <w:pPr>
        <w:jc w:val="both"/>
        <w:rPr>
          <w:rFonts w:ascii="Times New Roman Bold" w:hAnsi="Times New Roman Bold" w:cs="Times New Roman"/>
          <w:b/>
          <w:smallCaps/>
          <w:noProof/>
          <w:sz w:val="24"/>
          <w:szCs w:val="24"/>
        </w:rPr>
      </w:pPr>
      <w:bookmarkStart w:id="1" w:name="_GoBack"/>
      <w:bookmarkEnd w:id="1"/>
      <w:r>
        <w:rPr>
          <w:rFonts w:ascii="Times New Roman Bold" w:hAnsi="Times New Roman Bold"/>
          <w:b/>
          <w:smallCaps/>
          <w:noProof/>
          <w:sz w:val="24"/>
        </w:rPr>
        <w:lastRenderedPageBreak/>
        <w:t>I.</w:t>
      </w:r>
      <w:r>
        <w:rPr>
          <w:noProof/>
        </w:rPr>
        <w:tab/>
      </w:r>
      <w:r>
        <w:rPr>
          <w:rFonts w:ascii="Times New Roman Bold" w:hAnsi="Times New Roman Bold"/>
          <w:b/>
          <w:smallCaps/>
          <w:noProof/>
          <w:sz w:val="24"/>
        </w:rPr>
        <w:t>Europa se află într-un moment de răscruce.</w:t>
      </w:r>
    </w:p>
    <w:p>
      <w:pPr>
        <w:jc w:val="both"/>
        <w:rPr>
          <w:rFonts w:ascii="Times New Roman" w:hAnsi="Times New Roman" w:cs="Times New Roman"/>
          <w:noProof/>
          <w:sz w:val="24"/>
          <w:szCs w:val="24"/>
        </w:rPr>
      </w:pPr>
      <w:r>
        <w:rPr>
          <w:rFonts w:ascii="Times New Roman" w:hAnsi="Times New Roman"/>
          <w:noProof/>
          <w:sz w:val="24"/>
        </w:rPr>
        <w:t>Europenii știu care sunt consecințele provocărilor cu care continuăm să ne confruntăm și le văd în viața de zi cu zi. O redresare economică aflată încă în faza de început, care nu a adus încă beneficii pentru toți membrii societăților noastre, în special în ceea ce privește crearea de locuri de muncă pentru tineri și reducerea inegalității. Fluxuri de migrație care ne-au pus la încercare frontierele externe și rămân o provocare pentru capacitatea Uniunii de a da dovadă de solidaritate. Creșterea amenințării teroriste. Instabilitatea care se menține în vecinătatea noastră estică și sudică. La toate acestea trebuie să adăugăm acum incertitudinea creată de referendumul din Regatul Unit.</w:t>
      </w:r>
    </w:p>
    <w:p>
      <w:pPr>
        <w:jc w:val="both"/>
        <w:rPr>
          <w:rFonts w:ascii="Times New Roman" w:hAnsi="Times New Roman" w:cs="Times New Roman"/>
          <w:noProof/>
          <w:sz w:val="24"/>
          <w:szCs w:val="24"/>
        </w:rPr>
      </w:pPr>
      <w:r>
        <w:rPr>
          <w:rFonts w:ascii="Times New Roman" w:hAnsi="Times New Roman"/>
          <w:noProof/>
          <w:sz w:val="24"/>
        </w:rPr>
        <w:t>Ascultându-i pe europeni, am înțeles că doresc un răspuns la aceste provocări și protecție împotriva acestor amenințări. Europenii caută mijloacele care să le permită să își creeze un viitor durabil pentru ei și pentru familiile lor. Și își doresc să aibă perspective: să li se dea asigurarea că guvernanța de la nivel local, regional, național și european poate răspunde în mod colectiv așteptărilor generațiilor de astăzi și de mâine.</w:t>
      </w:r>
    </w:p>
    <w:p>
      <w:pPr>
        <w:jc w:val="both"/>
        <w:rPr>
          <w:rFonts w:ascii="Times New Roman" w:hAnsi="Times New Roman" w:cs="Times New Roman"/>
          <w:b/>
          <w:i/>
          <w:noProof/>
          <w:sz w:val="24"/>
          <w:szCs w:val="24"/>
        </w:rPr>
      </w:pPr>
      <w:r>
        <w:rPr>
          <w:rFonts w:ascii="Times New Roman" w:hAnsi="Times New Roman"/>
          <w:b/>
          <w:i/>
          <w:noProof/>
          <w:sz w:val="24"/>
        </w:rPr>
        <w:t>Comisia s-a axat asupra lucrurilor importante...</w:t>
      </w:r>
    </w:p>
    <w:p>
      <w:pPr>
        <w:jc w:val="both"/>
        <w:rPr>
          <w:rFonts w:ascii="Times New Roman" w:hAnsi="Times New Roman" w:cs="Times New Roman"/>
          <w:noProof/>
          <w:sz w:val="24"/>
          <w:szCs w:val="24"/>
        </w:rPr>
      </w:pPr>
      <w:r>
        <w:rPr>
          <w:rFonts w:ascii="Times New Roman" w:hAnsi="Times New Roman"/>
          <w:noProof/>
          <w:sz w:val="24"/>
        </w:rPr>
        <w:t>Încă de la începutul mandatului său, prioritatea actualei Comisii a fost aceea de a se axa asupra aspectelor importante, cu privire la care o acțiune europeană eficace poate aduce rezultate concrete, soluționând provocările cu care se confruntă cetățenii Europei, statele membre și Uniunea în ansamblul său. Anul trecut, am realizat progrese semnificative în ceea ce privește punerea în aplicare a strategiilor pe care le-am prevăzut în Planul de investiții pentru Europa, în Strategia privind piața unică digitală, în Strategia privind uniunea energetică, în Agenda europeană privind securitatea, în Agenda europeană privind migrația, în Planul de acțiune privind edificarea unei Uniuni a piețelor de capital, în Planul de acțiune privind impozitarea echitabilă și eficientă a întreprinderilor, în noua strategie comercială, în Comunicarea privind măsurile care trebuie întreprinse în vederea finalizării Uniunii economice și monetare, în Strategia privind piața unică și în Planul de acțiune privind economia circulară.</w:t>
      </w:r>
    </w:p>
    <w:p>
      <w:pPr>
        <w:jc w:val="both"/>
        <w:rPr>
          <w:rFonts w:ascii="Times New Roman" w:hAnsi="Times New Roman" w:cs="Times New Roman"/>
          <w:noProof/>
          <w:sz w:val="24"/>
          <w:szCs w:val="24"/>
        </w:rPr>
      </w:pPr>
      <w:r>
        <w:rPr>
          <w:rFonts w:ascii="Times New Roman" w:hAnsi="Times New Roman"/>
          <w:noProof/>
          <w:sz w:val="24"/>
        </w:rPr>
        <w:t>Prin faptul că ne-am axat pe aspectele importante și că Parlamentul European și Consiliul au împărtășit la rândul lor aceste priorități, am obținut rezultate concrete și rapide în domenii</w:t>
      </w:r>
      <w:r>
        <w:rPr>
          <w:rFonts w:ascii="Times New Roman" w:hAnsi="Times New Roman" w:cs="Times New Roman"/>
          <w:noProof/>
          <w:sz w:val="24"/>
        </w:rPr>
        <w:t>­</w:t>
      </w:r>
      <w:r>
        <w:rPr>
          <w:rFonts w:ascii="Times New Roman" w:hAnsi="Times New Roman"/>
          <w:noProof/>
          <w:sz w:val="24"/>
        </w:rPr>
        <w:t>cheie. În doar un an, Fondul european pentru investiții strategice a fost activat în 27 de state membre și a generat investiții în valoare de 138 de miliarde EUR, inclusiv finanțare nouă pentru circa 300 000 de întreprinderi mici și mijlocii. Am înregistrat progrese substanțiale în redobândirea controlului asupra fluxurilor de migrație neregulamentară și în evitarea pierderilor de vieți omenești în Marea Egee și în Marea Mediterană. Poliția de frontieră și garda de coastă la nivel european desfășoară deja operațiuni de întărire a controlului la frontierele noastre externe la doar zece luni de la propunerea instituirii sale de către Comisie. În același timp, Europa și-a arătat solidaritatea față de 1 milion de sirieni care și-au găsit adăpost și protecție aici. De asemenea, am transferat și relocat peste 15 000 de alți refugiați în ultimele douăsprezece luni. În cursul ultimelor trei luni, am ajuns la o medie de circa 1 000 de transferuri pe lună, în septembrie, această cifră crescând la 1 200 de transferuri. Decalajul dintre nevoile actuale în materie de transfer și transferurile efective din Grecia a început să scadă, dar aceste eforturi trebuie menținute în lunile următoare, iar transferurile din Italia ar trebui intensificate semnificativ.</w:t>
      </w:r>
    </w:p>
    <w:p>
      <w:pPr>
        <w:jc w:val="both"/>
        <w:rPr>
          <w:rFonts w:ascii="Times New Roman" w:hAnsi="Times New Roman" w:cs="Times New Roman"/>
          <w:noProof/>
          <w:sz w:val="24"/>
          <w:szCs w:val="24"/>
        </w:rPr>
      </w:pPr>
      <w:r>
        <w:rPr>
          <w:rFonts w:ascii="Times New Roman" w:hAnsi="Times New Roman"/>
          <w:noProof/>
          <w:sz w:val="24"/>
        </w:rPr>
        <w:t>Prezentul Program de lucru stabilește inițiativele-cheie</w:t>
      </w:r>
      <w:r>
        <w:rPr>
          <w:rStyle w:val="FootnoteReference"/>
          <w:rFonts w:ascii="Times New Roman" w:hAnsi="Times New Roman"/>
          <w:noProof/>
          <w:sz w:val="24"/>
        </w:rPr>
        <w:footnoteReference w:id="1"/>
      </w:r>
      <w:r>
        <w:rPr>
          <w:rFonts w:ascii="Times New Roman" w:hAnsi="Times New Roman"/>
          <w:noProof/>
          <w:sz w:val="24"/>
        </w:rPr>
        <w:t xml:space="preserve"> pe care Comisia se angajează să le lanseze până la sfârșitul anului 2017. Aceste propuneri concrete reprezintă modul cel mai vizibil în care munca noastră va contribui la procesul de reînnoire, înaintea celei de a 60-a aniversări a Tratatelor de la Roma, care va avea loc în martie 2017. De asemenea, vom coopera cu Parlamentul European și cu Consiliul pentru a ne asigura că aceste propuneri, precum și celelalte propuneri esențiale pe care le-am prezentat în ultimii ani sunt adoptate rapid, astfel încât să aibă un impact tangibil pe teren.</w:t>
      </w:r>
    </w:p>
    <w:p>
      <w:pPr>
        <w:jc w:val="both"/>
        <w:rPr>
          <w:rFonts w:ascii="Times New Roman" w:hAnsi="Times New Roman" w:cs="Times New Roman"/>
          <w:b/>
          <w:i/>
          <w:noProof/>
          <w:sz w:val="24"/>
          <w:szCs w:val="24"/>
        </w:rPr>
      </w:pPr>
      <w:r>
        <w:rPr>
          <w:rFonts w:ascii="Times New Roman" w:hAnsi="Times New Roman"/>
          <w:b/>
          <w:i/>
          <w:noProof/>
          <w:sz w:val="24"/>
        </w:rPr>
        <w:t>... și o Comisie care se axează pe a face lucrurile mai bine</w:t>
      </w:r>
    </w:p>
    <w:p>
      <w:pPr>
        <w:jc w:val="both"/>
        <w:rPr>
          <w:rFonts w:ascii="Times New Roman" w:hAnsi="Times New Roman" w:cs="Times New Roman"/>
          <w:noProof/>
          <w:sz w:val="24"/>
          <w:szCs w:val="24"/>
        </w:rPr>
      </w:pPr>
      <w:r>
        <w:rPr>
          <w:rFonts w:ascii="Times New Roman" w:hAnsi="Times New Roman"/>
          <w:noProof/>
          <w:sz w:val="24"/>
        </w:rPr>
        <w:t>A stabili împreună prioritățile nu este însă decât una dintre modalitățile prin care îmbunătățirea modului în care conlucrăm la nivel european le poate demonstra europenilor că structurile noastre de guvernanță sunt cu adevărat în slujba lor. Și asta pentru că, pentru a câștiga încrederea cetățenilor, a face lucrurile mai bine este la fel de important ca a face lucruri mai bune.</w:t>
      </w:r>
    </w:p>
    <w:p>
      <w:pPr>
        <w:jc w:val="both"/>
        <w:rPr>
          <w:rFonts w:ascii="Times New Roman" w:hAnsi="Times New Roman" w:cs="Times New Roman"/>
          <w:noProof/>
          <w:sz w:val="24"/>
          <w:szCs w:val="24"/>
        </w:rPr>
      </w:pPr>
      <w:r>
        <w:rPr>
          <w:rFonts w:ascii="Times New Roman" w:hAnsi="Times New Roman"/>
          <w:noProof/>
          <w:sz w:val="24"/>
        </w:rPr>
        <w:t>Acesta este motivul pentru care, în lunile următoare, vom acorda o atenție deosebită laturii operaționale a activității noastre, și anume ne vom asigura că actele legislative europene existente se aplică în mod corespunzător și se asigură în mod adecvat respectarea acestora, rămânând totodată adecvate scopului în care au fost propuse; vom acorda sprijin structural, de exemplu în Grecia, vom impulsiona executarea Fondului european pentru investiții strategice, vom elimina barierele din calea investițiilor și vom coopera cu statele membre, cu partenerii sociali și cu societatea civilă pentru a contribui la crearea unui mediu propice pentru realizarea obiectivelor de politică ale Uniunii, inclusiv prin utilizarea eficace a mijloacelor bugetare de care dispunem. Anul acesta ne vom intensifica în special eforturile de implementare a agendei noastre referitoare la asigurarea respectării legislației, deoarece oricât de bun ar fi un act legislativ, acesta este inutil dacă nu dă rezultate tangibile pe teren.</w:t>
      </w:r>
    </w:p>
    <w:p>
      <w:pPr>
        <w:jc w:val="both"/>
        <w:rPr>
          <w:rFonts w:ascii="Times New Roman" w:hAnsi="Times New Roman" w:cs="Times New Roman"/>
          <w:noProof/>
          <w:sz w:val="24"/>
          <w:szCs w:val="24"/>
        </w:rPr>
      </w:pPr>
      <w:r>
        <w:rPr>
          <w:rFonts w:ascii="Times New Roman" w:hAnsi="Times New Roman"/>
          <w:noProof/>
          <w:sz w:val="24"/>
        </w:rPr>
        <w:t>De asemenea, vom continua să aplicăm principiile unei mai bune legiferări în toate activitățile noastre, astfel încât să verificăm în permanență dacă măsurile noastre sunt eficace și proporționale din perspectiva realizării nivelului de ambiție al obiectivelor de politică pe care le-am stabilit. Multe dintre inițiativele-cheie pe care le vom prezenta la anul includ propuneri care decurg din evaluările privind o reglementare adecvată și funcțională (REFIT) și care vor actualiza și îmbunătăți legislația existentă, astfel încât aceasta să își atingă în continuare obiectivele în mod eficace și fără poveri inutile.</w:t>
      </w:r>
    </w:p>
    <w:p>
      <w:pPr>
        <w:jc w:val="both"/>
        <w:rPr>
          <w:rFonts w:ascii="Times New Roman" w:hAnsi="Times New Roman" w:cs="Times New Roman"/>
          <w:noProof/>
          <w:sz w:val="24"/>
          <w:szCs w:val="24"/>
        </w:rPr>
      </w:pPr>
      <w:r>
        <w:rPr>
          <w:rFonts w:ascii="Times New Roman" w:hAnsi="Times New Roman"/>
          <w:noProof/>
          <w:sz w:val="24"/>
        </w:rPr>
        <w:t>În afară de inițiativele-cheie, vom propune, de asemenea, o serie de alte revizuiri REFIT ale actelor legislative existente</w:t>
      </w:r>
      <w:r>
        <w:rPr>
          <w:rStyle w:val="FootnoteReference"/>
          <w:rFonts w:ascii="Times New Roman" w:hAnsi="Times New Roman"/>
          <w:noProof/>
          <w:sz w:val="24"/>
        </w:rPr>
        <w:footnoteReference w:id="2"/>
      </w:r>
      <w:r>
        <w:rPr>
          <w:rFonts w:ascii="Times New Roman" w:hAnsi="Times New Roman"/>
          <w:noProof/>
          <w:sz w:val="24"/>
        </w:rPr>
        <w:t>, iar în viitor vom încerca să îndeplinim obiectivele REFIT ori de câte ori un act legislativ existent trebuie revizuit. La stabilirea priorităților pentru lunile următoare, am acordat o atenție specială celor 22 de opinii ale Platformei REFIT. Întreprindem deja sau intenționăm să întreprindem acțiuni în toate domeniile vizate de opinii</w:t>
      </w:r>
      <w:r>
        <w:rPr>
          <w:rStyle w:val="FootnoteReference"/>
          <w:rFonts w:ascii="Times New Roman" w:hAnsi="Times New Roman"/>
          <w:noProof/>
          <w:sz w:val="24"/>
        </w:rPr>
        <w:footnoteReference w:id="3"/>
      </w:r>
      <w:r>
        <w:rPr>
          <w:rFonts w:ascii="Times New Roman" w:hAnsi="Times New Roman"/>
          <w:noProof/>
          <w:sz w:val="24"/>
        </w:rPr>
        <w:t>. În paralel cu prezentul program de lucru, publicăm un tablou de bord care prezintă în detaliu acțiunile care urmează a fi întreprinse pentru a da curs opiniilor Platformei REFIT și demersurile în curs ce vizează evaluarea și revizuirea actelor legislative existente, propunând, de asemenea, abrogarea unei serii de acte legislative care sunt caduce</w:t>
      </w:r>
      <w:r>
        <w:rPr>
          <w:rStyle w:val="FootnoteReference"/>
          <w:rFonts w:ascii="Times New Roman" w:hAnsi="Times New Roman"/>
          <w:noProof/>
          <w:sz w:val="24"/>
        </w:rPr>
        <w:footnoteReference w:id="4"/>
      </w:r>
      <w:r>
        <w:rPr>
          <w:rFonts w:ascii="Times New Roman" w:hAnsi="Times New Roman"/>
          <w:noProof/>
          <w:sz w:val="24"/>
        </w:rPr>
        <w:t>. Propunem, de asemenea, retragerea unei serii de propuneri care nu au fost încă adoptate și care sunt depășite din punct de vedere tehnic sau care nu mai servesc scopului lor, pentru a le permite colegiuitorilor să se axeze asupra propunerilor care contează cu adevărat</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De asemenea, vom continua să integrăm celelalte modificări aduse modului în care lucrăm. În ultimii doi ani, Comisia a devenit mult mai deschisă și mai responsabilă față de cetățeni</w:t>
      </w:r>
      <w:r>
        <w:rPr>
          <w:rStyle w:val="FootnoteReference"/>
          <w:rFonts w:ascii="Times New Roman" w:hAnsi="Times New Roman"/>
          <w:noProof/>
          <w:sz w:val="24"/>
        </w:rPr>
        <w:footnoteReference w:id="6"/>
      </w:r>
      <w:r>
        <w:rPr>
          <w:rFonts w:ascii="Times New Roman" w:hAnsi="Times New Roman"/>
          <w:noProof/>
          <w:sz w:val="24"/>
        </w:rPr>
        <w:t>, ceea ce a îmbunătățit calitatea activității și a propunerilor noastre. Acum, solicităm opiniile publicului în toate domeniile, inclusiv cu privire la proiectele de acte delegate și de punere în aplicare. Dăm dovadă de transparență în privința reprezentanților grupurilor de interese care încearcă să ne influențeze deciziile în materie de politică și am invitat Parlamentul European și Consiliul, în calitate de colegiuitori, să ni se alăture într-un nou acord interinstituțional privind un registru obligatoriu în materie de transparență</w:t>
      </w:r>
      <w:r>
        <w:rPr>
          <w:rStyle w:val="FootnoteReference"/>
          <w:rFonts w:ascii="Times New Roman" w:hAnsi="Times New Roman"/>
          <w:noProof/>
          <w:sz w:val="24"/>
        </w:rPr>
        <w:footnoteReference w:id="7"/>
      </w:r>
      <w:r>
        <w:rPr>
          <w:rFonts w:ascii="Times New Roman" w:hAnsi="Times New Roman"/>
          <w:noProof/>
          <w:sz w:val="24"/>
        </w:rPr>
        <w:t>, astfel încât să existe răspundere față de cetățeni cu privire la activitatea de lobby în toate etapele procesului legislativ european.</w:t>
      </w:r>
    </w:p>
    <w:p>
      <w:pPr>
        <w:jc w:val="both"/>
        <w:rPr>
          <w:rFonts w:ascii="Times New Roman" w:hAnsi="Times New Roman" w:cs="Times New Roman"/>
          <w:noProof/>
          <w:sz w:val="24"/>
          <w:szCs w:val="24"/>
        </w:rPr>
      </w:pPr>
    </w:p>
    <w:p>
      <w:pPr>
        <w:jc w:val="both"/>
        <w:rPr>
          <w:rFonts w:ascii="Times New Roman Bold" w:hAnsi="Times New Roman Bold" w:cs="Times New Roman"/>
          <w:b/>
          <w:smallCaps/>
          <w:noProof/>
          <w:sz w:val="24"/>
          <w:szCs w:val="24"/>
        </w:rPr>
      </w:pPr>
      <w:r>
        <w:rPr>
          <w:rFonts w:ascii="Times New Roman Bold" w:hAnsi="Times New Roman Bold"/>
          <w:b/>
          <w:smallCaps/>
          <w:noProof/>
          <w:sz w:val="24"/>
        </w:rPr>
        <w:t>II.</w:t>
      </w:r>
      <w:r>
        <w:rPr>
          <w:noProof/>
        </w:rPr>
        <w:tab/>
      </w:r>
      <w:r>
        <w:rPr>
          <w:rFonts w:ascii="Times New Roman Bold" w:hAnsi="Times New Roman Bold"/>
          <w:b/>
          <w:smallCaps/>
          <w:noProof/>
          <w:sz w:val="24"/>
        </w:rPr>
        <w:t>Punerea în aplicare a celor 10 priorități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Anul viitor, Comisia va întreprinde acțiuni în cadrul celor 10 priorități prevăzute în Orientările politice</w:t>
      </w:r>
      <w:r>
        <w:rPr>
          <w:rStyle w:val="FootnoteReference"/>
          <w:rFonts w:ascii="Times New Roman" w:hAnsi="Times New Roman"/>
          <w:noProof/>
          <w:sz w:val="24"/>
        </w:rPr>
        <w:footnoteReference w:id="8"/>
      </w:r>
      <w:r>
        <w:rPr>
          <w:rFonts w:ascii="Times New Roman" w:hAnsi="Times New Roman"/>
          <w:noProof/>
          <w:sz w:val="24"/>
        </w:rPr>
        <w:t>, care au fost prezentate la începutul mandatului nostru în urma discuțiilor cu Parlamentul European și care s-au inspirat din „Agenda strategică pentru Uniune într-o lume în schimbare” a Consiliului European, pentru a implementa o agendă pozitivă cu obiective clar definite, care produce rezultate concrete și prin care cetățenii sunt protejați, li se ofere pârghii pentru reușită și sunt apărați</w:t>
      </w:r>
      <w:r>
        <w:rPr>
          <w:rStyle w:val="FootnoteReference"/>
          <w:rFonts w:ascii="Times New Roman" w:hAnsi="Times New Roman"/>
          <w:noProof/>
          <w:sz w:val="24"/>
        </w:rPr>
        <w:footnoteReference w:id="9"/>
      </w:r>
      <w:r>
        <w:rPr>
          <w:rFonts w:ascii="Times New Roman" w:hAnsi="Times New Roman"/>
          <w:noProof/>
          <w:sz w:val="24"/>
        </w:rPr>
        <w:t>.</w:t>
      </w:r>
    </w:p>
    <w:p>
      <w:pPr>
        <w:pageBreakBefore/>
        <w:tabs>
          <w:tab w:val="left" w:pos="284"/>
        </w:tabs>
        <w:spacing w:after="240"/>
        <w:jc w:val="both"/>
        <w:rPr>
          <w:rFonts w:ascii="Times New Roman" w:hAnsi="Times New Roman" w:cs="Times New Roman"/>
          <w:b/>
          <w:noProof/>
          <w:sz w:val="24"/>
          <w:szCs w:val="24"/>
        </w:rPr>
      </w:pPr>
      <w:r>
        <w:rPr>
          <w:rFonts w:ascii="Times New Roman" w:hAnsi="Times New Roman"/>
          <w:b/>
          <w:noProof/>
          <w:sz w:val="24"/>
        </w:rPr>
        <w:t>1.</w:t>
      </w:r>
      <w:r>
        <w:rPr>
          <w:noProof/>
        </w:rPr>
        <w:tab/>
      </w:r>
      <w:r>
        <w:rPr>
          <w:rFonts w:ascii="Times New Roman" w:hAnsi="Times New Roman"/>
          <w:b/>
          <w:noProof/>
          <w:sz w:val="24"/>
        </w:rPr>
        <w:t>Un nou impuls pentru locuri de muncă, creștere și investiții</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O Europă care ne apără modul de viață și care le oferă tinerilor noștri pârghii pentru reușită</w:t>
      </w:r>
      <w:r>
        <w:rPr>
          <w:rFonts w:ascii="Times New Roman" w:hAnsi="Times New Roman"/>
          <w:noProof/>
          <w:sz w:val="24"/>
        </w:rPr>
        <w:t>. În ultimii trei ani au fost create circa opt milioane de noi locuri de muncă, însă rata șomajului rămâne la niveluri inacceptabil de ridicate în multe state membre, în special în rândul tinerilor. Prioritatea noastră trebuie să fie aceea de a sprijini statele membre să creeze cele mai bune condiții posibile pentru ca tinerii noștri să-și dezvolte competențele de care au nevoie și să devină activi pe piața forței de muncă și în societate.</w:t>
      </w:r>
    </w:p>
    <w:p>
      <w:pPr>
        <w:pStyle w:val="Text2"/>
        <w:spacing w:before="120" w:after="200" w:line="276" w:lineRule="auto"/>
        <w:ind w:left="0"/>
        <w:rPr>
          <w:rFonts w:eastAsiaTheme="minorHAnsi"/>
          <w:noProof/>
          <w:szCs w:val="24"/>
        </w:rPr>
      </w:pPr>
      <w:r>
        <w:rPr>
          <w:noProof/>
        </w:rPr>
        <w:t>Scopul noii noastre Inițiative privind tineretul este ca fiecare tânăr să aibă perspective reale de educație, de formare și de angajare în muncă. La punerea în aplicare a Noii agende pentru competențe în Europa le vom acorda prioritate tinerilor. Propunerile vor viza modernizarea sistemului de învățământ, îmbunătățirea calității stagiilor de ucenicie, îmbunătățirea în continuare a mobilității ucenicilor, precum și monitorizarea situației tinerilor pe piața forței de muncă după ce au absolvit cursurile universitare ori au încheiat cursurile de formare profesională. Consolidăm, de asemenea, Garanția pentru tineret ca instrument de investiție în tineri, în competențele lor și în primii lor pași în carieră</w:t>
      </w:r>
      <w:r>
        <w:rPr>
          <w:rStyle w:val="FootnoteReference"/>
          <w:noProof/>
        </w:rPr>
        <w:footnoteReference w:id="10"/>
      </w:r>
      <w:r>
        <w:rPr>
          <w:noProof/>
        </w:rPr>
        <w:t>, precum și Inițiativa privind ocuparea forței de muncă în rândul tinerilor</w:t>
      </w:r>
      <w:r>
        <w:rPr>
          <w:rStyle w:val="FootnoteReference"/>
          <w:noProof/>
        </w:rPr>
        <w:footnoteReference w:id="11"/>
      </w:r>
      <w:r>
        <w:rPr>
          <w:noProof/>
        </w:rPr>
        <w:t>. Aceasta va sprijini acțiunile statelor membre prin faptul că va pune accentul pe regiunile și pe tinerii care au cel mai mult nevoie de sprijin.</w:t>
      </w:r>
    </w:p>
    <w:p>
      <w:pPr>
        <w:pStyle w:val="Text2"/>
        <w:spacing w:before="120" w:after="200" w:line="276" w:lineRule="auto"/>
        <w:ind w:left="0"/>
        <w:rPr>
          <w:rFonts w:eastAsiaTheme="minorHAnsi"/>
          <w:noProof/>
          <w:szCs w:val="24"/>
        </w:rPr>
      </w:pPr>
      <w:r>
        <w:rPr>
          <w:noProof/>
        </w:rPr>
        <w:t>Vom lansa Corpul european de solidaritate până la sfârșitul anului 2016. Acesta va crea pentru tinerii sub 30 de ani oportunități de a contribui în mod activ la societate într-un spirit de solidaritate, dobândind în cadrul acestui proces noi competențe și experiențe, inclusiv competențe lingvistice.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Întreprinderile creează locuri de muncă prin inovare și prin realizarea de investiții adecvate în economiile noastre. Pornind de la succesul pe care l-a avut încă de la început Planul de investiții pentru Europa</w:t>
      </w:r>
      <w:r>
        <w:rPr>
          <w:rStyle w:val="FootnoteReference"/>
          <w:rFonts w:ascii="Times New Roman" w:hAnsi="Times New Roman"/>
          <w:noProof/>
          <w:sz w:val="24"/>
        </w:rPr>
        <w:footnoteReference w:id="12"/>
      </w:r>
      <w:r>
        <w:rPr>
          <w:rFonts w:ascii="Times New Roman" w:hAnsi="Times New Roman"/>
          <w:noProof/>
          <w:sz w:val="24"/>
        </w:rPr>
        <w:t>, Comisia s-a angajat să dubleze atât durata, cât și capacitatea financiară a Fondului european pentru investiții strategice (FEIS). Colegiuitorii au convenit asupra fondului inițial într-un timp record de patru luni și jumătate, iar Comisia se bazează atât pe Parlamentul European, cât și pe Consiliu că vor ajunge la fel de rapid la un acord asupra prelungirii și consolidării acestuia, promovând astfel investițiile durabile. Inspirată de succesul FEIS, Comisia a prezentat, de asemenea, un Plan de investiții externe pentru Africa și vecinătatea UE, care să abordeze unele dintre cauzele profunde ale migrației și să favorizeze ocuparea forței de muncă și creșterea economică durabilă în aceste regiuni</w:t>
      </w:r>
      <w:r>
        <w:rPr>
          <w:rStyle w:val="FootnoteReference"/>
          <w:rFonts w:ascii="Times New Roman" w:hAnsi="Times New Roman"/>
          <w:noProof/>
          <w:sz w:val="24"/>
        </w:rPr>
        <w:footnoteReference w:id="13"/>
      </w:r>
      <w:r>
        <w:rPr>
          <w:rFonts w:ascii="Times New Roman" w:hAnsi="Times New Roman"/>
          <w:noProof/>
          <w:sz w:val="24"/>
        </w:rPr>
        <w: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Vom continua să facem eforturi pentru a institui un climat favorabil inovării în Europa, a contribui la crearea de noi sectoare industriale și de noi locuri de muncă, a aborda provocările societale și de mediu și a îmbunătăți viețile cetățenilor. Prin integrarea inovării în toate politicile Uniunii și prin direcționarea eficace a fondurilor noastre din domeniul cercetării și dezvoltării și a fondurilor structurale și de investiții, dorim ca Europa să devină lider în noile tehnologii și metode de afaceri, inclusiv prin specializare inteligentă.</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Comisia va continua să depună eforturi în vederea realizării obiectivelor de dezvoltare durabilă. Economia circulară oferă un potențial semnificativ de inovare, creștere economică și creare de locuri de muncă. Comisia va întreprinde noi măsuri în vederea punerii în aplicare a Planului de acțiune privind economia circulară prin îmbunătățirea aspectelor economice și de calitate și a adoptării pe o scară mai largă a proceselor de reciclare și reutilizare a materialelor plastice în UE și prin reducerea scurgerilor de materialele plastice în mediu. De asemenea, vom prezenta o propunere legislativă privind cerințele minime de calitate aplicabile apei reutilizate și o revizuire a Directivei privind apa potabilă în urma evaluării REFIT și a inițiativei cetățenești europene „Dreptul la apă” (</w:t>
      </w:r>
      <w:r>
        <w:rPr>
          <w:rFonts w:ascii="Times New Roman" w:hAnsi="Times New Roman"/>
          <w:i/>
          <w:noProof/>
          <w:sz w:val="24"/>
        </w:rPr>
        <w:t>Right2Water</w:t>
      </w:r>
      <w:r>
        <w:rPr>
          <w:rFonts w:ascii="Times New Roman" w:hAnsi="Times New Roman"/>
          <w:noProof/>
          <w:sz w:val="24"/>
        </w:rPr>
        <w:t>). Vom elabora un cadru de monitorizare pentru a ne asigura că se înregistrează progrese în direcția realizării obiectivelor noastre ambițioase în privința economiei circulare și că acestea creează beneficii pentru mediu și pentru creșterea economică ce se potențează reciproc.</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Semestrul european 2017 va continua să se axeze pe măsurile pe care statele membre trebuie să le întreprindă pentru a asigura realizarea de investiții și soliditatea finanțelor publice, precum și pentru a efectua o reformă structurală. În următoarea sa recomandare privind politica economică a zonei euro, Comisia va promova, de asemenea, o orientare bugetară pozitivă pentru zona euro, care să sprijine politica monetară a Băncii Centrale Europene. Pe baza analizei din rapoartele de țară ce vor fi adoptate în februarie, Comisia va elabora o nouă serie de recomandări specifice fiecărei țări, care vor fi propuse Consiliului în luna mai.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Vom monitoriza împreună cu Parlamentul European și cu Consiliul rezultatele propunerii noastre de revizuire a cadrului financiar multianual (2014-2020)</w:t>
      </w:r>
      <w:r>
        <w:rPr>
          <w:rStyle w:val="FootnoteReference"/>
          <w:rFonts w:ascii="Times New Roman" w:hAnsi="Times New Roman"/>
          <w:noProof/>
          <w:sz w:val="24"/>
        </w:rPr>
        <w:footnoteReference w:id="14"/>
      </w:r>
      <w:r>
        <w:rPr>
          <w:rFonts w:ascii="Times New Roman" w:hAnsi="Times New Roman"/>
          <w:noProof/>
          <w:sz w:val="24"/>
        </w:rPr>
        <w:t>. Obiectivul nostru este ca bugetul să fie revizuit de așa manieră încât să consolideze sprijinul pentru prioritățile Uniunii și să fie mai în măsură să răspundă rapid la evenimente neprevăzute, fiind prevăzute reguli simplificate pentru beneficiari și un accent mai mare pe rezultate. Aceste măsuri vor fi urmate de o propunere cuprinzătoare pentru viitorul cadru, ulterior anului 2020, care va viza inclusiv resursele proprii. Această propunere se va întemeia pe inițiativa „Un buget al UE axat pe rezultate” și va reflecta viitoarele provocări și nevoi ale Uniunii pentru perioada de după 2020, identificate pe baza unei evaluări a politicilor și instrumentelor în materie de cheltuieli existente.</w:t>
      </w:r>
    </w:p>
    <w:p>
      <w:pPr>
        <w:tabs>
          <w:tab w:val="left" w:pos="284"/>
        </w:tabs>
        <w:spacing w:after="240"/>
        <w:jc w:val="both"/>
        <w:rPr>
          <w:rFonts w:ascii="Times New Roman" w:hAnsi="Times New Roman" w:cs="Times New Roman"/>
          <w:noProof/>
        </w:rPr>
      </w:pPr>
      <w:r>
        <w:rPr>
          <w:rFonts w:ascii="Times New Roman" w:hAnsi="Times New Roman"/>
          <w:noProof/>
          <w:sz w:val="24"/>
        </w:rPr>
        <w:t>Comisia își va continua activitatea de simplificare și modernizare a politicii agricole comune și va efectua o consultare amplă pe această temă, pentru a maximiza contribuția politicii agricole comune la cele zece priorități ale Comisiei și la obiectivele de dezvoltare durabilă. Se va pune accentul pe anumite priorități în materie de politică pentru viitor, ținând cont de opinia Platformei REFIT și fără a aduce atingere propunerii Comisiei de revizuire a cadrului financiar multianual. În ceea ce privește poziția fermierilor în cadrul lanțului de aprovizionare cu produse alimentare, în lumina rezultatului lucrărilor în curs ale Grupului operativ privind piețele agricole și ale Forumului la nivel înalt pentru îmbunătățirea funcționării lanțului de aprovizionare cu alimente, Comisia va avea în vedere întreprinderea de acțiuni suplimentare, dacă va fi necesar.</w:t>
      </w:r>
    </w:p>
    <w:p>
      <w:pPr>
        <w:keepNext/>
        <w:tabs>
          <w:tab w:val="left" w:pos="284"/>
        </w:tabs>
        <w:spacing w:after="240"/>
        <w:jc w:val="both"/>
        <w:rPr>
          <w:rFonts w:ascii="Times New Roman" w:hAnsi="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O piață unică digitală conectată</w:t>
      </w:r>
    </w:p>
    <w:p>
      <w:pPr>
        <w:tabs>
          <w:tab w:val="left" w:pos="284"/>
        </w:tabs>
        <w:spacing w:after="240"/>
        <w:jc w:val="both"/>
        <w:rPr>
          <w:rFonts w:ascii="Times New Roman" w:hAnsi="Times New Roman"/>
          <w:noProof/>
          <w:sz w:val="24"/>
          <w:szCs w:val="24"/>
        </w:rPr>
      </w:pPr>
      <w:r>
        <w:rPr>
          <w:rFonts w:ascii="Times New Roman" w:hAnsi="Times New Roman"/>
          <w:i/>
          <w:noProof/>
          <w:sz w:val="24"/>
        </w:rPr>
        <w:t>O Europă care oferă pârghii pentru reușită cetățenilor și întreprinderilor sale.</w:t>
      </w:r>
      <w:r>
        <w:rPr>
          <w:rFonts w:ascii="Times New Roman" w:hAnsi="Times New Roman"/>
          <w:noProof/>
          <w:sz w:val="24"/>
        </w:rPr>
        <w:t xml:space="preserve"> Tehnologiile și comunicațiile digitale pătrund în fiecare aspect al vieții, oferindu-ne noi oportunități în materie de creativitate, de desfășurare a unei activități economice și de ocupare a forței de muncă, evidențiind totodată și nevoia de încredere și de securitate informatică. Valorificarea pe deplin a potențialului de creștere suplimentară al unei piețe unice digitale conectate prin finalizarea punerii în aplicare a strategiei va rămâne una dintre prioritățile agendei pe 2017. Așa cum am anunțat în programul de lucru pe anul trecut, în următoarele câteva luni vom prezenta propunerile rămase, cum ar fi Pachetul REFIT privind taxa pe valoarea adăugată (TVA), din care fac parte propuneri privind comerțul electronic, publicațiile electronice și cărțile electronice și inițiative referitoare la promovarea economiei bazate pe date, fiind abordate inclusiv barierele nejustificate din calea fluxului liber de date în Europa.</w:t>
      </w:r>
    </w:p>
    <w:p>
      <w:pPr>
        <w:tabs>
          <w:tab w:val="left" w:pos="284"/>
        </w:tabs>
        <w:spacing w:after="240"/>
        <w:jc w:val="both"/>
        <w:rPr>
          <w:rFonts w:ascii="Times New Roman" w:hAnsi="Times New Roman"/>
          <w:noProof/>
          <w:sz w:val="24"/>
          <w:szCs w:val="24"/>
        </w:rPr>
      </w:pPr>
      <w:r>
        <w:rPr>
          <w:rFonts w:ascii="Times New Roman" w:hAnsi="Times New Roman"/>
          <w:noProof/>
          <w:sz w:val="24"/>
        </w:rPr>
        <w:t>Vom acorda o atenție deosebită unei colaborări strânse cu colegiuitorii pentru a înregistra progrese rapide cu privire la propunerile prezentate deja. Printre acestea se numără propunerile privind contractele digitale</w:t>
      </w:r>
      <w:r>
        <w:rPr>
          <w:rStyle w:val="FootnoteReference"/>
          <w:rFonts w:ascii="Times New Roman" w:hAnsi="Times New Roman"/>
          <w:noProof/>
          <w:sz w:val="24"/>
        </w:rPr>
        <w:footnoteReference w:id="15"/>
      </w:r>
      <w:r>
        <w:rPr>
          <w:rFonts w:ascii="Times New Roman" w:hAnsi="Times New Roman"/>
          <w:noProof/>
          <w:sz w:val="24"/>
        </w:rPr>
        <w:t>, dreptul de autor</w:t>
      </w:r>
      <w:r>
        <w:rPr>
          <w:rStyle w:val="FootnoteReference"/>
          <w:rFonts w:ascii="Times New Roman" w:hAnsi="Times New Roman"/>
          <w:noProof/>
          <w:sz w:val="24"/>
        </w:rPr>
        <w:footnoteReference w:id="16"/>
      </w:r>
      <w:r>
        <w:rPr>
          <w:rFonts w:ascii="Times New Roman" w:hAnsi="Times New Roman"/>
          <w:noProof/>
          <w:sz w:val="24"/>
        </w:rPr>
        <w:t>, geoblocarea</w:t>
      </w:r>
      <w:r>
        <w:rPr>
          <w:rStyle w:val="FootnoteReference"/>
          <w:rFonts w:ascii="Times New Roman" w:hAnsi="Times New Roman"/>
          <w:noProof/>
          <w:sz w:val="24"/>
        </w:rPr>
        <w:footnoteReference w:id="17"/>
      </w:r>
      <w:r>
        <w:rPr>
          <w:rFonts w:ascii="Times New Roman" w:hAnsi="Times New Roman"/>
          <w:noProof/>
          <w:sz w:val="24"/>
        </w:rPr>
        <w:t>, portabilitatea</w:t>
      </w:r>
      <w:r>
        <w:rPr>
          <w:rStyle w:val="FootnoteReference"/>
          <w:rFonts w:ascii="Times New Roman" w:hAnsi="Times New Roman"/>
          <w:noProof/>
          <w:sz w:val="24"/>
        </w:rPr>
        <w:footnoteReference w:id="18"/>
      </w:r>
      <w:r>
        <w:rPr>
          <w:rFonts w:ascii="Times New Roman" w:hAnsi="Times New Roman"/>
          <w:noProof/>
          <w:sz w:val="24"/>
        </w:rPr>
        <w:t>, livrarea pachetelor</w:t>
      </w:r>
      <w:r>
        <w:rPr>
          <w:rStyle w:val="FootnoteReference"/>
          <w:rFonts w:ascii="Times New Roman" w:hAnsi="Times New Roman"/>
          <w:noProof/>
          <w:sz w:val="24"/>
        </w:rPr>
        <w:footnoteReference w:id="19"/>
      </w:r>
      <w:r>
        <w:rPr>
          <w:rFonts w:ascii="Times New Roman" w:hAnsi="Times New Roman"/>
          <w:noProof/>
          <w:sz w:val="24"/>
        </w:rPr>
        <w:t>, serviciile mass-media audiovizuale</w:t>
      </w:r>
      <w:r>
        <w:rPr>
          <w:rStyle w:val="FootnoteReference"/>
          <w:rFonts w:ascii="Times New Roman" w:hAnsi="Times New Roman"/>
          <w:noProof/>
          <w:sz w:val="24"/>
        </w:rPr>
        <w:footnoteReference w:id="20"/>
      </w:r>
      <w:r>
        <w:rPr>
          <w:rFonts w:ascii="Times New Roman" w:hAnsi="Times New Roman"/>
          <w:noProof/>
          <w:sz w:val="24"/>
        </w:rPr>
        <w:t>, telecomunicațiile</w:t>
      </w:r>
      <w:r>
        <w:rPr>
          <w:rStyle w:val="FootnoteReference"/>
          <w:rFonts w:ascii="Times New Roman" w:hAnsi="Times New Roman"/>
          <w:noProof/>
          <w:sz w:val="24"/>
        </w:rPr>
        <w:footnoteReference w:id="21"/>
      </w:r>
      <w:r>
        <w:rPr>
          <w:rFonts w:ascii="Times New Roman" w:hAnsi="Times New Roman"/>
          <w:noProof/>
          <w:sz w:val="24"/>
        </w:rPr>
        <w:t>, utilizarea benzii de frecvențe de 700 MHz pentru serviciile mobile</w:t>
      </w:r>
      <w:r>
        <w:rPr>
          <w:rStyle w:val="FootnoteReference"/>
          <w:rFonts w:ascii="Times New Roman" w:hAnsi="Times New Roman"/>
          <w:noProof/>
          <w:sz w:val="24"/>
        </w:rPr>
        <w:footnoteReference w:id="22"/>
      </w:r>
      <w:r>
        <w:rPr>
          <w:rFonts w:ascii="Times New Roman" w:hAnsi="Times New Roman"/>
          <w:noProof/>
          <w:sz w:val="24"/>
        </w:rPr>
        <w:t xml:space="preserve"> și propunerea noastră recentă „Wi</w:t>
      </w:r>
      <w:r>
        <w:rPr>
          <w:rFonts w:ascii="Times New Roman" w:hAnsi="Times New Roman" w:cs="Times New Roman"/>
          <w:noProof/>
          <w:sz w:val="24"/>
        </w:rPr>
        <w:t>­</w:t>
      </w:r>
      <w:r>
        <w:rPr>
          <w:rFonts w:ascii="Times New Roman" w:hAnsi="Times New Roman"/>
          <w:noProof/>
          <w:sz w:val="24"/>
        </w:rPr>
        <w:t>Fi pentru Europa” (WiFi4EU)</w:t>
      </w:r>
      <w:r>
        <w:rPr>
          <w:rStyle w:val="FootnoteReference"/>
          <w:rFonts w:ascii="Times New Roman" w:hAnsi="Times New Roman"/>
          <w:noProof/>
          <w:sz w:val="24"/>
        </w:rPr>
        <w:footnoteReference w:id="23"/>
      </w:r>
      <w:r>
        <w:rPr>
          <w:rFonts w:ascii="Times New Roman" w:hAnsi="Times New Roman"/>
          <w:noProof/>
          <w:sz w:val="24"/>
        </w:rPr>
        <w:t>. Conectivitatea este esențială, iar Comisia își va ține promisiunea de a elimina tarifele de roaming până la jumătatea anului 2017. Vom analiza progresele înregistrate în ceea ce privește finalizarea pieței unice digitale și vom identifica domeniile în care mai sunt nevoie eforturi din partea colegiuitorilor și orice alte propuneri necesare.</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O uniune energetică rezilientă, cu o politică privind schimbările climatice orientată spre viitor</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 xml:space="preserve">O Europă care își asumă răspunderea de a-și ține promisiunile făcute. </w:t>
      </w:r>
      <w:r>
        <w:rPr>
          <w:rFonts w:ascii="Times New Roman" w:hAnsi="Times New Roman"/>
          <w:noProof/>
          <w:sz w:val="24"/>
        </w:rPr>
        <w:t>Ratificarea rapidă a Acordului de la Paris a demonstrat faptul că statele membre pot găsi un teren comun atunci când este clar că, acționând împreună, impactul Uniunii este mai mare decât cel al simplei însumări a acțiunilor individuale ale statelor membre, confirmând totodată rolul UE de lider la nivel mondial în ceea ce privește schimbările climatice. Acum, este necesar să ne onorăm angajamentele pe care ni le-am asumat, pentru ca modernizarea economiei noastre să devină realitate și să asigurăm, în același timp, o tranziție echitabilă din punct de vedere social. Punerea în aplicare a Acordului de la Paris și a Acordului internațional privind emisiile provenite de la aeronave (Organizația Aviației Civile Internaționale) este o prioritate în acest context.</w:t>
      </w:r>
    </w:p>
    <w:p>
      <w:pPr>
        <w:tabs>
          <w:tab w:val="left" w:pos="284"/>
        </w:tabs>
        <w:spacing w:after="240"/>
        <w:jc w:val="both"/>
        <w:rPr>
          <w:rFonts w:ascii="Times New Roman" w:hAnsi="Times New Roman" w:cs="Times New Roman"/>
          <w:b/>
          <w:noProof/>
          <w:sz w:val="24"/>
          <w:szCs w:val="24"/>
        </w:rPr>
      </w:pPr>
      <w:r>
        <w:rPr>
          <w:rFonts w:ascii="Times New Roman" w:hAnsi="Times New Roman"/>
          <w:noProof/>
          <w:sz w:val="24"/>
        </w:rPr>
        <w:t>După cum am anunțat deja, vom continua punerea în aplicare a Strategiei noastre privind uniunea energetică și vom prezenta, până la sfârșitul acestui an, un pachet cuprinzător ce vizează gestionarea modernizării economiei prin acordarea unui rol primordial eficienței energetice, urmărirea obiectivului ambițios ca UE să devină numărul unu mondial în domeniul energiilor din surse regenerabile și oferirea consumatorilor a unor condiții echitabile. Aceasta implică acțiuni legislative privind eficiența energetică, energia din surse regenerabile, inclusiv sustenabilitatea bioenergiei, organizarea pieței energiei electrice și normele în materie de guvernanță pentru uniunea energetică. O inițiativă ce vizează accelerarea inovării în materie de energie curată va sprijini cercetarea și preluarea pe piață a inovațiilor tehnologice necesare pentru eficiența energetică și pentru ca sursele regenerabile de energie să îndeplinească obiectivele privind decarbonizarea stabilite de Acordul de la Paris și obiectivele noastre pentru anul 2030. Toate propunerile legislative legate de uniunea energetică prezentate de către Comisie în 2015 și 2016 trebuie dezbătute în mod prioritar de către Parlament și Consiliu. Printre acestea se numără pachetul menționat mai sus, propunerile privind securitatea aprovizionării cu gaze</w:t>
      </w:r>
      <w:r>
        <w:rPr>
          <w:rStyle w:val="FootnoteReference"/>
          <w:rFonts w:ascii="Times New Roman" w:hAnsi="Times New Roman"/>
          <w:noProof/>
          <w:sz w:val="24"/>
        </w:rPr>
        <w:footnoteReference w:id="24"/>
      </w:r>
      <w:r>
        <w:rPr>
          <w:rFonts w:ascii="Times New Roman" w:hAnsi="Times New Roman"/>
          <w:noProof/>
          <w:sz w:val="24"/>
        </w:rPr>
        <w:t>, schema UE de comercializare a certificatelor de emisii</w:t>
      </w:r>
      <w:r>
        <w:rPr>
          <w:rStyle w:val="FootnoteReference"/>
          <w:rFonts w:ascii="Times New Roman" w:hAnsi="Times New Roman"/>
          <w:noProof/>
          <w:sz w:val="24"/>
        </w:rPr>
        <w:footnoteReference w:id="25"/>
      </w:r>
      <w:r>
        <w:rPr>
          <w:rFonts w:ascii="Times New Roman" w:hAnsi="Times New Roman"/>
          <w:noProof/>
          <w:sz w:val="24"/>
        </w:rPr>
        <w:t xml:space="preserve"> și normele conexe privind partajarea eforturilor</w:t>
      </w:r>
      <w:r>
        <w:rPr>
          <w:rStyle w:val="FootnoteReference"/>
          <w:rFonts w:ascii="Times New Roman" w:hAnsi="Times New Roman"/>
          <w:noProof/>
          <w:sz w:val="24"/>
        </w:rPr>
        <w:footnoteReference w:id="26"/>
      </w:r>
      <w:r>
        <w:rPr>
          <w:rFonts w:ascii="Times New Roman" w:hAnsi="Times New Roman"/>
          <w:noProof/>
          <w:sz w:val="24"/>
        </w:rPr>
        <w:t xml:space="preserve"> și destinația terenurilor și silvicultura</w:t>
      </w:r>
      <w:r>
        <w:rPr>
          <w:rStyle w:val="FootnoteReference"/>
          <w:rFonts w:ascii="Times New Roman" w:hAnsi="Times New Roman"/>
          <w:noProof/>
          <w:sz w:val="24"/>
        </w:rPr>
        <w:footnoteReference w:id="27"/>
      </w:r>
      <w:r>
        <w:rPr>
          <w:rFonts w:ascii="Times New Roman" w:hAnsi="Times New Roman"/>
          <w:noProof/>
          <w:sz w:val="24"/>
        </w:rPr>
        <w: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De asemenea, vom întreprinde acțiuni pentru a transpune în practică Strategia noastră privind mobilitatea cu emisii scăzute prezentată în luna iulie, urmărind obiective precum sporirea eficienței transporturilor, răspunzând necesităților în materie de mobilitate ale persoanelor și ale bunurilor și promovând emisii mai scăzute, inclusiv o trecere treptată la vehicule cu emisii zero, ceea ce va consolida totodată competitivitatea industriei. În acest sens, într-o primă etapă vom prezenta revizuiri REFIT ale Regulamentelor privind autoturismele și vehiculele comerciale ușoare, propunând strategii care stabilesc standarde de emisii de dioxid de carbon zero și scăzute pentru perioada de după 2020, și ale Directivei privind vehiculele nepoluante, pentru a îmbunătăți stimulentele pentru achiziții și normele în materie. În aplicarea principiilor „utilizatorul plătește” și „poluatorul plătește”, intenționăm să propunem îmbunătățiri pentru acele state membre care aleg să utilizeze taxarea rutieră, inclusiv pentru interoperabilitatea serviciilor de taxare rutieră electronică.</w:t>
      </w:r>
    </w:p>
    <w:p>
      <w:pPr>
        <w:keepNext/>
        <w:tabs>
          <w:tab w:val="left" w:pos="284"/>
        </w:tabs>
        <w:spacing w:after="240"/>
        <w:jc w:val="both"/>
        <w:rPr>
          <w:rFonts w:ascii="Times New Roman" w:hAnsi="Times New Roman" w:cs="Times New Roman"/>
          <w:b/>
          <w:noProof/>
          <w:sz w:val="24"/>
          <w:szCs w:val="24"/>
        </w:rPr>
      </w:pPr>
      <w:r>
        <w:rPr>
          <w:rFonts w:ascii="Times New Roman" w:hAnsi="Times New Roman"/>
          <w:b/>
          <w:noProof/>
          <w:sz w:val="24"/>
        </w:rPr>
        <w:t xml:space="preserve">4. </w:t>
      </w:r>
      <w:r>
        <w:rPr>
          <w:noProof/>
        </w:rPr>
        <w:tab/>
      </w:r>
      <w:r>
        <w:rPr>
          <w:rFonts w:ascii="Times New Roman" w:hAnsi="Times New Roman"/>
          <w:b/>
          <w:noProof/>
          <w:sz w:val="24"/>
        </w:rPr>
        <w:t>O piață internă mai profundă și mai echitabilă, cu o bază industrială consolidată</w:t>
      </w:r>
    </w:p>
    <w:p>
      <w:pPr>
        <w:jc w:val="both"/>
        <w:rPr>
          <w:rFonts w:ascii="Times New Roman" w:hAnsi="Times New Roman" w:cs="Times New Roman"/>
          <w:noProof/>
          <w:sz w:val="24"/>
          <w:szCs w:val="24"/>
        </w:rPr>
      </w:pPr>
      <w:r>
        <w:rPr>
          <w:rFonts w:ascii="Times New Roman" w:hAnsi="Times New Roman"/>
          <w:i/>
          <w:noProof/>
          <w:sz w:val="24"/>
        </w:rPr>
        <w:t>O Europă care își aduce o contribuție importantă la ocuparea forței de muncă și la creșterea economică și care își apără industria.</w:t>
      </w:r>
      <w:r>
        <w:rPr>
          <w:rFonts w:ascii="Times New Roman" w:hAnsi="Times New Roman"/>
          <w:noProof/>
          <w:sz w:val="24"/>
        </w:rPr>
        <w:t xml:space="preserve"> Libera circulație a mărfurilor, persoanelor, serviciilor și capitalurilor reprezintă baza puterii economice a Europei. Avem cea mai mare piață unică din lume, iar reformele prevăzute în Strategia privind piața unică vizează valorificarea întregului său potențial. În sinergie cu celelalte strategii ale noastre, se vor crea astfel condițiile adecvate pentru competitivitatea durabilă a economiei europene și pentru sprijinirea inovării, a digitalizării și a transformării industriale.</w:t>
      </w:r>
    </w:p>
    <w:p>
      <w:pPr>
        <w:jc w:val="both"/>
        <w:rPr>
          <w:rFonts w:ascii="Times New Roman" w:hAnsi="Times New Roman" w:cs="Times New Roman"/>
          <w:noProof/>
          <w:sz w:val="24"/>
          <w:szCs w:val="24"/>
        </w:rPr>
      </w:pPr>
      <w:r>
        <w:rPr>
          <w:rFonts w:ascii="Times New Roman" w:hAnsi="Times New Roman"/>
          <w:noProof/>
          <w:sz w:val="24"/>
        </w:rPr>
        <w:t>Măsurile viitoare, anunțate deja, se referă la ajutarea IMM-urilor și a întreprinderilor nou</w:t>
      </w:r>
      <w:r>
        <w:rPr>
          <w:rFonts w:ascii="Times New Roman" w:hAnsi="Times New Roman" w:cs="Times New Roman"/>
          <w:noProof/>
          <w:sz w:val="24"/>
        </w:rPr>
        <w:t>­</w:t>
      </w:r>
      <w:r>
        <w:rPr>
          <w:rFonts w:ascii="Times New Roman" w:hAnsi="Times New Roman"/>
          <w:noProof/>
          <w:sz w:val="24"/>
        </w:rPr>
        <w:t>înființate să se dezvolte, la elaborarea unui Pachet privind drepturile de proprietate intelectuală și a unui pachet privind serviciile, ce vizează eliminarea barierelor de pe piața serviciilor. Vom prezenta o inițiativă în materie de drept al societăților comerciale ce își propune facilitarea utilizării tehnologiilor digitale pe tot parcursul ciclului de viață al unei întreprinderi, precum și în materie de fuziuni și divizări transfrontaliere.</w:t>
      </w:r>
    </w:p>
    <w:p>
      <w:pPr>
        <w:jc w:val="both"/>
        <w:rPr>
          <w:rFonts w:ascii="Times New Roman" w:hAnsi="Times New Roman" w:cs="Times New Roman"/>
          <w:noProof/>
          <w:sz w:val="24"/>
          <w:szCs w:val="24"/>
        </w:rPr>
      </w:pPr>
      <w:r>
        <w:rPr>
          <w:rFonts w:ascii="Times New Roman" w:hAnsi="Times New Roman"/>
          <w:noProof/>
          <w:sz w:val="24"/>
        </w:rPr>
        <w:t>Anul viitor, Comisia va acționa în direcția consolidării pieței unice a mărfurilor, în special prin facilitarea recunoașterii reciproce și prin abordarea numărului tot mai mare de produse neconforme de pe piața UE prin intermediul revizuirilor REFIT ale legislației relevante. Acest lucru le va permite antreprenorilor să își ofere mai ușor produsele în alte state membre, furnizând totodată stimulente pentru încurajarea respectării reglementărilor și restabilind condiții de concurență echitabile, în beneficiul întreprinderilor și al cetățenilor. De asemenea, vom introduce o inițiativă privind evaluările coordonate ale tehnologiei medicale.</w:t>
      </w:r>
    </w:p>
    <w:p>
      <w:pPr>
        <w:jc w:val="both"/>
        <w:rPr>
          <w:rFonts w:ascii="Times New Roman" w:hAnsi="Times New Roman" w:cs="Times New Roman"/>
          <w:noProof/>
          <w:sz w:val="24"/>
          <w:szCs w:val="24"/>
        </w:rPr>
      </w:pPr>
      <w:r>
        <w:rPr>
          <w:rFonts w:ascii="Times New Roman" w:hAnsi="Times New Roman"/>
          <w:noProof/>
          <w:sz w:val="24"/>
        </w:rPr>
        <w:t>Pe baza Strategiei privind o mobilitate cu emisii scăzute, Comisia va aborda într-un mod integrat aspecte precum mobilitatea, conectivitatea și viitorul industriei autovehiculelor, care trebuie să facă față provocărilor de natură structurală și să recâștige încrederea cetățenilor în angajamentul său și în capacitatea sa de a gestiona problema emisiilor generate de autovehicule. Vom continua, în special, să întreprindem măsuri cu privire la cadrul de reglementare, la construirea de ecosisteme, la utilizarea eficientă a resurselor și la standardizare, pentru a facilita introducerea pe piață a unor vehicule conectate și autonome tot mai eficiente.</w:t>
      </w:r>
    </w:p>
    <w:p>
      <w:pPr>
        <w:jc w:val="both"/>
        <w:rPr>
          <w:rFonts w:ascii="Times New Roman" w:hAnsi="Times New Roman" w:cs="Times New Roman"/>
          <w:noProof/>
          <w:sz w:val="24"/>
          <w:szCs w:val="24"/>
        </w:rPr>
      </w:pPr>
      <w:r>
        <w:rPr>
          <w:rFonts w:ascii="Times New Roman" w:hAnsi="Times New Roman"/>
          <w:noProof/>
          <w:sz w:val="24"/>
        </w:rPr>
        <w:t>În ceea ce privește industria spațială, ca măsură luată în continuarea Planului de acțiune european în domeniul apărării și a Strategiei spațiale pentru Europa, Comisia va prezenta în 2017 o inițiativă care să asigure servicii de comunicații prin satelit fiabile, sigure și eficiente din punctul de vedere al costurilor pentru autoritățile publice (GOVSATCOM – comunicații guvernamentale prin satelit), precum și măsuri de facilitare a penetrării pe piață a serviciilor și datelor spațiale.</w:t>
      </w:r>
    </w:p>
    <w:p>
      <w:pPr>
        <w:jc w:val="both"/>
        <w:rPr>
          <w:rFonts w:ascii="Times New Roman" w:hAnsi="Times New Roman" w:cs="Times New Roman"/>
          <w:noProof/>
          <w:sz w:val="24"/>
          <w:szCs w:val="24"/>
        </w:rPr>
      </w:pPr>
      <w:r>
        <w:rPr>
          <w:rFonts w:ascii="Times New Roman" w:hAnsi="Times New Roman"/>
          <w:noProof/>
          <w:sz w:val="24"/>
        </w:rPr>
        <w:t>Asigurarea respectării normelor privind piața unică este esențială pentru ca acestea să dea rezultate pe teren. În 2017, Comisia va prezenta, ca parte a unui proces mai amplu de asigurare a respectării legislației, propuneri de modernizare și de raționalizare a instrumentelor de soluționare a problemelor, inclusiv a rețelei SOLVIT, și va promova cunoașterea de către cetățeni și întreprinderi a drepturilor pe care le au. Printre instrumentele cu ajutorul cărora va face acest lucru se vor număra Instrumentul de informare privind piața unică și Portalul digital unic, pentru a sprijini întreprinderile și a le ajuta să desfășoare activități transfrontaliere în cadrul întregii piețe unice, ținând seama de o opinie a Platformei REFIT. Vor fi prezentate propuneri prin care autoritățile naționale din domeniul concurenței să fie și mai eficace în asigurarea respectării normelor care garantează un mediu concurențial pe piața unică.</w:t>
      </w:r>
    </w:p>
    <w:p>
      <w:pPr>
        <w:jc w:val="both"/>
        <w:rPr>
          <w:rFonts w:ascii="Times New Roman" w:hAnsi="Times New Roman" w:cs="Times New Roman"/>
          <w:noProof/>
          <w:sz w:val="24"/>
          <w:szCs w:val="24"/>
        </w:rPr>
      </w:pPr>
      <w:r>
        <w:rPr>
          <w:rFonts w:ascii="Times New Roman" w:hAnsi="Times New Roman"/>
          <w:noProof/>
          <w:sz w:val="24"/>
        </w:rPr>
        <w:t>În conformitate cu solicitarea Consiliului European de a se înregistra progrese rapide în asigurarea unui acces mai ușor la finanțare pentru întreprinderi, precum și de a sprijini investițiile în economia reală, Comisia va prezenta o evaluare la jumătatea perioadei a Planului de acțiune privind uniunea piețelor de capital, care va identifica obstacolele rămase și orice măsuri suplimentare necesare. Vom propune un produs simplu, eficient și competitiv de pensie personală la nivelul UE, ce vizează reducerea barierelor din calea prestării de servicii de pensii la nivel transfrontalier și o mai mare concurență între furnizorii de pensii, o revizuire REFIT a Regulamentului privind infrastructura pieței europene (EMIR), o strategie privind finanțarea durabilă, măsuri de facilitare a finanțării societăților active în sectoarele legate de infrastructură (</w:t>
      </w:r>
      <w:r>
        <w:rPr>
          <w:rFonts w:ascii="Times New Roman" w:hAnsi="Times New Roman"/>
          <w:i/>
          <w:noProof/>
          <w:sz w:val="24"/>
        </w:rPr>
        <w:t>infrastructure corporates</w:t>
      </w:r>
      <w:r>
        <w:rPr>
          <w:rFonts w:ascii="Times New Roman" w:hAnsi="Times New Roman"/>
          <w:noProof/>
          <w:sz w:val="24"/>
        </w:rPr>
        <w:t>) și un plan de acțiune privind serviciile financiare cu amănuntul, pentru a elimina barierele naționale care îi împiedică pe consumatori să obțină ofertele cele mai avantajoase, un evantai cât mai larg de opțiuni și prețuri și să beneficieze de pe urma noilor tehnologii financiare. De asemenea, Comisia va asigura întreprinderea de măsuri ca urmare a cererii de contribuții privind impactul cumulativ al legislației financiare, ținând seama și de opinia Platformei REFIT privind cerințele de raportare. În plus, vom prezenta celelalte propuneri anunțate deja, inclusiv acte legislative privind restructurarea întreprinderilor și a doua șansă, astfel încât, atunci când întreprinderile eșuează, acestea să fie lichidate în mod corect și eficient, iar antreprenorii să aibă șansa unui nou început.</w:t>
      </w:r>
    </w:p>
    <w:p>
      <w:pPr>
        <w:jc w:val="both"/>
        <w:rPr>
          <w:rFonts w:ascii="Times New Roman" w:hAnsi="Times New Roman" w:cs="Times New Roman"/>
          <w:noProof/>
          <w:sz w:val="24"/>
          <w:szCs w:val="24"/>
        </w:rPr>
      </w:pPr>
      <w:r>
        <w:rPr>
          <w:rFonts w:ascii="Times New Roman" w:hAnsi="Times New Roman"/>
          <w:noProof/>
          <w:sz w:val="24"/>
        </w:rPr>
        <w:t>Un mediu fiscal solid trebuie să fie simplu și eficient pentru întreprinderile care desfășoară activități transfrontaliere și să garanteze, în același timp, faptul că acestea plătesc impozite în mod echitabil și efectiv în locul în care obțin efectiv profiturile. În paralel cu prezentul program de lucru, Comisia relansează baza fiscală consolidată comună a societăților, care comportă ca o primă etapă o bază fiscală comună obligatorie</w:t>
      </w:r>
      <w:r>
        <w:rPr>
          <w:rStyle w:val="FootnoteReference"/>
          <w:rFonts w:ascii="Times New Roman" w:hAnsi="Times New Roman"/>
          <w:noProof/>
          <w:sz w:val="24"/>
        </w:rPr>
        <w:footnoteReference w:id="28"/>
      </w:r>
      <w:r>
        <w:rPr>
          <w:rFonts w:ascii="Times New Roman" w:hAnsi="Times New Roman"/>
          <w:noProof/>
          <w:sz w:val="24"/>
        </w:rPr>
        <w:t>. Comisia prezintă, de asemenea, măsuri suplimentare de combatere a fraudei și a evaziunii fiscale, inclusiv prin intermediul țărilor terțe</w:t>
      </w:r>
      <w:r>
        <w:rPr>
          <w:rStyle w:val="FootnoteReference"/>
          <w:rFonts w:ascii="Times New Roman" w:hAnsi="Times New Roman"/>
          <w:noProof/>
          <w:sz w:val="24"/>
        </w:rPr>
        <w:footnoteReference w:id="29"/>
      </w:r>
      <w:r>
        <w:rPr>
          <w:rFonts w:ascii="Times New Roman" w:hAnsi="Times New Roman"/>
          <w:noProof/>
          <w:sz w:val="24"/>
        </w:rPr>
        <w:t xml:space="preserve">. Ținând seama de consultarea în curs, măsurile suplimentare din domeniul transparenței fiscale pentru anul următor ar putea include o propunere de sporire a monitorizării promotorilor și facilitatorilor sistemelor de planificare fiscală agresivă. O componentă esențială a Strategiei externe pentru impozitarea eficace o va reprezenta conlucrarea dintre Comisie și statele membre în vederea finalizării unei liste a UE a jurisdicțiilor din țările terțe care nu respectă standardele internaționale în materie de bună guvernanță fiscală și nu pun în aplicare acordurile internaționale relevante privind cele mai bune practici de combatere a transferului profiturilor și a erodării bazei impozabile. </w:t>
      </w:r>
    </w:p>
    <w:p>
      <w:pPr>
        <w:jc w:val="both"/>
        <w:rPr>
          <w:rFonts w:ascii="Times New Roman" w:hAnsi="Times New Roman" w:cs="Times New Roman"/>
          <w:noProof/>
          <w:sz w:val="24"/>
          <w:szCs w:val="24"/>
        </w:rPr>
      </w:pPr>
      <w:r>
        <w:rPr>
          <w:rFonts w:ascii="Times New Roman" w:hAnsi="Times New Roman"/>
          <w:noProof/>
          <w:sz w:val="24"/>
        </w:rPr>
        <w:t>În fiecare an, fraudele transfrontaliere privind TVA-ul înseamnă pentru contribuabilii din statele noastre membre pierderi de aproximativ 50 de miliarde EUR. În același timp, pentru întreprinderile mici, sarcina administrativă a îndeplinirii obligațiilor în materie de TVA este oneroasă, iar inovațiile tehnice implică noi dificultăți în ceea ce privește colectarea eficace a impozitelor. Prin urmare, Comisia va propune măsuri de punere în aplicare a Planului de acțiune privind TVA-ul, de simplificare a TVA-ului pentru întreprinderile mai mici și de instituire a bazelor unui regim definitiv privind TVA-ul la nivelul întregii Europe care să fie modern, mai eficient, favorabil activităților economice și invulnerabil la fraude, ținând cont de opiniile Platformei REFIT. Un element-cheie al acestei reforme îl reprezintă o abordare mai eficace și mai proporțională cu privire la ratele TVA-ului.</w:t>
      </w:r>
    </w:p>
    <w:p>
      <w:pPr>
        <w:keepNext/>
        <w:tabs>
          <w:tab w:val="left" w:pos="284"/>
        </w:tabs>
        <w:spacing w:after="240"/>
        <w:jc w:val="both"/>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O uniune economică și monetară mai aprofundată și mai echitabilă</w:t>
      </w:r>
    </w:p>
    <w:p>
      <w:pPr>
        <w:spacing w:after="120"/>
        <w:jc w:val="both"/>
        <w:rPr>
          <w:rFonts w:ascii="Times New Roman" w:hAnsi="Times New Roman" w:cs="Times New Roman"/>
          <w:noProof/>
          <w:sz w:val="24"/>
          <w:szCs w:val="24"/>
        </w:rPr>
      </w:pPr>
      <w:r>
        <w:rPr>
          <w:rFonts w:ascii="Times New Roman" w:hAnsi="Times New Roman"/>
          <w:i/>
          <w:noProof/>
          <w:sz w:val="24"/>
        </w:rPr>
        <w:t>O Europă care ne protejează economiile și care asigură condiții de concurență echitabile pentru lucrători și întreprinderi.</w:t>
      </w:r>
      <w:r>
        <w:rPr>
          <w:rFonts w:ascii="Times New Roman" w:hAnsi="Times New Roman"/>
          <w:noProof/>
          <w:sz w:val="24"/>
        </w:rPr>
        <w:t xml:space="preserve"> Fiind o monedă recunoscută la nivel mondial, euro reprezintă o sursă de beneficii economice uriașe, care adesea trec neobservate. Țările din zona euro au economisit anul acesta 50 de miliarde EUR în ceea ce privește ratele dobânzii pentru datoriile lor, ca urmare a ratelor scăzute ale dobânzilor și a politicii monetare a Băncii Centrale Europene. Comisia sprijină obiectivele ambițioase și foile de parcurs prezentate în Raportul celor cinci președinți privind finalizarea uniunii economice și monetare (UEM).</w:t>
      </w:r>
    </w:p>
    <w:p>
      <w:pPr>
        <w:spacing w:after="120"/>
        <w:jc w:val="both"/>
        <w:rPr>
          <w:rFonts w:ascii="Times New Roman" w:eastAsia="Calibri" w:hAnsi="Times New Roman" w:cs="Times New Roman"/>
          <w:noProof/>
          <w:sz w:val="24"/>
          <w:szCs w:val="24"/>
        </w:rPr>
      </w:pPr>
      <w:r>
        <w:rPr>
          <w:rFonts w:ascii="Times New Roman" w:hAnsi="Times New Roman"/>
          <w:noProof/>
          <w:sz w:val="24"/>
        </w:rPr>
        <w:t>Cartea albă privind viitorul Europei, care stabilește măsuri referitoare la modul de reformare a unei UE cu 27 de state membre la 60 de ani de la Tratatele de la Roma, va aborda, de asemenea, viitorul UEM, pentru a pregăti etapa a doua a aprofundării UEM în noul context politic și democratic, care include o revizuire orientată spre stabilitate a Pactului de stabilitate și de creștere și măsuri întreprinse în baza articolului 16 din Tratatul privind stabilitatea, coordonarea și guvernanța în cadrul uniunii economice și monetare (încorporând elementele de fond ale acestui tratat în cadrul juridic al Uniunii Europene). Vom revizui, de asemenea, Sistemul european de supraveghere financiară (SESF) pentru a consolida eficacitatea și eficiența supravegherii atât la nivel macroprudențial, cât și microprudențial. Ar trebui accelerată adoptarea propunerii privind o reprezentare unificată a zonei euro în cadrul Fondului Monetar Internațional</w:t>
      </w:r>
      <w:r>
        <w:rPr>
          <w:rStyle w:val="FootnoteReference"/>
          <w:rFonts w:ascii="Times New Roman" w:hAnsi="Times New Roman"/>
          <w:noProof/>
          <w:sz w:val="24"/>
        </w:rPr>
        <w:footnoteReference w:id="30"/>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Finalizarea uniunii bancare și, în acest context, ajungerea la un acord cu privire la Propunerea privind un sistem european de asigurare a depozitelor</w:t>
      </w:r>
      <w:r>
        <w:rPr>
          <w:rStyle w:val="FootnoteReference"/>
          <w:rFonts w:ascii="Times New Roman" w:hAnsi="Times New Roman"/>
          <w:noProof/>
          <w:sz w:val="24"/>
        </w:rPr>
        <w:footnoteReference w:id="31"/>
      </w:r>
      <w:r>
        <w:rPr>
          <w:rFonts w:ascii="Times New Roman" w:hAnsi="Times New Roman"/>
          <w:noProof/>
          <w:sz w:val="24"/>
        </w:rPr>
        <w:t xml:space="preserve"> rămân o prioritate. De asemenea, în lumina evoluțiilor celor mai recente de la nivel internațional, Comisia va revizui unele părți ale legislației bancare și va propune modificări punctuale ale Regulamentului și Directivei privind cerințele de capital, precum și ale Directivei privind redresarea și rezoluția instituțiilor bancare, pentru ca băncile să devină și mai reziliente, simplificând, în același timp, normele pentru băncile cu un model economic mai puțin complex, promovând investițiile în special în IMM-uri și consolidând măsurile existente de reducere a riscurilor, în special prin punerea în aplicare a standardelor globale privind capacitatea totală de absorbție a pierderilor pentru băncile de importanță sistemică. Este esențială accelerarea obținerii de progrese privind realizarea uniunii piețelor de capital, pentru a promova un nivel mai mare de partajare a riscurilor de către sectorul privat în cadrul UEM. Trebuie accelerată adoptarea propunerilor deja prezentate privind securitizarea</w:t>
      </w:r>
      <w:r>
        <w:rPr>
          <w:rStyle w:val="FootnoteReference"/>
          <w:rFonts w:ascii="Times New Roman" w:hAnsi="Times New Roman"/>
          <w:noProof/>
          <w:sz w:val="24"/>
        </w:rPr>
        <w:footnoteReference w:id="32"/>
      </w:r>
      <w:r>
        <w:rPr>
          <w:rFonts w:ascii="Times New Roman" w:hAnsi="Times New Roman"/>
          <w:noProof/>
          <w:sz w:val="24"/>
        </w:rPr>
        <w:t xml:space="preserve"> și prospectul</w:t>
      </w:r>
      <w:r>
        <w:rPr>
          <w:rStyle w:val="FootnoteReference"/>
          <w:rFonts w:ascii="Times New Roman" w:hAnsi="Times New Roman"/>
          <w:noProof/>
          <w:sz w:val="24"/>
        </w:rPr>
        <w:footnoteReference w:id="33"/>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Comisia și-a asumat angajamentul de a promova convergența socială în sens ascendent și de a consolida dimensiunea socială a integrării europene. Pe baza dovezilor strânse în urma consultării publice din acest an, vom propune un pilon european al drepturilor sociale, care să stabilească principiile unei Uniuni întemeiate pe echitate socială. Acest pilon va institui un cadru de principii ce vizează crearea unor condiții de concurență echitabile în cadrul unei economii sociale de piață europene. Se vor oferi astfel orientări de politică privind realizarea unor piețe ale forței de muncă echitabile și dinamice, în care toată lumea are oportunitatea de a-și valorifica talentul, și privind sisteme de securitate socială care funcționează bine și care sunt durabile, reflectând schimbările rapide care au loc în ziua de azi. Pilonul va fi însoțit de inițiative conexe, cum ar fi inițiativele de abordare a provocărilor legate de echilibrul dintre viața profesională și cea privată cu care se confruntă familiile care muncesc.</w:t>
      </w:r>
    </w:p>
    <w:p>
      <w:pPr>
        <w:keepNext/>
        <w:tabs>
          <w:tab w:val="left" w:pos="284"/>
        </w:tabs>
        <w:spacing w:after="240"/>
        <w:jc w:val="both"/>
        <w:rPr>
          <w:rFonts w:ascii="Times New Roman" w:hAnsi="Times New Roman" w:cs="Times New Roman"/>
          <w:b/>
          <w:noProof/>
          <w:sz w:val="24"/>
          <w:szCs w:val="24"/>
        </w:rPr>
      </w:pPr>
      <w:r>
        <w:rPr>
          <w:rFonts w:ascii="Times New Roman" w:hAnsi="Times New Roman"/>
          <w:b/>
          <w:noProof/>
          <w:sz w:val="24"/>
        </w:rPr>
        <w:t>6.</w:t>
      </w:r>
      <w:r>
        <w:rPr>
          <w:noProof/>
        </w:rPr>
        <w:tab/>
      </w:r>
      <w:r>
        <w:rPr>
          <w:rFonts w:ascii="Times New Roman" w:hAnsi="Times New Roman"/>
          <w:b/>
          <w:noProof/>
          <w:sz w:val="24"/>
        </w:rPr>
        <w:t>Comerț: un acord de liber schimb cu SUA care să fie rezonabil și echilibrat</w:t>
      </w:r>
    </w:p>
    <w:p>
      <w:pPr>
        <w:autoSpaceDE w:val="0"/>
        <w:autoSpaceDN w:val="0"/>
        <w:jc w:val="both"/>
        <w:rPr>
          <w:rFonts w:ascii="Times New Roman" w:hAnsi="Times New Roman"/>
          <w:noProof/>
          <w:sz w:val="24"/>
          <w:szCs w:val="24"/>
        </w:rPr>
      </w:pPr>
      <w:r>
        <w:rPr>
          <w:rFonts w:ascii="Times New Roman" w:hAnsi="Times New Roman"/>
          <w:i/>
          <w:noProof/>
          <w:sz w:val="24"/>
        </w:rPr>
        <w:t>O Europă deschisă, care efectuează schimburi comerciale cu partenerii săi, consolidându-și, în același timp, instrumentele de apărare.</w:t>
      </w:r>
      <w:r>
        <w:rPr>
          <w:rFonts w:ascii="Times New Roman" w:hAnsi="Times New Roman"/>
          <w:noProof/>
          <w:sz w:val="24"/>
        </w:rPr>
        <w:t xml:space="preserve"> În economia globală de azi, comerțul este esențial pentru a avea creștere economică și competitivitate și a crea locuri de muncă. Comerțul înseamnă noi locuri de muncă - fiecare miliard de euro care este obținut din exporturi duce la crearea a 14 000 de noi locuri de muncă în întreaga UE. Peste 30 de milioane de locuri de muncă, și anume 1 din 7 locuri de muncă din UE, depind în prezent de exporturile către restul lumii. Din acest motiv, UE își menține angajamentul față de un sistem comercial deschis, bazat pe norme.</w:t>
      </w:r>
    </w:p>
    <w:p>
      <w:pPr>
        <w:jc w:val="both"/>
        <w:rPr>
          <w:rFonts w:ascii="Times New Roman" w:hAnsi="Times New Roman" w:cs="Times New Roman"/>
          <w:noProof/>
          <w:sz w:val="24"/>
          <w:szCs w:val="24"/>
        </w:rPr>
      </w:pPr>
      <w:r>
        <w:rPr>
          <w:rFonts w:ascii="Times New Roman" w:hAnsi="Times New Roman"/>
          <w:noProof/>
          <w:sz w:val="24"/>
        </w:rPr>
        <w:t>Pe baza succesului rețelei de acorduri de liber schimb ale Uniunii, Comisia va continua negocierile cu SUA, Japonia, Mercosur, Mexic, Tunisia și țările ASEAN. Vom solicita noi mandate de deschidere a negocierilor cu Turcia, Australia, Noua Zeelandă și Chile. Ne vom continua activitatea în cadrul OMC, inclusiv privind acordurile plurilaterale, precum și în vederea ratificării rapide a Acordului economic și comercial cuprinzător (CETA) cu Canada.</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Ne-am asumat, de asemenea, angajamentul de a asigura menținerea echității comerțului, prin actualizarea și modernizarea instrumentelor de apărare comercială ale Europei, pentru a garanta faptul că acestea sunt pe deplin viabile în ciuda noilor provocări economice, ca de exemplu supracapacitatea și schimbarea realităților juridice, cum ar fi expirarea anumitor dispoziții ale protocoalelor de aderare la OMC. Consiliul trebuie acum să pună capăt de urgență blocajului privind propunerea noastră din 2013 de modernizare a instrumentelor de apărare comercială, ce include o reformă a regulii taxei celei mai mici</w:t>
      </w:r>
      <w:r>
        <w:rPr>
          <w:rStyle w:val="FootnoteReference"/>
          <w:rFonts w:ascii="Times New Roman" w:hAnsi="Times New Roman"/>
          <w:noProof/>
          <w:sz w:val="24"/>
        </w:rPr>
        <w:footnoteReference w:id="34"/>
      </w:r>
      <w:r>
        <w:rPr>
          <w:rFonts w:ascii="Times New Roman" w:hAnsi="Times New Roman"/>
          <w:noProof/>
          <w:sz w:val="24"/>
        </w:rPr>
        <w:t>. Consiliul European a făcut apel la 21 octombrie 2016 la toate părțile implicate să ajungă la un acord urgent și echilibrat cu privire la poziția Consiliului referitoare la modernizarea cuprinzătoare a tuturor instrumentelor de apărare comercială până la sfârșitul anului 2016.</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Având în vedere valorile comune ale UE și ale Statelor Unite, precum și importanța strategică, politică și economică a relației transatlantice, Comisia este gata să încheie un acord de parteneriat pentru comerț și investiții (TTIP) ambițios, echilibrat și care să prevadă standarde înalte. Având în vedere faptul că în curând vor avea loc alegeri în SUA și deci, în mod inevitabil, ritmul negocierilor va încetini, ambele părți vor încerca să consolideze progresele înregistrate deja. Comisia este gata să angajeze discuții cu noua administrație a SUA cât mai curând posibil, în baza mandatului acordat, care a fost reconfirmat de Consiliul European la 21 octombrie 2016</w:t>
      </w:r>
      <w:r>
        <w:rPr>
          <w:rStyle w:val="FootnoteReference"/>
          <w:rFonts w:ascii="Times New Roman" w:hAnsi="Times New Roman"/>
          <w:noProof/>
          <w:sz w:val="24"/>
        </w:rPr>
        <w:footnoteReference w:id="35"/>
      </w:r>
      <w:r>
        <w:rPr>
          <w:rFonts w:ascii="Times New Roman" w:hAnsi="Times New Roman"/>
          <w:noProof/>
          <w:sz w:val="24"/>
        </w:rPr>
        <w:t>.</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De asemenea, Comisia va avea un rol de lider în punerea în aplicare a Forumului global privind supracapacitatea siderurgică, sub auspiciile G20.</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7.</w:t>
      </w:r>
      <w:r>
        <w:rPr>
          <w:noProof/>
        </w:rPr>
        <w:tab/>
      </w:r>
      <w:r>
        <w:rPr>
          <w:rFonts w:ascii="Times New Roman" w:hAnsi="Times New Roman"/>
          <w:b/>
          <w:noProof/>
          <w:sz w:val="24"/>
        </w:rPr>
        <w:t>Un spațiu de justiție și de drepturi fundamentale bazat pe încredere reciprocă</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O Europă care apără și păstrează valorile noastre: libertatea, democrația și statul de drept</w:t>
      </w:r>
      <w:r>
        <w:rPr>
          <w:rFonts w:ascii="Times New Roman" w:hAnsi="Times New Roman"/>
          <w:noProof/>
          <w:sz w:val="24"/>
        </w:rPr>
        <w:t>. Securitatea la granițele noastre și în interiorul acestora reprezintă un motiv de preocupare comun și esențial, date fiind actualele amenințări cu care se confruntă Europa. Amenințarea teroristă nu a fost niciodată resimțită pe scară atât de largă în Europa ca acum. Intenționăm să dăm curs Agendei de securitate a UE prin acțiuni care să pregătească realizarea unei uniuni a securității și să întărim controalele la frontiere. Aceste acțiuni vor include instituirea unui sistem al UE de informații și de autorizare privind călătoriile (ETIAS), astfel încât să se efectueze o verificare automatizată a resortisanților țărilor terțe exonerați de obligația de a deține viză care intenționează să călătorească în spațiul Schengen. Acest sistem va completa sistemul de intrare-ieșire pentru resortisanții țărilor terțe propus deja de Comisie</w:t>
      </w:r>
      <w:r>
        <w:rPr>
          <w:rStyle w:val="FootnoteReference"/>
          <w:rFonts w:ascii="Times New Roman" w:hAnsi="Times New Roman"/>
          <w:noProof/>
          <w:sz w:val="24"/>
        </w:rPr>
        <w:footnoteReference w:id="36"/>
      </w:r>
      <w:r>
        <w:rPr>
          <w:rFonts w:ascii="Times New Roman" w:hAnsi="Times New Roman"/>
          <w:noProof/>
          <w:sz w:val="24"/>
        </w:rPr>
        <w:t xml:space="preserve"> și asupra căruia ar trebui să se ajungă rapid la un acord</w:t>
      </w:r>
      <w:r>
        <w:rPr>
          <w:rStyle w:val="FootnoteReference"/>
          <w:rFonts w:ascii="Times New Roman" w:hAnsi="Times New Roman"/>
          <w:noProof/>
          <w:sz w:val="24"/>
        </w:rPr>
        <w:footnoteReference w:id="37"/>
      </w:r>
      <w:r>
        <w:rPr>
          <w:rFonts w:ascii="Times New Roman" w:hAnsi="Times New Roman"/>
          <w:noProof/>
          <w:sz w:val="24"/>
        </w:rPr>
        <w:t>, așa cum este și cazul propunerii noastre privind controalele sistematice ale resortisanților UE care traversează frontierele externe ale UE. Vom prezenta, de asemenea, îmbunătățiri ale Sistemului de informații Schengen și vom asigura o mai mare interoperabilitate între sistemele existente și viitoare de asigurare a respectării legislației și de gestionare a frontierelor, pe baza activității în curs a Grupului la nivel înalt privind sistemele de informații și interoperabilitatea. Vom prezenta, de asemenea, o inițiativă privind accesul la probele electronice, având în vedere importanța tot mai mare a acestora în asigurarea efectuării unor anchete și urmăriri penale eficace pentru combaterea infracțiunilor grave și a terorismului.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În următoarele luni, Comisia va continua punerea în aplicare a Planului de acțiune al UE privind combaterea finanțării terorismului, prin prezentarea de propuneri privind armonizarea sancțiunilor pentru prevenirea spălării banilor, a mișcărilor de numerar ilicite, a comerțului ilicit cu bunuri culturale și pentru înghețarea și confiscarea activelor aparținând infractorilor. Întreprindem, de asemenea, acțiuni în vederea consolidării rolului Europol și, în special, a dotării cu resurse a Centrului european de combatere a terorismului. Vom prezenta lunar un raport cu privire la progresele înregistrate în direcția realizării unei uniuni a securității</w:t>
      </w:r>
      <w:r>
        <w:rPr>
          <w:rStyle w:val="FootnoteReference"/>
          <w:rFonts w:ascii="Times New Roman" w:hAnsi="Times New Roman"/>
          <w:noProof/>
          <w:sz w:val="24"/>
        </w:rPr>
        <w:footnoteReference w:id="38"/>
      </w:r>
      <w:r>
        <w:rPr>
          <w:rFonts w:ascii="Times New Roman" w:hAnsi="Times New Roman"/>
          <w:noProof/>
          <w:sz w:val="24"/>
        </w:rPr>
        <w:t xml:space="preserve"> și vom colabora cu Parlamentul European și cu Consiliul pentru a conveni în timp util cu privire la măsurile-cheie de combatere a utilizării abuzive a armelor de foc și de incriminare a comportamentelor teroriste, inclusiv a călătoriilor luptătorilor teroriști străini.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Dreptul la securitate nu poate în niciun caz compromite respectarea altor drepturi fundamentale, inclusiv a dreptului la protecția datelor cu caracter personal. Regulamentul european privind protecția datelor</w:t>
      </w:r>
      <w:r>
        <w:rPr>
          <w:rStyle w:val="FootnoteReference"/>
          <w:rFonts w:ascii="Times New Roman" w:hAnsi="Times New Roman"/>
          <w:noProof/>
          <w:sz w:val="24"/>
        </w:rPr>
        <w:footnoteReference w:id="39"/>
      </w:r>
      <w:r>
        <w:rPr>
          <w:rFonts w:ascii="Times New Roman" w:hAnsi="Times New Roman"/>
          <w:noProof/>
          <w:sz w:val="24"/>
        </w:rPr>
        <w:t xml:space="preserve"> se va aplica începând cu 2018, iar Comisia se va asigura că același nivel ridicat de protecție a datelor cu caracter personal se aplică și de către instituțiile, organele, agențiile și oficiile europene. În același spirit, Comisia va examina, de asemenea, noi decizii privind caracterul adecvat al nivelului de protecție a schimburilor de date cu caracter personal cu țările terțe, pentru a asigura standarde înalte atunci când datele cu caracter personal sunt transferate către țări terțe. Vom prezenta o revizuire REFIT a Directivei asupra confidențialității electronice, pentru a o actualiza în lumina celor mai recente evoluții tehnologice și ținând seama de opinia Platformei REFIT. Vom evalua, de asemenea, oportunitatea întreprinderii de acțiuni orizontale sau a unor noi acțiuni sectoriale la nivelul UE pentru a-i proteja pe cei care denunță practicile ilegale.</w:t>
      </w:r>
    </w:p>
    <w:p>
      <w:pPr>
        <w:tabs>
          <w:tab w:val="left" w:pos="284"/>
        </w:tabs>
        <w:spacing w:after="240"/>
        <w:jc w:val="both"/>
        <w:rPr>
          <w:rFonts w:ascii="Times New Roman" w:hAnsi="Times New Roman" w:cs="Times New Roman"/>
          <w:b/>
          <w:noProof/>
          <w:sz w:val="24"/>
          <w:szCs w:val="24"/>
        </w:rPr>
      </w:pPr>
      <w:r>
        <w:rPr>
          <w:rFonts w:ascii="Times New Roman" w:hAnsi="Times New Roman"/>
          <w:noProof/>
          <w:sz w:val="24"/>
        </w:rPr>
        <w:t>Vom continua să întreprindem măsuri în direcția aderării Uniunii la Convenția europeană a drepturilor omului, ținând seama pe deplin de hotărârile Curții de Justiție a Uniunii Europene. Întrucât sistemele de justiție independente și eficace sprijină creșterea economică și respectarea drepturilor fundamentale, vom continua să conlucrăm cu Parlamentul European și cu statele membre în vederea promovării și apărării statului de drept.</w:t>
      </w:r>
    </w:p>
    <w:p>
      <w:pPr>
        <w:tabs>
          <w:tab w:val="left" w:pos="284"/>
        </w:tabs>
        <w:spacing w:after="240"/>
        <w:jc w:val="both"/>
        <w:rPr>
          <w:rFonts w:ascii="Times New Roman" w:hAnsi="Times New Roman" w:cs="Times New Roman"/>
          <w:noProof/>
          <w:sz w:val="24"/>
          <w:szCs w:val="24"/>
        </w:rPr>
      </w:pPr>
      <w:r>
        <w:rPr>
          <w:rFonts w:ascii="Times New Roman" w:hAnsi="Times New Roman"/>
          <w:b/>
          <w:noProof/>
          <w:sz w:val="24"/>
        </w:rPr>
        <w:t>8.</w:t>
      </w:r>
      <w:r>
        <w:rPr>
          <w:noProof/>
        </w:rPr>
        <w:tab/>
      </w:r>
      <w:r>
        <w:rPr>
          <w:rFonts w:ascii="Times New Roman" w:hAnsi="Times New Roman"/>
          <w:b/>
          <w:noProof/>
          <w:sz w:val="24"/>
        </w:rPr>
        <w:t>Către o nouă politică privind migrația</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O Europă care ne protejează frontierele și pune în aplicare o politică responsabilă în materie de migrație.</w:t>
      </w:r>
      <w:r>
        <w:rPr>
          <w:rFonts w:ascii="Times New Roman" w:hAnsi="Times New Roman"/>
          <w:noProof/>
          <w:sz w:val="24"/>
        </w:rPr>
        <w:t xml:space="preserve"> Gestionarea fluxurilor de migrație, garantând, în același timp, faptul că cei care caută un refugiu găsesc întotdeauna un adăpost în Europa rămâne o provocare zilnică. În cursul ultimului an, Comisia a accelerat colaborarea cu Parlamentul European, cu Consiliul și cu statele membre în temeiul Agendei europene privind migrația, pentru a permite un răspuns coordonat rapid la criza refugiaților și pentru a stabili un cadru pe termen lung bazat pe solidaritate și responsabilitate.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Hotărârea UE de a aborda impactul crizei a dus la o implicare zilnică pe teren fără precedent. Comisia, agențiile UE și statele membre au acționat împreună pentru a salva vieți pe mare și a sprijini statele membre din prima linie. Peste 15 miliarde EUR din bugetul UE au fost alocate răspunsului UE la criza refugiaților. Declarația UE-Turcia se dovedește a fi un pas decisiv pentru a opri introducerea ilegală de migranți, a pune ordine în fluxurile de migranți și a preveni pierderea de vieți omenești. În 2017, Comisia va continua să depună eforturi susținute pentru a oferi un sprijin direct refugiaților și a asigura integrarea acestora în comunități-gazdă din Europa și din țările terțe, pentru a îmbunătăți gestionarea migrației în zonele de frontieră cele mai expuse, a combate introducerea ilegală de migranți și traficul acestora, în special al minorilor neînsoțiți, precum și pentru returnarea migranților în situație neregulamentară.</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Într-un spațiu de liberă circulație internă, frontierele noastre externe sunt, mai mult decât niciodată, o chestiune de responsabilitate comună. Au fost luate măsuri pentru ca spațiul Schengen de liberă circulație a persoanelor să revină la normalitate. În mai puțin de un an, UE a creat un sistem permanent de asigurare a protecției frontierelor și de prevenire și remediere a deficiențelor de la nivelul controalelor persoanelor care intră în UE, prin faptul că a instituit o poliție de frontieră și o gardă de coastă la nivel european, care acum este operațională.</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Pentru a avea în permanență capacitatea de a gestiona migrația într-un mod credibil și durabil este necesară instituirea unei game complete de instrumente privind migrația. Toate componentele necesare în acest sens fac acum obiectul dezbaterii Parlamentului European și Consiliului. Adoptarea rapidă a propunerilor-cheie, cum ar fi reforma normelor de la Dublin pentru un sistem european comun de azil</w:t>
      </w:r>
      <w:r>
        <w:rPr>
          <w:rStyle w:val="FootnoteReference"/>
          <w:rFonts w:ascii="Times New Roman" w:hAnsi="Times New Roman"/>
          <w:noProof/>
          <w:sz w:val="24"/>
        </w:rPr>
        <w:footnoteReference w:id="40"/>
      </w:r>
      <w:r>
        <w:rPr>
          <w:rFonts w:ascii="Times New Roman" w:hAnsi="Times New Roman"/>
          <w:noProof/>
          <w:sz w:val="24"/>
        </w:rPr>
        <w:t xml:space="preserve">, transformarea </w:t>
      </w:r>
      <w:r>
        <w:rPr>
          <w:noProof/>
        </w:rPr>
        <w:tab/>
      </w:r>
      <w:r>
        <w:rPr>
          <w:rFonts w:ascii="Times New Roman" w:hAnsi="Times New Roman"/>
          <w:noProof/>
          <w:sz w:val="24"/>
        </w:rPr>
        <w:t>Biroului European de Sprijin pentru Azil într-o veritabilă Agenție a UE pentru azil</w:t>
      </w:r>
      <w:r>
        <w:rPr>
          <w:rStyle w:val="FootnoteReference"/>
          <w:rFonts w:ascii="Times New Roman" w:hAnsi="Times New Roman"/>
          <w:noProof/>
          <w:sz w:val="24"/>
        </w:rPr>
        <w:footnoteReference w:id="41"/>
      </w:r>
      <w:r>
        <w:rPr>
          <w:rFonts w:ascii="Times New Roman" w:hAnsi="Times New Roman"/>
          <w:noProof/>
          <w:sz w:val="24"/>
        </w:rPr>
        <w:t>, consolidarea Eurodac</w:t>
      </w:r>
      <w:r>
        <w:rPr>
          <w:rStyle w:val="FootnoteReference"/>
          <w:rFonts w:ascii="Times New Roman" w:hAnsi="Times New Roman"/>
          <w:noProof/>
          <w:sz w:val="24"/>
        </w:rPr>
        <w:footnoteReference w:id="42"/>
      </w:r>
      <w:r>
        <w:rPr>
          <w:rFonts w:ascii="Times New Roman" w:hAnsi="Times New Roman"/>
          <w:noProof/>
          <w:sz w:val="24"/>
        </w:rPr>
        <w:t>, noul cadru privind relocarea</w:t>
      </w:r>
      <w:r>
        <w:rPr>
          <w:rStyle w:val="FootnoteReference"/>
          <w:rFonts w:ascii="Times New Roman" w:hAnsi="Times New Roman"/>
          <w:noProof/>
          <w:sz w:val="24"/>
        </w:rPr>
        <w:footnoteReference w:id="43"/>
      </w:r>
      <w:r>
        <w:rPr>
          <w:rFonts w:ascii="Times New Roman" w:hAnsi="Times New Roman"/>
          <w:noProof/>
          <w:sz w:val="24"/>
        </w:rPr>
        <w:t>, precum și măsurile de gestionare adecvată a migrației legale</w:t>
      </w:r>
      <w:r>
        <w:rPr>
          <w:rStyle w:val="FootnoteReference"/>
          <w:rFonts w:ascii="Times New Roman" w:hAnsi="Times New Roman"/>
          <w:noProof/>
          <w:sz w:val="24"/>
        </w:rPr>
        <w:footnoteReference w:id="44"/>
      </w:r>
      <w:r>
        <w:rPr>
          <w:rFonts w:ascii="Times New Roman" w:hAnsi="Times New Roman"/>
          <w:noProof/>
          <w:sz w:val="24"/>
        </w:rPr>
        <w:t>, este esențială pentru abordarea cuprinzătoare și coerentă de care are nevoie Uniunea Europeană pentru a gestiona provocarea reprezentată de migrație.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Pornind de la primele rezultate ale recentului Cadru de parteneriat cu țările terțe bazat pe Agenda europeană privind migrația</w:t>
      </w:r>
      <w:r>
        <w:rPr>
          <w:rStyle w:val="FootnoteReference"/>
          <w:rFonts w:ascii="Times New Roman" w:hAnsi="Times New Roman"/>
          <w:noProof/>
          <w:sz w:val="24"/>
        </w:rPr>
        <w:footnoteReference w:id="45"/>
      </w:r>
      <w:r>
        <w:rPr>
          <w:rFonts w:ascii="Times New Roman" w:hAnsi="Times New Roman"/>
          <w:noProof/>
          <w:sz w:val="24"/>
        </w:rPr>
        <w:t>, instituțiile UE și statele membre trebuie să întreprindă noi acțiuni prin care să se garanteze faptul că aspectele legate de migrație sunt în centrul relațiilor cu toate țările partenere cheie de origine și de tranzit și, totodată, o condiție a calității acestor relații. Țările de origine și de tranzit au început să participe la o cooperare mai strânsă privind prevenirea migrației neregulamentare și returnarea. Va trebui, de asemenea, să instituim căi legale eficace de intrare în Uniune, fie că este vorba de migrație legală sau de relocare.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Anul viitor, vom analiza acțiunile întreprinse în diferitele domenii ale strategiei, pentru a oferi o evaluare cuprinzătoare a progreselor realizate în direcția unei gestionări mai eficace și mai durabile a migrației, și vom identifica domeniile în care sunt necesare eforturi suplimentare.</w:t>
      </w:r>
    </w:p>
    <w:p>
      <w:pPr>
        <w:tabs>
          <w:tab w:val="left" w:pos="284"/>
        </w:tabs>
        <w:spacing w:after="240"/>
        <w:jc w:val="both"/>
        <w:rPr>
          <w:rFonts w:ascii="Times New Roman" w:hAnsi="Times New Roman" w:cs="Times New Roman"/>
          <w:noProof/>
          <w:sz w:val="24"/>
          <w:szCs w:val="24"/>
        </w:rPr>
      </w:pPr>
      <w:r>
        <w:rPr>
          <w:rFonts w:ascii="Times New Roman" w:hAnsi="Times New Roman"/>
          <w:b/>
          <w:noProof/>
          <w:sz w:val="24"/>
        </w:rPr>
        <w:t>9.</w:t>
      </w:r>
      <w:r>
        <w:rPr>
          <w:noProof/>
        </w:rPr>
        <w:tab/>
      </w:r>
      <w:r>
        <w:rPr>
          <w:rFonts w:ascii="Times New Roman" w:hAnsi="Times New Roman"/>
          <w:b/>
          <w:noProof/>
          <w:sz w:val="24"/>
        </w:rPr>
        <w:t xml:space="preserve"> Un actor mai puternic pe plan mondial</w:t>
      </w:r>
    </w:p>
    <w:p>
      <w:pPr>
        <w:tabs>
          <w:tab w:val="left" w:pos="284"/>
        </w:tabs>
        <w:spacing w:after="240"/>
        <w:jc w:val="both"/>
        <w:rPr>
          <w:rFonts w:ascii="Times New Roman" w:hAnsi="Times New Roman" w:cs="Times New Roman"/>
          <w:noProof/>
          <w:sz w:val="24"/>
          <w:szCs w:val="24"/>
        </w:rPr>
      </w:pPr>
      <w:r>
        <w:rPr>
          <w:rFonts w:ascii="Times New Roman" w:hAnsi="Times New Roman"/>
          <w:i/>
          <w:noProof/>
          <w:sz w:val="24"/>
        </w:rPr>
        <w:t>O Europă care protejează ne și apără interesele dincolo de frontierele noastre.</w:t>
      </w:r>
      <w:r>
        <w:rPr>
          <w:rFonts w:ascii="Times New Roman" w:hAnsi="Times New Roman"/>
          <w:noProof/>
          <w:sz w:val="24"/>
        </w:rPr>
        <w:t xml:space="preserve"> Europa este o putere necoercitivă de importanță mondială. Prin Strategia sa globală și prin politica europeană de vecinătate revizuită, UE va continua să mobilizeze toate instrumentele de care dispune pentru a-și sprijini partenerii să efectueze o stabilizare economică și politică și să întreprindă reforme, precum și să-și consolideze reziliența. Comisia va continua să creeze o stabilitate și prosperitate comună pentru UE și țările candidate prin politica sa de extindere.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Cu toate acestea, într-o lume tot mai conflictuală, a exercita o putere necoercitivă nu este suficient. Prin urmare, Comisia va prezenta spre sfârșitul acestui an un Plan de acțiune european în domeniul apărării, în cadrul căruia se va analiza modul în care politicile și instrumentele UE pot asigura faptul că baza industrială și baza de competențe vor putea furniza capacitățile de apărare identificate, având în vedere actualele și viitoarele provocări în materie de securitate. Apoi, Comisia va propune crearea unui Fond european de apărare, care să impulsioneze cercetarea și inovarea și să contribuie la consolidarea bazei tehnologice și industriale europene în materie de apărare și să stimuleze în continuare dezvoltarea unor capacități de apărare esențiale. În plus, vor fi propuse măsuri suplimentare în domeniul achizițiilor publice în materie de apărare.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Propunerea prezentată de Comisie de modificare a instrumentului care contribuie la stabilitate și la pace are drept obiectiv abordarea lacunelor în ceea ce privește capacitatea Uniunii Europene de a sprijini țările partenere să prevină și să gestioneze crizele prin forțe proprii, în special prin consolidarea capacităților în sprijinul securității și al dezvoltării. Având în vedere amenințările imediate la adresa stabilității și a păcii și, prin urmare, a dezvoltării într-o serie de țări partenere cheie, este important ca Parlamentul European și Consiliul să adopte rapid această propunere.</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Uniunea Europeană va continua să depună eforturi în vederea soluționării conflictelor și crizelor actuale din vecinătatea sa, precum și din alte părți ale lumii, și va contribui la eforturile în curs depuse în acest sens de Organizația Națiunilor Unite și de alți actori internaționali. Comisia și Înaltul Reprezentant vor adopta o Strategie a UE pentru Siria, care va stabili modul în care Europa poate continua să furnizeze sprijin umanitar și să contribuie la tranziție, stabilizare și reconstrucție politică, în vederea reconstruirii unei națiuni siriene pașnice și a unei societăți civile pluraliste și tolerante în Siria.</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 xml:space="preserve">Africa va rămâne unul dintre partenerii strategici cheie ai UE, iar recenta criză a refugiaților a evidențiat încă o dată cât de important este să se investească în relații durabile și solide cu țările africane, într-un spirit de responsabilitate comună. Cadrul de parteneriat și finanțarea specifică furnizată de Fondul fiduciar de urgență al UE pentru Africa și de noul </w:t>
      </w:r>
      <w:r>
        <w:rPr>
          <w:rStyle w:val="Strong"/>
          <w:rFonts w:ascii="Times New Roman" w:hAnsi="Times New Roman"/>
          <w:b w:val="0"/>
          <w:noProof/>
          <w:sz w:val="24"/>
        </w:rPr>
        <w:t>Plan european de investiții externe (PIE</w:t>
      </w:r>
      <w:r>
        <w:rPr>
          <w:rStyle w:val="Strong"/>
          <w:rFonts w:ascii="Times New Roman" w:hAnsi="Times New Roman"/>
          <w:noProof/>
          <w:sz w:val="24"/>
        </w:rPr>
        <w:t>)</w:t>
      </w:r>
      <w:r>
        <w:rPr>
          <w:rStyle w:val="FootnoteReference"/>
          <w:rFonts w:ascii="Times New Roman" w:hAnsi="Times New Roman"/>
          <w:noProof/>
          <w:sz w:val="24"/>
        </w:rPr>
        <w:footnoteReference w:id="46"/>
      </w:r>
      <w:r>
        <w:rPr>
          <w:rStyle w:val="Strong"/>
          <w:rFonts w:ascii="Times New Roman" w:hAnsi="Times New Roman"/>
          <w:noProof/>
          <w:sz w:val="24"/>
        </w:rPr>
        <w:t xml:space="preserve"> </w:t>
      </w:r>
      <w:r>
        <w:rPr>
          <w:rFonts w:ascii="Times New Roman" w:hAnsi="Times New Roman"/>
          <w:noProof/>
          <w:sz w:val="24"/>
        </w:rPr>
        <w:t>reflectă angajamentul nostru de a conlucra strâns cu partenerii noștri africani și de a face față împreună provocărilor noastre globale. În pregătirea celei de a 5-a Reuniuni la nivel înalt UE-Africa, care va avea loc la sfârșitul anului 2017, vom propune o nouă abordare, care ar trebui să definească obiectivele și prioritățile strategice ale UE în relațiile sale cu Africa. Aceasta ar contribui, de asemenea, la pilonul african al cadrului post</w:t>
      </w:r>
      <w:r>
        <w:rPr>
          <w:rFonts w:ascii="Times New Roman" w:hAnsi="Times New Roman" w:cs="Times New Roman"/>
          <w:noProof/>
          <w:sz w:val="24"/>
        </w:rPr>
        <w:t>­</w:t>
      </w:r>
      <w:r>
        <w:rPr>
          <w:rFonts w:ascii="Times New Roman" w:hAnsi="Times New Roman"/>
          <w:noProof/>
          <w:sz w:val="24"/>
        </w:rPr>
        <w:t>Cotonou, pe care Comisia îl va prezenta în curând, și ar trebui, de asemenea, să sublinieze importanța crucială a relațiilor noastre comerciale cu partenerii africani.</w:t>
      </w:r>
    </w:p>
    <w:p>
      <w:pPr>
        <w:tabs>
          <w:tab w:val="left" w:pos="284"/>
        </w:tabs>
        <w:spacing w:after="240"/>
        <w:jc w:val="both"/>
        <w:rPr>
          <w:rFonts w:ascii="Times New Roman" w:hAnsi="Times New Roman" w:cs="Times New Roman"/>
          <w:noProof/>
          <w:sz w:val="24"/>
          <w:szCs w:val="24"/>
        </w:rPr>
      </w:pPr>
      <w:r>
        <w:rPr>
          <w:rFonts w:ascii="Times New Roman" w:hAnsi="Times New Roman"/>
          <w:noProof/>
          <w:sz w:val="24"/>
        </w:rPr>
        <w:t>După cum s-a anunțat deja, Comisia va propune, de asemenea, reînnoirea Consensului european privind dezvoltarea, aliniind politica noastră în materie de dezvoltare la Agenda 2030 a ONU pentru dezvoltare durabilă și asigurând faptul că aceasta își îndeplinește pe deplin rolul în punerea în aplicare a obiectivelor de dezvoltare durabilă.</w:t>
      </w:r>
    </w:p>
    <w:p>
      <w:pPr>
        <w:tabs>
          <w:tab w:val="left" w:pos="284"/>
        </w:tabs>
        <w:spacing w:after="240"/>
        <w:jc w:val="both"/>
        <w:rPr>
          <w:rFonts w:ascii="Times New Roman" w:hAnsi="Times New Roman" w:cs="Times New Roman"/>
          <w:b/>
          <w:noProof/>
          <w:sz w:val="24"/>
          <w:szCs w:val="24"/>
        </w:rPr>
      </w:pPr>
      <w:r>
        <w:rPr>
          <w:rFonts w:ascii="Times New Roman" w:hAnsi="Times New Roman"/>
          <w:b/>
          <w:noProof/>
          <w:sz w:val="24"/>
        </w:rPr>
        <w:t>10. O Uniune a schimbărilor democratice</w:t>
      </w:r>
    </w:p>
    <w:p>
      <w:pPr>
        <w:jc w:val="both"/>
        <w:rPr>
          <w:rFonts w:ascii="Times New Roman" w:hAnsi="Times New Roman" w:cs="Times New Roman"/>
          <w:noProof/>
          <w:sz w:val="24"/>
          <w:szCs w:val="24"/>
        </w:rPr>
      </w:pPr>
      <w:r>
        <w:rPr>
          <w:rFonts w:ascii="Times New Roman" w:hAnsi="Times New Roman"/>
          <w:i/>
          <w:noProof/>
          <w:sz w:val="24"/>
        </w:rPr>
        <w:t xml:space="preserve">O Europă care își asumă responsabilitatea, ascultă și obține rezultate. </w:t>
      </w:r>
      <w:r>
        <w:rPr>
          <w:rFonts w:ascii="Times New Roman" w:hAnsi="Times New Roman"/>
          <w:noProof/>
          <w:sz w:val="24"/>
        </w:rPr>
        <w:t>Acum este mai urgent ca niciodată să se realizeze obiectivul unei Uniuni a schimbărilor democratice, care este cea mai cuprinzătoare dintre cele 10 priorități ale Comisiei. În acest moment critic, viitorul Uniunii noastre va depinde de măsura în care le oferim europenilor certitudinea că, împreună, îi putem proteja, le putem oferi pârghii pentru reușită și îi putem apăra, precum și de măsura în care reușim să construim perspective de viitor pozitive și durabile pentru aceștia.</w:t>
      </w:r>
    </w:p>
    <w:p>
      <w:pPr>
        <w:jc w:val="both"/>
        <w:rPr>
          <w:rFonts w:ascii="Times New Roman" w:hAnsi="Times New Roman" w:cs="Times New Roman"/>
          <w:noProof/>
          <w:sz w:val="24"/>
          <w:szCs w:val="24"/>
        </w:rPr>
      </w:pPr>
      <w:r>
        <w:rPr>
          <w:rFonts w:ascii="Times New Roman" w:hAnsi="Times New Roman"/>
          <w:noProof/>
          <w:sz w:val="24"/>
        </w:rPr>
        <w:t>Îmbunătățirea legiferării, asumarea răspunderii și transparența continuă să reprezinte principalele linii de acțiune ale actualei Comisii și, pentru a putea recâștiga încrederea cetățenilor noștri, toate instituțiile UE trebuie să aplice aceste principii în mod consecvent și hotărât. Comisia va colabora îndeaproape cu Parlamentul European și cu Consiliul pentru a se asigura că Acordul interinstituțional privind o mai bună legiferare este pus în aplicare și aplicat pe deplin și va demara, de asemenea, negocieri constructive cu ambele instituții privind propunerea sa recentă de registru de transparență obligatoriu, care să includă Parlamentul European, Consiliul și Comisia. De asemenea, Comisia va propune modificări la acordul-cadru cu Parlamentul European, pentru a se asigura că membrii Comisiei pot candida la alegerile pentru Parlamentul European.</w:t>
      </w:r>
    </w:p>
    <w:p>
      <w:pPr>
        <w:jc w:val="both"/>
        <w:rPr>
          <w:rFonts w:ascii="Times New Roman" w:hAnsi="Times New Roman" w:cs="Times New Roman"/>
          <w:noProof/>
          <w:sz w:val="24"/>
          <w:szCs w:val="24"/>
        </w:rPr>
      </w:pPr>
      <w:r>
        <w:rPr>
          <w:rFonts w:ascii="Times New Roman" w:hAnsi="Times New Roman"/>
          <w:noProof/>
          <w:sz w:val="24"/>
        </w:rPr>
        <w:t>Comisia va propune acte legislative prin care să fie aliniate actele în vigoare cu dispozițiile tratatului privind actele delegate și de punere în aplicare, eliminând astfel treptat procedura de reglementare cu control. De asemenea, vom evalua legitimitatea democratică a procedurilor existente de adoptare a actelor delegate și de punere în aplicare și vom examina opțiunile de modificare a procedurilor existente pentru adoptarea anumitor acte secundare.</w:t>
      </w:r>
    </w:p>
    <w:p>
      <w:pPr>
        <w:jc w:val="both"/>
        <w:rPr>
          <w:rFonts w:ascii="Times New Roman" w:hAnsi="Times New Roman" w:cs="Times New Roman"/>
          <w:noProof/>
          <w:sz w:val="24"/>
          <w:szCs w:val="24"/>
        </w:rPr>
      </w:pPr>
      <w:r>
        <w:rPr>
          <w:rFonts w:ascii="Times New Roman" w:hAnsi="Times New Roman"/>
          <w:noProof/>
          <w:sz w:val="24"/>
        </w:rPr>
        <w:t>Pentru a asigura faptul că instrumentele legislative ale UE au efectul dorit, Comisia intenționează să își intensifice eforturile privind aplicarea, punerea în aplicare și asigurarea respectării legislației UE. Printre acțiunile prevăzute în acest sens se numără pachetul de măsuri ce vizează îmbunătățirea asigurării respectării normelor privind piața unică, iar în domeniul mediului o propunere REFIT de simplificare a raportării în materie de mediu în urma recentei verificări a adecvării, precum și măsuri de facilitare a accesului la justiție și de asigurare a respectării legislației în materie de mediu în statele membre.</w:t>
      </w:r>
    </w:p>
    <w:p>
      <w:pPr>
        <w:pageBreakBefore/>
        <w:tabs>
          <w:tab w:val="left" w:pos="284"/>
        </w:tabs>
        <w:spacing w:after="240"/>
        <w:jc w:val="both"/>
        <w:rPr>
          <w:rFonts w:ascii="Times New Roman Bold" w:hAnsi="Times New Roman Bold" w:cs="Times New Roman"/>
          <w:b/>
          <w:smallCaps/>
          <w:noProof/>
          <w:sz w:val="24"/>
          <w:szCs w:val="24"/>
        </w:rPr>
      </w:pPr>
      <w:r>
        <w:rPr>
          <w:rFonts w:ascii="Times New Roman Bold" w:hAnsi="Times New Roman Bold"/>
          <w:b/>
          <w:smallCaps/>
          <w:noProof/>
          <w:sz w:val="24"/>
        </w:rPr>
        <w:t>III.</w:t>
      </w:r>
      <w:r>
        <w:rPr>
          <w:noProof/>
        </w:rPr>
        <w:tab/>
      </w:r>
      <w:r>
        <w:rPr>
          <w:rFonts w:ascii="Times New Roman Bold" w:hAnsi="Times New Roman Bold"/>
          <w:b/>
          <w:smallCaps/>
          <w:noProof/>
          <w:sz w:val="24"/>
        </w:rPr>
        <w:t>Accelerarea obținerii de rezultate de către cele trei instituții în ceea ce privește cele 10 priorități</w:t>
      </w:r>
    </w:p>
    <w:p>
      <w:pPr>
        <w:jc w:val="both"/>
        <w:rPr>
          <w:rFonts w:ascii="Times New Roman" w:hAnsi="Times New Roman" w:cs="Times New Roman"/>
          <w:noProof/>
          <w:sz w:val="24"/>
          <w:szCs w:val="24"/>
        </w:rPr>
      </w:pPr>
      <w:r>
        <w:rPr>
          <w:rFonts w:ascii="Times New Roman" w:hAnsi="Times New Roman"/>
          <w:noProof/>
          <w:sz w:val="24"/>
        </w:rPr>
        <w:t>Agenda noastră, lansată de discursul președintelui privind Starea Uniunii din 14 septembrie 2016</w:t>
      </w:r>
      <w:r>
        <w:rPr>
          <w:rStyle w:val="FootnoteReference"/>
          <w:rFonts w:ascii="Times New Roman" w:hAnsi="Times New Roman"/>
          <w:noProof/>
          <w:sz w:val="24"/>
        </w:rPr>
        <w:footnoteReference w:id="47"/>
      </w:r>
      <w:r>
        <w:rPr>
          <w:rFonts w:ascii="Times New Roman" w:hAnsi="Times New Roman"/>
          <w:noProof/>
          <w:sz w:val="24"/>
        </w:rPr>
        <w:t>, nu numai că reflectă ceea ce am auzit de la cetățeni că ar dori să realizeze UE, dialogurile noastre cu membrii Parlamentului European, care sunt aleși direct</w:t>
      </w:r>
      <w:r>
        <w:rPr>
          <w:rStyle w:val="FootnoteReference"/>
          <w:rFonts w:ascii="Times New Roman" w:hAnsi="Times New Roman"/>
          <w:noProof/>
          <w:sz w:val="24"/>
        </w:rPr>
        <w:footnoteReference w:id="48"/>
      </w:r>
      <w:r>
        <w:rPr>
          <w:rFonts w:ascii="Times New Roman" w:hAnsi="Times New Roman"/>
          <w:noProof/>
          <w:sz w:val="24"/>
        </w:rPr>
        <w:t>, și cu Consiliul, în care sunt reprezentate toate guvernele naționale</w:t>
      </w:r>
      <w:r>
        <w:rPr>
          <w:rStyle w:val="FootnoteReference"/>
          <w:rFonts w:ascii="Times New Roman" w:hAnsi="Times New Roman"/>
          <w:noProof/>
          <w:sz w:val="24"/>
        </w:rPr>
        <w:footnoteReference w:id="49"/>
      </w:r>
      <w:r>
        <w:rPr>
          <w:rFonts w:ascii="Times New Roman" w:hAnsi="Times New Roman"/>
          <w:noProof/>
          <w:sz w:val="24"/>
        </w:rPr>
        <w:t>, precum și contribuțiile Comitetului Economic și Social European</w:t>
      </w:r>
      <w:r>
        <w:rPr>
          <w:rStyle w:val="FootnoteReference"/>
          <w:rFonts w:ascii="Times New Roman" w:hAnsi="Times New Roman"/>
          <w:noProof/>
          <w:sz w:val="24"/>
        </w:rPr>
        <w:footnoteReference w:id="50"/>
      </w:r>
      <w:r>
        <w:rPr>
          <w:rFonts w:ascii="Times New Roman" w:hAnsi="Times New Roman"/>
          <w:noProof/>
          <w:sz w:val="24"/>
        </w:rPr>
        <w:t xml:space="preserve"> și ale Comitetului Regiunilor</w:t>
      </w:r>
      <w:r>
        <w:rPr>
          <w:rStyle w:val="FootnoteReference"/>
          <w:rFonts w:ascii="Times New Roman" w:hAnsi="Times New Roman"/>
          <w:noProof/>
          <w:sz w:val="24"/>
        </w:rPr>
        <w:footnoteReference w:id="51"/>
      </w:r>
      <w:r>
        <w:rPr>
          <w:rFonts w:ascii="Times New Roman" w:hAnsi="Times New Roman"/>
          <w:noProof/>
          <w:sz w:val="24"/>
        </w:rPr>
        <w:t>, dar este și aliniată pe deplin la prioritățile identificate de către cei 27 de șefi de stat sau de guvern la Bratislava</w:t>
      </w:r>
      <w:r>
        <w:rPr>
          <w:rStyle w:val="FootnoteReference"/>
          <w:rFonts w:ascii="Times New Roman" w:hAnsi="Times New Roman"/>
          <w:noProof/>
          <w:sz w:val="24"/>
        </w:rPr>
        <w:footnoteReference w:id="52"/>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Pentru anul care urmează, actuala Comisie și-a propus să se axeze asupra rezultatelor, însă nu poate atinge acest obiectiv singură. În urma dialogului constructiv pe care l-am avut cu Parlamentul European și cu Consiliul înainte de prezentarea acestui program de lucru, s-a cristalizat o viziune comună cu privire la prioritățile pe care este nevoie să le abordăm în perioada următoare, în conformitate cu noul Acord interinstituțional privind o mai bună legiferare</w:t>
      </w:r>
      <w:r>
        <w:rPr>
          <w:rStyle w:val="FootnoteReference"/>
          <w:rFonts w:ascii="Times New Roman" w:hAnsi="Times New Roman"/>
          <w:noProof/>
          <w:sz w:val="24"/>
        </w:rPr>
        <w:footnoteReference w:id="53"/>
      </w:r>
      <w:r>
        <w:rPr>
          <w:rFonts w:ascii="Times New Roman" w:hAnsi="Times New Roman"/>
          <w:noProof/>
          <w:sz w:val="24"/>
        </w:rPr>
        <w:t>. Comisia consideră acest acord ca fiind un angajament comun de a pune accentul pe aspectele importante și urgente, depunând totodată eforturi ca actele legislative propuse să fie simple, bazate pe dovezi, previzibile, proporționale și să le ofere beneficii maxime cetățenilor și întreprinderilor.</w:t>
      </w:r>
    </w:p>
    <w:p>
      <w:pPr>
        <w:jc w:val="both"/>
        <w:rPr>
          <w:rFonts w:ascii="Times New Roman" w:hAnsi="Times New Roman" w:cs="Times New Roman"/>
          <w:noProof/>
          <w:sz w:val="24"/>
          <w:szCs w:val="24"/>
        </w:rPr>
      </w:pPr>
      <w:r>
        <w:rPr>
          <w:rFonts w:ascii="Times New Roman" w:hAnsi="Times New Roman"/>
          <w:noProof/>
          <w:sz w:val="24"/>
        </w:rPr>
        <w:t>Prin urmare, așteptăm cu interes colaborarea noastră din următoarele săptămâni cu Parlamentul European și cu Consiliul în vederea ajungerii la un acord între cei trei președinți cu privire la o declarație comună care să stabilească obiectivele și prioritățile generale pentru anul 2017 și să identifice propunerile cărora merită să li se acorde prioritate în cadrul procesului legislativ. Acesta este un nou angajament comun în cadrul Acordului interinstituțional</w:t>
      </w:r>
      <w:r>
        <w:rPr>
          <w:rStyle w:val="FootnoteReference"/>
          <w:rFonts w:ascii="Times New Roman" w:hAnsi="Times New Roman"/>
          <w:noProof/>
          <w:sz w:val="24"/>
        </w:rPr>
        <w:footnoteReference w:id="54"/>
      </w:r>
      <w:r>
        <w:rPr>
          <w:rFonts w:ascii="Times New Roman" w:hAnsi="Times New Roman"/>
          <w:noProof/>
          <w:sz w:val="24"/>
        </w:rPr>
        <w:t>. Prezentul program de lucru oferă o bază pentru acest proces de reflecție comună și evidențiază propunerile deja prezentate</w:t>
      </w:r>
      <w:r>
        <w:rPr>
          <w:rStyle w:val="FootnoteReference"/>
          <w:rFonts w:ascii="Times New Roman" w:hAnsi="Times New Roman"/>
          <w:noProof/>
          <w:sz w:val="24"/>
        </w:rPr>
        <w:footnoteReference w:id="55"/>
      </w:r>
      <w:r>
        <w:rPr>
          <w:rFonts w:ascii="Times New Roman" w:hAnsi="Times New Roman"/>
          <w:noProof/>
          <w:sz w:val="24"/>
        </w:rPr>
        <w:t xml:space="preserve"> în privința cărora Comisia consideră că este cel mai important să se realizeze progrese rapide, astfel încât Uniunea să poată transforma propunerile în acțiuni concrete și să obțină rezultate acolo unde acestea sunt cel mai necesare.</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8477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Anexa I.</w:t>
      </w:r>
    </w:p>
  </w:footnote>
  <w:footnote w:id="2">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Anexa II.</w:t>
      </w:r>
    </w:p>
  </w:footnote>
  <w:footnote w:id="3">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Cu excepția declarației de TVA standard, cu privire la care o propunere anterioară a Comisiei a trebuit retrasă anul acesta din cauza lipsei de sprijin din partea Consiliului în procedura legislativă. Printre exemplele de acțiuni subsecvente ale Comisiei incluse în prezentul program de lucru se numără: propunerile de modificare a legislației UE privind confidențialitatea electronică și TVA-ul (a se vedea anexa I) și o propunere de act de punere în aplicare prezentată în temeiul Directivei privind deșeurile de echipamente electrice și electronice (DEEE) (a se vedea anexa II).</w:t>
      </w:r>
    </w:p>
  </w:footnote>
  <w:footnote w:id="4">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Anexa V.</w:t>
      </w:r>
    </w:p>
  </w:footnote>
  <w:footnote w:id="5">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Anexa IV.</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Decizia Comisiei din 25.11.2014 privind publicarea informațiilor referitoare la reuniunile dintre membrii Comisiei și organizații sau persoane care desfășoară activități independente [C(2014) 9051 final] și Decizia Comisiei din 25.11.2014 privind publicarea informațiilor referitoare la reuniunile dintre directorii generali ai Comisiei și organizații sau persoane care desfășoară activități independente [C(2014) 9048 final].</w:t>
      </w:r>
    </w:p>
  </w:footnote>
  <w:footnote w:id="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627 final.</w:t>
      </w:r>
    </w:p>
  </w:footnote>
  <w:footnote w:id="8">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http://ec.europa.eu/priorities/docs/pg_ro.pdf.</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În acest context, în 2017 Comisia își va concentra activitatea de comunicare asupra priorităților Comisiei, pe baza acțiunii de comunicare instituțională în 2017-2018 din cadrul financiar multianual 2014-2020 [C(2016) 6838 din 25.10.2016]. </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646 final.</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Pentru a sprijini în continuare punerea în aplicare pe teren, am propus recent suplimentarea cu 2 miliarde EUR a finanțării actuale pentru Inițiativa privind ocuparea forței de muncă în rândul tinerilor pentru perioada 2017</w:t>
      </w:r>
      <w:r>
        <w:rPr>
          <w:rFonts w:ascii="Times New Roman" w:hAnsi="Times New Roman" w:cs="Times New Roman"/>
        </w:rPr>
        <w:t>­</w:t>
      </w:r>
      <w:r>
        <w:rPr>
          <w:rFonts w:ascii="Times New Roman" w:hAnsi="Times New Roman"/>
        </w:rPr>
        <w:t>2020.</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După cum s-a menționat mai sus, în doar un an, Fondul european pentru investiții strategice a fost activat în 27 de state membre și a generat investiții în valoare de 138 de miliarde EUR, inclusiv finanțare nouă pentru circa 300 000 de întreprinderi mici și mijlocii.</w:t>
      </w:r>
    </w:p>
  </w:footnote>
  <w:footnote w:id="1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581 final.</w:t>
      </w:r>
    </w:p>
  </w:footnote>
  <w:footnote w:id="1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603 final.</w:t>
      </w:r>
    </w:p>
  </w:footnote>
  <w:footnote w:id="1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634 final, COM(2015) 635 final/2. </w:t>
      </w:r>
    </w:p>
  </w:footnote>
  <w:footnote w:id="1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593 final, COM(2016) 594 final, COM(2016) 595 final, COM(2016) 596 final.</w:t>
      </w:r>
    </w:p>
  </w:footnote>
  <w:footnote w:id="1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289 final.</w:t>
      </w:r>
    </w:p>
  </w:footnote>
  <w:footnote w:id="1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627 final.</w:t>
      </w:r>
    </w:p>
  </w:footnote>
  <w:footnote w:id="1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285 final.</w:t>
      </w:r>
    </w:p>
  </w:footnote>
  <w:footnote w:id="2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287 final.</w:t>
      </w:r>
    </w:p>
  </w:footnote>
  <w:footnote w:id="2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590 final, COM(2016) 591 final. </w:t>
      </w:r>
    </w:p>
  </w:footnote>
  <w:footnote w:id="2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43 final.</w:t>
      </w:r>
    </w:p>
  </w:footnote>
  <w:footnote w:id="2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589 final.</w:t>
      </w:r>
    </w:p>
  </w:footnote>
  <w:footnote w:id="2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52 final și COM(2016) 53 final/2.</w:t>
      </w:r>
    </w:p>
  </w:footnote>
  <w:footnote w:id="2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337 final/2.</w:t>
      </w:r>
    </w:p>
  </w:footnote>
  <w:footnote w:id="2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482 final/2.</w:t>
      </w:r>
    </w:p>
  </w:footnote>
  <w:footnote w:id="27">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479 final.</w:t>
      </w:r>
    </w:p>
  </w:footnote>
  <w:footnote w:id="2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683 și COM(2016) 685. </w:t>
      </w:r>
    </w:p>
  </w:footnote>
  <w:footnote w:id="2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686 și COM(2016) 687. </w:t>
      </w:r>
    </w:p>
  </w:footnote>
  <w:footnote w:id="3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603 final.</w:t>
      </w:r>
    </w:p>
  </w:footnote>
  <w:footnote w:id="3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586 final/2.</w:t>
      </w:r>
    </w:p>
  </w:footnote>
  <w:footnote w:id="3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COM(2015) 472 final/2.</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583 final.</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COM(2013) 192 final.</w:t>
      </w:r>
    </w:p>
  </w:footnote>
  <w:footnote w:id="3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Concluziile Consiliului European – Bruxelles, 20-21.10.2016, punctul 14: „ …</w:t>
      </w:r>
      <w:r>
        <w:rPr>
          <w:rFonts w:ascii="Times New Roman" w:hAnsi="Times New Roman"/>
          <w:i/>
        </w:rPr>
        <w:t>De asemenea, invită Comisia să continue negocierile cu autoritățile din SUA pentru a putea prezenta un acord de liber schimb ambițios, echilibrat și cuprinzător.</w:t>
      </w:r>
      <w:r>
        <w:rPr>
          <w:rFonts w:ascii="Times New Roman" w:hAnsi="Times New Roman"/>
        </w:rPr>
        <w:t>”.</w:t>
      </w:r>
    </w:p>
  </w:footnote>
  <w:footnote w:id="3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194 final și COM(2016) 196 final.</w:t>
      </w:r>
    </w:p>
  </w:footnote>
  <w:footnote w:id="3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670 final.</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Primul raport al Comisiei privind progresele înregistrate către o uniune a securității efectivă și autentică a fost adoptat la 12 octombrie 2016 – COM(2016) 670 final.</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din 4.5.2016.</w:t>
      </w:r>
    </w:p>
  </w:footnote>
  <w:footnote w:id="4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270 final/2.</w:t>
      </w:r>
    </w:p>
  </w:footnote>
  <w:footnote w:id="4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271 final.</w:t>
      </w:r>
    </w:p>
  </w:footnote>
  <w:footnote w:id="4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272 final/2.</w:t>
      </w:r>
    </w:p>
  </w:footnote>
  <w:footnote w:id="43">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468 final.</w:t>
      </w:r>
    </w:p>
  </w:footnote>
  <w:footnote w:id="4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COM(2016) 378 final.</w:t>
      </w:r>
    </w:p>
  </w:footnote>
  <w:footnote w:id="45">
    <w:p>
      <w:pPr>
        <w:pStyle w:val="FootnoteText"/>
        <w:rPr>
          <w:rFonts w:ascii="Times New Roman" w:hAnsi="Times New Roman" w:cs="Times New Roman"/>
          <w:bCs/>
          <w:lang w:val="pt-PT"/>
        </w:rPr>
      </w:pPr>
      <w:r>
        <w:rPr>
          <w:rStyle w:val="FootnoteReference"/>
          <w:rFonts w:ascii="Times New Roman" w:hAnsi="Times New Roman"/>
        </w:rPr>
        <w:footnoteRef/>
      </w:r>
      <w:r>
        <w:rPr>
          <w:rFonts w:ascii="Times New Roman" w:hAnsi="Times New Roman"/>
        </w:rPr>
        <w:t xml:space="preserve"> COM(2016) 385 final.</w:t>
      </w:r>
    </w:p>
  </w:footnote>
  <w:footnote w:id="46">
    <w:p>
      <w:pPr>
        <w:pStyle w:val="FootnoteText"/>
        <w:rPr>
          <w:rFonts w:ascii="Times New Roman" w:hAnsi="Times New Roman" w:cs="Times New Roman"/>
          <w:lang w:val="pt-PT"/>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COM(2016) 581 final.</w:t>
      </w:r>
    </w:p>
  </w:footnote>
  <w:footnote w:id="4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http://ec.europa.eu/priorities/state-union-2016_ro</w:t>
        </w:r>
      </w:hyperlink>
      <w:r>
        <w:rPr>
          <w:rStyle w:val="Hyperlink"/>
          <w:rFonts w:ascii="Times New Roman" w:hAnsi="Times New Roman"/>
        </w:rPr>
        <w:t xml:space="preserve"> . </w:t>
      </w:r>
      <w:r>
        <w:rPr>
          <w:rFonts w:ascii="Times New Roman" w:hAnsi="Times New Roman"/>
        </w:rPr>
        <w:t xml:space="preserve">A se vedea, de asemenea, scrisoarea de intenție semnată de către președinte și prim-vicepreședinte și adresată președinților Parlamentului European și Consiliului. Pe această bază, prim-vicepreședintele a discutat cu Consiliul Afaceri Generale, la 20 septembrie, iar Comisia s-a întâlnit cu Conferința președinților de comisie la 3 și 4 octombrie. </w:t>
      </w:r>
    </w:p>
  </w:footnote>
  <w:footnote w:id="48">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hyperlink r:id="rId2">
        <w:r>
          <w:rPr>
            <w:rStyle w:val="Hyperlink"/>
            <w:rFonts w:ascii="Times New Roman" w:hAnsi="Times New Roman"/>
            <w:sz w:val="20"/>
          </w:rPr>
          <w:t>http://www.europarl.europa.eu/sides/getDoc.do?pubRef=-//EP//TEXT+TA+P8-TA-2016-0312+0+DOC+XML+V0//RO</w:t>
        </w:r>
      </w:hyperlink>
    </w:p>
  </w:footnote>
  <w:footnote w:id="49">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Scrisoarea din 4 octombrie a președintelui Consiliului Afaceri Generale adresată președintelui și prim-vicepreședintelui Comisiei. </w:t>
      </w:r>
    </w:p>
  </w:footnote>
  <w:footnote w:id="5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http://www.eesc.europa.eu/resources/docs/eesc_contribution-to-ec--2017-workprogramme_en.pdf</w:t>
        </w:r>
      </w:hyperlink>
    </w:p>
  </w:footnote>
  <w:footnote w:id="5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https://toad.cor.europa.eu/corwipdetail.aspx?folderpath=RESOL-VI/010&amp;id=24254</w:t>
        </w:r>
      </w:hyperlink>
      <w:r>
        <w:rPr>
          <w:rFonts w:ascii="Times New Roman" w:hAnsi="Times New Roman"/>
        </w:rPr>
        <w:t xml:space="preserve"> </w:t>
      </w:r>
    </w:p>
  </w:footnote>
  <w:footnote w:id="5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http://www.consilium.europa.eu/ro/press/press-releases/2016/09/16-bratislava-declaration-and-roadmap/</w:t>
        </w:r>
      </w:hyperlink>
    </w:p>
  </w:footnote>
  <w:footnote w:id="53">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hyperlink r:id="rId6">
        <w:r>
          <w:rPr>
            <w:rStyle w:val="Hyperlink"/>
            <w:rFonts w:ascii="Times New Roman" w:hAnsi="Times New Roman"/>
            <w:sz w:val="20"/>
          </w:rPr>
          <w:t>http://eur-lex.europa.eu/legal-content/ro/TXT/PDF/?uri=OJ:L:2016:123:FULL&amp;from=RO</w:t>
        </w:r>
      </w:hyperlink>
    </w:p>
  </w:footnote>
  <w:footnote w:id="5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Punctul 7 din Acordul interinstituțional privind o mai bună legiferare.</w:t>
      </w:r>
    </w:p>
  </w:footnote>
  <w:footnote w:id="55">
    <w:p>
      <w:pPr>
        <w:autoSpaceDE w:val="0"/>
        <w:autoSpaceDN w:val="0"/>
        <w:adjustRightInd w:val="0"/>
        <w:spacing w:after="0" w:line="240" w:lineRule="auto"/>
        <w:rPr>
          <w:rFonts w:ascii="Times New Roman" w:hAnsi="Times New Roman" w:cs="Times New Roman"/>
          <w:sz w:val="20"/>
          <w:szCs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Anexa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63CE849350AE44D5B14B17CBAD3FC20B"/>
    <w:docVar w:name="LW_CROSSREFERENCE" w:val="{SWD(2016) 400 final}"/>
    <w:docVar w:name="LW_DocType" w:val="NORMAL"/>
    <w:docVar w:name="LW_EMISSION" w:val="25.10.2016"/>
    <w:docVar w:name="LW_EMISSION_ISODATE" w:val="2016-10-25"/>
    <w:docVar w:name="LW_EMISSION_LOCATION" w:val="STR"/>
    <w:docVar w:name="LW_EMISSION_PREFIX" w:val="Strasbourg, "/>
    <w:docVar w:name="LW_EMISSION_SUFFIX" w:val=" "/>
    <w:docVar w:name="LW_ID_DOCTYPE_NONLW" w:val="CP-014"/>
    <w:docVar w:name="LW_LANGUE" w:val="RO"/>
    <w:docVar w:name="LW_MARKING" w:val="&lt;UNUSED&g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6) 710"/>
    <w:docVar w:name="LW_REF.INTERNE" w:val="&lt;UNUSED&gt;"/>
    <w:docVar w:name="LW_SOUS.TITRE.OBJ.CP" w:val="&lt;UNUSED&gt;"/>
    <w:docVar w:name="LW_SUPERTITRE" w:val="&lt;UNUSED&gt;"/>
    <w:docVar w:name="LW_TITRE.OBJ.CP" w:val="_x000b_Programul de lucru al Comisiei pentru 2017_x000b__x000b_Construirea unei Europe care le ofer\u259? cet\u259?\u539?enilor s\u259?i protec\u539?ie, îi ajut\u259? s\u259? î\u537?i afirme drepturile \u537?i îi ap\u259?r\u259?"/>
    <w:docVar w:name="LW_TYPE.DOC.CP" w:val="COMUNICARE A COMISIEI C\u258?TRE PARLAMENTUL EUROPEAN, CONSILIU, COMITETUL ECONOMIC \u536?I SOCIAL EUROPEAN \u536?I COMITETUL REGIUNILOR"/>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FooterCoverPageChar">
    <w:name w:val="Footer Cover Page Char"/>
    <w:basedOn w:val="DefaultParagraphFont"/>
    <w:link w:val="FooterCoverPage"/>
    <w:rPr>
      <w:rFonts w:ascii="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DefaultParagraphFont"/>
    <w:link w:val="HeaderCoverPage"/>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tgc">
    <w:name w:val="_tgc"/>
    <w:basedOn w:val="DefaultParagraphFont"/>
  </w:style>
  <w:style w:type="character" w:styleId="Strong">
    <w:name w:val="Strong"/>
    <w:basedOn w:val="DefaultParagraphFont"/>
    <w:uiPriority w:val="22"/>
    <w:qFormat/>
    <w:rPr>
      <w:b/>
      <w:bCs/>
    </w:rPr>
  </w:style>
  <w:style w:type="paragraph" w:customStyle="1" w:styleId="Text2">
    <w:name w:val="Text 2"/>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6283">
      <w:bodyDiv w:val="1"/>
      <w:marLeft w:val="0"/>
      <w:marRight w:val="0"/>
      <w:marTop w:val="0"/>
      <w:marBottom w:val="0"/>
      <w:divBdr>
        <w:top w:val="none" w:sz="0" w:space="0" w:color="auto"/>
        <w:left w:val="none" w:sz="0" w:space="0" w:color="auto"/>
        <w:bottom w:val="none" w:sz="0" w:space="0" w:color="auto"/>
        <w:right w:val="none" w:sz="0" w:space="0" w:color="auto"/>
      </w:divBdr>
    </w:div>
    <w:div w:id="1578974671">
      <w:bodyDiv w:val="1"/>
      <w:marLeft w:val="0"/>
      <w:marRight w:val="0"/>
      <w:marTop w:val="0"/>
      <w:marBottom w:val="0"/>
      <w:divBdr>
        <w:top w:val="none" w:sz="0" w:space="0" w:color="auto"/>
        <w:left w:val="none" w:sz="0" w:space="0" w:color="auto"/>
        <w:bottom w:val="none" w:sz="0" w:space="0" w:color="auto"/>
        <w:right w:val="none" w:sz="0" w:space="0" w:color="auto"/>
      </w:divBdr>
    </w:div>
    <w:div w:id="16667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resources/docs/eesc_contribution-to-ec--2017-workprogramme_en.pdf" TargetMode="External"/><Relationship Id="rId2" Type="http://schemas.openxmlformats.org/officeDocument/2006/relationships/hyperlink" Target="http://www.europarl.europa.eu/sides/getDoc.do?pubRef=-//EP//TEXT+TA+P8-TA-2016-0312+0+DOC+XML+V0//RO" TargetMode="External"/><Relationship Id="rId1" Type="http://schemas.openxmlformats.org/officeDocument/2006/relationships/hyperlink" Target="http://ec.europa.eu/priorities/state-union-2016_ro" TargetMode="External"/><Relationship Id="rId6" Type="http://schemas.openxmlformats.org/officeDocument/2006/relationships/hyperlink" Target="http://eur-lex.europa.eu/legal-content/ro/TXT/PDF/?uri=OJ:L:2016:123:FULL&amp;from=RO" TargetMode="External"/><Relationship Id="rId5" Type="http://schemas.openxmlformats.org/officeDocument/2006/relationships/hyperlink" Target="http://www.consilium.europa.eu/ro/press/press-releases/2016/09/16-bratislava-declaration-and-roadmap/" TargetMode="External"/><Relationship Id="rId4" Type="http://schemas.openxmlformats.org/officeDocument/2006/relationships/hyperlink" Target="https://toad.cor.europa.eu/corwipdetail.aspx?folderpath=RESOL-VI/010&amp;id=24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1597-842D-48D0-A618-20445B62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7765</Words>
  <Characters>44805</Characters>
  <Application>Microsoft Office Word</Application>
  <DocSecurity>0</DocSecurity>
  <Lines>605</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2016-10-24T19:21:00Z</cp:lastPrinted>
  <dcterms:created xsi:type="dcterms:W3CDTF">2016-10-25T06:07:00Z</dcterms:created>
  <dcterms:modified xsi:type="dcterms:W3CDTF">2016-11-07T08:56:00Z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