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3504C7618254E91A3216B4488D9E152" style="width:451pt;height:388.5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pPr>
        <w:jc w:val="both"/>
        <w:rPr>
          <w:rFonts w:ascii="Times New Roman Bold"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I.</w:t>
      </w:r>
      <w:r>
        <w:rPr>
          <w:noProof/>
        </w:rPr>
        <w:tab/>
      </w:r>
      <w:r>
        <w:rPr>
          <w:rFonts w:ascii="Times New Roman Bold" w:hAnsi="Times New Roman Bold"/>
          <w:b/>
          <w:smallCaps/>
          <w:noProof/>
          <w:sz w:val="24"/>
        </w:rPr>
        <w:t>Η Ευρώπη βρίσκεται σε κρίσιμο σταυροδρόμι</w:t>
      </w:r>
    </w:p>
    <w:p>
      <w:pPr>
        <w:jc w:val="both"/>
        <w:rPr>
          <w:rFonts w:ascii="Times New Roman" w:hAnsi="Times New Roman" w:cs="Times New Roman"/>
          <w:noProof/>
          <w:sz w:val="24"/>
          <w:szCs w:val="24"/>
        </w:rPr>
      </w:pPr>
      <w:r>
        <w:rPr>
          <w:rFonts w:ascii="Times New Roman" w:hAnsi="Times New Roman"/>
          <w:noProof/>
          <w:sz w:val="24"/>
        </w:rPr>
        <w:t>Οι Ευρωπαίοι γνωρίζουν και διαπιστώνουν στην καθημερινή τους ζωή τις συνέπειες των προκλήσεων που παραμένουν επίκαιρες. Η διαφαινόμενη οικονομική ανάκαμψη δεν έχει ακόμη αποφέρει οφέλη για όλους τους πολίτες στις κοινωνίες μας, ιδίως όσον αφορά τη δημιουργία θέσεων εργασίας για τους νέους και τη μείωση των ανισοτήτων. Τα μεταναστευτικά ρεύματα, που έθεσαν σε δοκιμή τα εξωτερικά μας σύνορα, εξακολουθούν να αποτελούν πρόκληση για την ικανότητα της Ένωσης να επιτύχει αλληλεγγύη. Αυξημένη τρομοκρατική απειλή. Συνεχιζόμενη αστάθεια στις ανατολικές και νότιες γειτονικές χώρες, στην οποία τώρα πρέπει να προσθέσουμε την αβεβαιότητα που προκύπτει από το δημοψήφισμα του Ηνωμένου Βασιλείου.</w:t>
      </w:r>
    </w:p>
    <w:p>
      <w:pPr>
        <w:jc w:val="both"/>
        <w:rPr>
          <w:rFonts w:ascii="Times New Roman" w:hAnsi="Times New Roman" w:cs="Times New Roman"/>
          <w:noProof/>
          <w:sz w:val="24"/>
          <w:szCs w:val="24"/>
        </w:rPr>
      </w:pPr>
      <w:r>
        <w:rPr>
          <w:rFonts w:ascii="Times New Roman" w:hAnsi="Times New Roman"/>
          <w:noProof/>
          <w:sz w:val="24"/>
        </w:rPr>
        <w:t>Ακούγοντας τους Ευρωπαίους, κατανοήσαμε ότι αναζητούν απόκριση σε αυτές τις προκλήσεις και προστασία από τις απειλές. Αναζητούν τα μέσα που μπορούν να τους προσφέρουν τη δυνατότητα να οικοδομήσουν βιώσιμο μέλλον για τους ίδιους και τις οικογένειές τους. Αναζητούν επίσης προοπτική: διαβεβαίωση ότι η διακυβέρνηση σε τοπικό, περιφερειακό, εθνικό και ευρωπαϊκό επίπεδο μπορεί να ανταποκριθεί συλλογικά στις προσδοκίες των σημερινών και μελλοντικών γενεών.</w:t>
      </w:r>
    </w:p>
    <w:p>
      <w:pPr>
        <w:jc w:val="both"/>
        <w:rPr>
          <w:rFonts w:ascii="Times New Roman" w:hAnsi="Times New Roman" w:cs="Times New Roman"/>
          <w:b/>
          <w:i/>
          <w:noProof/>
          <w:sz w:val="24"/>
          <w:szCs w:val="24"/>
        </w:rPr>
      </w:pPr>
      <w:r>
        <w:rPr>
          <w:rFonts w:ascii="Times New Roman" w:hAnsi="Times New Roman"/>
          <w:b/>
          <w:i/>
          <w:noProof/>
          <w:sz w:val="24"/>
        </w:rPr>
        <w:t>Μια Επιτροπή που επικεντρώνεται στα σημαντικά θέματα...</w:t>
      </w:r>
    </w:p>
    <w:p>
      <w:pPr>
        <w:jc w:val="both"/>
        <w:rPr>
          <w:rFonts w:ascii="Times New Roman" w:hAnsi="Times New Roman" w:cs="Times New Roman"/>
          <w:noProof/>
          <w:sz w:val="24"/>
          <w:szCs w:val="24"/>
        </w:rPr>
      </w:pPr>
      <w:r>
        <w:rPr>
          <w:rFonts w:ascii="Times New Roman" w:hAnsi="Times New Roman"/>
          <w:noProof/>
          <w:sz w:val="24"/>
        </w:rPr>
        <w:t>Από την έναρξη της θητείας της, η Επιτροπή αυτή έχει εστιάσει τις προτεραιότητές της στα μεγάλα ζητήματα, όπου η αποτελεσματική ευρωπαϊκή δράση μπορεί να αλλάξει την κατάσταση όσον αφορά την αντιμετώπιση των προκλήσεων που βιώνουν οι Ευρωπαίοι πολίτες, τα κράτη μέλη και η Ένωση στο σύνολό της. Κατά το τελευταίο έτος, σημειώσαμε σταθερή πρόοδο στην εφαρμογή των στρατηγικών που καθορίσαμε στο επενδυτικό σχέδιο για την Ευρώπη, στην ψηφιακή ενιαία αγορά, στην ενεργειακή ένωση, στο ευρωπαϊκό θεματολόγιο για την ασφάλεια, στο ευρωπαϊκό θεματολόγιο για τη μετανάστευση, στην ένωση κεφαλαιαγορών, στο σχέδιο δράσης για τη δίκαιη και αποτελεσματική φορολόγηση των εταιρειών, στη νέα εμπορική στρατηγική, στα βήματα για την ολοκλήρωση της Οικονομικής και Νομισματικής Ένωσης, στη στρατηγική για την ενιαία αγορά, και στο σχέδιο δράσης για την κυκλική οικονομία.</w:t>
      </w:r>
    </w:p>
    <w:p>
      <w:pPr>
        <w:jc w:val="both"/>
        <w:rPr>
          <w:rFonts w:ascii="Times New Roman" w:hAnsi="Times New Roman" w:cs="Times New Roman"/>
          <w:noProof/>
          <w:sz w:val="24"/>
          <w:szCs w:val="24"/>
        </w:rPr>
      </w:pPr>
      <w:r>
        <w:rPr>
          <w:rFonts w:ascii="Times New Roman" w:hAnsi="Times New Roman"/>
          <w:noProof/>
          <w:sz w:val="24"/>
        </w:rPr>
        <w:t>Με την έμφαση που δόθηκε στα σημαντικά θέματα και τη συνεργασία για τις προτεραιότητες αυτές με το Ευρωπαϊκό Κοινοβούλιο και το Συμβούλιο επιτύχαμε απτά και γρήγορα αποτελέσματα σε βασικούς τομείς. Σε διάστημα μόλις ενός έτους, το Ευρωπαϊκό Ταμείο Στρατηγικών Επενδύσεων ενεργοποιήθηκε σε 27 κράτη μέλη και οδήγησε σε επενδύσεις 138 δισ. EUR, μεταξύ των οποίων και νέα χρηματοδότηση για περίπου 300 000 μικρές και μεσαίες επιχειρήσεις. Έχουμε σημειώσει σημαντική πρόοδο στην ανάκτηση του ελέγχου των παράτυπων μεταναστευτικών ροών, καθώς και στην πρόληψη των θανάτων στο Αιγαίο και στη Μεσόγειο Θάλασσα. Η Ευρωπαϊκή Συνοριοφυλακή και Ακτοφυλακή έχει ήδη ξεκινήσει τις εργασίες για την ενίσχυση του ελέγχου των εξωτερικών μας συνόρων μόλις δέκα μήνες μετά την πρόταση της Επιτροπής. Παράλληλα, η Ευρώπη έχει επιδείξει αλληλεγγύη σε 1 εκατομμύριο Σύριους που βρήκαν καταφύγιο και προστασία στο ευρωπαϊκό έδαφος. Έχουν επίσης μετεγκατασταθεί ή επανεγκατασταθεί άνω των 15 000 επιπλέον πρόσφυγες κατά τους δώδεκα τελευταίους μήνες. Κατά τους τρεις τελευταίους μήνες, επιτύχαμε κατά μέσο όρο περίπου 1 000 μετεγκαταστάσεις μηνιαίως. Τον Σεπτέμβριο, ο αριθμός αυξήθηκε σε 1 200 μετεγκαταστάσεις. Το χάσμα μεταξύ των σημερινών αναγκών για μετεγκατάσταση και των μετεγκαταστάσεων που όντως πραγματοποιούνται από την Ελλάδα έχει αρχίσει να μειώνεται, αλλά οι προσπάθειες αυτές πρέπει να συνεχιστούν κατά τους προσεχείς μήνες, και η διαδικασία μετεγκατάστασης από την Ιταλία θα πρέπει να επιταχυνθεί σημαντικά.</w:t>
      </w:r>
    </w:p>
    <w:p>
      <w:pPr>
        <w:jc w:val="both"/>
        <w:rPr>
          <w:rFonts w:ascii="Times New Roman" w:hAnsi="Times New Roman" w:cs="Times New Roman"/>
          <w:noProof/>
          <w:sz w:val="24"/>
          <w:szCs w:val="24"/>
        </w:rPr>
      </w:pPr>
      <w:r>
        <w:rPr>
          <w:rFonts w:ascii="Times New Roman" w:hAnsi="Times New Roman"/>
          <w:noProof/>
          <w:sz w:val="24"/>
        </w:rPr>
        <w:t>Το παρόν πρόγραμμα εργασίας καθορίζει τις βασικές πρωτοβουλίες</w:t>
      </w:r>
      <w:r>
        <w:rPr>
          <w:rStyle w:val="FootnoteReference"/>
          <w:rFonts w:ascii="Times New Roman" w:hAnsi="Times New Roman"/>
          <w:noProof/>
          <w:sz w:val="24"/>
        </w:rPr>
        <w:footnoteReference w:id="1"/>
      </w:r>
      <w:r>
        <w:rPr>
          <w:rFonts w:ascii="Times New Roman" w:hAnsi="Times New Roman"/>
          <w:noProof/>
          <w:sz w:val="24"/>
        </w:rPr>
        <w:t xml:space="preserve"> τις οποίες αναλαμβάνει να ολοκληρώσει η Επιτροπή έως το τέλος του 2017. Αυτές οι συγκεκριμένες προτάσεις αποτελούν τον πλέον εμφανή τρόπο με τον οποίο το έργο μας θα συμβάλει στη διαδικασία ανανέωσης πριν από την 60</w:t>
      </w:r>
      <w:r>
        <w:rPr>
          <w:rFonts w:ascii="Times New Roman" w:hAnsi="Times New Roman"/>
          <w:noProof/>
          <w:sz w:val="24"/>
          <w:vertAlign w:val="superscript"/>
        </w:rPr>
        <w:t>ή</w:t>
      </w:r>
      <w:r>
        <w:rPr>
          <w:rFonts w:ascii="Times New Roman" w:hAnsi="Times New Roman"/>
          <w:noProof/>
          <w:sz w:val="24"/>
        </w:rPr>
        <w:t xml:space="preserve"> επέτειο των Συνθηκών της Ρώμης τον Μάρτιο του 2017. Θα συνεργαστούμε επίσης με το Ευρωπαϊκό Κοινοβούλιο και το Συμβούλιο, προκειμένου να διασφαλιστεί η ταχεία έγκριση αυτών και άλλων βασικών προτάσεων που υποβάλαμε κατά τα προηγούμενα έτη, έτσι ώστε να έχουν απτά αποτελέσματα επί τόπου.</w:t>
      </w:r>
    </w:p>
    <w:p>
      <w:pPr>
        <w:jc w:val="both"/>
        <w:rPr>
          <w:rFonts w:ascii="Times New Roman" w:hAnsi="Times New Roman" w:cs="Times New Roman"/>
          <w:b/>
          <w:i/>
          <w:noProof/>
          <w:sz w:val="24"/>
          <w:szCs w:val="24"/>
        </w:rPr>
      </w:pPr>
      <w:r>
        <w:rPr>
          <w:rFonts w:ascii="Times New Roman" w:hAnsi="Times New Roman"/>
          <w:b/>
          <w:i/>
          <w:noProof/>
          <w:sz w:val="24"/>
        </w:rPr>
        <w:t>... και μια Επιτροπή που επικεντρώνεται στη βελτίωση της κατάστασης</w:t>
      </w:r>
    </w:p>
    <w:p>
      <w:pPr>
        <w:jc w:val="both"/>
        <w:rPr>
          <w:rFonts w:ascii="Times New Roman" w:hAnsi="Times New Roman" w:cs="Times New Roman"/>
          <w:noProof/>
          <w:sz w:val="24"/>
          <w:szCs w:val="24"/>
        </w:rPr>
      </w:pPr>
      <w:r>
        <w:rPr>
          <w:rFonts w:ascii="Times New Roman" w:hAnsi="Times New Roman"/>
          <w:noProof/>
          <w:sz w:val="24"/>
        </w:rPr>
        <w:t>Ο από κοινού καθορισμός προτεραιοτήτων είναι μόνο ένας από τους τρόπους με τους οποίους η βελτίωση της συνεργασίας σε ευρωπαϊκό επίπεδο μπορεί να αποδείξει στους Ευρωπαίους ότι οι δομές διακυβέρνησης είναι πράγματι προς όφελός τους. Διότι, όσον αφορά την εμπιστοσύνη των πολιτών, η βελτίωση της κατάστασης είναι εξίσου σημαντική, με την επίτευξη σημαντικών δράσεων.</w:t>
      </w:r>
    </w:p>
    <w:p>
      <w:pPr>
        <w:jc w:val="both"/>
        <w:rPr>
          <w:rFonts w:ascii="Times New Roman" w:hAnsi="Times New Roman" w:cs="Times New Roman"/>
          <w:noProof/>
          <w:sz w:val="24"/>
          <w:szCs w:val="24"/>
        </w:rPr>
      </w:pPr>
      <w:r>
        <w:rPr>
          <w:rFonts w:ascii="Times New Roman" w:hAnsi="Times New Roman"/>
          <w:noProof/>
          <w:sz w:val="24"/>
        </w:rPr>
        <w:t>Για τον λόγο αυτό, κατά τους προσεχείς μήνες θα δώσουμε ιδιαίτερη προσοχή στην επιχειρησιακή πτυχή των εργασιών μας: διασφαλίζοντας την ορθή εφαρμογή και επιβολή της ισχύουσας ευρωπαϊκής νομοθεσίας, καθώς και ότι εξακολουθεί να είναι κατάλληλη για τον επιδιωκόμενο σκοπό· παρέχοντας διαρθρωτική στήριξη, για παράδειγμα στην Ελλάδα· ενισχύοντας την ανάπτυξη του Ευρωπαϊκού Ταμείου Στρατηγικών Επενδύσεων και εξαλείφοντας τα εμπόδια στις επενδύσεις· και εγκαθιδρύοντας συνεργασία με τα κράτη μέλη, τους κοινωνικούς εταίρους και την κοινωνία των πολιτών προκειμένου να συμβάλουν στη δημιουργία ευνοϊκού περιβάλλοντος για την επίτευξη των στόχων πολιτικής της Ένωσης, μεταξύ άλλων και με την αποτελεσματική αξιοποίηση των δημοσιονομικών πόρων που έχουμε στη διάθεσή μας. Φέτος, θα εντείνουμε ιδίως τις προσπάθειές μας στην ατζέντα για την επιβολή της νομοθεσίας, δεδομένου ότι ακόμα και η καλύτερη νομοθεσία χάνει τη χρησιμότητά της αν δεν αποφέρει πραγματικά αποτελέσματα στην πράξη.</w:t>
      </w:r>
    </w:p>
    <w:p>
      <w:pPr>
        <w:jc w:val="both"/>
        <w:rPr>
          <w:rFonts w:ascii="Times New Roman" w:hAnsi="Times New Roman" w:cs="Times New Roman"/>
          <w:noProof/>
          <w:sz w:val="24"/>
          <w:szCs w:val="24"/>
        </w:rPr>
      </w:pPr>
      <w:r>
        <w:rPr>
          <w:rFonts w:ascii="Times New Roman" w:hAnsi="Times New Roman"/>
          <w:noProof/>
          <w:sz w:val="24"/>
        </w:rPr>
        <w:t>Θα συνεχίσουμε επίσης να εφαρμόζουμε τις αρχές βελτίωσης της νομοθεσίας στο σύνολο των εργασιών μας, έτσι ώστε να αξιολογείται συνεχώς η αποτελεσματικότητα και αναλογικότητα των πεπραγμένων μας για την επίτευξη των επιδιώξεων των στόχων πολιτικής που έχουμε θέσει. Πολλές από τις βασικές πρωτοβουλίες που θα παρουσιάσουμε το επόμενο έτος περιλαμβάνουν προτάσεις που αποτελούν συνέχεια του προγράμματος ελέγχου της καταλληλότητας και της αποτελεσματικότητας της νομοθεσίας (REFIT) και θα επικαιροποιήσουν και θα βελτιώσουν την υφιστάμενη νομοθεσία, έτσι ώστε να συνεχίσει να επιτυγχάνει τους στόχους της αποτελεσματικά και χωρίς περιττές επιβαρύνσεις.</w:t>
      </w:r>
    </w:p>
    <w:p>
      <w:pPr>
        <w:jc w:val="both"/>
        <w:rPr>
          <w:rFonts w:ascii="Times New Roman" w:hAnsi="Times New Roman" w:cs="Times New Roman"/>
          <w:noProof/>
          <w:sz w:val="24"/>
          <w:szCs w:val="24"/>
        </w:rPr>
      </w:pPr>
      <w:r>
        <w:rPr>
          <w:rFonts w:ascii="Times New Roman" w:hAnsi="Times New Roman"/>
          <w:noProof/>
          <w:sz w:val="24"/>
        </w:rPr>
        <w:t>Εκτός από τις βασικές πρωτοβουλίες, προτείνουμε επίσης ορισμένες περαιτέρω αναθεωρήσεις της ισχύουσας νομοθεσίας στο πλαίσιο του προγράμματος REFIT</w:t>
      </w:r>
      <w:r>
        <w:rPr>
          <w:rStyle w:val="FootnoteReference"/>
          <w:rFonts w:ascii="Times New Roman" w:hAnsi="Times New Roman"/>
          <w:noProof/>
          <w:sz w:val="24"/>
        </w:rPr>
        <w:footnoteReference w:id="2"/>
      </w:r>
      <w:r>
        <w:rPr>
          <w:rFonts w:ascii="Times New Roman" w:hAnsi="Times New Roman"/>
          <w:noProof/>
          <w:sz w:val="24"/>
        </w:rPr>
        <w:t>, και όσον αφορά το μέλλον θα προσπαθήσουμε να επιτύχουμε τους στόχους του προγράμματος REFIT, κάθε φορά που τυχόν ισχύοντες νόμοι θα πρέπει να αναθεωρηθούν. Κατά τον καθορισμό των προτεραιοτήτων μας για τους επόμενους μήνες, έχουμε λάβει ιδιαιτέρως υπόψη τις 22 γνωμοδοτήσεις της πλατφόρμας REFIT. Πραγματοποιούμε ή προγραμματίζουμε εργασίες σε όλους τους τομείς που καλύπτονται από τις γνωμοδοτήσεις</w:t>
      </w:r>
      <w:r>
        <w:rPr>
          <w:rStyle w:val="FootnoteReference"/>
          <w:rFonts w:ascii="Times New Roman" w:hAnsi="Times New Roman"/>
          <w:noProof/>
          <w:sz w:val="24"/>
        </w:rPr>
        <w:footnoteReference w:id="3"/>
      </w:r>
      <w:r>
        <w:rPr>
          <w:rFonts w:ascii="Times New Roman" w:hAnsi="Times New Roman"/>
          <w:noProof/>
          <w:sz w:val="24"/>
        </w:rPr>
        <w:t>. Παράλληλα με το πρόγραμμα εργασίας, δημοσιεύουμε πίνακα αποτελεσμάτων ο οποίος  αναφέρει λεπτομερώς τη συνέχεια που δίνεται στις γνωμοδοτήσεις της πλατφόρμας REFIT και τις συνεχιζόμενες προσπάθειες για την αξιολόγηση και επανεξέταση της ισχύουσας νομοθεσίας, ενώ προτείνεται επίσης η κατάργηση σειράς νομοθετικών πράξεων που έχουν καταστεί άνευ αντικειμένου</w:t>
      </w:r>
      <w:r>
        <w:rPr>
          <w:rStyle w:val="FootnoteReference"/>
          <w:rFonts w:ascii="Times New Roman" w:hAnsi="Times New Roman"/>
          <w:noProof/>
          <w:sz w:val="24"/>
        </w:rPr>
        <w:footnoteReference w:id="4"/>
      </w:r>
      <w:r>
        <w:rPr>
          <w:rFonts w:ascii="Times New Roman" w:hAnsi="Times New Roman"/>
          <w:noProof/>
          <w:sz w:val="24"/>
        </w:rPr>
        <w:t>. Προτείνουμε επίσης να αποσυρθεί σειρά εκκρεμών προτάσεων που είναι παρωχημένες από τεχνικής απόψεως ή που δεν εξυπηρετούν πλέον τον σκοπό τους, ώστε να μπορέσουν οι συννομοθέτες να επικεντρωθούν στις προτάσεις που έχουν πραγματικά σημασία</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Θα συνεχίσουμε επίσης την ενσωμάτωση των άλλων αλλαγών που επιφέραμε στον τρόπο εργασίας μας. Κατά τα δύο τελευταία έτη, η Επιτροπή αύξησε σημαντικά τη διαφάνεια και την υποχρέωση λογοδοσίας προς τους πολίτες</w:t>
      </w:r>
      <w:r>
        <w:rPr>
          <w:rStyle w:val="FootnoteReference"/>
          <w:rFonts w:ascii="Times New Roman" w:hAnsi="Times New Roman"/>
          <w:noProof/>
          <w:sz w:val="24"/>
        </w:rPr>
        <w:footnoteReference w:id="6"/>
      </w:r>
      <w:r>
        <w:rPr>
          <w:rFonts w:ascii="Times New Roman" w:hAnsi="Times New Roman"/>
          <w:noProof/>
          <w:sz w:val="24"/>
        </w:rPr>
        <w:t>, και έτσι βελτιώθηκε η ποιότητα των εργασιών μας και των προτάσεων μας. Τώρα ζητάμε τη γνώμη του κοινού σε όλους τους τομείς, περιλαμβανομένων των σχεδίων των κατ’ εξουσιοδότηση και εκτελεστικών πράξεων. Είμαστε ανοικτοί όσον αφορά τους εκπροσώπους συμφερόντων που επιδιώκουν να επηρεάσουν τις πολιτικές αποφάσεις και καλέσαμε το Ευρωπαϊκό Κοινοβούλιο και το Συμβούλιο, ως συννομοθέτες, να μετάσχουν στη συνάντησή μας για τη νέα διοργανική συμφωνία σχετικά με ένα υποχρεωτικό μητρώο διαφάνειας</w:t>
      </w:r>
      <w:r>
        <w:rPr>
          <w:rStyle w:val="FootnoteReference"/>
          <w:rFonts w:ascii="Times New Roman" w:hAnsi="Times New Roman"/>
          <w:noProof/>
          <w:sz w:val="24"/>
        </w:rPr>
        <w:footnoteReference w:id="7"/>
      </w:r>
      <w:r>
        <w:rPr>
          <w:rFonts w:ascii="Times New Roman" w:hAnsi="Times New Roman"/>
          <w:noProof/>
          <w:sz w:val="24"/>
        </w:rPr>
        <w:t xml:space="preserve"> έτσι ώστε να υπάρχει λογοδοσία προς τους πολίτες σχετικά με τις ομάδες συμφερόντων σε όλα τα στάδια της ευρωπαϊκής νομοθεσίας.</w:t>
      </w:r>
    </w:p>
    <w:p>
      <w:pPr>
        <w:jc w:val="both"/>
        <w:rPr>
          <w:rFonts w:ascii="Times New Roman" w:hAnsi="Times New Roman" w:cs="Times New Roman"/>
          <w:noProof/>
          <w:sz w:val="24"/>
          <w:szCs w:val="24"/>
        </w:rPr>
      </w:pPr>
    </w:p>
    <w:p>
      <w:pPr>
        <w:jc w:val="both"/>
        <w:rPr>
          <w:rFonts w:ascii="Times New Roman Bold" w:hAnsi="Times New Roman Bold" w:cs="Times New Roman"/>
          <w:b/>
          <w:smallCaps/>
          <w:noProof/>
          <w:sz w:val="24"/>
          <w:szCs w:val="24"/>
        </w:rPr>
      </w:pPr>
      <w:r>
        <w:rPr>
          <w:rFonts w:ascii="Times New Roman Bold" w:hAnsi="Times New Roman Bold"/>
          <w:b/>
          <w:smallCaps/>
          <w:noProof/>
          <w:sz w:val="24"/>
        </w:rPr>
        <w:t>II.</w:t>
      </w:r>
      <w:r>
        <w:rPr>
          <w:noProof/>
        </w:rPr>
        <w:tab/>
      </w:r>
      <w:r>
        <w:rPr>
          <w:rFonts w:ascii="Times New Roman Bold" w:hAnsi="Times New Roman Bold"/>
          <w:b/>
          <w:smallCaps/>
          <w:noProof/>
          <w:sz w:val="24"/>
        </w:rPr>
        <w:t xml:space="preserve">Υλοποίηση των 10 προτεραιοτήτων </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Κατά το προσεχές έτος, η Επιτροπή θα εργαστεί στο πλαίσιο των 10 προτεραιοτήτων που περιγράφονται στις πολιτικές κατευθυντήριες γραμμές</w:t>
      </w:r>
      <w:r>
        <w:rPr>
          <w:rStyle w:val="FootnoteReference"/>
          <w:rFonts w:ascii="Times New Roman" w:hAnsi="Times New Roman"/>
          <w:noProof/>
          <w:sz w:val="24"/>
        </w:rPr>
        <w:footnoteReference w:id="8"/>
      </w:r>
      <w:r>
        <w:rPr>
          <w:rFonts w:ascii="Times New Roman" w:hAnsi="Times New Roman"/>
          <w:noProof/>
          <w:sz w:val="24"/>
        </w:rPr>
        <w:t xml:space="preserve"> - που παρουσιάσαμε κατά την έναρξη της θητείας μας, κατόπιν συζητήσεων με το Ευρωπαϊκό Κοινοβούλιο, και  εμπνευστήκαμε από το «Στρατηγικό θεματολόγιο για την Ένωση σε εποχή αλλαγών» του Συμβουλίου — για την κατάρτιση ενός στοχοθετημένου και θετικού θεματολογίου που θα αποφέρει συγκεκριμένα αποτελέσματα για την προστασία, την ενδυνάμωση και την υπεράσπιση των πολιτών</w:t>
      </w:r>
      <w:r>
        <w:rPr>
          <w:rStyle w:val="FootnoteReference"/>
          <w:rFonts w:ascii="Times New Roman" w:hAnsi="Times New Roman"/>
          <w:noProof/>
          <w:sz w:val="24"/>
        </w:rPr>
        <w:footnoteReference w:id="9"/>
      </w:r>
      <w:r>
        <w:rPr>
          <w:rFonts w:ascii="Times New Roman" w:hAnsi="Times New Roman"/>
          <w:noProof/>
          <w:sz w:val="24"/>
        </w:rPr>
        <w:t>.</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Νέα ώθηση στην απασχόληση, την ανάπτυξη και τις επενδύσεις</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Μια Ευρώπη που διαφυλάττει τον τρόπο ζωής μας και ενδυναμώνει τους νέους μας</w:t>
      </w:r>
      <w:r>
        <w:rPr>
          <w:rFonts w:ascii="Times New Roman" w:hAnsi="Times New Roman"/>
          <w:noProof/>
          <w:sz w:val="24"/>
        </w:rPr>
        <w:t xml:space="preserve"> .</w:t>
      </w:r>
      <w:r>
        <w:rPr>
          <w:noProof/>
        </w:rPr>
        <w:t xml:space="preserve"> </w:t>
      </w:r>
      <w:r>
        <w:rPr>
          <w:rFonts w:ascii="Times New Roman" w:hAnsi="Times New Roman"/>
          <w:noProof/>
          <w:sz w:val="24"/>
        </w:rPr>
        <w:t xml:space="preserve"> Περίπου οκτώ εκατομμύρια νέες θέσεις απασχόλησης δημιουργήθηκαν τα τελευταία τρία έτη, αλλά η ανεργία εξακολουθεί να παραμένει σε απαράδεκτα υψηλά επίπεδα σε πολλά κράτη μέλη, ιδίως μεταξύ των νέων. Προτεραιότητά μας πρέπει να είναι να βοηθήσουμε τα κράτη μέλη να δημιουργήσουν τις καλύτερες δυνατές συνθήκες για τους νέους ανθρώπους ώστε να αναπτύξουν τις δεξιότητες που απαιτούνται και να καταστούν ενεργοί στην αγορά εργασίας και στην κοινωνία.</w:t>
      </w:r>
    </w:p>
    <w:p>
      <w:pPr>
        <w:pStyle w:val="Text2"/>
        <w:spacing w:before="120" w:after="200" w:line="276" w:lineRule="auto"/>
        <w:ind w:left="0"/>
        <w:rPr>
          <w:rFonts w:eastAsiaTheme="minorHAnsi"/>
          <w:noProof/>
          <w:szCs w:val="24"/>
        </w:rPr>
      </w:pPr>
      <w:r>
        <w:rPr>
          <w:noProof/>
        </w:rPr>
        <w:t>Στόχος της νέας μας πρωτοβουλίας για τους νέους είναι ότι κάθε νέος θα πρέπει να έχει πραγματικές προοπτικές για εκπαίδευση, κατάρτιση και απασχόληση. Θα δώσουμε προτεραιότητα στη νεολαία κατά την εφαρμογή του νέου θεματολογίου δεξιοτήτων για την Ευρώπη. Οι προτάσεις θα αφορούν τον εκσυγχρονισμό της εκπαίδευσης, τη βελτίωση της ποιότητας των προγραμμάτων μαθητείας και την περαιτέρω ανάπτυξη της κινητικότητας των μαθητευόμενων, καθώς και την παρακολούθηση των αποτελεσμάτων για τους νέους στην αγορά εργασίας μετά το πέρας της ακαδημαϊκής ή επαγγελματικής τους κατάρτισης. Ενισχύουμε επίσης τις «εγγυήσεις για τη νεολαία» ως εργαλείο επένδυσης στους νέους και στις δεξιότητές τους, κατά τα πρώτα στάδια της σταδιοδρομίας</w:t>
      </w:r>
      <w:r>
        <w:rPr>
          <w:rStyle w:val="FootnoteReference"/>
          <w:noProof/>
        </w:rPr>
        <w:footnoteReference w:id="10"/>
      </w:r>
      <w:r>
        <w:rPr>
          <w:noProof/>
        </w:rPr>
        <w:t>, καθώς και την πρωτοβουλία για την απασχόληση των νέων</w:t>
      </w:r>
      <w:r>
        <w:rPr>
          <w:rStyle w:val="FootnoteReference"/>
          <w:noProof/>
        </w:rPr>
        <w:footnoteReference w:id="11"/>
      </w:r>
      <w:r>
        <w:rPr>
          <w:noProof/>
        </w:rPr>
        <w:t>. Κατά τον τρόπο αυτό, θα στηριχθούν οι δράσεις των κρατών μελών, φθάνοντας στις περιοχές και τους νέους που έχουν μεγαλύτερη ανάγκη βοήθειας.</w:t>
      </w:r>
    </w:p>
    <w:p>
      <w:pPr>
        <w:pStyle w:val="Text2"/>
        <w:spacing w:before="120" w:after="200" w:line="276" w:lineRule="auto"/>
        <w:ind w:left="0"/>
        <w:rPr>
          <w:rFonts w:eastAsiaTheme="minorHAnsi"/>
          <w:noProof/>
          <w:szCs w:val="24"/>
        </w:rPr>
      </w:pPr>
      <w:r>
        <w:rPr>
          <w:noProof/>
        </w:rPr>
        <w:t>Θα δρομολογήσουμε το Ευρωπαϊκό Σώμα Αλληλεγγύης έως το τέλος του 2016, το οποίο θα δημιουργήσει ευκαιρίες για τους νέους κάτω των 30 ετών ώστε να συμβάλουν ενεργά στην κοινωνία με πνεύμα αλληλεγγύης, και να αποκτήσουν στην πορεία νέες δεξιότητες και πείρα, μεταξύ των οποίων και γλωσσικές δεξιότητες.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Οι επιχειρήσεις δημιουργούν θέσεις εργασίας μέσω της καινοτομίας και των σωστών επενδύσεων στις οικονομίες μας. Με βάση την αρχική επιτυχία του επενδυτικού σχεδίου για την Ευρώπη</w:t>
      </w:r>
      <w:r>
        <w:rPr>
          <w:rStyle w:val="FootnoteReference"/>
          <w:rFonts w:ascii="Times New Roman" w:hAnsi="Times New Roman"/>
          <w:noProof/>
          <w:sz w:val="24"/>
        </w:rPr>
        <w:footnoteReference w:id="12"/>
      </w:r>
      <w:r>
        <w:rPr>
          <w:rFonts w:ascii="Times New Roman" w:hAnsi="Times New Roman"/>
          <w:noProof/>
          <w:sz w:val="24"/>
        </w:rPr>
        <w:t>, η Επιτροπή έχει δεσμευθεί να διπλασιάσει τη διάρκεια και τη χρηματοοικονομική ικανότητα του Ευρωπαϊκού Ταμείου Στρατηγικών Επενδύσεων (ΕΤΣΕ). Η αρχική χρηματοδότηση συμφωνήθηκε από τους συννομοθέτες σε χρόνο ρεκόρ τεσσερισήμισι μηνών και η Επιτροπή αναμένει το Ευρωπαϊκό Κοινοβούλιο και το Συμβούλιο να διασφαλίσουν εξίσου ταχεία συμφωνία σχετικά με την επέκταση και την ενίσχυση του, με αποτέλεσμα την ενδυνάμωση βιώσιμων επενδύσεων. Εμπνεόμενη από την επιτυχία του ΕΤΣΕ, η Επιτροπή παρουσίασε επίσης εξωτερικό επενδυτικό πρόγραμμα για την Αφρική και τις γειτονικές χώρες της ΕΕ για την αντιμετώπιση των βαθύτερων αιτίων της μετανάστευσης και την προώθηση της απασχόλησης και της βιώσιμης ανάπτυξης σε αυτές τις περιφέρειες</w:t>
      </w:r>
      <w:r>
        <w:rPr>
          <w:rStyle w:val="FootnoteReference"/>
          <w:rFonts w:ascii="Times New Roman" w:hAnsi="Times New Roman"/>
          <w:noProof/>
          <w:sz w:val="24"/>
        </w:rPr>
        <w:footnoteReference w:id="13"/>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Θα συνεχίσουμε να εργαζόμαστε για να διαμορφωθεί το κατάλληλο κλίμα για καινοτομία στην Ευρώπη, με στόχο τη δημιουργία νέων επιχειρήσεων και θέσεων απασχόλησης, την αντιμετώπιση των κοινωνικών και περιβαλλοντικών προκλήσεων και τη βελτίωση της ζωής των πολιτών. Με την ενσωμάτωση της καινοτομίας σε όλες τις πολιτικές της Ένωσης και μέσω της αποτελεσματικής εστίασης στην έρευνα και στην ανάπτυξη, και στα διαρθρωτικά και επενδυτικά ταμεία, στόχος μας είναι να αναδείξουμε την Ευρώπη σε ηγετική θέση στον τομέα των νέων τεχνολογιών και των επιχειρηματικών μεθόδων, μεταξύ άλλων μέσω έξυπνης εξειδίκευσης.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Η Επιτροπή θα συνεχίσει να εργάζεται για την επίτευξη των στόχων της αειφόρου ανάπτυξης. Η κυκλική οικονομία προσφέρει σημαντικές δυνατότητες καινοτομίας, ανάπτυξης και δημιουργίας θέσεων εργασίας. Η Επιτροπή θα προωθήσει την υλοποίηση του σχεδίου δράσης της κυκλικής οικονομίας με τη βελτίωση της οικονομίας, της ποιότητας και την αξιοποίηση της ανακύκλωσης και της επαναχρησιμοποίησης πλαστικού στην ΕΕ και τη μείωση των διαρροών πλαστικών στο περιβάλλον. Θα υποβάλουμε, επίσης, νομοθετική πρόταση σχετικά με τις ελάχιστες απαιτήσεις ποιότητας για την επαναχρησιμοποίηση του νερού και την αναθεώρηση της οδηγίας για το πόσιμο νερό ως συνέχεια της αξιολόγησης REFIT και της ευρωπαϊκής πρωτοβουλίας πολιτών «Δικαίωμα στο νερό» (Right2Water). Θα αναπτύξουμε πλαίσιο παρακολούθησης για να διασφαλιστεί ότι η πρόοδος προς τους στόχους της κυκλικής οικονομίας συνεχίζεται για την επίτευξη αμοιβαίως ενισχυόμενων οφελών τόσο για το περιβάλλον όσο και για την οικονομική μας ανάπτυξη.</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Το Ευρωπαϊκό Εξάμηνο του 2017 θα συνεχίσει να επικεντρώνεται στα αναγκαία μέτρα που θα πρέπει να λάβουν τα κράτη μέλη υπέρ των επενδύσεων, της εξυγίανσης των δημόσιων οικονομικών και των διαρθρωτικών μεταρρυθμίσεων. Στην προσεχή σύσταση της, σχετικά με την οικονομική πολιτική της ζώνης του ευρώ, η Επιτροπή θα προωθήσει επίσης θετικό δημοσιονομικό προσανατολισμό της ζώνης του ευρώ, για την στήριξη της νομισματικής πολιτικής της Ευρωπαϊκής Κεντρικής Τράπεζας. Με βάση την ανάλυση που περιλαμβάνεται στις εκθέσεις ανά χώρα που θα εγκριθούν τον Φεβρουάριο, η Επιτροπή θα αναπτύξει νέα σειρά ειδικών ανά χώρα συστάσεων που θα προταθούν στο Συμβούλιο τον Μάιο.</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Θα παρακολουθούμε, από κοινού με το Ευρωπαϊκό Κοινοβούλιο και το Συμβούλιο, την πρότασή μας για την αναθεώρηση του πολυετούς δημοσιονομικού πλαισίου (2014-2020)</w:t>
      </w:r>
      <w:r>
        <w:rPr>
          <w:rStyle w:val="FootnoteReference"/>
          <w:rFonts w:ascii="Times New Roman" w:hAnsi="Times New Roman"/>
          <w:noProof/>
          <w:sz w:val="24"/>
        </w:rPr>
        <w:footnoteReference w:id="14"/>
      </w:r>
      <w:r>
        <w:rPr>
          <w:rFonts w:ascii="Times New Roman" w:hAnsi="Times New Roman"/>
          <w:noProof/>
          <w:sz w:val="24"/>
        </w:rPr>
        <w:t>. Φιλοδοξία μας είναι ένας αναθεωρημένος προϋπολογισμός, που ενισχύει τη στήριξη στις προτεραιότητες της Ένωσης και είναι περισσότερο σε θέση να ανταποκριθεί αμέσως σε απρόβλεπτες καταστάσεις, με απλουστευμένους κανόνες για τους δικαιούχους και μεγαλύτερη εστίαση στα αποτελέσματα. Θα ακολουθήσει ολοκληρωμένη πρόταση για το μελλοντικό πλαίσιο μετά το 2020, συμπεριλαμβανομένων των ιδίων πόρων. Η παρούσα πρόταση θα έχει γνώμονα την πρωτοβουλία «Ένας προϋπολογισμός της ΕΕ που θα εστιάζεται στα αποτελέσματα» και θα αντικατοπτρίζει τις μελλοντικές προκλήσεις και τις ανάγκες της Ένωσης μετά το 2020 με βάση την αξιολόγηση των υφιστάμενων πολιτικών δαπανών και μέσων.</w:t>
      </w:r>
    </w:p>
    <w:p>
      <w:pPr>
        <w:tabs>
          <w:tab w:val="left" w:pos="284"/>
        </w:tabs>
        <w:spacing w:after="240"/>
        <w:jc w:val="both"/>
        <w:rPr>
          <w:rFonts w:ascii="Times New Roman" w:hAnsi="Times New Roman" w:cs="Times New Roman"/>
          <w:noProof/>
        </w:rPr>
      </w:pPr>
      <w:r>
        <w:rPr>
          <w:rFonts w:ascii="Times New Roman" w:hAnsi="Times New Roman"/>
          <w:noProof/>
          <w:sz w:val="24"/>
        </w:rPr>
        <w:t>Η Επιτροπή θα προωθήσει την εκτέλεση εργασιών και θα προβεί σε ευρείες διαβουλεύσεις για την απλούστευση και τον εκσυγχρονισμό της κοινής γεωργικής πολιτικής για να μεγιστοποιήσει τη συμβολή της στις δέκα προτεραιότητες της Επιτροπής και στους στόχους βιώσιμης ανάπτυξης. Οι διαβουλεύσεις θα εστιαστούν σε συγκεκριμένες προτεραιότητες πολιτικής για το μέλλον, λαμβάνοντας υπόψη τη γνωμοδοτηση της πλατφόρμας REFIT, και με την επιφύλαξη της πρότασης της Επιτροπής για την αναθεώρηση του πολυετούς δημοσιονομικού πλαισίου. Όσον αφορά τη θέση των γεωργών στην αλυσίδα εφοδιασμού τροφίμων, βάσει των αποτελεσμάτων των εν εξελίξει εργασιών της ομάδας εργασίας για τις γεωργικές αγορές και το φόρουμ υψηλού επιπέδου για την αλυσίδα εφοδιασμού τροφίμων, η Επιτροπή θα εξετάσει το ενδεχόμενο να λάβει περαιτέρω μέτρα, κατά περίπτωση.</w:t>
      </w:r>
    </w:p>
    <w:p>
      <w:pPr>
        <w:keepNext/>
        <w:tabs>
          <w:tab w:val="left" w:pos="284"/>
        </w:tabs>
        <w:spacing w:after="240"/>
        <w:jc w:val="both"/>
        <w:rPr>
          <w:rFonts w:ascii="Times New Roman" w:hAnsi="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Συνδεδεμένη ψηφιακή ενιαία αγορά</w:t>
      </w:r>
    </w:p>
    <w:p>
      <w:pPr>
        <w:tabs>
          <w:tab w:val="left" w:pos="284"/>
        </w:tabs>
        <w:spacing w:after="240"/>
        <w:jc w:val="both"/>
        <w:rPr>
          <w:rFonts w:ascii="Times New Roman" w:hAnsi="Times New Roman"/>
          <w:noProof/>
          <w:sz w:val="24"/>
          <w:szCs w:val="24"/>
        </w:rPr>
      </w:pPr>
      <w:r>
        <w:rPr>
          <w:rFonts w:ascii="Times New Roman" w:hAnsi="Times New Roman"/>
          <w:i/>
          <w:noProof/>
          <w:sz w:val="24"/>
        </w:rPr>
        <w:t>Μια Ευρώπη που ενδυναμώνει τους πολίτες και τις επιχειρήσεις της.</w:t>
      </w:r>
      <w:r>
        <w:rPr>
          <w:rFonts w:ascii="Times New Roman" w:hAnsi="Times New Roman"/>
          <w:noProof/>
          <w:sz w:val="24"/>
        </w:rPr>
        <w:t xml:space="preserve"> Οι ψηφιακές τεχνολογίες και οι ψηφιακές επικοινωνίες καλύπτουν κάθε πτυχή της ζωής, προσφέροντας νέες ευκαιρίες για δημιουργικότητα, επιχειρηματικότητα και απασχόληση, αλλά και υπογραμμίζοντας την ανάγκη για εμπιστοσύνη και ασφάλεια στον κυβερνοχώρο. Η πλήρης αξιοποίηση των πρόσθετων δυνατοτήτων ανάπτυξης της συνδεδεμένης ψηφιακής ενιαίας αγοράς με την ολοκλήρωση της εφαρμογής της στρατηγικής θα παραμείνει υψηλή προτεραιότητα στην ημερήσια διάταξη του 2017. Όπως ανακοινώθηκε στο πρόγραμμα εργασίας του προηγούμενου έτους, τους επόμενους μήνες θα υλοποιήσουμε τις εναπομένουσες προτάσεις  όπως ο φόρος προστιθέμενης αξίας (ΦΠΑ), η δέσμη μέτρων REFIT που αφορά προτάσεις για το ηλεκτρονικό εμπόριο, οι ηλεκτρονικές δημοσιεύσεις και τα ηλεκτρονικά βιβλία, καθώς και πρωτοβουλίες για την προώθηση της οικονομίας των δεδομένων, μεταξύ των οποίων η άρση των αδικαιολόγητων εμποδίων στην ελεύθερη ροή δεδομένων εντός της Ευρώπης.</w:t>
      </w:r>
    </w:p>
    <w:p>
      <w:pPr>
        <w:tabs>
          <w:tab w:val="left" w:pos="284"/>
        </w:tabs>
        <w:spacing w:after="240"/>
        <w:jc w:val="both"/>
        <w:rPr>
          <w:rFonts w:ascii="Times New Roman" w:hAnsi="Times New Roman"/>
          <w:noProof/>
          <w:sz w:val="24"/>
          <w:szCs w:val="24"/>
        </w:rPr>
      </w:pPr>
      <w:r>
        <w:rPr>
          <w:rFonts w:ascii="Times New Roman" w:hAnsi="Times New Roman"/>
          <w:noProof/>
          <w:sz w:val="24"/>
        </w:rPr>
        <w:t>Θα αποδώσουμε ιδιαίτερη προσοχή στη στενή συνεργασία με τους συννομοθέτες προκειμένου να προχωρήσουν γρήγορα οι προτάσεις που έχουν ήδη υποβληθεί. Σε αυτές περιλαμβάνονται οι ψηφιακές συμβάσεις</w:t>
      </w:r>
      <w:r>
        <w:rPr>
          <w:rStyle w:val="FootnoteReference"/>
          <w:rFonts w:ascii="Times New Roman" w:hAnsi="Times New Roman"/>
          <w:noProof/>
          <w:sz w:val="24"/>
        </w:rPr>
        <w:footnoteReference w:id="15"/>
      </w:r>
      <w:r>
        <w:rPr>
          <w:rFonts w:ascii="Times New Roman" w:hAnsi="Times New Roman"/>
          <w:noProof/>
          <w:sz w:val="24"/>
        </w:rPr>
        <w:t>, τα δικαιώματα πνευματικής ιδιοκτησίας</w:t>
      </w:r>
      <w:r>
        <w:rPr>
          <w:rStyle w:val="FootnoteReference"/>
          <w:rFonts w:ascii="Times New Roman" w:hAnsi="Times New Roman"/>
          <w:noProof/>
          <w:sz w:val="24"/>
        </w:rPr>
        <w:footnoteReference w:id="16"/>
      </w:r>
      <w:r>
        <w:rPr>
          <w:rFonts w:ascii="Times New Roman" w:hAnsi="Times New Roman"/>
          <w:noProof/>
          <w:sz w:val="24"/>
        </w:rPr>
        <w:t>, ο γεωγραφικός αποκλεισμός</w:t>
      </w:r>
      <w:r>
        <w:rPr>
          <w:rStyle w:val="FootnoteReference"/>
          <w:rFonts w:ascii="Times New Roman" w:hAnsi="Times New Roman"/>
          <w:noProof/>
          <w:sz w:val="24"/>
        </w:rPr>
        <w:footnoteReference w:id="17"/>
      </w:r>
      <w:r>
        <w:rPr>
          <w:rFonts w:ascii="Times New Roman" w:hAnsi="Times New Roman"/>
          <w:noProof/>
          <w:sz w:val="24"/>
        </w:rPr>
        <w:t>, η φορητότητα</w:t>
      </w:r>
      <w:r>
        <w:rPr>
          <w:rStyle w:val="FootnoteReference"/>
          <w:rFonts w:ascii="Times New Roman" w:hAnsi="Times New Roman"/>
          <w:noProof/>
          <w:sz w:val="24"/>
        </w:rPr>
        <w:footnoteReference w:id="18"/>
      </w:r>
      <w:r>
        <w:rPr>
          <w:rFonts w:ascii="Times New Roman" w:hAnsi="Times New Roman"/>
          <w:noProof/>
          <w:sz w:val="24"/>
        </w:rPr>
        <w:t>, η παράδοση δεμάτων</w:t>
      </w:r>
      <w:r>
        <w:rPr>
          <w:rStyle w:val="FootnoteReference"/>
          <w:rFonts w:ascii="Times New Roman" w:hAnsi="Times New Roman"/>
          <w:noProof/>
          <w:sz w:val="24"/>
        </w:rPr>
        <w:footnoteReference w:id="19"/>
      </w:r>
      <w:r>
        <w:rPr>
          <w:rFonts w:ascii="Times New Roman" w:hAnsi="Times New Roman"/>
          <w:noProof/>
          <w:sz w:val="24"/>
        </w:rPr>
        <w:t>, οι υπηρεσίες οπτικοακουστικών μέσων</w:t>
      </w:r>
      <w:r>
        <w:rPr>
          <w:rStyle w:val="FootnoteReference"/>
          <w:rFonts w:ascii="Times New Roman" w:hAnsi="Times New Roman"/>
          <w:noProof/>
          <w:sz w:val="24"/>
        </w:rPr>
        <w:footnoteReference w:id="20"/>
      </w:r>
      <w:r>
        <w:rPr>
          <w:rFonts w:ascii="Times New Roman" w:hAnsi="Times New Roman"/>
          <w:noProof/>
          <w:sz w:val="24"/>
        </w:rPr>
        <w:t>, οι τηλεπικοινωνίες</w:t>
      </w:r>
      <w:r>
        <w:rPr>
          <w:rStyle w:val="FootnoteReference"/>
          <w:rFonts w:ascii="Times New Roman" w:hAnsi="Times New Roman"/>
          <w:noProof/>
          <w:sz w:val="24"/>
        </w:rPr>
        <w:footnoteReference w:id="21"/>
      </w:r>
      <w:r>
        <w:rPr>
          <w:rFonts w:ascii="Times New Roman" w:hAnsi="Times New Roman"/>
          <w:noProof/>
          <w:sz w:val="24"/>
        </w:rPr>
        <w:t>, η χρήση της ζώνης των 700 MHz στις κινητές υπηρεσίες</w:t>
      </w:r>
      <w:r>
        <w:rPr>
          <w:rStyle w:val="FootnoteReference"/>
          <w:rFonts w:ascii="Times New Roman" w:hAnsi="Times New Roman"/>
          <w:noProof/>
          <w:sz w:val="24"/>
        </w:rPr>
        <w:footnoteReference w:id="22"/>
      </w:r>
      <w:r>
        <w:rPr>
          <w:rFonts w:ascii="Times New Roman" w:hAnsi="Times New Roman"/>
          <w:noProof/>
          <w:sz w:val="24"/>
        </w:rPr>
        <w:t>, και η πρόσφατη πρόταση μας σχετικά με την πρωτοβουλία WiFi4EU</w:t>
      </w:r>
      <w:r>
        <w:rPr>
          <w:rStyle w:val="FootnoteReference"/>
          <w:rFonts w:ascii="Times New Roman" w:hAnsi="Times New Roman"/>
          <w:noProof/>
          <w:sz w:val="24"/>
        </w:rPr>
        <w:footnoteReference w:id="23"/>
      </w:r>
      <w:r>
        <w:rPr>
          <w:rFonts w:ascii="Times New Roman" w:hAnsi="Times New Roman"/>
          <w:noProof/>
          <w:sz w:val="24"/>
        </w:rPr>
        <w:t>. Η συνδεσιμότητα έχει καθοριστική σημασία, και η Επιτροπή θα τηρήσει την υπόσχεσή της για κατάργηση των τελών περιαγωγής κινητής τηλεφωνίας έως τα μέσα του 2017. Θα επανεξετασθεί η πρόοδος που επιτεύχθηκε για την ολοκλήρωση της ενιαίας ψηφιακής αγοράς και θα προσδιορίσουμε τους τομείς στους οποίους απαιτούνται περαιτέρω προσπάθειες από τους συννομοθέτες, καθώς και τυχόν αναγκαίες περαιτέρω προτάσεις.</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Μια ανθεκτική ενεργειακή ένωση συνοδευόμενη από μακρόπνοη πολιτική όσον αφορά την κλιματική αλλαγή</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 xml:space="preserve">Μια Ευρώπη που αναλαμβάνει την ευθύνη για την υλοποίηση των υποσχέσεων που έχουν δοθεί. </w:t>
      </w:r>
      <w:r>
        <w:rPr>
          <w:rFonts w:ascii="Times New Roman" w:hAnsi="Times New Roman"/>
          <w:noProof/>
          <w:sz w:val="24"/>
        </w:rPr>
        <w:t>Η ταχεία επικύρωση της συμφωνίας του Παρισιού έχει δείξει ότι τα κράτη μέλη μπορούν να βρουν κοινό έδαφος, όταν είναι σαφές ότι ενεργώντας από κοινού ο αντίκτυπος της Ένωσης είναι μεγαλύτερος από το απλό άθροισμα των κρατών που την απαρτίζουν. Επιπλέον, επιβεβαιώθηκε ο ηγετικός ρόλος της ΕΕ παγκοσμίως για την αντιμετώπιση της κλιματικής αλλαγής. Η υλοποίηση των δεσμεύσεών μας είναι πλέον αναγκαία για να καταστεί πραγματικότητα ο εκσυγχρονισμός της οικονομίας μας, διασφαλίζοντας παράλληλα κοινωνικά δίκαιη μετάβαση. Η εφαρμογή της συμφωνίας του Παρισιού και της διεθνούς συμφωνίας για τις εκπομπές από τα αεροσκάφη (Διεθνής Οργανισμός Πολιτικής Αεροπορίας) αποτελεί προτεραιότητα εν προκειμένω.</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Όπως έχει ήδη αναφερθεί, θα συνεχίσουμε την υλοποίηση της ενεργειακής στρατηγικής της Ένωσης και θα παρουσιάσουμε, έως το τέλος του τρέχοντος έτους, συνολική δέσμη μέτρων με στόχο τη διαχείριση του εκσυγχρονισμού της οικονομίας, θέτοντας την ενεργειακής απόδοσης ως πρώτη προτεραιότητα, επιδιώκοντας να καταλάβει η Ένωση την πρώτη θέση παγκοσμίως στον τομέα της ενέργειας από ανανεώσιμες πηγές και διασφαλίζοντας δίκαιους συναλλακτικούς όρους για τους καταναλωτές. Η ανωτέρω δέσμη θα περιλαμβάνει νομοθετική δράση για την ενεργειακή απόδοση, την ενέργεια από ανανεώσιμες πηγές συμπεριλαμβανομένης της βιωσιμότητας της βιοενέργειας, τον σχεδιασμό της αγοράς ηλεκτρικής ενέργειας και τους κανόνες διακυβέρνησης για την ενεργειακή ένωση. Μια πρωτοβουλία για την επιτάχυνση της καινοτομίας στον τομέα της καθαρής ενέργειας θα στηρίξει την έρευνα και την εμπορική αξιοποίηση των τεχνολογικών καινοτομιών που απαιτούνται για την ενεργειακή απόδοση και τις ανανεώσιμες πηγές ενέργειας ώστε να επιτευχθούν οι στόχοι  απαλλαγής από τις εκπομπές διοξειδίου του άνθρακα που ορίζουν η συμφωνία του Παρισιού και οι στόχοι μας για το 2030. Όλες οι νομοθετικές προτάσεις σχετικά με την ενεργειακή ένωση που υποβλήθηκαν από την Επιτροπή το 2015 και το 2016 θα πρέπει να εξεταστούν κατά προτεραιότητα από το Ευρωπαϊκό Κοινοβούλιο και το Συμβούλιο. Σε αυτές περιλαμβάνονται η προαναφερθείσα δέσμη μέτρων, η δέσμη μέτρων για την ασφάλεια του εφοδιασμού με αέριο</w:t>
      </w:r>
      <w:r>
        <w:rPr>
          <w:rStyle w:val="FootnoteReference"/>
          <w:rFonts w:ascii="Times New Roman" w:hAnsi="Times New Roman"/>
          <w:noProof/>
          <w:sz w:val="24"/>
        </w:rPr>
        <w:footnoteReference w:id="24"/>
      </w:r>
      <w:r>
        <w:rPr>
          <w:rFonts w:ascii="Times New Roman" w:hAnsi="Times New Roman"/>
          <w:noProof/>
          <w:sz w:val="24"/>
        </w:rPr>
        <w:t>, το σύστημα εμπορίας εκπομπών της ΕΕ</w:t>
      </w:r>
      <w:r>
        <w:rPr>
          <w:rStyle w:val="FootnoteReference"/>
          <w:rFonts w:ascii="Times New Roman" w:hAnsi="Times New Roman"/>
          <w:noProof/>
          <w:sz w:val="24"/>
        </w:rPr>
        <w:footnoteReference w:id="25"/>
      </w:r>
      <w:r>
        <w:rPr>
          <w:rFonts w:ascii="Times New Roman" w:hAnsi="Times New Roman"/>
          <w:noProof/>
          <w:sz w:val="24"/>
        </w:rPr>
        <w:t xml:space="preserve"> και οι συναφείς κανόνες για τον επιμερισμό των προσπαθειών</w:t>
      </w:r>
      <w:r>
        <w:rPr>
          <w:rStyle w:val="FootnoteReference"/>
          <w:rFonts w:ascii="Times New Roman" w:hAnsi="Times New Roman"/>
          <w:noProof/>
          <w:sz w:val="24"/>
        </w:rPr>
        <w:footnoteReference w:id="26"/>
      </w:r>
      <w:r>
        <w:rPr>
          <w:rFonts w:ascii="Times New Roman" w:hAnsi="Times New Roman"/>
          <w:noProof/>
          <w:sz w:val="24"/>
        </w:rPr>
        <w:t xml:space="preserve"> καθώς και η χρήση γης και η δασοκομία</w:t>
      </w:r>
      <w:r>
        <w:rPr>
          <w:rStyle w:val="FootnoteReference"/>
          <w:rFonts w:ascii="Times New Roman" w:hAnsi="Times New Roman"/>
          <w:noProof/>
          <w:sz w:val="24"/>
        </w:rPr>
        <w:footnoteReference w:id="27"/>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Θα συνεχίσουμε επίσης τη στρατηγική μας για κινητικότητα με χαμηλές εκπομπές που παρουσιάστηκε τον Ιούλιο. Στόχος θα είναι η αύξηση της αποδοτικότητας των μεταφορών, με την ανταπόκριση στις ανάγκες κινητικότητας ατόμων και αγαθών και την προώθηση χαμηλότερων εκπομπών, συμπεριλαμβανομένης της σταδιακής μετάβασης σε οχήματα μηδενικών εκπομπών, γεγονός που θα ενισχύσει επίσης την ανταγωνιστικότητα του κλάδου. Για να επιτευχθεί αυτό, ως πρώτο βήμα θα παρουσιάσουμε τις αναθεωρήσεις στο πλαίσιο του REFIT των κανονισμών για τα αυτοκίνητα και τα ελαφρά επαγγελματικά οχήματα, με την παρουσίαση στρατηγικών για τον καθορισμό προτύπων μηδενικών ή χαμηλών εκπομπών μετά το 2020, και της οδηγίας σχετικά με τα καθαρά οχήματα για τη βελτίωση των κινήτρων και των κανόνων των δημόσιων συμβάσεων. Με την εφαρμογή της αρχής «ο χρήστης πληρώνει» και «ο ρυπαίνων πληρώνει», σκοπεύουμε να προτείνουμε βελτιώσεις για τα κράτη μέλη που επιλέγουν να χρησιμοποιούν οδικά τέλη, συμπεριλαμβανομένης της διαλειτουργικότητας στην παροχή υπηρεσιών τηλεδιοδίων.</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4. </w:t>
      </w:r>
      <w:r>
        <w:rPr>
          <w:noProof/>
        </w:rPr>
        <w:tab/>
      </w:r>
      <w:r>
        <w:rPr>
          <w:rFonts w:ascii="Times New Roman" w:hAnsi="Times New Roman"/>
          <w:b/>
          <w:noProof/>
          <w:sz w:val="24"/>
        </w:rPr>
        <w:t>Βαθύτερη και δικαιότερη εσωτερική αγορά με ενισχυμένη βιομηχανική βάση</w:t>
      </w:r>
    </w:p>
    <w:p>
      <w:pPr>
        <w:jc w:val="both"/>
        <w:rPr>
          <w:rFonts w:ascii="Times New Roman" w:hAnsi="Times New Roman" w:cs="Times New Roman"/>
          <w:noProof/>
          <w:sz w:val="24"/>
          <w:szCs w:val="24"/>
        </w:rPr>
      </w:pPr>
      <w:r>
        <w:rPr>
          <w:rFonts w:ascii="Times New Roman" w:hAnsi="Times New Roman"/>
          <w:i/>
          <w:noProof/>
          <w:sz w:val="24"/>
        </w:rPr>
        <w:t>Μια Ευρώπη που συμβάλλει σημαντικά στην απασχόληση και την ανάπτυξη, και υπεραμύνεται της βιομηχανίας της,</w:t>
      </w:r>
      <w:r>
        <w:rPr>
          <w:noProof/>
        </w:rPr>
        <w:t xml:space="preserve"> </w:t>
      </w:r>
      <w:r>
        <w:rPr>
          <w:rFonts w:ascii="Times New Roman" w:hAnsi="Times New Roman"/>
          <w:noProof/>
          <w:sz w:val="24"/>
        </w:rPr>
        <w:t>Η ελεύθερη κυκλοφορία των εμπορευμάτων, των προσώπων, των υπηρεσιών και των κεφαλαίων αποτελεί τη βάση της οικονομικής ισχύος της Ευρώπης.</w:t>
      </w:r>
      <w:r>
        <w:rPr>
          <w:noProof/>
        </w:rPr>
        <w:t xml:space="preserve"> </w:t>
      </w:r>
      <w:r>
        <w:rPr>
          <w:rFonts w:ascii="Times New Roman" w:hAnsi="Times New Roman"/>
          <w:noProof/>
          <w:sz w:val="24"/>
        </w:rPr>
        <w:t xml:space="preserve"> Έχουμε τη μεγαλύτερη ενιαία αγορά στον κόσμο και οι μεταρρυθμίσεις που προβλέπονται στη στρατηγική για την Ενιαία αγορά επιδιώκουν να αναδειχθεί το πλήρες δυναμικό της. Σε συνέργεια με άλλες στρατηγικές μας, αυτό θα δημιουργήσει τις κατάλληλες συνθήκες για τη βιώσιμη ανταγωνιστικότητα της ευρωπαϊκής οικονομίας και τη στήριξη της καινοτομίας, της ψηφιοποίησης και της βιομηχανικής μεταποίησης.</w:t>
      </w:r>
    </w:p>
    <w:p>
      <w:pPr>
        <w:jc w:val="both"/>
        <w:rPr>
          <w:rFonts w:ascii="Times New Roman" w:hAnsi="Times New Roman" w:cs="Times New Roman"/>
          <w:noProof/>
          <w:sz w:val="24"/>
          <w:szCs w:val="24"/>
        </w:rPr>
      </w:pPr>
      <w:r>
        <w:rPr>
          <w:rFonts w:ascii="Times New Roman" w:hAnsi="Times New Roman"/>
          <w:noProof/>
          <w:sz w:val="24"/>
        </w:rPr>
        <w:t>Τα μελλοντικά αποτελέσματα, που έχουν ήδη ανακοινωθεί, καλύπτουν δράσεις για την παροχή βοήθειας στις ΜΜΕ και τις νεοσύστατες επιχειρήσεις με στόχο την ανάπτυξη τους, δέσμη για τα δικαιώματα διανοητικής ιδιοκτησίας, καθώς και δέσμη μέτρων για τις υπηρεσίες με σκοπό την εξάλειψη των φραγμών στην αγορά υπηρεσιών. Η Επιτροπή θα παρουσιάσει πρωτοβουλία για το εταιρικό δίκαιο για τη διευκόλυνση της χρήσης των ψηφιακών τεχνολογιών σε όλη τη διάρκεια της ζωής μιας επιχείρησης και στις διασυνοριακές συγχωνεύσεις και διασπάσεις.</w:t>
      </w:r>
    </w:p>
    <w:p>
      <w:pPr>
        <w:jc w:val="both"/>
        <w:rPr>
          <w:rFonts w:ascii="Times New Roman" w:hAnsi="Times New Roman" w:cs="Times New Roman"/>
          <w:noProof/>
          <w:sz w:val="24"/>
          <w:szCs w:val="24"/>
        </w:rPr>
      </w:pPr>
      <w:r>
        <w:rPr>
          <w:rFonts w:ascii="Times New Roman" w:hAnsi="Times New Roman"/>
          <w:noProof/>
          <w:sz w:val="24"/>
        </w:rPr>
        <w:t>Το επόμενο έτος, η Επιτροπή θα αναλάβει δράση για την ενίσχυση της ενιαίας αγοράς αγαθών, ιδίως με τη διευκόλυνση της αμοιβαίας αναγνώρισης και την αντιμετώπιση του αυξανόμενου όγκου των μη συμμορφούμενων προϊόντων στην αγορά της ΕΕ μέσω επανεξέτασης της σχετικής νομοθεσίας στο πλαίσιο του REFIT. Αυτό θα επιτρέψει στους επιχειρηματίες να προσφέρουν τα προϊόντα τους πιο εύκολα πέραν των συνόρων, ενώ παράλληλα θα προσφέρει κίνητρα για την αύξηση της συμμόρφωσης προς τους κανονισμούς και την αποκατάσταση των ίσων όρων ανταγωνισμού προς όφελος των επιχειρήσεων και των πολιτών. Θα αναλάβουμε, επίσης, πρωτοβουλία για συντονισμένες αξιολογήσεις της τεχνολογίας υγείας.</w:t>
      </w:r>
    </w:p>
    <w:p>
      <w:pPr>
        <w:jc w:val="both"/>
        <w:rPr>
          <w:rFonts w:ascii="Times New Roman" w:hAnsi="Times New Roman" w:cs="Times New Roman"/>
          <w:noProof/>
          <w:sz w:val="24"/>
          <w:szCs w:val="24"/>
        </w:rPr>
      </w:pPr>
      <w:r>
        <w:rPr>
          <w:rFonts w:ascii="Times New Roman" w:hAnsi="Times New Roman"/>
          <w:noProof/>
          <w:sz w:val="24"/>
        </w:rPr>
        <w:t>Με βάση τη στρατηγική για κινητικότητα με χαμηλές εκπομπές, η Επιτροπή θα εργαστεί κατά τρόπο ολοκληρωμένο για την κινητικότητα, τις δυνατότητες διασύνδεσης και το μέλλον της αυτοκινητοβιομηχανίας, η οποία πρέπει να αντιμετωπίσει τις διαρθρωτικές προκλήσεις και να αποκαταστήσει την εμπιστοσύνη στη δέσμευσή της και την ικανότητά της να μειώσει τις εκπομπές των αυτοκινήτων. Θα συνεχίσουμε, κυρίως, τις εργασίες για το ρυθμιστικό περιβάλλον, την οικοδόμηση οικοσυστήματος, την απόδοση των πόρων και την τυποποίηση, ώστε να διευκολυνθεί η εισαγωγή στην αγορά όλο και πιο αποδοτικών αυτόνομων και συνδεδεμένων οχημάτων.</w:t>
      </w:r>
    </w:p>
    <w:p>
      <w:pPr>
        <w:jc w:val="both"/>
        <w:rPr>
          <w:rFonts w:ascii="Times New Roman" w:hAnsi="Times New Roman" w:cs="Times New Roman"/>
          <w:noProof/>
          <w:sz w:val="24"/>
          <w:szCs w:val="24"/>
        </w:rPr>
      </w:pPr>
      <w:r>
        <w:rPr>
          <w:rFonts w:ascii="Times New Roman" w:hAnsi="Times New Roman"/>
          <w:noProof/>
          <w:sz w:val="24"/>
        </w:rPr>
        <w:t>Όσον αφορά τη διαστημική βιομηχανία, σε συνέχεια του σχεδίου δράσης ευρωπαϊκής άμυνας και της διαστημικής στρατηγικής για την Ευρώπη, η Επιτροπή θα υποβάλει το 2017 πρωτοβουλία για την εξασφάλιση αξιόπιστων, ασφαλών και οικονομικά αποδοτικών υπηρεσιών δορυφορικών επικοινωνιών για τις δημόσιες αρχές (κυβερνητικές δορυφορικές επικοινωνίες (GOVSATCOM)), καθώς και μέτρα για τη διευκόλυνση της διείσδυσης στην αγορά των διαστημικών υπηρεσιών και δεδομένων.</w:t>
      </w:r>
    </w:p>
    <w:p>
      <w:pPr>
        <w:jc w:val="both"/>
        <w:rPr>
          <w:rFonts w:ascii="Times New Roman" w:hAnsi="Times New Roman" w:cs="Times New Roman"/>
          <w:noProof/>
          <w:sz w:val="24"/>
          <w:szCs w:val="24"/>
        </w:rPr>
      </w:pPr>
      <w:r>
        <w:rPr>
          <w:rFonts w:ascii="Times New Roman" w:hAnsi="Times New Roman"/>
          <w:noProof/>
          <w:sz w:val="24"/>
        </w:rPr>
        <w:t>Η εφαρμογή των κανόνων της ενιαίας αγοράς είναι ζωτικής σημασίας προκειμένου να διασφαλιστεί η επιτυχία στην πράξη. Το 2017, η Επιτροπή θα προτείνει, στο πλαίσιο ευρύτερης εστίασης στην επιβολή της νομοθεσίας, προτάσεις για την αναβάθμιση και τον εξορθολογισμό των μέσων επίλυσης προβλημάτων, συμπεριλαμβανομένου του δικτύου SOLVIT, και θα προωθήσει την ευαισθητοποίηση των πολιτών και των επιχειρήσεων σχετικά με τα δικαιώματά τους. Στα μέσα αυτά θα περιλαμβάνεται εργαλείο πληροφόρησης για την ενιαία αγορά και την ενιαία ψηφιακή πύλη</w:t>
      </w:r>
      <w:r>
        <w:rPr>
          <w:noProof/>
        </w:rPr>
        <w:t xml:space="preserve"> </w:t>
      </w:r>
      <w:r>
        <w:rPr>
          <w:rFonts w:ascii="Times New Roman" w:hAnsi="Times New Roman"/>
          <w:noProof/>
          <w:sz w:val="24"/>
        </w:rPr>
        <w:t>για τη στήριξη των επιχειρήσεων και την παροχή βοήθειας ώστε να αναπτύξουν διασυνοριακές δραστηριότητες στο σύνολο της ενιαίας αγοράς, λαμβάνοντας υπόψη γνωμοδότηση της πλατφόρμας REFIT.</w:t>
      </w:r>
      <w:r>
        <w:rPr>
          <w:noProof/>
        </w:rPr>
        <w:t xml:space="preserve"> </w:t>
      </w:r>
      <w:r>
        <w:rPr>
          <w:rFonts w:ascii="Times New Roman" w:hAnsi="Times New Roman"/>
          <w:noProof/>
          <w:sz w:val="24"/>
        </w:rPr>
        <w:t xml:space="preserve"> Θα υποβληθούν προτάσεις για την περαιτέρω ενδυνάμωση των εθνικών αρχών ανταγωνισμού, προκειμένου να εφαρμόσουν πιο αποτελεσματικά τους κανόνες που διασφαλίζουν ανταγωνιστικό περιβάλλον στην ενιαία αγορά.</w:t>
      </w:r>
    </w:p>
    <w:p>
      <w:pPr>
        <w:jc w:val="both"/>
        <w:rPr>
          <w:rFonts w:ascii="Times New Roman" w:hAnsi="Times New Roman" w:cs="Times New Roman"/>
          <w:noProof/>
          <w:sz w:val="24"/>
          <w:szCs w:val="24"/>
        </w:rPr>
      </w:pPr>
      <w:r>
        <w:rPr>
          <w:rFonts w:ascii="Times New Roman" w:hAnsi="Times New Roman"/>
          <w:noProof/>
          <w:sz w:val="24"/>
        </w:rPr>
        <w:t>Σύμφωνα με την έκκληση του Ευρωπαϊκού Συμβουλίου για την επίτευξη ταχείας προόδου για τη διευκόλυνση της πρόσβασης των επιχειρήσεων σε χρηματοδότηση και τη στήριξη επενδύσεων στην πραγματική οικονομία, η Επιτροπή προτίθεται να παρουσιάσει μεσοπρόθεσμη αναθεώρηση του σχεδίου δράσης για την Ένωση Κεφαλαιαγορών, εντοπίζοντας τα εναπομένοντα εμπόδια και τυχόν απαιτούμενα πρόσθετα μέτρα. Θα προτείνει ένα απλό, αποτελεσματικό και ανταγωνιστικό ενωσιακό ατομικό συνταξιοδοτικό προϊόν με στόχο τη μείωση των εμποδίων στην παροχή συνταξιοδοτικών υπηρεσιών σε διασυνοριακό επίπεδο και την αύξηση του ανταγωνισμού μεταξύ των φορέων κοινωνικής ασφάλισης, την αναθεώρηση του κανονισμού για τις υποδομές των ευρωπαϊκών αγορών (EMIR), στο πλαίσιο του REFIT, στρατηγική για τη βιώσιμη χρηματοδότηση και σχέδιο δράσης για τις λιανικές χρηματοπιστωτικές υπηρεσίες, ώστε να αρθούν οι εθνικοί φραγμοί που εμποδίζουν τους καταναλωτές να εξασφαλίζουν την καλύτερη δυνατή σχέση κόστους-οφέλους, επιλογής και τιμών και να επωφελούνται από τις νέες χρηματοοικονομικές τεχνολογίες. Η Επιτροπή θα διασφαλίσει επίσης ότι θα δοθεί συνέχεια στην πρόσκληση υποβολής στοιχείων σχετικά με τις σωρευτικές επιπτώσεις της χρηματοπιστωτικής νομοθεσίας, λαμβάνοντας επίσης υπόψη τη γνωμοδότηση της πλατφόρμας REFIT σχετικά με τις απαιτήσεις υποβολής εκθέσεων. Θα υποβάλουμε επίσης τις εναπομένουσες προτάσεις που έχουν ήδη εξαγγελθεί, συμπεριλαμβανομένης της νομοθεσίας σχετικά με την αναδιάρθρωση των επιχειρήσεων και την παροχή δεύτερης ευκαιρίας ώστε να εξασφαλιστεί ότι, όταν κάποιες επιχειρήσεις πτωχεύουν, η εκκαθάριση γίνεται με δίκαιο και αποτελεσματικό τρόπο και δίνεται στους επιχειρηματίες η ευκαιρία να κάνουν ένα νέο ξεκίνημα.</w:t>
      </w:r>
    </w:p>
    <w:p>
      <w:pPr>
        <w:jc w:val="both"/>
        <w:rPr>
          <w:rFonts w:ascii="Times New Roman" w:hAnsi="Times New Roman" w:cs="Times New Roman"/>
          <w:noProof/>
          <w:sz w:val="24"/>
          <w:szCs w:val="24"/>
        </w:rPr>
      </w:pPr>
      <w:r>
        <w:rPr>
          <w:rFonts w:ascii="Times New Roman" w:hAnsi="Times New Roman"/>
          <w:noProof/>
          <w:sz w:val="24"/>
        </w:rPr>
        <w:t>Το υγιές φορολογικό περιβάλλον πρέπει να είναι απλό και αποδοτικό για τις εταιρείες που δραστηριοποιούνται διασυνοριακά, εξασφαλίζοντας παράλληλα ότι οι εν λόγω εταιρείες φορολογούνται δίκαια και αποτελεσματικά  στους τόπους στους οποίους πραγματοποιούν τα κέρδη τους. Παράλληλα με το παρόν πρόγραμμα εργασίας, η Επιτροπή δρομολογεί εκ νέου την κοινή ενοποιημένη βάση φορολογίας εταιρειών με πρώτο βήμα την υποχρεωτική κοινή φορολογική βάση</w:t>
      </w:r>
      <w:r>
        <w:rPr>
          <w:rStyle w:val="FootnoteReference"/>
          <w:rFonts w:ascii="Times New Roman" w:hAnsi="Times New Roman"/>
          <w:noProof/>
          <w:sz w:val="24"/>
        </w:rPr>
        <w:footnoteReference w:id="28"/>
      </w:r>
      <w:r>
        <w:rPr>
          <w:rFonts w:ascii="Times New Roman" w:hAnsi="Times New Roman"/>
          <w:noProof/>
          <w:sz w:val="24"/>
        </w:rPr>
        <w:t>. Η Επιτροπή παρουσιάζει επίσης περαιτέρω μέτρα για την αντιμετώπιση της φορολογικής απάτης και της φοροδιαφυγής, μεταξύ άλλων μέσω τρίτων χωρών</w:t>
      </w:r>
      <w:r>
        <w:rPr>
          <w:rStyle w:val="FootnoteReference"/>
          <w:rFonts w:ascii="Times New Roman" w:hAnsi="Times New Roman"/>
          <w:noProof/>
          <w:sz w:val="24"/>
        </w:rPr>
        <w:footnoteReference w:id="29"/>
      </w:r>
      <w:r>
        <w:rPr>
          <w:rFonts w:ascii="Times New Roman" w:hAnsi="Times New Roman"/>
          <w:noProof/>
          <w:sz w:val="24"/>
        </w:rPr>
        <w:t xml:space="preserve">. Λαμβανομένων υπόψη των συνεχιζόμενων διαβουλεύσεων, τα πρόσθετα μέτρα στον τομέα της φορολογικής διαφάνειας του επόμενου έτους θα μπορούσαν να περιλαμβάνουν πρόταση για την ενίσχυση της εποπτείας των παραγόντων προώθησης και διευκόλυνσης μηχανισμών επιθετικού φορολογικού σχεδιασμού. Ως βασική συνιστώσα της εξωτερικής στρατηγικής για την πραγματική φορολόγηση, η Επιτροπή θα συνεργαστεί με τα κράτη μέλη για την ολοκλήρωση ευρωπαϊκού καταλόγου των δικαιοδοσιών τρίτων χωρών που δεν συμμορφώνονται με τα διεθνή πρότυπα χρηστής φορολογικής διακυβέρνησης και την εφαρμογή των σχετικών διεθνών συμφωνιών σχετικά με τις βέλτιστες πρακτικές κατά της μετατόπισης των κερδών και της διάβρωσης της φορολογικής βάσης. </w:t>
      </w:r>
    </w:p>
    <w:p>
      <w:pPr>
        <w:jc w:val="both"/>
        <w:rPr>
          <w:rFonts w:ascii="Times New Roman" w:hAnsi="Times New Roman" w:cs="Times New Roman"/>
          <w:noProof/>
          <w:sz w:val="24"/>
          <w:szCs w:val="24"/>
        </w:rPr>
      </w:pPr>
      <w:r>
        <w:rPr>
          <w:rFonts w:ascii="Times New Roman" w:hAnsi="Times New Roman"/>
          <w:noProof/>
          <w:sz w:val="24"/>
        </w:rPr>
        <w:t>Κάθε χρόνο, η διασυνοριακή απάτη στον τομέα του ΦΠΑ κοστίζει στους φορολογούμενους των κρατών μελών μας περίπου 50 δισεκ. EUR. Ταυτόχρονα, ο διοικητικός φόρτος της συμμόρφωσης των μικρών επιχειρήσεων με τη νομοθεσία περί ΦΠΑ  είναι υψηλός και οι τεχνολογικές καινοτομίες δημιουργούν νέες προκλήσεις για την αποτελεσματική είσπραξη των φόρων. Ως εκ τούτου, η Επιτροπή θα προτείνει μέτρα για την εφαρμογή του σχεδίου δράσης για τον ΦΠΑ, για την απλοποίηση του ΦΠΑ για τις μικρότερες επιχειρήσεις και θα θέσει τα θεμέλια για σύγχρονο, πιο αποτελεσματικό, φιλικό προς τις επιχειρήσεις και θωρακισμένο έναντι της απάτης οριστικό καθεστώς ΦΠΑ σε ολόκληρη την Ευρώπη, λαμβάνοντας υπόψη τις γνωμοδοτήσεις της πλατφόρμας REFIT. Η πιο αποτελεσματική και αναλογική προσέγγιση των συντελεστών ΦΠΑ αποτελεί βασικό στοιχείο αυτής της μεταρρύθμισης.</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Βαθύτερη και δικαιότερη οικονομική και νομισματική ένωση</w:t>
      </w:r>
    </w:p>
    <w:p>
      <w:pPr>
        <w:spacing w:after="120"/>
        <w:jc w:val="both"/>
        <w:rPr>
          <w:rFonts w:ascii="Times New Roman" w:hAnsi="Times New Roman" w:cs="Times New Roman"/>
          <w:noProof/>
          <w:sz w:val="24"/>
          <w:szCs w:val="24"/>
        </w:rPr>
      </w:pPr>
      <w:r>
        <w:rPr>
          <w:rFonts w:ascii="Times New Roman" w:hAnsi="Times New Roman"/>
          <w:i/>
          <w:noProof/>
          <w:sz w:val="24"/>
        </w:rPr>
        <w:t>Μια Ευρώπη που προστατεύει τις οικονομίες μας και εξασφαλίζει ίσους όρους ανταγωνισμού για τους εργαζομένους και τις επιχειρήσεις.</w:t>
      </w:r>
      <w:r>
        <w:rPr>
          <w:rFonts w:ascii="Times New Roman" w:hAnsi="Times New Roman"/>
          <w:noProof/>
          <w:sz w:val="24"/>
        </w:rPr>
        <w:t xml:space="preserve"> Ως καθιερωμένο παγκόσμιο νόμισμα, το ευρώ αποφέρει τεράστια οικονομικά οφέλη, συχνά μη ορατά. Οι χώρες της ζώνης του ευρώ εξοικονόμησαν 50 δισεκ. EUR από πληρωμές τόκων για το χρέος τους, χάρη στα χαμηλά επιτόκια και τη νομισματική πολιτική της Ευρωπαϊκής Κεντρικής Τράπεζας. Η Επιτροπή στηρίζει το φιλόδοξο πνεύμα και τους χάρτες πορείας που παρουσιάστηκαν στην Έκθεση των Πέντε Προέδρων για την ολοκλήρωση της Οικονομικής και Νομισματικής Ένωσης (ΟΝΕ).</w:t>
      </w:r>
    </w:p>
    <w:p>
      <w:pPr>
        <w:spacing w:after="120"/>
        <w:jc w:val="both"/>
        <w:rPr>
          <w:rFonts w:ascii="Times New Roman" w:eastAsia="Calibri" w:hAnsi="Times New Roman" w:cs="Times New Roman"/>
          <w:noProof/>
          <w:sz w:val="24"/>
          <w:szCs w:val="24"/>
        </w:rPr>
      </w:pPr>
      <w:r>
        <w:rPr>
          <w:rFonts w:ascii="Times New Roman" w:hAnsi="Times New Roman"/>
          <w:noProof/>
          <w:sz w:val="24"/>
        </w:rPr>
        <w:t>Η Λευκή Βίβλος για το μέλλον της Ευρώπης που παρουσιάζει τα μέτρα που πρέπει να ληφθούν για τη μεταρρύθμιση της ΕΕ των 27 κρατών μελών 60 χρόνια μετά τις Συνθήκες της Ρώμης, θα εξετάζει επίσης το μέλλον της ΟΝΕ, ώστε να προετοιμαστεί το δεύτερο στάδιο εμβάθυνσης της ΟΝΕ μέσα στο νέο πολιτικό και δημοκρατικό πλαίσιο (θα περιλαμβάνει επίσης την αναθεώρηση του Συμφώνου Σταθερότητας και Ανάπτυξης με γνώμονα τη σταθερότητα και τα μέτρα που πρέπει να ληφθούν για τη συμμόρφωση με το άρθρο 16 της Συνθήκης για τη σταθερότητα, τον συντονισμό και τη διακυβέρνηση στην ΟΝ (ώστε να ενσωματωθεί το περιεχόμενο της εν λόγω Συνθήκης στο νομικό πλαίσιο της Ευρωπαϊκής Ένωσης). Θα επανεξετάσουμε, επίσης, το Ευρωπαϊκό Σύστημα Χρηματοπιστωτικής Εποπτείας (ΕΣΧΕ) για την ενίσχυση της αποτελεσματικότητας και της αποδοτικότητας της εποπτείας, τόσο σε μικροοικονομικό όσο και σε μακροοικονομικό επίπεδο προληπτικής εποπτείας. Θα πρέπει να επιταχυνθεί η έγκριση της πρότασης για ενιαία εκπροσώπηση της ζώνης του ευρώ στο Διεθνές Νομισματικό Ταμείο</w:t>
      </w:r>
      <w:r>
        <w:rPr>
          <w:rStyle w:val="FootnoteReference"/>
          <w:rFonts w:ascii="Times New Roman" w:hAnsi="Times New Roman"/>
          <w:noProof/>
          <w:sz w:val="24"/>
        </w:rPr>
        <w:footnoteReference w:id="30"/>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Η ολοκλήρωση της Τραπεζικής Ένωσης και, στο πλαίσιο αυτό, η επίτευξη συμφωνίας σχετικά με την πρόταση για ένα κοινό ευρωπαϊκό σύστημα εγγύησης των καταθέσεων, εξακολουθεί να αποτελεί προτεραιότητα</w:t>
      </w:r>
      <w:r>
        <w:rPr>
          <w:rStyle w:val="FootnoteReference"/>
          <w:rFonts w:ascii="Times New Roman" w:hAnsi="Times New Roman"/>
          <w:noProof/>
          <w:sz w:val="24"/>
        </w:rPr>
        <w:footnoteReference w:id="31"/>
      </w:r>
      <w:r>
        <w:rPr>
          <w:rFonts w:ascii="Times New Roman" w:hAnsi="Times New Roman"/>
          <w:noProof/>
          <w:sz w:val="24"/>
        </w:rPr>
        <w:t>. Η Επιτροπή θα πρέπει επίσης, υπό το πρίσμα των πλέον πρόσφατων εκτιμήσεων σε διεθνές επίπεδο, να αναθεωρήσει μέρη της τραπεζικής νομοθεσίας και να προτείνει στοχευμένες τροποποιήσεις του κανονισμού και της οδηγίας για τις κεφαλαιακές απαιτήσεις, καθώς και της οδηγίας για την ανάκαμψη και την εξυγίανση των τραπεζών, ώστε να καταστούν οι τράπεζες ακόμα πιο ανθεκτικές, απλουστεύοντας παράλληλα τους κανόνες για τις τράπεζες με λιγότερο σύνθετο επιχειρηματικό μοντέλο, προωθώντας τις επενδύσεις ιδίως στις ΜΜΕ, και ενισχύοντας τα υφιστάμενα μέτρα μείωσης των κινδύνων, ιδίως μέσω της εφαρμογής των παγκόσμιων προτύπων για συνολική ικανότητα απορρόφησης ζημιών για τις συστημικές τράπεζες. Η επιτάχυνση της προόδου στην υλοποίηση της Ένωσης κεφαλαιαγορών έχει καθοριστική σημασία για την προώθηση υψηλότερου επιπέδου επιμερισμού του κινδύνου του ιδιωτικού τομέα στην ΟΝΕ. Η έγκριση των εκκρεμών προτάσεων σχετικά με την τιτλοποίηση</w:t>
      </w:r>
      <w:r>
        <w:rPr>
          <w:rStyle w:val="FootnoteReference"/>
          <w:rFonts w:ascii="Times New Roman" w:hAnsi="Times New Roman"/>
          <w:noProof/>
          <w:sz w:val="24"/>
        </w:rPr>
        <w:footnoteReference w:id="32"/>
      </w:r>
      <w:r>
        <w:rPr>
          <w:rFonts w:ascii="Times New Roman" w:hAnsi="Times New Roman"/>
          <w:noProof/>
          <w:sz w:val="24"/>
        </w:rPr>
        <w:t xml:space="preserve"> και το ενημερωτικό δελτίο</w:t>
      </w:r>
      <w:r>
        <w:rPr>
          <w:rStyle w:val="FootnoteReference"/>
          <w:rFonts w:ascii="Times New Roman" w:hAnsi="Times New Roman"/>
          <w:noProof/>
          <w:sz w:val="24"/>
        </w:rPr>
        <w:footnoteReference w:id="33"/>
      </w:r>
      <w:r>
        <w:rPr>
          <w:rFonts w:ascii="Times New Roman" w:hAnsi="Times New Roman"/>
          <w:noProof/>
          <w:sz w:val="24"/>
        </w:rPr>
        <w:t xml:space="preserve"> πρέπει να επιταχυνθεί.</w:t>
      </w:r>
    </w:p>
    <w:p>
      <w:pPr>
        <w:jc w:val="both"/>
        <w:rPr>
          <w:rFonts w:ascii="Times New Roman" w:hAnsi="Times New Roman" w:cs="Times New Roman"/>
          <w:noProof/>
          <w:sz w:val="24"/>
          <w:szCs w:val="24"/>
        </w:rPr>
      </w:pPr>
      <w:r>
        <w:rPr>
          <w:rFonts w:ascii="Times New Roman" w:hAnsi="Times New Roman"/>
          <w:noProof/>
          <w:sz w:val="24"/>
        </w:rPr>
        <w:t>Η Επιτροπή έχει δεσμευτεί για την προώθηση της κοινωνικής σύγκλισης προς τα άνω και την ενίσχυση της κοινωνικής διάστασης της ευρωπαϊκής ολοκλήρωσης. Με βάση τα στοιχεία που συγκεντρώθηκαν κατά τη φετινή δημόσια διαβούλευση, θα προτείνουμε έναν ευρωπαϊκό πυλώνα κοινωνικών δικαιωμάτων στον οποίο θα καθορίζονται οι αρχές μιας Ένωσης που θα βασίζεται στην κοινωνική δικαιοσύνη. Ο πυλώνας θα καθορίζει πλαίσιο αρχών για την προώθηση ίσων όρων ανταγωνισμού για μια ευρωπαϊκή κοινωνική οικονομία της αγοράς. Ο πυλώνας αυτός θα προσφέρει πολιτική πυξίδα για δίκαιες και δυναμικές αγορές εργασίας, στις οποίες όλοι θα έχουν τη δυνατότητα να αξιοποιήσουν τα ταλέντα τους, και για την εύρυθμη λειτουργία και τη βιωσιμότητα των συστημάτων κοινωνικής ασφάλισης που αντικατοπτρίζουν τη σημερινή ταχέως μεταβαλλόμενη πραγματικότητα. Θα συνοδεύεται από συναφείς πρωτοβουλίες, όπως οι πρωτοβουλίες για την αντιμετώπιση των προκλήσεων στην εξισορρόπηση επαγγελματικής και ιδιωτικής ζωής που αντιμετωπίζουν οι εργαζόμενες οικογένειες.</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6.</w:t>
      </w:r>
      <w:r>
        <w:rPr>
          <w:noProof/>
        </w:rPr>
        <w:tab/>
      </w:r>
      <w:r>
        <w:rPr>
          <w:rFonts w:ascii="Times New Roman" w:hAnsi="Times New Roman"/>
          <w:b/>
          <w:noProof/>
          <w:sz w:val="24"/>
        </w:rPr>
        <w:t>Εμπόριο: Εύλογη και ισορροπημένη συμφωνία ελεύθερων συναλλαγών με τις Ηνωμένες Πολιτείες</w:t>
      </w:r>
    </w:p>
    <w:p>
      <w:pPr>
        <w:autoSpaceDE w:val="0"/>
        <w:autoSpaceDN w:val="0"/>
        <w:jc w:val="both"/>
        <w:rPr>
          <w:rFonts w:ascii="Times New Roman" w:hAnsi="Times New Roman"/>
          <w:noProof/>
          <w:sz w:val="24"/>
          <w:szCs w:val="24"/>
        </w:rPr>
      </w:pPr>
      <w:r>
        <w:rPr>
          <w:rFonts w:ascii="Times New Roman" w:hAnsi="Times New Roman"/>
          <w:i/>
          <w:noProof/>
          <w:sz w:val="24"/>
        </w:rPr>
        <w:t>Μια Ευρώπη που είναι ανοικτή και διαπραγματεύεται με τους εταίρους μας, ενισχύοντας τα μέσα άμυνάς της.</w:t>
      </w:r>
      <w:r>
        <w:rPr>
          <w:rFonts w:ascii="Times New Roman" w:hAnsi="Times New Roman"/>
          <w:noProof/>
          <w:sz w:val="24"/>
        </w:rPr>
        <w:t xml:space="preserve"> Στη σημερινή παγκόσμια οικονομία, το εμπόριο αποτελεί ουσιαστικό παράγοντα για την ανάπτυξη, την απασχόληση και την ανταγωνιστικότητα. Εμπόριο σημαίνει θέσεις εργασίας - για κάθε 1 δισεκ. EUR που λαμβάνουμε από τις εξαγωγές, δημιουργούνται 14 000 επιπλέον θέσεις εργασίας σε όλη την ΕΕ. Και πάνω από 30 εκατομμύρια θέσεις εργασίας, δηλαδή μία στις 7 από το σύνολο των θέσεων εργασίας στην ΕΕ, εξαρτώνται σήμερα από τις εξαγωγές προς τον υπόλοιπο κόσμο. Αυτός είναι ο λόγος για τον οποίο η ΕΕ παραμένει προσηλωμένη σε ένα ανοικτό, βασισμένο σε κανόνες, εμπορικό σύστημα.</w:t>
      </w:r>
    </w:p>
    <w:p>
      <w:pPr>
        <w:jc w:val="both"/>
        <w:rPr>
          <w:rFonts w:ascii="Times New Roman" w:hAnsi="Times New Roman" w:cs="Times New Roman"/>
          <w:noProof/>
          <w:sz w:val="24"/>
          <w:szCs w:val="24"/>
        </w:rPr>
      </w:pPr>
      <w:r>
        <w:rPr>
          <w:rFonts w:ascii="Times New Roman" w:hAnsi="Times New Roman"/>
          <w:noProof/>
          <w:sz w:val="24"/>
        </w:rPr>
        <w:t>Με βάση την επιτυχία του δικτύου συμφωνιών ελευθέρων συναλλαγών της Ένωσης, η Επιτροπή θα συνεχίσει τις διαπραγματεύσεις με τις ΗΠΑ, την Ιαπωνία, την Τυνησία, τη Mercosur, το Μεξικό και τις χώρες της ASEAN. Θα επιδιώξουμε την έγκριση νέων εντολών για την έναρξη διαπραγματεύσεων με την Τουρκία, την Αυστραλία, τη Νέα Ζηλανδία και τη Χιλή. Θα συνεχίσουμε να εργαζόμαστε στο πλαίσιο του ΠΟΕ, συμπεριλαμβανομένων των πολυμερών συμφωνιών, καθώς και για την ταχεία κύρωση της Συνολικής Οικονομικής και Εμπορικής Συμφωνίας (CETA) με τον Καναδά.</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Έχουμε επίσης δεσμευθεί να διασφαλίσουμε ότι το εμπόριο παραμένει δίκαιο, με την επικαιροποίηση και τον εκσυγχρονισμό των μέσων εμπορικής άμυνας της Ευρώπης, ώστε να εξασφαλισθεί ότι είναι πλήρως βιώσιμα υπό το πρίσμα των νέων οικονομικών προκλήσεων, όπως η πλεονάζουσα παραγωγική ικανότητα και οι μεταβαλλόμενες νομικές συνθήκες, όπως η λήξη ισχύος ορισμένων πρωτοκόλλων προσχώρησης στον ΠΟΕ. Είναι σήμερα επείγον να λύσει το Συμβούλιο το αδιέξοδο σχετικά με την πρότασή μας του 2013 για τον εκσυγχρονισμό των μέσων εμπορικής άμυνας, συμπεριλαμβανομένης της μεταρρύθμισης του κανόνα του χαμηλότερου δασμού</w:t>
      </w:r>
      <w:r>
        <w:rPr>
          <w:rStyle w:val="FootnoteReference"/>
          <w:rFonts w:ascii="Times New Roman" w:hAnsi="Times New Roman"/>
          <w:noProof/>
          <w:sz w:val="24"/>
        </w:rPr>
        <w:footnoteReference w:id="34"/>
      </w:r>
      <w:r>
        <w:rPr>
          <w:rFonts w:ascii="Times New Roman" w:hAnsi="Times New Roman"/>
          <w:noProof/>
          <w:sz w:val="24"/>
        </w:rPr>
        <w:t>. Στις 21 Οκτωβρίου 2016, το Ευρωπαϊκό Συμβούλιο απηύθυνε έκκληση για επείγουσα και ισορροπημένη συμφωνία σχετικά με τη θέση του Συμβουλίου για τον συνολικό εκσυγχρονισμό όλων των μέσων εμπορικής άμυνας έως το τέλος του 2016.</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Δεδομένων των κοινών αξιών της ΕΕ και των Ηνωμένων Πολιτειών, καθώς και της στρατηγικής, πολιτικής και οικονομικής σημασίας της διατλαντικής σχέσης, η Επιτροπή είναι έτοιμη να συνάψει φιλόδοξη, ισορροπημένη και υψηλού επιπέδου συμφωνία εταιρικής σχέσης εμπορίου και επενδύσεων. Λαμβανομένων υπόψη των επερχόμενων εκλογών στις Ηνωμένες Πολιτείες και της αναπόφευκτης επιβράδυνσης του ρυθμού των διαπραγματεύσεων, αμφότερα τα μέρη θα προσπαθήσουν να εδραιώσουν την πρόοδο που έχει επιτευχθεί. Η Επιτροπή είναι έτοιμη να συνεργαστεί με τη νέα κυβέρνηση των ΗΠΑ το συντομότερο δυνατόν, βάσει της εντολής που ανατέθηκε στην Επιτροπή, η οποία επιβεβαιώθηκε εκ νέου από το Ευρωπαϊκό Συμβούλιο στις 21 Οκτωβρίου 2016</w:t>
      </w:r>
      <w:r>
        <w:rPr>
          <w:rStyle w:val="FootnoteReference"/>
          <w:rFonts w:ascii="Times New Roman" w:hAnsi="Times New Roman"/>
          <w:noProof/>
          <w:sz w:val="24"/>
        </w:rPr>
        <w:footnoteReference w:id="35"/>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Η Επιτροπή θα διαδραματίζει επίσης ηγετικό ρόλο στη δημιουργία του Παγκόσμιου Φόρουμ για τη πλεονάζουσα παραγωγική ικανότητα χάλυβα, υπό την αιγίδα της G20.</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7.</w:t>
      </w:r>
      <w:r>
        <w:rPr>
          <w:noProof/>
        </w:rPr>
        <w:tab/>
      </w:r>
      <w:r>
        <w:rPr>
          <w:rFonts w:ascii="Times New Roman" w:hAnsi="Times New Roman"/>
          <w:b/>
          <w:noProof/>
          <w:sz w:val="24"/>
        </w:rPr>
        <w:t>Χώρος δικαιοσύνης και θεμελιωδών δικαιωμάτων με βάση την αμοιβαία εμπιστοσύνη</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Μια Ευρώπη που υπερασπίζεται και διατηρεί τις αξίες της ελευθερίας, της δημοκρατίας και του κράτους δικαίου</w:t>
      </w:r>
      <w:r>
        <w:rPr>
          <w:rFonts w:ascii="Times New Roman" w:hAnsi="Times New Roman"/>
          <w:noProof/>
          <w:sz w:val="24"/>
        </w:rPr>
        <w:t xml:space="preserve"> .</w:t>
      </w:r>
      <w:r>
        <w:rPr>
          <w:noProof/>
        </w:rPr>
        <w:t xml:space="preserve"> </w:t>
      </w:r>
      <w:r>
        <w:rPr>
          <w:rFonts w:ascii="Times New Roman" w:hAnsi="Times New Roman"/>
          <w:noProof/>
          <w:sz w:val="24"/>
        </w:rPr>
        <w:t xml:space="preserve"> Η ασφάλεια στα σύνορα και εντός των συνόρων μας αποτελεί καίριο και κοινό προβληματισμό, δεδομένων των τρεχουσών απειλών που αντιμετωπίζει η Ευρώπη. Η τρομοκρατική απειλή ποτέ στο παρελθόν δεν ήταν τόσο ευρέως αισθητή στην Ευρώπη. Έχουμε την πρόθεση να δώσουμε συνέχεια στο ευρωπαϊκό θεματολόγιο για την ασφάλεια με δράσεις που θα προετοιμάσουν το έδαφος για τη δημιουργία της Ένωσης Ασφάλειας και θα ενισχύσουν τους ελέγχους στα σύνορά μας. Οι δράσεις αυτές θα περιλαμβάνουν ένα ευρωπαϊκό σύστημα πληροφοριών και αδειοδότησης για ταξίδια στην ΕΕ (ETIAS) έτσι ώστε να υπάρχει αυτόματος έλεγχος των υπηκόων τρίτων χωρών που εξαιρούνται από την υποχρέωση θεώρησης και προτίθενται να εισέλθουν στον χώρο Σένγκεν, το οποίο θα συμπληρώνει το σύστημα εισόδου και εξόδου των υπηκόων τρίτων χωρών που  έχει ήδη προτείνει η Επιτροπή</w:t>
      </w:r>
      <w:r>
        <w:rPr>
          <w:rStyle w:val="FootnoteReference"/>
          <w:rFonts w:ascii="Times New Roman" w:hAnsi="Times New Roman"/>
          <w:noProof/>
          <w:sz w:val="24"/>
        </w:rPr>
        <w:footnoteReference w:id="36"/>
      </w:r>
      <w:r>
        <w:rPr>
          <w:rFonts w:ascii="Times New Roman" w:hAnsi="Times New Roman"/>
          <w:noProof/>
          <w:sz w:val="24"/>
        </w:rPr>
        <w:t xml:space="preserve"> και, το οποίο θα πρέπει να εγκριθεί σύντομα, σε συνδυασμό με την πρότασή μας για συστηματικούς ελέγχους σε πολίτες της ΕΕ που διασχίζουν τα εξωτερικά σύνορα της ΕΕ</w:t>
      </w:r>
      <w:r>
        <w:rPr>
          <w:rStyle w:val="FootnoteReference"/>
          <w:rFonts w:ascii="Times New Roman" w:hAnsi="Times New Roman"/>
          <w:noProof/>
          <w:sz w:val="24"/>
        </w:rPr>
        <w:footnoteReference w:id="37"/>
      </w:r>
      <w:r>
        <w:rPr>
          <w:rFonts w:ascii="Times New Roman" w:hAnsi="Times New Roman"/>
          <w:noProof/>
          <w:sz w:val="24"/>
        </w:rPr>
        <w:t>. Θα υποβάλουμε επίσης βελτιώσεις στο Σύστημα Πληροφοριών Σένγκεν και θα καταστήσουμε τα υφιστάμενα και τα μελλοντικά συστήματα επιβολής του νόμου και διαχείρισης των συνόρων περισσότερο διαλειτουργικά, συνεχίζοντας τις εν εξελίξει εργασίες της ομάδας υψηλού επιπέδου σχετικά με τα συστήματα πληροφοριών και τη διαλειτουργικότητα. Θα παρουσιάσουμε επίσης πρωτοβουλία για την πρόσβαση σε ηλεκτρονικά αποδεικτικά στοιχεία, δεδομένης της αυξανόμενης σημασίας τους για τη διασφάλιση αποτελεσματικών ποινικών ερευνών και διώξεων για την καταπολέμηση της σοβαρής εγκληματικότητας και της τρομοκρατίας.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Κατά τους επόμενους μήνες, η Επιτροπή θα συνεχίσει να εφαρμόζει το σχέδιο δράσης της ΕΕ για την αντιμετώπιση της χρηματοδότησης της τρομοκρατίας, με προτάσεις σχετικά με εναρμονισμένες κυρώσεις για την καταπολέμηση της νομιμοποίησης εσόδων από παράνομες δραστηριότητες, την παράνομη διακίνηση μετρητών, το παράνομο εμπόριο πολιτιστικών αγαθών και τη δέσμευση και δήμευση των περιουσιακών στοιχείων εγκληματιών. Συνεχίζονται επίσης οι εργασίες για την αναβάθμιση της Ευρωπόλ και ιδίως για τη στελέχωση του Ευρωπαϊκού Κέντρου για την καταπολέμηση της τρομοκρατίας. Θα υποβάλουμε σε μηνιαία βάση έκθεση σχετικά με την πρόοδο για την οικοδόμηση της Ένωσης Ασφάλειας</w:t>
      </w:r>
      <w:r>
        <w:rPr>
          <w:rStyle w:val="FootnoteReference"/>
          <w:rFonts w:ascii="Times New Roman" w:hAnsi="Times New Roman"/>
          <w:noProof/>
          <w:sz w:val="24"/>
        </w:rPr>
        <w:footnoteReference w:id="38"/>
      </w:r>
      <w:r>
        <w:rPr>
          <w:rFonts w:ascii="Times New Roman" w:hAnsi="Times New Roman"/>
          <w:noProof/>
          <w:sz w:val="24"/>
        </w:rPr>
        <w:t xml:space="preserve"> και θα συνεργαστούμε με το Ευρωπαϊκό Κοινοβούλιο και το Συμβούλιο για την έγκαιρη συμφωνία ως προς τα βασικά μέτρα για την καταπολέμηση της κατάχρησης πυροβόλων όπλων και την ποινικοποίηση της τρομοκρατικής συμπεριφοράς, περιλαμβανομένων των ταξιδιών των ξένων τρομοκρατών μαχητών.</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Το δικαίωμα στην ασφάλεια δεν μπορεί να υπονομεύει την τήρηση άλλων θεμελιωδών δικαιωμάτων, όπως το δικαίωμα στην προστασία των δεδομένων προσωπικού χαρακτήρα. Ο ευρωπαϊκός κανονισμός για την προστασία των δεδομένων</w:t>
      </w:r>
      <w:r>
        <w:rPr>
          <w:rStyle w:val="FootnoteReference"/>
          <w:rFonts w:ascii="Times New Roman" w:hAnsi="Times New Roman"/>
          <w:noProof/>
          <w:sz w:val="24"/>
        </w:rPr>
        <w:footnoteReference w:id="39"/>
      </w:r>
      <w:r>
        <w:rPr>
          <w:rFonts w:ascii="Times New Roman" w:hAnsi="Times New Roman"/>
          <w:noProof/>
          <w:sz w:val="24"/>
        </w:rPr>
        <w:t xml:space="preserve"> θα ισχύσει από το 2018 και η Επιτροπή θα διασφαλίσει ότι το ίδιο υψηλό επίπεδο προστασίας των προσωπικών δεδομένων καλύπτει τα ευρωπαϊκά θεσμικά όργανα, φορείς, οργανισμούς και υπηρεσίες. Στο ίδιο πνεύμα, η Επιτροπή θα εξετάσει επίσης τη λήψη νέων αποφάσεων περί επάρκειας για την ανταλλαγή προσωπικών δεδομένων με τρίτες χώρες με σκοπό τη διασφάλιση υψηλών προτύπων στις διαβιβάσεις δεδομένων προσωπικού χαρακτήρα σε τρίτες χώρες. Θα παρουσιάσουμε αναθεώρηση της οδηγίας για την προστασία της ιδιωτικής ζωής στις ηλεκτρονικές επικοινωνίες στο πλαίσιο του REFIT,  βάσει των τελευταίων τεχνολογικών εξελίξεων και λαμβανομένης υπόψη της γνωμοδότησης της πλατφόρμας REFIT. Θα αξιολογήσουμε επίσης τη σκοπιμότητα ανάληψης οριζόντιας ή περαιτέρω τομεακής δράσης σε επίπεδο ΕΕ για την προστασία των καταγγελτών παράνομης συμπεριφοράς.</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Θα συνεχίσουμε, επίσης, τις εργασίες για την προσχώρηση της Ένωσης στην Ευρωπαϊκή Σύμβαση των Δικαιωμάτων του Ανθρώπου, λαμβάνοντας πλήρως υπόψη τις αποφάσεις του Ευρωπαϊκού Δικαστηρίου. Και δεδομένου ότι τα αποτελεσματικά και ανεξάρτητα συστήματα δικαιοσύνης στηρίζουν την οικονομική ανάπτυξη και την προάσπιση των θεμελιωδών δικαιωμάτων, θα συνεχίσουμε να εργαζόμαστε από κοινού με το Ευρωπαϊκό Κοινοβούλιο και τα κράτη μέλη για την προώθηση και την υπεράσπιση του κράτους δικαίου.</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8.</w:t>
      </w:r>
      <w:r>
        <w:rPr>
          <w:noProof/>
        </w:rPr>
        <w:tab/>
      </w:r>
      <w:r>
        <w:rPr>
          <w:rFonts w:ascii="Times New Roman" w:hAnsi="Times New Roman"/>
          <w:b/>
          <w:noProof/>
          <w:sz w:val="24"/>
        </w:rPr>
        <w:t>Προς μια νέα πολιτική μετανάστευσης</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Μια Ευρώπη που προστατεύει τα σύνορά μας και υλοποιεί υπεύθυνη πολιτική μετανάστευσης.</w:t>
      </w:r>
      <w:r>
        <w:rPr>
          <w:rFonts w:ascii="Times New Roman" w:hAnsi="Times New Roman"/>
          <w:noProof/>
          <w:sz w:val="24"/>
        </w:rPr>
        <w:t xml:space="preserve"> Η διαχείριση των μεταναστευτικών ροών, εξασφαλίζοντας παράλληλα ότι όσοι αναζητούν άσυλο βρίσκουν ασφαλές καταφύγιο κοντά μας, εξακολουθεί να αποτελεί καθημερινή πρόκληση. Κατά το τελευταίο έτος, η Επιτροπή έχει επιταχύνει τις εργασίες από κοινού με το Ευρωπαϊκό Κοινοβούλιο, το Συμβούλιο και τα κράτη μέλη στο πλαίσιο του ευρωπαϊκού προγράμματος δράσης για τη μετανάστευση, ώστε να καταστεί δυνατή η ταχεία και συντονισμένη ανταπόκριση στην προσφυγική κρίση και να υποβληθεί μακροπρόθεσμο πλαίσιο που θα βασίζεται στην αλληλεγγύη και την ευθύνη.</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Η αποφασιστικότητα της ΕΕ να αντιμετωπίσει τις επιπτώσεις της κρίσης έχουν οδηγήσει σε μια άνευ προηγουμένου καθημερινή επί τόπου δράση. Η Επιτροπή, οι οργανισμοί της ΕΕ και τα κράτη μέλη καταβάλλουν κοινές προσπάθειες για τη διάσωση ανθρώπινων ζωών στη θάλασσα και για τη στήριξη των κρατών μελών που βρίσκονται στην πρώτη γραμμή. Περισσότερα από 15 δισεκ. EUR από τον προϋπολογισμό της ΕΕ προορίζονται για την αντιμετώπιση  της προσφυγικής κρίσης από την ΕΕ. Η δήλωση ΕΕ-Τουρκίας αποτελεί αποφασιστικό βήμα για τον τερματισμό της παράνομης διακίνησης μεταναστών, βάζοντας τάξη στις μεταναστευτικές ροές και εμποδίζοντας την απώλεια ανθρώπινων ζωών. Το 2017, η Επιτροπή θα διατηρήσει τον έντονο ρυθμό εργασίας της ώστε να χορηγηθεί άμεση στήριξη στους πρόσφυγες και να επιτευχθεί η ένταξή τους στις κοινότητες υποδοχής στην Ευρώπη και σε τρίτες χώρες, για τη βελτίωση της διαχείρισης της μετανάστευσης στις πιο εκτεθειμένες παραμεθόριες περιοχές, την καταπολέμηση της παράνομης διακίνησης μεταναστών και της εμπορίας ανθρώπων, ιδίως των ασυνόδευτων ανηλίκων, και την επιστροφή των παράτυπων μεταναστών.</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Στον τομέα της ελεύθερης εσωτερικής κυκλοφορίας, τα εξωτερικά μας σύνορα αποτελούν περισσότερο από ποτέ ζήτημα κοινής ευθύνης. Έχουν ληφθεί μέτρα ώστε ο χώρος Σένγκεν, ως χώρος ελεύθερης κυκλοφορίας των ατόμων, να επανέλθει σε τροχιά ομαλότητας. Σε λιγότερο από ένα έτος, η ΕΕ δημιούργησε μόνιμο σύστημα ώστε να διασφαλίζεται η προστασία των συνόρων και η πρόληψη και αντιμετώπιση των αδυναμιών στους ελέγχους των προσώπων που εισέρχονται στην ΕΕ μέσω μιας λειτουργικής Ευρωπαϊκής Συνοριοφυλακής και Ακτοφυλακής.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Για να εξασφαλιστεί μόνιμη ικανότητα διαχείρισης της μετανάστευσης με αξιόπιστο και βιώσιμο τρόπο απαιτείται η θέσπιση ενός πλήρους φάσματος πράξεων για τη μετανάστευση. Όλα τα αναγκαία δομικά στοιχεία έχουν πλέον υποβληθεί στο Ευρωπαϊκό Κοινοβούλιο και το Συμβούλιο. Η ταχεία έγκριση βασικών προτάσεων, όπως η αναθεώρηση των κανόνων του Δουβλίνου για το κοινό ευρωπαϊκό σύστημα ασύλου</w:t>
      </w:r>
      <w:r>
        <w:rPr>
          <w:rStyle w:val="FootnoteReference"/>
          <w:rFonts w:ascii="Times New Roman" w:hAnsi="Times New Roman"/>
          <w:noProof/>
          <w:sz w:val="24"/>
        </w:rPr>
        <w:footnoteReference w:id="40"/>
      </w:r>
      <w:r>
        <w:rPr>
          <w:rFonts w:ascii="Times New Roman" w:hAnsi="Times New Roman"/>
          <w:noProof/>
          <w:sz w:val="24"/>
        </w:rPr>
        <w:t>, η μετατροπή της Ευρωπαϊκής Υπηρεσίας Υποστήριξης για το Άσυλο σε κανονικό Οργανισμό της Ευρωπαϊκής Ένωσης για το Άσυλο</w:t>
      </w:r>
      <w:r>
        <w:rPr>
          <w:rStyle w:val="FootnoteReference"/>
          <w:rFonts w:ascii="Times New Roman" w:hAnsi="Times New Roman"/>
          <w:noProof/>
          <w:sz w:val="24"/>
        </w:rPr>
        <w:footnoteReference w:id="41"/>
      </w:r>
      <w:r>
        <w:rPr>
          <w:rFonts w:ascii="Times New Roman" w:hAnsi="Times New Roman"/>
          <w:noProof/>
          <w:sz w:val="24"/>
        </w:rPr>
        <w:t>, η ενίσχυση του Eurodac</w:t>
      </w:r>
      <w:r>
        <w:rPr>
          <w:rStyle w:val="FootnoteReference"/>
          <w:rFonts w:ascii="Times New Roman" w:hAnsi="Times New Roman"/>
          <w:noProof/>
          <w:sz w:val="24"/>
        </w:rPr>
        <w:footnoteReference w:id="42"/>
      </w:r>
      <w:r>
        <w:rPr>
          <w:rFonts w:ascii="Times New Roman" w:hAnsi="Times New Roman"/>
          <w:noProof/>
          <w:sz w:val="24"/>
        </w:rPr>
        <w:t>, το νέο πλαίσιο για την επανεγκατάσταση</w:t>
      </w:r>
      <w:r>
        <w:rPr>
          <w:rStyle w:val="FootnoteReference"/>
          <w:rFonts w:ascii="Times New Roman" w:hAnsi="Times New Roman"/>
          <w:noProof/>
          <w:sz w:val="24"/>
        </w:rPr>
        <w:footnoteReference w:id="43"/>
      </w:r>
      <w:r>
        <w:rPr>
          <w:rFonts w:ascii="Times New Roman" w:hAnsi="Times New Roman"/>
          <w:noProof/>
          <w:sz w:val="24"/>
        </w:rPr>
        <w:t>, καθώς και μέτρα για την κατάλληλα διαχειριζόμενη νόμιμη μετανάστευση</w:t>
      </w:r>
      <w:r>
        <w:rPr>
          <w:rStyle w:val="FootnoteReference"/>
          <w:rFonts w:ascii="Times New Roman" w:hAnsi="Times New Roman"/>
          <w:noProof/>
          <w:sz w:val="24"/>
        </w:rPr>
        <w:footnoteReference w:id="44"/>
      </w:r>
      <w:r>
        <w:rPr>
          <w:rFonts w:ascii="Times New Roman" w:hAnsi="Times New Roman"/>
          <w:noProof/>
          <w:sz w:val="24"/>
        </w:rPr>
        <w:t>, είναι σημαντικά για την εξασφάλιση της συνολικής και συνεκτικής προσέγγισης που είναι αναγκαία ώστε η Ευρωπαϊκή Ένωση να διαχειριστεί τη μεταναστευτική πρόκληση.</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Με βάση τα πρώτα αποτελέσματα του πρόσφατου πλαισίου εταιρικής σχέσης με τρίτες χώρες στο πλαίσιο του ευρωπαϊκού θεματολογίου για τη μετανάστευση</w:t>
      </w:r>
      <w:r>
        <w:rPr>
          <w:rStyle w:val="FootnoteReference"/>
          <w:rFonts w:ascii="Times New Roman" w:hAnsi="Times New Roman"/>
          <w:noProof/>
          <w:sz w:val="24"/>
        </w:rPr>
        <w:footnoteReference w:id="45"/>
      </w:r>
      <w:r>
        <w:rPr>
          <w:rFonts w:ascii="Times New Roman" w:hAnsi="Times New Roman"/>
          <w:noProof/>
          <w:sz w:val="24"/>
        </w:rPr>
        <w:t>, πρέπει να προχωρήσουν οι εργασίες από τα θεσμικά όργανα της ΕΕ και τα κράτη μέλη ώστε τα θέματα μετανάστευσης να αποτελέσουν τον πυρήνα και την προϋπόθεση για την ποιότητα των σχέσεων με όλες τις βασικές χώρες-εταίρους καταγωγής και διέλευσης. Οι χώρες καταγωγής και διέλευσης έχουν αρχίσει να συνεργάζονται στενότερα για την πρόληψη της παράνομης μετανάστευσης και την επιστροφή. Θα πρέπει επίσης να προβλεφθεί η αποτελεσματική διάνοιξη νόμιμων οδών στην Ένωση, είτε μέσω της νόμιμης μετανάστευσης είτε μέσω της επανεγκατάστασης.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Το επόμενο έτος, θα πραγματοποιήσουμε απολογισμό για τους διάφορους άξονες εργασίας στο πλαίσιο της στρατηγικής, για την παροχή πλήρους ανασκόπησης της προόδου που επιτεύχθηκε προς μια πιο αποτελεσματική και βιώσιμη διαχείριση της μετανάστευσης και θα προσδιορίσουμε τα σημεία στα οποία απαιτούνται περαιτέρω προσπάθειες.</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9.</w:t>
      </w:r>
      <w:r>
        <w:rPr>
          <w:noProof/>
        </w:rPr>
        <w:tab/>
      </w:r>
      <w:r>
        <w:rPr>
          <w:rFonts w:ascii="Times New Roman" w:hAnsi="Times New Roman"/>
          <w:b/>
          <w:noProof/>
          <w:sz w:val="24"/>
        </w:rPr>
        <w:t xml:space="preserve"> Ισχυρότερος παγκόσμιος παράγοντας</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Μια Ευρώπη που προστατεύει, προασπίζει επίσης τα συμφέροντά μας και πέρα από τα σύνορά μας.</w:t>
      </w:r>
      <w:r>
        <w:rPr>
          <w:rFonts w:ascii="Times New Roman" w:hAnsi="Times New Roman"/>
          <w:noProof/>
          <w:sz w:val="24"/>
        </w:rPr>
        <w:t xml:space="preserve"> Η Ευρώπη είναι μια ήπια δύναμη παγκόσμιας σημασίας. Μέσω της παγκόσμιας στρατηγικής και της αναθεωρημένης Ευρωπαϊκής Πολιτικής Γειτονίας, η ΕΕ θα συνεχίσει να χρησιμοποιεί όλα τα μέσα που έχει στη διάθεσή της για να υποστηρίξει τους εταίρους της στην οικονομική και πολιτική σταθεροποίηση, τις μεταρρυθμίσεις και την ανάπτυξη ανθεκτικότητας. Η Επιτροπή θα συνεχίσει τις εργασίες για τη δημιουργία κοινής σταθερότητας και ευημερίας με τις υποψήφιες χώρες μέσω της πολιτικής της για τη διεύρυνση.</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Ωστόσο, η ευρωπαϊκή ήπια δύναμη δεν αρκεί σε έναν ολοένα και πιο συγκρουσιακό κόσμο. Ως εκ τούτου, η Επιτροπή θα υποβάλει μέχρι το τέλος του έτους σχέδιο δράσης για την ευρωπαϊκή άμυνα, θα διερευνήσει τον τρόπο με τον οποίο οι πολιτικές και τα μέσα της ΕΕ μπορούν να διασφαλίσουν ότι η βιομηχανική βάση και η βάση δεξιοτήτων θα είναι σε θέση να ανταποκριθούν στις αμυντικές ικανότητες που προσδιορίζονται με βάση τις σημερινές και μελλοντικές προκλήσεις στον τομέα της ασφάλειας. Στη συνέχεια , η Επιτροπή θα προτείνει τη δημιουργία ενός Ευρωπαϊκού Ταμείου Άμυνας προκειμένου να προωθήσει την έρευνα και την καινοτομία και να συμβάλει στην ενίσχυση της ευρωπαϊκής βιομηχανικής και τεχνολογικής βάσης στον τομέα της άμυνας και στην περαιτέρω τόνωση της ανάπτυξης βασικών αμυντικών ικανοτήτων. Επιπλέον, θα προτείνει περαιτέρω μέτρα στον τομέα των δημοσίων συμβάσεων για την άμυνα.</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Η εκκρεμούσα πρόταση της Επιτροπής για την τροποποίηση του μηχανισμού συμβολής στη σταθερότητα και την ειρήνη αποσκοπεί στην κάλυψη των κενών στην ικανότητα της Ευρωπαϊκής Ένωσης να στηρίζει χώρες εταίρους όσον αφορά την πρόληψη και τη διαχείριση κρίσεων από τις ίδιες τις χώρες, ιδίως μέσω της οικοδόμησης ικανοτήτων για τη στήριξη της ασφάλειας και της ανάπτυξης.  Δεδομένων των άμεσων απειλών για τη σταθερότητα και την ειρήνη και, κατά συνέπεια, και για την ανάπτυξη σε ορισμένες βασικές χώρες εταίρους, είναι σημαντικό το Ευρωπαϊκό Κοινοβούλιο και το Συμβούλιο να εγκρίνουν σύντομα την εν λόγω πρόταση.</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Η Ευρωπαϊκή Ένωση θα συνεχίσει να καταβάλει κάθε δυνατή προσπάθεια για την επίλυση των εν εξελίξει συγκρούσεων και κρίσεων στην περιοχή της και πέραν αυτής, και θα συμβάλει στις συνεχιζόμενες προσπάθειες των Ηνωμένων Εθνών και άλλων διεθνών παραγόντων στο πλαίσιο αυτό. Η Επιτροπή και η Ύπατη Εκπρόσωπος θα εγκρίνουν μια στρατηγική της ΕΕ για τη Συρία, η οποία θα καθορίζει τον τρόπο με τον οποίο η Ευρώπη μπορεί να συνεχίσει την παροχή ανθρωπιστικής στήριξης και τη συμβολή στην πολιτική μετάβαση, τη σταθεροποίηση και την ανασυγκρότηση με στόχο την αποκατάσταση ενός ειρηνικού συριακού κράτους και μιας πλουραλιστικής, ανεκτικής κοινωνίας των πολιτών στη Συρία.</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Η Αφρική θα παραμείνει ένας από τους βασικούς στρατηγικούς εταίρους της ΕΕ και η πρόσφατη κρίση των προσφύγων έχει για άλλη μια φορά υπογραμμίσει τη σημασία των επενδύσεων σε βιώσιμες και υγιείς σχέσεις με τις αφρικανικές χώρες, με πνεύμα κοινής ευθύνης. Το πλαίσιο εταιρικής σχέσης και η ειδική χρηματοδότηση που παρέχεται από το Καταπιστευματικό Ταμείο έκτακτης ανάγκης της ΕΕ για την Αφρική και το νέο </w:t>
      </w:r>
      <w:r>
        <w:rPr>
          <w:rStyle w:val="Strong"/>
          <w:rFonts w:ascii="Times New Roman" w:hAnsi="Times New Roman"/>
          <w:b w:val="0"/>
          <w:noProof/>
          <w:sz w:val="24"/>
        </w:rPr>
        <w:t>Ευρωπαϊκό Εξωτερικό Επενδυτικό Σχέδιο (ΕΕΣ</w:t>
      </w:r>
      <w:r>
        <w:rPr>
          <w:rStyle w:val="Strong"/>
          <w:rFonts w:ascii="Times New Roman" w:hAnsi="Times New Roman"/>
          <w:noProof/>
          <w:sz w:val="24"/>
        </w:rPr>
        <w:t xml:space="preserve">) </w:t>
      </w:r>
      <w:r>
        <w:rPr>
          <w:rStyle w:val="FootnoteReference"/>
          <w:rFonts w:ascii="Times New Roman" w:hAnsi="Times New Roman"/>
          <w:noProof/>
          <w:sz w:val="24"/>
        </w:rPr>
        <w:footnoteReference w:id="46"/>
      </w:r>
      <w:r>
        <w:rPr>
          <w:rFonts w:ascii="Times New Roman" w:hAnsi="Times New Roman"/>
          <w:noProof/>
          <w:sz w:val="24"/>
        </w:rPr>
        <w:t xml:space="preserve"> αντικατοπτρίζει τη δέσμευσή μας να συνεργαστούμε στενά με τους αφρικανούς εταίρους μας και να αντιμετωπίσουμε από κοινού τις παγκόσμιες προκλήσεις. Εν όψει της 5</w:t>
      </w:r>
      <w:r>
        <w:rPr>
          <w:rFonts w:ascii="Times New Roman" w:hAnsi="Times New Roman"/>
          <w:noProof/>
          <w:sz w:val="24"/>
          <w:vertAlign w:val="superscript"/>
        </w:rPr>
        <w:t>ης</w:t>
      </w:r>
      <w:r>
        <w:rPr>
          <w:rFonts w:ascii="Times New Roman" w:hAnsi="Times New Roman"/>
          <w:noProof/>
          <w:sz w:val="24"/>
        </w:rPr>
        <w:t xml:space="preserve"> συνόδου κορυφής ΕΕ-Αφρικής, η οποία θα πραγματοποιηθεί στο τέλος του 2017, θα προτείνουμε μια νέα προσέγγιση, η οποία θα πρέπει να καθορίζει τους στρατηγικούς στόχους της ΕΕ και τις προτεραιότητες στις σχέσεις της με την Αφρική. Τούτο μπορεί επίσης να συμβάλει στον αφρικανικό πυλώνα του πλαισίου που θα διαδεχθεί τη συμφωνία του Κοτονού, που θα παρουσιάσει σύντομα η Επιτροπή, και θα πρέπει επίσης να υπογραμμίσει την κρίσιμη σημασία των εμπορικών σχέσεών μας με τους Αφρικανούς εταίρους.</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Όπως έχει ήδη ανακοινωθεί, η Επιτροπή θα προτείνει επίσης μια ανανεωμένη Ευρωπαϊκή Συναίνεση για την Ανάπτυξη, ευθυγραμμίζοντας την αναπτυξιακή πολιτική μας με το θεματολόγιο των Ηνωμένων Εθνών  για τη βιώσιμη ανάπτυξη με ορίζονται το 2030 και μεριμνώντας ώστε να διαδραματίσει τον ρόλο που της αναλογεί στην υλοποίηση των στόχων βιώσιμης ανάπτυξης.</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10. Ένωση δημοκρατικής αλλαγής</w:t>
      </w:r>
    </w:p>
    <w:p>
      <w:pPr>
        <w:jc w:val="both"/>
        <w:rPr>
          <w:rFonts w:ascii="Times New Roman" w:hAnsi="Times New Roman" w:cs="Times New Roman"/>
          <w:noProof/>
          <w:sz w:val="24"/>
          <w:szCs w:val="24"/>
        </w:rPr>
      </w:pPr>
      <w:r>
        <w:rPr>
          <w:rFonts w:ascii="Times New Roman" w:hAnsi="Times New Roman"/>
          <w:i/>
          <w:noProof/>
          <w:sz w:val="24"/>
        </w:rPr>
        <w:t xml:space="preserve">Μια Ευρώπη η οποία αναλαμβάνει ευθύνη, ακούει και παράγει αποτελέσματα. </w:t>
      </w:r>
      <w:r>
        <w:rPr>
          <w:rFonts w:ascii="Times New Roman" w:hAnsi="Times New Roman"/>
          <w:noProof/>
          <w:sz w:val="24"/>
        </w:rPr>
        <w:t>Η δημιουργία μιας Ένωσης δημοκρατικής αλλαγής — η ύψιστη προτεραιότητα από τις 10 που έχει αναλάβει η παρούσα Επιτροπή  — δεν ήταν ποτέ περισσότερο επείγουσα. Σε αυτή την κρίσιμη στιγμή, το μέλλον της Ένωσης θα εξαρτηθεί από το εάν προσφέρουμε στους Ευρωπαίους τη βεβαιότητα ότι είμαστε ικανοί να τους προστατεύσουμε, να τους ενδυναμώσουμε και να τους υπερασπιστούμε συλλογικά, καθώς επίσης να τους βοηθήσουμε να οικοδομήσουν μια θετική και βιώσιμη προοπτική για το μέλλον τους.</w:t>
      </w:r>
    </w:p>
    <w:p>
      <w:pPr>
        <w:jc w:val="both"/>
        <w:rPr>
          <w:rFonts w:ascii="Times New Roman" w:hAnsi="Times New Roman" w:cs="Times New Roman"/>
          <w:noProof/>
          <w:sz w:val="24"/>
          <w:szCs w:val="24"/>
        </w:rPr>
      </w:pPr>
      <w:r>
        <w:rPr>
          <w:rFonts w:ascii="Times New Roman" w:hAnsi="Times New Roman"/>
          <w:noProof/>
          <w:sz w:val="24"/>
        </w:rPr>
        <w:t>Η βελτίωση της νομοθεσίας, η λογοδοσία και η διαφάνεια εξακολουθούν να αποτελούν το βασικό επιχειρηματικό μοντέλο της Επιτροπής αυτής και όλα τα θεσμικά όργανα της ΕΕ θα πρέπει να εφαρμόσουν τις αρχές αυτές με συνεκτικό και σταθερό τρόπο, εάν θέλουμε να ξανακερδίσουμε την εμπιστοσύνη των πολιτών μας. Η Επιτροπή θα συνεργαστεί στενά με το Ευρωπαϊκό Κοινοβούλιο και το Συμβούλιο για να εξασφαλίσουν ότι η διοργανική συμφωνία για τη βελτίωση της νομοθεσίας έχει πλήρως υλοποιηθεί και εφαρμοσθεί, και θα αναλάβει την έναρξη εποικοδομητικών διαπραγματεύσεων με τα δύο θεσμικά όργανα σχετικά με την πρόσφατη πρόταση για ένα υποχρεωτικό Μητρώο Διαφάνειας που θα καλύπτει το Ευρωπαϊκό Κοινοβούλιο, το Συμβούλιο και την Επιτροπή. Η Επιτροπή θα προτείνει επίσης τροποποιήσεις της συμφωνίας-πλαισίου με το Ευρωπαϊκό Κοινοβούλιο</w:t>
      </w:r>
      <w:r>
        <w:rPr>
          <w:noProof/>
        </w:rPr>
        <w:t xml:space="preserve"> </w:t>
      </w:r>
      <w:r>
        <w:rPr>
          <w:rFonts w:ascii="Times New Roman" w:hAnsi="Times New Roman"/>
          <w:noProof/>
          <w:sz w:val="24"/>
        </w:rPr>
        <w:t>που θα εξασφαλίζουν ότι τα μέλη της Επιτροπής έχουν το δικαίωμα του εκλέγεσθαι στις εκλογές του Ευρωπαϊκού Κοινοβουλίου.</w:t>
      </w:r>
      <w:r>
        <w:rPr>
          <w:noProof/>
        </w:rPr>
        <w:t xml:space="preserve"> </w:t>
      </w:r>
    </w:p>
    <w:p>
      <w:pPr>
        <w:jc w:val="both"/>
        <w:rPr>
          <w:rFonts w:ascii="Times New Roman" w:hAnsi="Times New Roman" w:cs="Times New Roman"/>
          <w:noProof/>
          <w:sz w:val="24"/>
          <w:szCs w:val="24"/>
        </w:rPr>
      </w:pPr>
      <w:r>
        <w:rPr>
          <w:rFonts w:ascii="Times New Roman" w:hAnsi="Times New Roman"/>
          <w:noProof/>
          <w:sz w:val="24"/>
        </w:rPr>
        <w:t>Η Επιτροπή θα προτείνει νομοθεσία για την ευθυγράμμιση των υφιστάμενων πράξεων με τις διατάξεις της Συνθήκης που αφορούν τις κατ’ εξουσιοδότηση και τις εκτελεστικές πράξεις και, ως εκ τούτου, σταδιακή κατάργηση της κανονιστικής διαδικασίας με έλεγχο. Θα αξιολογήσουμε επίσης τη δημοκρατική νομιμότητα των υφιστάμενων διαδικασιών για την έκδοση κατ’ εξουσιοδότηση και εκτελεστικών πράξεων και θα εξετάσουμε επιλογές για την αλλαγή των υφιστάμενων διαδικασιών για την έγκριση ορισμένων πράξεων παράγωγου δικαίου.</w:t>
      </w:r>
    </w:p>
    <w:p>
      <w:pPr>
        <w:jc w:val="both"/>
        <w:rPr>
          <w:rFonts w:ascii="Times New Roman" w:hAnsi="Times New Roman" w:cs="Times New Roman"/>
          <w:noProof/>
          <w:sz w:val="24"/>
          <w:szCs w:val="24"/>
        </w:rPr>
      </w:pPr>
      <w:r>
        <w:rPr>
          <w:rFonts w:ascii="Times New Roman" w:hAnsi="Times New Roman"/>
          <w:noProof/>
          <w:sz w:val="24"/>
        </w:rPr>
        <w:t>Για να εξασφαλιστεί ότι τα νομικά μέσα της ΕΕ έχουν το επιδιωκόμενο αποτέλεσμα, η Επιτροπή προτίθεται να εντείνει τις προσπάθειές της για την εφαρμογή και την επιβολή του δικαίου της ΕΕ. Αυτό περιλαμβάνει τη δέσμη μέτρων για την καλύτερη επιβολή των κανόνων της ενιαίας αγοράς και, στον τομέα του περιβάλλοντος, μια πρόταση REFIT για την απλούστευση της υποβολής περιβαλλοντικών εκθέσεων μετά τον πρόσφατο έλεγχο καταλληλότητας, και μέτρα για τη διευκόλυνση της πρόσβασης στη δικαιοσύνη και την ενίσχυση της περιβαλλοντικής διασφάλισης συμμόρφωσης στα κράτη μέλη.</w:t>
      </w:r>
    </w:p>
    <w:p>
      <w:pPr>
        <w:tabs>
          <w:tab w:val="left" w:pos="284"/>
        </w:tabs>
        <w:spacing w:after="240"/>
        <w:jc w:val="both"/>
        <w:rPr>
          <w:rFonts w:ascii="Times New Roman Bold" w:hAnsi="Times New Roman Bold" w:cs="Times New Roman"/>
          <w:b/>
          <w:smallCaps/>
          <w:noProof/>
          <w:sz w:val="24"/>
          <w:szCs w:val="24"/>
        </w:rPr>
      </w:pPr>
      <w:r>
        <w:rPr>
          <w:rFonts w:ascii="Times New Roman Bold" w:hAnsi="Times New Roman Bold"/>
          <w:b/>
          <w:smallCaps/>
          <w:noProof/>
          <w:sz w:val="24"/>
        </w:rPr>
        <w:t>III.</w:t>
      </w:r>
      <w:r>
        <w:rPr>
          <w:noProof/>
        </w:rPr>
        <w:tab/>
      </w:r>
      <w:r>
        <w:rPr>
          <w:rFonts w:ascii="Times New Roman Bold" w:hAnsi="Times New Roman Bold"/>
          <w:b/>
          <w:smallCaps/>
          <w:noProof/>
          <w:sz w:val="24"/>
        </w:rPr>
        <w:t>Επιτάχυνση της υλοποίησης των 10 προτεραιοτήτων από τα τρία θεσμικά όργανα</w:t>
      </w:r>
    </w:p>
    <w:p>
      <w:pPr>
        <w:jc w:val="both"/>
        <w:rPr>
          <w:rFonts w:ascii="Times New Roman" w:hAnsi="Times New Roman" w:cs="Times New Roman"/>
          <w:noProof/>
          <w:sz w:val="24"/>
          <w:szCs w:val="24"/>
        </w:rPr>
      </w:pPr>
      <w:r>
        <w:rPr>
          <w:rFonts w:ascii="Times New Roman" w:hAnsi="Times New Roman"/>
          <w:noProof/>
          <w:sz w:val="24"/>
        </w:rPr>
        <w:t>Το πρόγραμμά μας, που δρομολογήθηκε με την ομιλία του Προέδρου σχετικά με την πορεία της Ένωσης στις 14 Σεπτεμβρίου 2016</w:t>
      </w:r>
      <w:r>
        <w:rPr>
          <w:rStyle w:val="FootnoteReference"/>
          <w:rFonts w:ascii="Times New Roman" w:hAnsi="Times New Roman"/>
          <w:noProof/>
          <w:sz w:val="24"/>
        </w:rPr>
        <w:footnoteReference w:id="47"/>
      </w:r>
      <w:r>
        <w:rPr>
          <w:rFonts w:ascii="Times New Roman" w:hAnsi="Times New Roman"/>
          <w:noProof/>
          <w:sz w:val="24"/>
        </w:rPr>
        <w:t>, δεν αντανακλά απλώς το γεγονός ότι ακούσαμε τι προσδοκούν οι πολίτες από την ΕΕ και τους διαλόγους μας με τα άμεσα εκλεγμένα μέλη του Ευρωπαϊκού Κοινοβουλίου</w:t>
      </w:r>
      <w:r>
        <w:rPr>
          <w:rStyle w:val="FootnoteReference"/>
          <w:rFonts w:ascii="Times New Roman" w:hAnsi="Times New Roman"/>
          <w:noProof/>
          <w:sz w:val="24"/>
        </w:rPr>
        <w:footnoteReference w:id="48"/>
      </w:r>
      <w:r>
        <w:rPr>
          <w:rFonts w:ascii="Times New Roman" w:hAnsi="Times New Roman"/>
          <w:noProof/>
          <w:sz w:val="24"/>
        </w:rPr>
        <w:t xml:space="preserve"> και το Συμβούλιο, στο οποίο εκπροσωπούνται όλες οι εθνικές κυβερνήσεις</w:t>
      </w:r>
      <w:r>
        <w:rPr>
          <w:rStyle w:val="FootnoteReference"/>
          <w:rFonts w:ascii="Times New Roman" w:hAnsi="Times New Roman"/>
          <w:noProof/>
          <w:sz w:val="24"/>
        </w:rPr>
        <w:footnoteReference w:id="49"/>
      </w:r>
      <w:r>
        <w:rPr>
          <w:rFonts w:ascii="Times New Roman" w:hAnsi="Times New Roman"/>
          <w:noProof/>
          <w:sz w:val="24"/>
        </w:rPr>
        <w:t>, καθώς και τις παρατηρήσεις της Ευρωπαϊκής Οικονομικής και Κοινωνικής Επιτροπής</w:t>
      </w:r>
      <w:r>
        <w:rPr>
          <w:rStyle w:val="FootnoteReference"/>
          <w:rFonts w:ascii="Times New Roman" w:hAnsi="Times New Roman"/>
          <w:noProof/>
          <w:sz w:val="24"/>
        </w:rPr>
        <w:footnoteReference w:id="50"/>
      </w:r>
      <w:r>
        <w:rPr>
          <w:rFonts w:ascii="Times New Roman" w:hAnsi="Times New Roman"/>
          <w:noProof/>
          <w:sz w:val="24"/>
        </w:rPr>
        <w:t xml:space="preserve"> και της Επιτροπής των Περιφερειών</w:t>
      </w:r>
      <w:r>
        <w:rPr>
          <w:rStyle w:val="FootnoteReference"/>
          <w:rFonts w:ascii="Times New Roman" w:hAnsi="Times New Roman"/>
          <w:noProof/>
          <w:sz w:val="24"/>
        </w:rPr>
        <w:footnoteReference w:id="51"/>
      </w:r>
      <w:r>
        <w:rPr>
          <w:rFonts w:ascii="Times New Roman" w:hAnsi="Times New Roman"/>
          <w:noProof/>
          <w:sz w:val="24"/>
        </w:rPr>
        <w:t>, αλλά ευθυγραμμίζεται πλήρως με τις προτεραιότητες που προσδιορίστηκαν από τους 27 αρχηγούς κρατών και κυβερνήσεων στην Μπρατισλάβα</w:t>
      </w:r>
      <w:r>
        <w:rPr>
          <w:rStyle w:val="FootnoteReference"/>
          <w:rFonts w:ascii="Times New Roman" w:hAnsi="Times New Roman"/>
          <w:noProof/>
          <w:sz w:val="24"/>
        </w:rPr>
        <w:footnoteReference w:id="5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Στόχος της Επιτροπής αυτής, κατά το επόμενο έτος, είναι σαφώς η επίτευξη αποτελεσμάτων, αλλά δεν μπορούμε να επιτύχουμε τον στόχο αυτό μόνο με τις δικές μας δυνάμεις. Από τον εποικοδομητικό διάλογό μας με το Ευρωπαϊκό Κοινοβούλιο και το Συμβούλιο, πριν από την παρουσίαση του παρόντος προγράμματος εργασίας προέκυψε συναντίληψη σχετικά με τις προτεραιότητες για το μέλλον, σύμφωνα με τη νέα διοργανική συμφωνία για τη βελτίωση της νομοθεσίας</w:t>
      </w:r>
      <w:r>
        <w:rPr>
          <w:rStyle w:val="FootnoteReference"/>
          <w:rFonts w:ascii="Times New Roman" w:hAnsi="Times New Roman"/>
          <w:noProof/>
          <w:sz w:val="24"/>
        </w:rPr>
        <w:footnoteReference w:id="53"/>
      </w:r>
      <w:r>
        <w:rPr>
          <w:rFonts w:ascii="Times New Roman" w:hAnsi="Times New Roman"/>
          <w:noProof/>
          <w:sz w:val="24"/>
        </w:rPr>
        <w:t>. Η Επιτροπή θεωρεί τη συμφωνία αυτή κοινή δέσμευση για εστίαση στα σημαντικά και επείγοντα ζητήματα, επιδιώκοντας παράλληλα τη θέσπιση απλών, επιστημονικά τεκμηριωμένων, προβλέψιμων και αναλογικών νόμων που αποφέρουν τα μέγιστα οφέλη για τους πολίτες και τις επιχειρήσεις.</w:t>
      </w:r>
    </w:p>
    <w:p>
      <w:pPr>
        <w:jc w:val="both"/>
        <w:rPr>
          <w:rFonts w:ascii="Times New Roman" w:hAnsi="Times New Roman" w:cs="Times New Roman"/>
          <w:noProof/>
          <w:sz w:val="24"/>
          <w:szCs w:val="24"/>
        </w:rPr>
      </w:pPr>
      <w:r>
        <w:rPr>
          <w:rFonts w:ascii="Times New Roman" w:hAnsi="Times New Roman"/>
          <w:noProof/>
          <w:sz w:val="24"/>
        </w:rPr>
        <w:t>Κατά τις προσεχείς εβδομάδες, αναμένουμε λοιπόν να συνεργαστούμε με το Ευρωπαϊκό Κοινοβούλιο και το Συμβούλιο για την επίτευξη συμφωνίας μεταξύ των τριών προέδρων σχετικά με την έκδοση κοινής δήλωσης με την οποία θα καθορίζονται οι γενικοί στόχοι και προτεραιότητες για το 2017 και θα επισημαίνονται οι προτάσεις που χρήζουν επεξεργασίας κατά προτεραιότητα στο πλαίσιο της νομοθετικής διαδικασίας. Πρόκειται για μια νέα κοινή δέσμευση στο πλαίσιο της διοργανικής συμφωνίας</w:t>
      </w:r>
      <w:r>
        <w:rPr>
          <w:rStyle w:val="FootnoteReference"/>
          <w:rFonts w:ascii="Times New Roman" w:hAnsi="Times New Roman"/>
          <w:noProof/>
          <w:sz w:val="24"/>
        </w:rPr>
        <w:footnoteReference w:id="54"/>
      </w:r>
      <w:r>
        <w:rPr>
          <w:rFonts w:ascii="Times New Roman" w:hAnsi="Times New Roman"/>
          <w:noProof/>
          <w:sz w:val="24"/>
        </w:rPr>
        <w:t>. Το παρόν πρόγραμμα εργασίας παρέχει βάση για τον κοινό αυτό προβληματισμό και επισημαίνει τις εκκρεμούσες προτάσεις</w:t>
      </w:r>
      <w:r>
        <w:rPr>
          <w:rStyle w:val="FootnoteReference"/>
          <w:rFonts w:ascii="Times New Roman" w:hAnsi="Times New Roman"/>
          <w:noProof/>
          <w:sz w:val="24"/>
        </w:rPr>
        <w:footnoteReference w:id="55"/>
      </w:r>
      <w:r>
        <w:rPr>
          <w:rFonts w:ascii="Times New Roman" w:hAnsi="Times New Roman"/>
          <w:noProof/>
          <w:sz w:val="24"/>
        </w:rPr>
        <w:t xml:space="preserve"> οι οποίες, κατά την κρίση της Επιτροπής είναι σημαντικό να προχωρήσουν γρήγορα, επιτρέποντας στην Ένωση να μετατρέψει τις προτάσεις σε δράση και να επιτύχει αποτελέσματα εκεί όπου είναι περισσότερο αναγκαία.</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477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Παράρτημα I</w:t>
      </w:r>
    </w:p>
  </w:footnote>
  <w:footnote w:id="2">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Παράρτημα II.</w:t>
      </w:r>
    </w:p>
  </w:footnote>
  <w:footnote w:id="3">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Με την εξαίρεση τυποποιημένης δήλωσης ΦΠΑ, σχετικά με την οποία έπρεπε να αποσυρθεί προηγούμενη πρόταση της Επιτροπής κατά το τρέχον έτος, λόγω έλλειψης υποστήριξης από το Συμβούλιο κατά τη νομοθετική διαδικασία. Τα παραδείγματα της συνέχειας που δόθηκε από την Επιτροπή στο φετινό πρόγραμμα εργασίας περιλαμβάνουν: τις προτάσεις για την τροποποίηση της νομοθεσίας της ΕΕ σχετικά με την προστασία της ιδιωτικής ζωής στις ηλεκτρονικές επικοινωνίες και τον ΦΠΑ (βλ. παράρτημα Ι), και την πρόταση για εκτελεστική πράξη στο πλαίσιο της οδηγίας σχετικά με τα απόβλητα ειδών ηλεκτρικού και ηλεκτρονικού εξοπλισμού (ΑΗΗΕ) (βλέπε παράρτημα II).</w:t>
      </w:r>
    </w:p>
  </w:footnote>
  <w:footnote w:id="4">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Παράρτημα V.</w:t>
      </w:r>
    </w:p>
  </w:footnote>
  <w:footnote w:id="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Παράρτημα IV.</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Απόφαση της Επιτροπής, της 25.11.2014, για τη δημοσίευση πληροφοριών σχετικά με τις συνεδριάσεις μεταξύ μελών της Επιτροπής και οργανώσεων ή αυτοαπασχολούμενων ατόμων (C(2014)9051 final) και απόφαση της Επιτροπής της 25.11.2014, για τη δημοσίευση πληροφοριών σχετικά με τις συνεδριάσεις μεταξύ Γενικών Διευθυντών της Επιτροπής και οργανώσεων ή αυτοαπασχολούμενων ατόμων (C(2014)9048 final).</w:t>
      </w:r>
    </w:p>
  </w:footnote>
  <w:footnote w:id="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627 final.</w:t>
      </w:r>
    </w:p>
  </w:footnote>
  <w:footnote w:id="8">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http://ec.europa.eu/priorities/docs/pg_en.pdf.</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Στο πλαίσιο αυτό, η Επιτροπή θα εστιάσει τις δραστηριότητες επικοινωνίας της το 2017 στις προτεραιότητες της Επιτροπής, βάσει της δράσης για την εταιρική επικοινωνία το 2017-18 στο πλαίσιο του πολυετούς δημοσιονομικού πλαισίου 2014-2020 (C(2016) 6838 της 25.10.2016).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646 final.</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Για την περαιτέρω στήριξη της εφαρμογής στην πράξη, προτείναμε πρόσφατα τη συμπλήρωση της υφιστάμενης χρηματοδότησης της πρωτοβουλίας για την απασχόληση των νέων με πρόσθετο ποσό 2 δισεκ. EUR για την περίοδο 2017-2020.</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Όπως προαναφέρθηκε, σε μόλις ένα έτος, το Ευρωπαϊκό Ταμείο Στρατηγικών Επενδύσεων ενεργοποιήθηκε σε 27 κράτη μέλη και οδήγησε σε επενδύσεις 138 δισεκ. EUR, συμπεριλαμβανομένης της νέας χρηματοδότησης για περίπου 300 000 μικρές και μεσαίες επιχειρήσεις.</w:t>
      </w:r>
    </w:p>
  </w:footnote>
  <w:footnote w:id="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COM(2016)581 final.</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COM(2016)603 final.</w:t>
      </w:r>
    </w:p>
  </w:footnote>
  <w:footnote w:id="1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COM(2015)634 final, COM(2015)635/2 final. </w:t>
      </w:r>
    </w:p>
  </w:footnote>
  <w:footnote w:id="1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COM(2016)593 final, COM(2016)594 final, COM(2016)595 final, COM(2016)596 final.</w:t>
      </w:r>
    </w:p>
  </w:footnote>
  <w:footnote w:id="1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COM(2016)289 final.</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COM(2015)627 final.</w:t>
      </w:r>
    </w:p>
  </w:footnote>
  <w:footnote w:id="1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COM(2016)285 final.</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COM(2016)287 final.</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COM(2016)590 final, COM(2016)591final.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COM(2016)43 final.</w:t>
      </w:r>
    </w:p>
  </w:footnote>
  <w:footnote w:id="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COM(2016)589 final.</w:t>
      </w:r>
    </w:p>
  </w:footnote>
  <w:footnote w:id="2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COM(2016)52 final </w:t>
      </w:r>
      <w:r>
        <w:rPr>
          <w:rFonts w:ascii="Times New Roman" w:hAnsi="Times New Roman"/>
        </w:rPr>
        <w:t>και</w:t>
      </w:r>
      <w:r>
        <w:rPr>
          <w:rFonts w:ascii="Times New Roman" w:hAnsi="Times New Roman"/>
          <w:lang w:val="pt-PT"/>
        </w:rPr>
        <w:t xml:space="preserve"> COM(2016)53 final/2.</w:t>
      </w:r>
    </w:p>
  </w:footnote>
  <w:footnote w:id="2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COM(2015)337 final/2.</w:t>
      </w:r>
    </w:p>
  </w:footnote>
  <w:footnote w:id="2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COM(2016)482 final/2.</w:t>
      </w:r>
    </w:p>
  </w:footnote>
  <w:footnote w:id="2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COM(2016)479 final.</w:t>
      </w:r>
    </w:p>
  </w:footnote>
  <w:footnote w:id="2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COM(2016)683 </w:t>
      </w:r>
      <w:r>
        <w:rPr>
          <w:rFonts w:ascii="Times New Roman" w:hAnsi="Times New Roman"/>
        </w:rPr>
        <w:t>και</w:t>
      </w:r>
      <w:r>
        <w:rPr>
          <w:rFonts w:ascii="Times New Roman" w:hAnsi="Times New Roman"/>
          <w:lang w:val="pt-PT"/>
        </w:rPr>
        <w:t xml:space="preserve"> COM(2016)685.  </w:t>
      </w:r>
    </w:p>
  </w:footnote>
  <w:footnote w:id="2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COM(2016)686 </w:t>
      </w:r>
      <w:r>
        <w:rPr>
          <w:rFonts w:ascii="Times New Roman" w:hAnsi="Times New Roman"/>
        </w:rPr>
        <w:t>και</w:t>
      </w:r>
      <w:r>
        <w:rPr>
          <w:rFonts w:ascii="Times New Roman" w:hAnsi="Times New Roman"/>
          <w:lang w:val="pt-PT"/>
        </w:rPr>
        <w:t xml:space="preserve"> COM(2016)687. </w:t>
      </w:r>
    </w:p>
  </w:footnote>
  <w:footnote w:id="3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COM(2015)603 final.</w:t>
      </w:r>
    </w:p>
  </w:footnote>
  <w:footnote w:id="3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COM(2015)586 final/2.</w:t>
      </w:r>
    </w:p>
  </w:footnote>
  <w:footnote w:id="3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COM(2015)472 final/2.</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COM(2015)583 final.</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COM(2013)192 final.</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Συμπεράσματα του Ευρωπαϊκού Συμβουλίου – Βρυξέλλες, 20-21/10/2016, σημείο 14: «... </w:t>
      </w:r>
      <w:r>
        <w:rPr>
          <w:rFonts w:ascii="Times New Roman" w:hAnsi="Times New Roman"/>
          <w:i/>
        </w:rPr>
        <w:t>Καλεί επίσης την Επιτροπή να συνεχίσει τις διαπραγματεύσεις με τις αρχές των ΗΠΑ, ώστε να μπορέσει να παρουσιάσει φιλόδοξη, ισορροπημένη και σφαιρική συμφωνία ελεύθερων συναλλαγών</w:t>
      </w:r>
      <w:r>
        <w:rPr>
          <w:rFonts w:ascii="Times New Roman" w:hAnsi="Times New Roman"/>
        </w:rPr>
        <w:t xml:space="preserve"> ».</w:t>
      </w:r>
    </w:p>
  </w:footnote>
  <w:footnote w:id="3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COM(2016)194 final </w:t>
      </w:r>
      <w:r>
        <w:rPr>
          <w:rFonts w:ascii="Times New Roman" w:hAnsi="Times New Roman"/>
        </w:rPr>
        <w:t>και</w:t>
      </w:r>
      <w:r>
        <w:rPr>
          <w:rFonts w:ascii="Times New Roman" w:hAnsi="Times New Roman"/>
          <w:lang w:val="pt-PT"/>
        </w:rPr>
        <w:t xml:space="preserve"> COM(2016)196 final.</w:t>
      </w:r>
    </w:p>
  </w:footnote>
  <w:footnote w:id="3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COM(2015)670 final.</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Η πρώτη έκθεση προόδου της Επιτροπής για μια αποτελεσματική και πραγματική Ένωση Ασφάλειας εγκρίθηκε στις 12 Οκτωβρίου 2016 — COM(2016)670 final.</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footnote>
  <w:footnote w:id="4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COM(2016)270 final/2.</w:t>
      </w:r>
    </w:p>
  </w:footnote>
  <w:footnote w:id="4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COM(2016)271 final.</w:t>
      </w:r>
    </w:p>
  </w:footnote>
  <w:footnote w:id="4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COM(2016)272 final/2.</w:t>
      </w:r>
    </w:p>
  </w:footnote>
  <w:footnote w:id="4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COM(2016)468 final.</w:t>
      </w:r>
    </w:p>
  </w:footnote>
  <w:footnote w:id="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COM(2016)378 final.</w:t>
      </w:r>
    </w:p>
  </w:footnote>
  <w:footnote w:id="45">
    <w:p>
      <w:pPr>
        <w:pStyle w:val="FootnoteText"/>
        <w:rPr>
          <w:rFonts w:ascii="Times New Roman" w:hAnsi="Times New Roman" w:cs="Times New Roman"/>
          <w:bCs/>
          <w:lang w:val="pt-PT"/>
        </w:rPr>
      </w:pPr>
      <w:r>
        <w:rPr>
          <w:rStyle w:val="FootnoteReference"/>
          <w:rFonts w:ascii="Times New Roman" w:hAnsi="Times New Roman"/>
        </w:rPr>
        <w:footnoteRef/>
      </w:r>
      <w:r>
        <w:rPr>
          <w:rFonts w:ascii="Times New Roman" w:hAnsi="Times New Roman"/>
          <w:lang w:val="pt-PT"/>
        </w:rPr>
        <w:t xml:space="preserve"> COM(2016) 385 final.</w:t>
      </w:r>
    </w:p>
  </w:footnote>
  <w:footnote w:id="46">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lang w:val="pt-PT"/>
        </w:rPr>
        <w:t>COM</w:t>
      </w:r>
      <w:r>
        <w:rPr>
          <w:rFonts w:ascii="Times New Roman" w:hAnsi="Times New Roman"/>
        </w:rPr>
        <w:t xml:space="preserve">(2016)581 </w:t>
      </w:r>
      <w:r>
        <w:rPr>
          <w:rFonts w:ascii="Times New Roman" w:hAnsi="Times New Roman"/>
          <w:lang w:val="pt-PT"/>
        </w:rPr>
        <w:t>final</w:t>
      </w:r>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lang w:val="pt-PT"/>
          </w:rPr>
          <w:t>http</w:t>
        </w:r>
        <w:r>
          <w:rPr>
            <w:rStyle w:val="Hyperlink"/>
            <w:rFonts w:ascii="Times New Roman" w:hAnsi="Times New Roman"/>
          </w:rPr>
          <w:t>://</w:t>
        </w:r>
        <w:r>
          <w:rPr>
            <w:rStyle w:val="Hyperlink"/>
            <w:rFonts w:ascii="Times New Roman" w:hAnsi="Times New Roman"/>
            <w:lang w:val="pt-PT"/>
          </w:rPr>
          <w:t>ec</w:t>
        </w:r>
        <w:r>
          <w:rPr>
            <w:rStyle w:val="Hyperlink"/>
            <w:rFonts w:ascii="Times New Roman" w:hAnsi="Times New Roman"/>
          </w:rPr>
          <w:t>.</w:t>
        </w:r>
        <w:r>
          <w:rPr>
            <w:rStyle w:val="Hyperlink"/>
            <w:rFonts w:ascii="Times New Roman" w:hAnsi="Times New Roman"/>
            <w:lang w:val="pt-PT"/>
          </w:rPr>
          <w:t>europa</w:t>
        </w:r>
        <w:r>
          <w:rPr>
            <w:rStyle w:val="Hyperlink"/>
            <w:rFonts w:ascii="Times New Roman" w:hAnsi="Times New Roman"/>
          </w:rPr>
          <w:t>.</w:t>
        </w:r>
        <w:r>
          <w:rPr>
            <w:rStyle w:val="Hyperlink"/>
            <w:rFonts w:ascii="Times New Roman" w:hAnsi="Times New Roman"/>
            <w:lang w:val="pt-PT"/>
          </w:rPr>
          <w:t>eu</w:t>
        </w:r>
        <w:r>
          <w:rPr>
            <w:rStyle w:val="Hyperlink"/>
            <w:rFonts w:ascii="Times New Roman" w:hAnsi="Times New Roman"/>
          </w:rPr>
          <w:t>/</w:t>
        </w:r>
        <w:r>
          <w:rPr>
            <w:rStyle w:val="Hyperlink"/>
            <w:rFonts w:ascii="Times New Roman" w:hAnsi="Times New Roman"/>
            <w:lang w:val="pt-PT"/>
          </w:rPr>
          <w:t>priorities</w:t>
        </w:r>
        <w:r>
          <w:rPr>
            <w:rStyle w:val="Hyperlink"/>
            <w:rFonts w:ascii="Times New Roman" w:hAnsi="Times New Roman"/>
          </w:rPr>
          <w:t>/</w:t>
        </w:r>
        <w:r>
          <w:rPr>
            <w:rStyle w:val="Hyperlink"/>
            <w:rFonts w:ascii="Times New Roman" w:hAnsi="Times New Roman"/>
            <w:lang w:val="pt-PT"/>
          </w:rPr>
          <w:t>state</w:t>
        </w:r>
        <w:r>
          <w:rPr>
            <w:rStyle w:val="Hyperlink"/>
            <w:rFonts w:ascii="Times New Roman" w:hAnsi="Times New Roman"/>
          </w:rPr>
          <w:t>-</w:t>
        </w:r>
        <w:r>
          <w:rPr>
            <w:rStyle w:val="Hyperlink"/>
            <w:rFonts w:ascii="Times New Roman" w:hAnsi="Times New Roman"/>
            <w:lang w:val="pt-PT"/>
          </w:rPr>
          <w:t>union</w:t>
        </w:r>
        <w:r>
          <w:rPr>
            <w:rStyle w:val="Hyperlink"/>
            <w:rFonts w:ascii="Times New Roman" w:hAnsi="Times New Roman"/>
          </w:rPr>
          <w:t>-2016_</w:t>
        </w:r>
        <w:r>
          <w:rPr>
            <w:rStyle w:val="Hyperlink"/>
            <w:rFonts w:ascii="Times New Roman" w:hAnsi="Times New Roman"/>
            <w:lang w:val="pt-PT"/>
          </w:rPr>
          <w:t>en</w:t>
        </w:r>
      </w:hyperlink>
      <w:r>
        <w:rPr>
          <w:rStyle w:val="Hyperlink"/>
          <w:rFonts w:ascii="Times New Roman" w:hAnsi="Times New Roman"/>
        </w:rPr>
        <w:t xml:space="preserve"> . </w:t>
      </w:r>
      <w:r>
        <w:rPr>
          <w:rFonts w:ascii="Times New Roman" w:hAnsi="Times New Roman"/>
        </w:rPr>
        <w:t xml:space="preserve">Βλ., επίσης, την επιστολή προθέσεων που υπογράφεται από τον Πρόεδρο και τον πρώτο Αντιπρόεδρο και απευθύνεται προς τους Προέδρους του Ευρωπαϊκού Κοινοβουλίου και του Συμβουλίου. Σε αυτή τη βάση, ο πρώτος Αντιπρόεδρος συζήτησε με το Συμβούλιο Γενικών Υποθέσεων στις 20 Σεπτεμβρίου, και η Επιτροπή πραγματοποίησε συνάντηση με τη Διάσκεψη των Προέδρων των Επιτροπών στις 3 και 4 Οκτωβρίου. </w:t>
      </w:r>
    </w:p>
  </w:footnote>
  <w:footnote w:id="48">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2">
        <w:r>
          <w:rPr>
            <w:rStyle w:val="Hyperlink"/>
            <w:rFonts w:ascii="Times New Roman" w:hAnsi="Times New Roman"/>
            <w:sz w:val="20"/>
          </w:rPr>
          <w:t>http://www.europarl.europa.eu/sides/getDoc.do?pubRef=-//EP//TEXT+TA+P8-TA-2016-0312+0+DOC+XML+V0//EN</w:t>
        </w:r>
      </w:hyperlink>
    </w:p>
  </w:footnote>
  <w:footnote w:id="49">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Επιστολή της 4ης Οκτωβρίου από τον Πρόεδρο του Συμβουλίου Γενικών Υποθέσεων προς τον Πρόεδρο και τον πρώτο Αντιπρόεδρο της Επιτροπής.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http://www.eesc.europa.eu/resources/docs/eesc_contribution-to-ec--2017-workprogramme_en.pdf</w:t>
        </w:r>
      </w:hyperlink>
    </w:p>
  </w:footnote>
  <w:footnote w:id="5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https://toad.cor.europa.eu/corwipdetail.aspx?folderpath=RESOL-VI/010&amp;id=24254</w:t>
        </w:r>
      </w:hyperlink>
      <w:r>
        <w:rPr>
          <w:rFonts w:ascii="Times New Roman" w:hAnsi="Times New Roman"/>
        </w:rPr>
        <w:t xml:space="preserve"> </w:t>
      </w:r>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http://www.consilium.europa.eu/en/press/press-releases/2016/09/16-bratislava-declaration-and-roadmap</w:t>
        </w:r>
      </w:hyperlink>
    </w:p>
  </w:footnote>
  <w:footnote w:id="53">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6">
        <w:r>
          <w:rPr>
            <w:rStyle w:val="Hyperlink"/>
            <w:rFonts w:ascii="Times New Roman" w:hAnsi="Times New Roman"/>
            <w:sz w:val="20"/>
          </w:rPr>
          <w:t>http://eur-lex.europa.eu/legal-content/EN/TXT/PDF/?uri=OJ:L:2016:123:FULL&amp;from=EN</w:t>
        </w:r>
      </w:hyperlink>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Σημείο 7 της διοργανικής συμφωνίας για τη βελτίωση της νομοθεσίας.</w:t>
      </w:r>
    </w:p>
  </w:footnote>
  <w:footnote w:id="55">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Παράρτημα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3504C7618254E91A3216B4488D9E152"/>
    <w:docVar w:name="LW_CROSSREFERENCE" w:val="{SWD(2016) 400 final}"/>
    <w:docVar w:name="LW_DocType" w:val="NORMAL"/>
    <w:docVar w:name="LW_EMISSION" w:val="25.10.2016"/>
    <w:docVar w:name="LW_EMISSION_ISODATE" w:val="2016-10-25"/>
    <w:docVar w:name="LW_EMISSION_LOCATION" w:val="STR"/>
    <w:docVar w:name="LW_EMISSION_PREFIX" w:val="Στρασβούργο, "/>
    <w:docVar w:name="LW_EMISSION_SUFFIX" w:val=" "/>
    <w:docVar w:name="LW_ID_DOCTYPE_NONLW" w:val="CP-014"/>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710"/>
    <w:docVar w:name="LW_REF.INTERNE" w:val="&lt;UNUSED&gt;"/>
    <w:docVar w:name="LW_SOUS.TITRE.OBJ.CP" w:val="&lt;UNUSED&gt;"/>
    <w:docVar w:name="LW_SUPERTITRE" w:val="&lt;UNUSED&gt;"/>
    <w:docVar w:name="LW_TITRE.OBJ.CP" w:val="_x000b_\u928?\u961?\u972?\u947?\u961?\u945?\u956?\u956?\u945? \u949?\u961?\u947?\u945?\u963?\u943?\u945?\u962? \u964?\u951?\u962? \u917?\u960?\u953?\u964?\u961?\u959?\u960?\u942?\u962? 2017_x000b__x000b_\u916?\u951?\u956?\u953?\u959?\u965?\u961?\u947?\u943?\u945? \u956?\u953?\u945?\u962? \u917?\u965?\u961?\u974?\u960?\u951?\u962? \u960?\u959?\u965? \u960?\u961?\u959?\u963?\u964?\u945?\u964?\u949?\u973?\u949?\u953?, \u949?\u957?\u948?\u965?\u957?\u945?\u956?\u974?\u957?\u949?\u953? \u954?\u945?\u953? \u965?\u960?\u949?\u961?\u945?\u963?\u960?\u943?\u950?\u949?\u964?\u945?\u953? \u964?\u959?\u965?\u962? \u960?\u959?\u955?\u943?\u964?\u949?\u962? \u964?\u951?\u962?"/>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283">
      <w:bodyDiv w:val="1"/>
      <w:marLeft w:val="0"/>
      <w:marRight w:val="0"/>
      <w:marTop w:val="0"/>
      <w:marBottom w:val="0"/>
      <w:divBdr>
        <w:top w:val="none" w:sz="0" w:space="0" w:color="auto"/>
        <w:left w:val="none" w:sz="0" w:space="0" w:color="auto"/>
        <w:bottom w:val="none" w:sz="0" w:space="0" w:color="auto"/>
        <w:right w:val="none" w:sz="0" w:space="0" w:color="auto"/>
      </w:divBdr>
    </w:div>
    <w:div w:id="1578974671">
      <w:bodyDiv w:val="1"/>
      <w:marLeft w:val="0"/>
      <w:marRight w:val="0"/>
      <w:marTop w:val="0"/>
      <w:marBottom w:val="0"/>
      <w:divBdr>
        <w:top w:val="none" w:sz="0" w:space="0" w:color="auto"/>
        <w:left w:val="none" w:sz="0" w:space="0" w:color="auto"/>
        <w:bottom w:val="none" w:sz="0" w:space="0" w:color="auto"/>
        <w:right w:val="none" w:sz="0" w:space="0" w:color="auto"/>
      </w:divBdr>
    </w:div>
    <w:div w:id="16667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resources/docs/eesc_contribution-to-ec--2017-workprogramme_en.pdf" TargetMode="External"/><Relationship Id="rId2" Type="http://schemas.openxmlformats.org/officeDocument/2006/relationships/hyperlink" Target="http://www.europarl.europa.eu/sides/getDoc.do?pubRef=-//EP//TEXT+TA+P8-TA-2016-0312+0+DOC+XML+V0//EN" TargetMode="External"/><Relationship Id="rId1" Type="http://schemas.openxmlformats.org/officeDocument/2006/relationships/hyperlink" Target="http://ec.europa.eu/priorities/state-union-2016_en" TargetMode="External"/><Relationship Id="rId6" Type="http://schemas.openxmlformats.org/officeDocument/2006/relationships/hyperlink" Target="http://eur-lex.europa.eu/legal-content/EN/TXT/PDF/?uri=OJ:L:2016:123:FULL&amp;from=EN" TargetMode="External"/><Relationship Id="rId5" Type="http://schemas.openxmlformats.org/officeDocument/2006/relationships/hyperlink" Target="http://www.consilium.europa.eu/en/press/press-releases/2016/09/16-bratislava-declaration-and-roadmap" TargetMode="External"/><Relationship Id="rId4" Type="http://schemas.openxmlformats.org/officeDocument/2006/relationships/hyperlink" Target="https://toad.cor.europa.eu/corwipdetail.aspx?folderpath=RESOL-VI/010&amp;id=2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FB5F-D977-49C7-B51C-716F7455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7623</Words>
  <Characters>45210</Characters>
  <Application>Microsoft Office Word</Application>
  <DocSecurity>0</DocSecurity>
  <Lines>685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2016-10-24T19:21:00Z</cp:lastPrinted>
  <dcterms:created xsi:type="dcterms:W3CDTF">2016-10-25T06:07:00Z</dcterms:created>
  <dcterms:modified xsi:type="dcterms:W3CDTF">2016-11-07T08:56:00Z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