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55DB72D4ED594E80BAB643801E97EEF2" style="width:450.75pt;height:447.75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2"/>
          <w:cols w:space="720"/>
          <w:docGrid w:linePitch="360"/>
        </w:sectPr>
      </w:pPr>
    </w:p>
    <w:p>
      <w:pPr>
        <w:spacing w:after="480"/>
        <w:jc w:val="center"/>
        <w:outlineLvl w:val="0"/>
        <w:rPr>
          <w:rFonts w:ascii="Times New Roman" w:hAnsi="Times New Roman"/>
          <w:b/>
          <w:i/>
          <w:noProof/>
          <w:sz w:val="20"/>
          <w:szCs w:val="20"/>
          <w:highlight w:val="yellow"/>
          <w:u w:val="single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8"/>
          <w:u w:val="single"/>
        </w:rPr>
        <w:lastRenderedPageBreak/>
        <w:t>Załącznik I: nowe inicjatywy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11"/>
        <w:gridCol w:w="3541"/>
        <w:gridCol w:w="10068"/>
      </w:tblGrid>
      <w:tr>
        <w:trPr>
          <w:cantSplit/>
          <w:tblHeader/>
        </w:trPr>
        <w:tc>
          <w:tcPr>
            <w:tcW w:w="181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Lp.</w:t>
            </w:r>
          </w:p>
        </w:tc>
        <w:tc>
          <w:tcPr>
            <w:tcW w:w="1254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Tytuł</w:t>
            </w:r>
          </w:p>
        </w:tc>
        <w:tc>
          <w:tcPr>
            <w:tcW w:w="3565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Opis</w:t>
            </w:r>
            <w:r>
              <w:rPr>
                <w:rStyle w:val="FootnoteReference"/>
                <w:rFonts w:ascii="Times New Roman" w:hAnsi="Times New Roman"/>
                <w:noProof/>
                <w:sz w:val="20"/>
              </w:rPr>
              <w:footnoteReference w:id="2"/>
            </w:r>
            <w:r>
              <w:rPr>
                <w:rFonts w:ascii="Times New Roman" w:hAnsi="Times New Roman"/>
                <w:noProof/>
                <w:sz w:val="20"/>
              </w:rPr>
              <w:t xml:space="preserve"> </w:t>
            </w:r>
          </w:p>
        </w:tc>
      </w:tr>
      <w:tr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spacing w:before="60" w:after="6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Pobudzenie zatrudnienia, wzrostu i inwestycji</w:t>
            </w:r>
          </w:p>
        </w:tc>
      </w:tr>
      <w:tr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Inicjatywa na rzecz młodzieży</w:t>
            </w:r>
          </w:p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Inicjatywa ta obejmuje wniosek dotyczący utworzenia Europejskiego Korpusu Solidarności </w:t>
            </w:r>
            <w:r>
              <w:rPr>
                <w:rFonts w:ascii="Times New Roman" w:hAnsi="Times New Roman"/>
                <w:noProof/>
                <w:sz w:val="20"/>
              </w:rPr>
              <w:t xml:space="preserve">(ustawodawczy/nieustawodawczy) 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oraz środki priorytetowe w celu wdrożenia elementów programu na rzecz umiejętności dotyczących ludzi młodych, w tym ramy jakościowe dotyczące przygotowania zawodowego oraz wniosek dotyczący zwiększenia mobilności uczniów zawodu </w:t>
            </w:r>
            <w:r>
              <w:rPr>
                <w:rFonts w:ascii="Times New Roman" w:hAnsi="Times New Roman"/>
                <w:noProof/>
                <w:sz w:val="20"/>
              </w:rPr>
              <w:t>(ustawodawcze)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; modernizację szkolnictwa i szkolnictwa wyższego </w:t>
            </w:r>
            <w:r>
              <w:rPr>
                <w:rFonts w:ascii="Times New Roman" w:hAnsi="Times New Roman"/>
                <w:noProof/>
                <w:sz w:val="20"/>
              </w:rPr>
              <w:t>(nieustawodawcza; 2. kwartał 2017)</w:t>
            </w:r>
            <w:r>
              <w:rPr>
                <w:rFonts w:ascii="Times New Roman" w:hAnsi="Times New Roman"/>
                <w:b/>
                <w:noProof/>
                <w:sz w:val="20"/>
              </w:rPr>
              <w:t>; a także wniosek dotyczący poprawy śledzenia wyników absolwentów, ale także osób młodych, które odbyły kształcenie i szkolenie zawodowe</w:t>
            </w:r>
            <w:r>
              <w:rPr>
                <w:rFonts w:ascii="Times New Roman" w:hAnsi="Times New Roman"/>
                <w:noProof/>
                <w:sz w:val="20"/>
              </w:rPr>
              <w:t xml:space="preserve"> (nieustawodawczy; 2. kwartał 2017)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; </w:t>
            </w:r>
          </w:p>
        </w:tc>
      </w:tr>
      <w:tr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Realizacja planu działania dotyczącego gospodarki o obiegu zamkniętym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Obejmuje ona strategię dotyczącą stosowania, ponownego użycia i recyklingu tworzyw sztucznych </w:t>
            </w:r>
            <w:r>
              <w:rPr>
                <w:rFonts w:ascii="Times New Roman" w:hAnsi="Times New Roman"/>
                <w:noProof/>
                <w:sz w:val="20"/>
              </w:rPr>
              <w:t>(nieustawodawcza; 4. kwartał 2017)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; środki dotyczące wody: wniosek dotyczący rozporządzenia w sprawie minimalnych wymagań jakościowych dotyczących wody odzyskiwanej </w:t>
            </w:r>
            <w:r>
              <w:rPr>
                <w:rFonts w:ascii="Times New Roman" w:hAnsi="Times New Roman"/>
                <w:noProof/>
                <w:sz w:val="20"/>
              </w:rPr>
              <w:t>(w tym ocena skutków; art. 192 TFUE; 2. kwartał 2017)</w:t>
            </w:r>
            <w:r>
              <w:rPr>
                <w:rFonts w:ascii="Times New Roman" w:hAnsi="Times New Roman"/>
                <w:b/>
                <w:noProof/>
                <w:sz w:val="20"/>
              </w:rPr>
              <w:t>;</w:t>
            </w:r>
            <w:r>
              <w:rPr>
                <w:rFonts w:ascii="Times New Roman" w:hAnsi="Times New Roman"/>
                <w:noProof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rewizję, w ramach programu REFIT, dyrektywy w sprawie wody pitnej </w:t>
            </w:r>
            <w:r>
              <w:rPr>
                <w:rFonts w:ascii="Times New Roman" w:hAnsi="Times New Roman"/>
                <w:noProof/>
                <w:sz w:val="20"/>
              </w:rPr>
              <w:t>(w tym ocena skutków; art. 192 ust. 1 TFUE; 4. kwartał 2017)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; inicjatywę w celu wyeliminowania prawnych, technicznych lub praktycznych utrudnień na styku przepisów dotyczących chemikaliów, produktów i odpadów </w:t>
            </w:r>
            <w:r>
              <w:rPr>
                <w:rFonts w:ascii="Times New Roman" w:hAnsi="Times New Roman"/>
                <w:noProof/>
                <w:sz w:val="20"/>
              </w:rPr>
              <w:t>(nieustawodawcza; 4. kwartał 2017)</w:t>
            </w:r>
            <w:r>
              <w:rPr>
                <w:rFonts w:ascii="Times New Roman" w:hAnsi="Times New Roman"/>
                <w:b/>
                <w:noProof/>
                <w:sz w:val="20"/>
              </w:rPr>
              <w:t>; oraz ramy monitorowania dotyczące gospodarki o obiegu zamkniętym</w:t>
            </w:r>
            <w:r>
              <w:rPr>
                <w:rFonts w:ascii="Times New Roman" w:hAnsi="Times New Roman"/>
                <w:noProof/>
                <w:sz w:val="20"/>
              </w:rPr>
              <w:t xml:space="preserve"> (nieustawodawcza; 3. kwartał 2017).</w:t>
            </w:r>
          </w:p>
        </w:tc>
      </w:tr>
      <w:tr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Ramy finansowe na okres po 2020 r.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Kompleksowy wniosek dotyczący kolejnych wieloletnich ram finansowych, w tym zasobów własnych </w:t>
            </w:r>
            <w:r>
              <w:rPr>
                <w:rFonts w:ascii="Times New Roman" w:hAnsi="Times New Roman"/>
                <w:noProof/>
                <w:sz w:val="20"/>
              </w:rPr>
              <w:t>(ustawodawczy/nieustawodawczy; art. 312 TFUE).</w:t>
            </w:r>
          </w:p>
        </w:tc>
      </w:tr>
      <w:tr>
        <w:trPr>
          <w:cantSplit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>
            <w:pPr>
              <w:spacing w:before="60" w:after="6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Połączony jednolity rynek cyfrowy</w:t>
            </w:r>
          </w:p>
        </w:tc>
      </w:tr>
      <w:tr>
        <w:trPr>
          <w:cantSplit/>
        </w:trPr>
        <w:tc>
          <w:tcPr>
            <w:tcW w:w="181" w:type="pct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Wdrożenie strategii jednolitego rynku cyfrowego   </w:t>
            </w:r>
          </w:p>
        </w:tc>
        <w:tc>
          <w:tcPr>
            <w:tcW w:w="3565" w:type="pct"/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Przegląd śródokresowy wdrożenia strategii jednolitego rynku cyfrowego.</w:t>
            </w:r>
            <w:r>
              <w:rPr>
                <w:rFonts w:ascii="Times New Roman" w:hAnsi="Times New Roman"/>
                <w:b/>
                <w:noProof/>
                <w:sz w:val="20"/>
                <w:highlight w:val="yellow"/>
              </w:rPr>
              <w:t xml:space="preserve"> </w:t>
            </w:r>
          </w:p>
        </w:tc>
      </w:tr>
      <w:tr>
        <w:trPr>
          <w:cantSplit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>
            <w:pPr>
              <w:keepNext/>
              <w:spacing w:before="60" w:after="6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Stabilna unia energetyczna z perspektywiczną polityką przeciwdziałania zmianie klimatu</w:t>
            </w:r>
          </w:p>
        </w:tc>
      </w:tr>
      <w:tr>
        <w:trPr>
          <w:cantSplit/>
        </w:trPr>
        <w:tc>
          <w:tcPr>
            <w:tcW w:w="181" w:type="pct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Wdrożenie strategii unii energetycznej: niskoemisyjne podróże i mobilność</w:t>
            </w:r>
          </w:p>
        </w:tc>
        <w:tc>
          <w:tcPr>
            <w:tcW w:w="3565" w:type="pct"/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Rewizja, w ramach programu REFIT, kilku najważniejszych aktów prawnych, które wskazano w planie działania na rzecz niskoemisyjnej mobilności: strategie na okres po 2020 r. dotyczące pojazdów/vanów i samochodów ciężarowych, autobusów i autokarów </w:t>
            </w:r>
            <w:r>
              <w:rPr>
                <w:rFonts w:ascii="Times New Roman" w:hAnsi="Times New Roman"/>
                <w:noProof/>
                <w:sz w:val="20"/>
              </w:rPr>
              <w:t>(ustawodawcze, w tym ocena skutków; 2. kwartał 2017)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; dyrektywa w sprawie ekologicznie czystych pojazdów </w:t>
            </w:r>
            <w:r>
              <w:rPr>
                <w:rFonts w:ascii="Times New Roman" w:hAnsi="Times New Roman"/>
                <w:noProof/>
                <w:sz w:val="20"/>
              </w:rPr>
              <w:t>(w tym ocena skutków; art. 192 TFUE; 2. kwartał 2017)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; dyrektywy w sprawie „eurowiniet” i europejskiej usługi opłaty elektronicznej (EETS) </w:t>
            </w:r>
            <w:r>
              <w:rPr>
                <w:rFonts w:ascii="Times New Roman" w:hAnsi="Times New Roman"/>
                <w:noProof/>
                <w:sz w:val="20"/>
              </w:rPr>
              <w:t>(w tym ocena skutków; art. 91 TFUE; 2. kwartał 2017)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; inicjatywa ta obejmuje wprowadzenie w życie międzynarodowego porozumienia w sprawie emisji pochodzących ze statków powietrznych (ICAO) </w:t>
            </w:r>
            <w:r>
              <w:rPr>
                <w:rFonts w:ascii="Times New Roman" w:hAnsi="Times New Roman"/>
                <w:noProof/>
                <w:sz w:val="20"/>
              </w:rPr>
              <w:t>(ustawodawcza, w tym ocena skutków; art. 192 TFUE; 1. kwartał 2017).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</w:t>
            </w:r>
          </w:p>
        </w:tc>
      </w:tr>
      <w:tr>
        <w:trPr>
          <w:cantSplit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>
            <w:pPr>
              <w:spacing w:before="60" w:after="6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Pogłębiony i bardziej sprawiedliwy rynek wewnętrzny oparty na wzmocnionej bazie przemysłowej</w:t>
            </w:r>
          </w:p>
        </w:tc>
      </w:tr>
      <w:tr>
        <w:trPr>
          <w:cantSplit/>
        </w:trPr>
        <w:tc>
          <w:tcPr>
            <w:tcW w:w="181" w:type="pct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Wdrożenie strategii jednolitego rynku</w:t>
            </w:r>
          </w:p>
        </w:tc>
        <w:tc>
          <w:tcPr>
            <w:tcW w:w="3565" w:type="pct"/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Efekty będą obejmować rewizję, w ramach programu REFIT, przepisów o towarach </w:t>
            </w:r>
            <w:r>
              <w:rPr>
                <w:rFonts w:ascii="Times New Roman" w:hAnsi="Times New Roman"/>
                <w:noProof/>
                <w:sz w:val="20"/>
              </w:rPr>
              <w:t>(ustawodawcza/nieustawodawcza, w tym ocena skutków; art. 43/114/207 TFUE; 2. kwartał 2017)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, inicjatywę w zakresie prawa spółek na rzecz ułatwienia korzystania z technologii cyfrowych w całym cyklu życia spółki oraz transgranicznych połączeń i podziałów przedsiębiorstw </w:t>
            </w:r>
            <w:r>
              <w:rPr>
                <w:rFonts w:ascii="Times New Roman" w:hAnsi="Times New Roman"/>
                <w:noProof/>
                <w:sz w:val="20"/>
              </w:rPr>
              <w:t>(ustawodawcza, w tym ocena skutków; 3–4. kwartał 2017)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, inicjatywę dotyczącą skoordynowanych ocen technologii medycznych </w:t>
            </w:r>
            <w:r>
              <w:rPr>
                <w:rFonts w:ascii="Times New Roman" w:hAnsi="Times New Roman"/>
                <w:noProof/>
                <w:sz w:val="20"/>
              </w:rPr>
              <w:t>(ustawodawcza/nieustawodawcza, w tym ocena skutków; 4. kwartał/2017)</w:t>
            </w:r>
            <w:r>
              <w:rPr>
                <w:rFonts w:ascii="Times New Roman" w:hAnsi="Times New Roman"/>
                <w:b/>
                <w:noProof/>
                <w:sz w:val="20"/>
              </w:rPr>
              <w:t>, środki na rzecz lepszego egzekwowania przepisów dotyczących jednolitego rynku w ramach szerszego pakietu dotyczącego egzekwowania prawa, w tym wnioski dotyczące jednolitego portalu cyfrowego</w:t>
            </w:r>
            <w:r>
              <w:rPr>
                <w:rFonts w:ascii="Times New Roman" w:hAnsi="Times New Roman"/>
                <w:noProof/>
                <w:sz w:val="20"/>
              </w:rPr>
              <w:t xml:space="preserve"> (ustawodawcza/nieustawodawcza, w tym ocena skutków; art. 114 TFUE; 1. kwartał 2017) 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oraz narzędzia informacyjnego dotyczącego jednolitego rynku </w:t>
            </w:r>
            <w:r>
              <w:rPr>
                <w:rFonts w:ascii="Times New Roman" w:hAnsi="Times New Roman"/>
                <w:noProof/>
                <w:sz w:val="20"/>
              </w:rPr>
              <w:t xml:space="preserve">(ustawodawcza, w tym ocena skutków; 1. kwartał 2017), </w:t>
            </w:r>
            <w:r>
              <w:rPr>
                <w:rFonts w:ascii="Times New Roman" w:hAnsi="Times New Roman"/>
                <w:b/>
                <w:noProof/>
                <w:sz w:val="20"/>
              </w:rPr>
              <w:t>unowocześnienie systemu SOLVIT</w:t>
            </w:r>
            <w:r>
              <w:rPr>
                <w:rFonts w:ascii="Times New Roman" w:hAnsi="Times New Roman"/>
                <w:noProof/>
                <w:sz w:val="20"/>
              </w:rPr>
              <w:t xml:space="preserve"> (nieustawodawcza; 1 kwartał 2017) 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oraz zwiększenie uprawnień krajowych organów ochrony konkurencji, aby skuteczniej egzekwowały prawo </w:t>
            </w:r>
            <w:r>
              <w:rPr>
                <w:rFonts w:ascii="Times New Roman" w:hAnsi="Times New Roman"/>
                <w:noProof/>
                <w:sz w:val="20"/>
              </w:rPr>
              <w:t>(ustawodawcza/nieustawodawcza, w tym ocena skutków; 2. kwartał 2017).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</w:t>
            </w:r>
          </w:p>
        </w:tc>
      </w:tr>
      <w:tr>
        <w:trPr>
          <w:cantSplit/>
        </w:trPr>
        <w:tc>
          <w:tcPr>
            <w:tcW w:w="181" w:type="pct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Bardziej sprawiedliwe opodatkowanie przedsiębiorstw</w:t>
            </w:r>
          </w:p>
        </w:tc>
        <w:tc>
          <w:tcPr>
            <w:tcW w:w="3565" w:type="pct"/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Inicjatywa obejmuje wprowadzenie w życie planu działania dotyczącego VAT w oparciu o wnioski REFIT w sprawie docelowego systemu VAT i stawek VAT </w:t>
            </w:r>
            <w:r>
              <w:rPr>
                <w:rFonts w:ascii="Times New Roman" w:hAnsi="Times New Roman"/>
                <w:noProof/>
                <w:sz w:val="20"/>
              </w:rPr>
              <w:t>(ustawodawcza, w tym ocena skutków; art. 113 TFUE; 3. kwartał 2017)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, pakiet na rzecz lepszej współpracy administracyjnej i wprowadzenia uproszczeń zmierzający do zmniejszenia obciążeń dla przedsiębiorstw i administracji podatkowych </w:t>
            </w:r>
            <w:r>
              <w:rPr>
                <w:rFonts w:ascii="Times New Roman" w:hAnsi="Times New Roman"/>
                <w:noProof/>
                <w:sz w:val="20"/>
              </w:rPr>
              <w:t>(ustawodawcza, w tym ocena skutków; art. 113 TFUE; 4. kwartał 2017)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; wniosek dotyczący unijnego wykazu jurysdykcji państw trzecich, które nie przestrzegają standardów dobrego zarządzania dla celów podatkowych </w:t>
            </w:r>
            <w:r>
              <w:rPr>
                <w:rFonts w:ascii="Times New Roman" w:hAnsi="Times New Roman"/>
                <w:noProof/>
                <w:sz w:val="20"/>
              </w:rPr>
              <w:t>(nieustawodawcza; 3. kwartał 2017)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; oraz wprowadzenie do prawodawstwa UE umowy międzynarodowej dotyczącej erozji bazy podatkowej i przerzucania zysków (BEPS) </w:t>
            </w:r>
            <w:r>
              <w:rPr>
                <w:rFonts w:ascii="Times New Roman" w:hAnsi="Times New Roman"/>
                <w:noProof/>
                <w:sz w:val="20"/>
              </w:rPr>
              <w:t>(ustawodawcza/nieustawodawcza, w tym ocena skutków; 2. kwartał 2017).</w:t>
            </w:r>
          </w:p>
        </w:tc>
      </w:tr>
      <w:tr>
        <w:trPr>
          <w:cantSplit/>
        </w:trPr>
        <w:tc>
          <w:tcPr>
            <w:tcW w:w="181" w:type="pct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Wdrożenie Strategii kosmicznej dla Europy</w:t>
            </w:r>
          </w:p>
        </w:tc>
        <w:tc>
          <w:tcPr>
            <w:tcW w:w="3565" w:type="pct"/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Wnioski ustawodawcze dotyczące usług rządowej łączności satelitarnej </w:t>
            </w:r>
            <w:r>
              <w:rPr>
                <w:rFonts w:ascii="Times New Roman" w:hAnsi="Times New Roman"/>
                <w:noProof/>
                <w:sz w:val="20"/>
              </w:rPr>
              <w:t xml:space="preserve">(w tym ocena skutków; art. 189 TFUE; 4. kwartał 2017) </w:t>
            </w:r>
            <w:r>
              <w:rPr>
                <w:rFonts w:ascii="Times New Roman" w:hAnsi="Times New Roman"/>
                <w:b/>
                <w:noProof/>
                <w:sz w:val="20"/>
              </w:rPr>
              <w:t>oraz środki na rzecz ułatwienia wykorzystywania przez rynek danych pozyskanych w przestrzeni kosmicznej</w:t>
            </w:r>
            <w:r>
              <w:rPr>
                <w:rFonts w:ascii="Times New Roman" w:hAnsi="Times New Roman"/>
                <w:noProof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</w:rPr>
              <w:t>i usług kosmicznych</w:t>
            </w:r>
            <w:r>
              <w:rPr>
                <w:rFonts w:ascii="Times New Roman" w:hAnsi="Times New Roman"/>
                <w:noProof/>
                <w:sz w:val="20"/>
              </w:rPr>
              <w:t xml:space="preserve"> (ustawodawcza/nieustawodawcza).</w:t>
            </w:r>
          </w:p>
        </w:tc>
      </w:tr>
      <w:tr>
        <w:trPr>
          <w:cantSplit/>
        </w:trPr>
        <w:tc>
          <w:tcPr>
            <w:tcW w:w="181" w:type="pct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Wdrożenie planu działania na rzecz tworzenia unii rynków kapitałowych </w:t>
            </w:r>
          </w:p>
        </w:tc>
        <w:tc>
          <w:tcPr>
            <w:tcW w:w="3565" w:type="pct"/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Przegląd śródokresowy </w:t>
            </w:r>
            <w:r>
              <w:rPr>
                <w:rFonts w:ascii="Times New Roman" w:hAnsi="Times New Roman"/>
                <w:noProof/>
                <w:sz w:val="20"/>
              </w:rPr>
              <w:t xml:space="preserve">(nieustawodawczy; 2. kwartał 2017) 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posłuży do oceny postępów we wdrażaniu unii rynków kapitałowych oraz określenia ewentualnych dodatkowych środków niezbędnych do poprawy finansowania gospodarki. Nowe środki będą obejmować ramy na rzecz unijnego produktu z zakresu indywidualnego zabezpieczenia emerytalnego </w:t>
            </w:r>
            <w:r>
              <w:rPr>
                <w:rFonts w:ascii="Times New Roman" w:hAnsi="Times New Roman"/>
                <w:noProof/>
                <w:sz w:val="20"/>
              </w:rPr>
              <w:t>(ustawodawcza/nieustawodawcza, w tym ocena skutków; art. 114 TFUE; 2. kwartał 2017)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; rewizję, w ramach programu REFIT, rozporządzenia w sprawie infrastruktury rynku europejskiego (EMIR) </w:t>
            </w:r>
            <w:r>
              <w:rPr>
                <w:rFonts w:ascii="Times New Roman" w:hAnsi="Times New Roman"/>
                <w:noProof/>
                <w:sz w:val="20"/>
              </w:rPr>
              <w:t>(w tym ocena skutków; art. 114 TFUE; 1. kwartał 2017)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; plan działania w obszarze detalicznych usług finansowych </w:t>
            </w:r>
            <w:r>
              <w:rPr>
                <w:rFonts w:ascii="Times New Roman" w:hAnsi="Times New Roman"/>
                <w:noProof/>
                <w:sz w:val="20"/>
              </w:rPr>
              <w:t>(nieustawodawczy; 1. kwartał 2017)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oraz dodatkowe przepisy delegowane w celu ułatwienia finansowania przedsiębiorstw infrastrukturalnych przez inwestorów instytucjonalnych </w:t>
            </w:r>
            <w:r>
              <w:rPr>
                <w:rFonts w:ascii="Times New Roman" w:hAnsi="Times New Roman"/>
                <w:noProof/>
                <w:sz w:val="20"/>
              </w:rPr>
              <w:t>(w tym ocena skutków; 4. kwartał 2016).</w:t>
            </w:r>
          </w:p>
        </w:tc>
      </w:tr>
      <w:tr>
        <w:trPr>
          <w:cantSplit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>
            <w:pPr>
              <w:spacing w:before="60" w:after="6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Pogłębiona i bardziej sprawiedliwa unia gospodarcza i walutowa</w:t>
            </w:r>
          </w:p>
        </w:tc>
      </w:tr>
      <w:tr>
        <w:trPr>
          <w:cantSplit/>
        </w:trPr>
        <w:tc>
          <w:tcPr>
            <w:tcW w:w="181" w:type="pct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Silna Unia oparta na silnej unii gospodarczej i walutowej</w:t>
            </w:r>
          </w:p>
        </w:tc>
        <w:tc>
          <w:tcPr>
            <w:tcW w:w="3565" w:type="pct"/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Biała księga dotycząca przyszłości Europy </w:t>
            </w:r>
            <w:r>
              <w:rPr>
                <w:rFonts w:ascii="Times New Roman" w:hAnsi="Times New Roman"/>
                <w:noProof/>
                <w:sz w:val="20"/>
              </w:rPr>
              <w:t xml:space="preserve">(nieustawodawcza; 1. kwartał 2017) </w:t>
            </w:r>
            <w:r>
              <w:rPr>
                <w:rFonts w:ascii="Times New Roman" w:hAnsi="Times New Roman"/>
                <w:b/>
                <w:noProof/>
                <w:sz w:val="20"/>
              </w:rPr>
              <w:t>wytyczająca kierunki reformy UE złożonej z 27 państw członkowskich 60 lat po podpisaniu traktatów rzymskich; Komisja uwzględni w niej także kwestię przyszłości UGW, mając na uwadze przygotowanie 2. etapu pogłębiania UGW w nowych warunkach politycznych i demokratycznych (w tym przegląd paktu stabilności i wzrostu pod kątem stabilności oraz działania następcze w związku z art. 16 Traktatu o stabilności, koordynacji i zarządzaniu w UGW (uwzględnienie istotnej części tego traktatu w ramach prawnych UE). Inicjatywa obejmie także przegląd Europejskiego Systemu Nadzoru Finansowego (ESFS) w celu zwiększenia efektywności i skuteczności nadzoru na poziomie zarówno makro-, jak i mikroostrożnościowym</w:t>
            </w:r>
            <w:r>
              <w:rPr>
                <w:rFonts w:ascii="Times New Roman" w:hAnsi="Times New Roman"/>
                <w:noProof/>
                <w:sz w:val="20"/>
              </w:rPr>
              <w:t>.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</w:t>
            </w:r>
          </w:p>
        </w:tc>
      </w:tr>
      <w:tr>
        <w:trPr>
          <w:cantSplit/>
        </w:trPr>
        <w:tc>
          <w:tcPr>
            <w:tcW w:w="181" w:type="pct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Europejski filar praw socjalnych</w:t>
            </w:r>
          </w:p>
        </w:tc>
        <w:tc>
          <w:tcPr>
            <w:tcW w:w="3565" w:type="pct"/>
          </w:tcPr>
          <w:p>
            <w:pPr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Po konsultacjach społecznych w ramach inicjatywy przedstawiony zostanie wniosek dotyczący filara praw socjalnych </w:t>
            </w:r>
            <w:r>
              <w:rPr>
                <w:rFonts w:ascii="Times New Roman" w:hAnsi="Times New Roman"/>
                <w:noProof/>
                <w:sz w:val="20"/>
              </w:rPr>
              <w:t>(1. kwartał 2017)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oraz powiązane inicjatywy, takie jak np. inicjatywy mające ułatwić sprostanie wyzwaniom związanym z zachowaniem równowagi między pracą a życiem prywatnym w pracujących rodzinach </w:t>
            </w:r>
            <w:r>
              <w:rPr>
                <w:rFonts w:ascii="Times New Roman" w:hAnsi="Times New Roman"/>
                <w:noProof/>
                <w:sz w:val="20"/>
              </w:rPr>
              <w:t>(ustawodawcza/nieustawodawcza, w tym ocena skutków; art. 153/ 157 TFUE,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w sprawie dostępu do ochrony socjalnej </w:t>
            </w:r>
            <w:r>
              <w:rPr>
                <w:rFonts w:ascii="Times New Roman" w:hAnsi="Times New Roman"/>
                <w:noProof/>
                <w:sz w:val="20"/>
              </w:rPr>
              <w:t>(ustawodawcza/nieustawodawcza, w tym ocena skutków; art. 153/ 292),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oraz wdrożenie dyrektywy w sprawie czasu pracy </w:t>
            </w:r>
            <w:r>
              <w:rPr>
                <w:rFonts w:ascii="Times New Roman" w:hAnsi="Times New Roman"/>
                <w:noProof/>
                <w:sz w:val="20"/>
              </w:rPr>
              <w:t>(nieustawodawcza)</w:t>
            </w:r>
            <w:r>
              <w:rPr>
                <w:rFonts w:ascii="Times New Roman" w:hAnsi="Times New Roman"/>
                <w:b/>
                <w:noProof/>
                <w:sz w:val="20"/>
              </w:rPr>
              <w:t>, a także rewizja, w ramach programu REFIT, dyrektywy w sprawie obowiązku pracodawcy dotyczącego informowania pracowników w celu wprowadzenia obowiązku pracodawcy</w:t>
            </w:r>
            <w:r>
              <w:rPr>
                <w:rFonts w:ascii="Times New Roman" w:hAnsi="Times New Roman"/>
                <w:b/>
                <w:noProof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dotyczącego informowania pracowników o warunkach stosowanych do umowy lub stosunku pracy </w:t>
            </w:r>
            <w:r>
              <w:rPr>
                <w:rFonts w:ascii="Times New Roman" w:hAnsi="Times New Roman"/>
                <w:noProof/>
                <w:sz w:val="20"/>
              </w:rPr>
              <w:t>(ustawodawcza, w tym ocena skutków; art. 153 ust. 1 lit. b) /art. 154 TFUE.</w:t>
            </w:r>
          </w:p>
        </w:tc>
      </w:tr>
      <w:tr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keepNext/>
              <w:spacing w:before="60" w:after="6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Handel: rozsądna i wyważona umowa o wolnym handlu ze Stanami Zjednoczonymi</w:t>
            </w:r>
          </w:p>
        </w:tc>
      </w:tr>
      <w:tr>
        <w:trPr>
          <w:cantSplit/>
        </w:trPr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tcBorders>
              <w:bottom w:val="single" w:sz="4" w:space="0" w:color="auto"/>
            </w:tcBorders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Wdrożenie strategii „Handel dla wszystkich”</w:t>
            </w:r>
          </w:p>
        </w:tc>
        <w:tc>
          <w:tcPr>
            <w:tcW w:w="3565" w:type="pct"/>
            <w:tcBorders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Równolegle z prowadzeniem i finalizowaniem rokowań dwustronnych (np. z Japonią) oraz rozpoczęciem nowych rokowań z Australią </w:t>
            </w:r>
            <w:r>
              <w:rPr>
                <w:rFonts w:ascii="Times New Roman" w:hAnsi="Times New Roman"/>
                <w:noProof/>
                <w:sz w:val="20"/>
              </w:rPr>
              <w:t>(w tym ocena skutków; 1. kwartał 2017)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, Chile </w:t>
            </w:r>
            <w:r>
              <w:rPr>
                <w:rFonts w:ascii="Times New Roman" w:hAnsi="Times New Roman"/>
                <w:noProof/>
                <w:sz w:val="20"/>
              </w:rPr>
              <w:t xml:space="preserve">(w tym ocena skutków; 2. kwartał 2017) 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i Nową Zelandią </w:t>
            </w:r>
            <w:r>
              <w:rPr>
                <w:rFonts w:ascii="Times New Roman" w:hAnsi="Times New Roman"/>
                <w:noProof/>
                <w:sz w:val="20"/>
              </w:rPr>
              <w:t xml:space="preserve">(w tym ocena skutków; 1. kwartał 2017) 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dotyczących umów o wolnym handlu; inicjatywa ta obejmuje dalsze wzmocnienie unijnych instrumentów ochrony handlu, czemu ma służyć wniosek w sprawie zmiany unijnych przepisów antydumpingowych </w:t>
            </w:r>
            <w:r>
              <w:rPr>
                <w:rFonts w:ascii="Times New Roman" w:hAnsi="Times New Roman"/>
                <w:noProof/>
                <w:sz w:val="20"/>
              </w:rPr>
              <w:t>(w tym ocena skutków; 4. kwartał 2016),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zgodnie z komunikatem Komisji z dnia 18 października 2016 r</w:t>
            </w:r>
            <w:r>
              <w:rPr>
                <w:rFonts w:ascii="Times New Roman" w:hAnsi="Times New Roman"/>
                <w:noProof/>
                <w:sz w:val="20"/>
              </w:rPr>
              <w:t>.</w:t>
            </w:r>
          </w:p>
        </w:tc>
      </w:tr>
      <w:tr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spacing w:before="60" w:after="6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Obszar sprawiedliwości i przestrzegania praw podstawowych, którego podstawą jest wzajemne zaufanie</w:t>
            </w:r>
          </w:p>
        </w:tc>
      </w:tr>
      <w:tr>
        <w:trPr>
          <w:cantSplit/>
        </w:trPr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tcBorders>
              <w:bottom w:val="single" w:sz="4" w:space="0" w:color="auto"/>
            </w:tcBorders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Pakiet dotyczący ochrony danych</w:t>
            </w:r>
          </w:p>
        </w:tc>
        <w:tc>
          <w:tcPr>
            <w:tcW w:w="3565" w:type="pct"/>
            <w:tcBorders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Pakiet </w:t>
            </w:r>
            <w:r>
              <w:rPr>
                <w:rFonts w:ascii="Times New Roman" w:hAnsi="Times New Roman"/>
                <w:noProof/>
                <w:sz w:val="20"/>
              </w:rPr>
              <w:t xml:space="preserve">(1. kwartał 2017) 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będzie obejmował dostosowanie przepisów o ochronie danych osobowych przetwarzanych przez instytucje UE do nowych ogólnych przepisów o ochronie danych </w:t>
            </w:r>
            <w:r>
              <w:rPr>
                <w:rFonts w:ascii="Times New Roman" w:hAnsi="Times New Roman"/>
                <w:noProof/>
                <w:sz w:val="20"/>
              </w:rPr>
              <w:t>(ustawodawcza; art. 16 TFUE)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, rewizję, w ramach programu REFIT, dyrektywy o prywatności i łączności elektronicznej </w:t>
            </w:r>
            <w:r>
              <w:rPr>
                <w:rFonts w:ascii="Times New Roman" w:hAnsi="Times New Roman"/>
                <w:noProof/>
                <w:sz w:val="20"/>
              </w:rPr>
              <w:t xml:space="preserve">(w tym ocena skutków; art. 114/16 TFUE), </w:t>
            </w:r>
            <w:r>
              <w:rPr>
                <w:rFonts w:ascii="Times New Roman" w:hAnsi="Times New Roman"/>
                <w:b/>
                <w:noProof/>
                <w:sz w:val="20"/>
              </w:rPr>
              <w:t>a także ramy dotyczące decyzji w sprawie odpowiedniej ochrony danych osobowych przy wymianie tych danych z państwami trzecimi</w:t>
            </w:r>
            <w:r>
              <w:rPr>
                <w:rFonts w:ascii="Times New Roman" w:hAnsi="Times New Roman"/>
                <w:noProof/>
                <w:sz w:val="20"/>
              </w:rPr>
              <w:t>.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</w:t>
            </w:r>
          </w:p>
        </w:tc>
      </w:tr>
      <w:tr>
        <w:trPr>
          <w:cantSplit/>
        </w:trPr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tcBorders>
              <w:bottom w:val="single" w:sz="4" w:space="0" w:color="auto"/>
            </w:tcBorders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Postępy w kierunku skutecznej i rzeczywistej unii bezpieczeństwa</w:t>
            </w:r>
          </w:p>
        </w:tc>
        <w:tc>
          <w:tcPr>
            <w:tcW w:w="3565" w:type="pct"/>
            <w:tcBorders>
              <w:bottom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Wdrożenie planu na rzecz utworzenia unii bezpieczeństwa oraz planu działania na rzecz zwalczania finansowania terroryzmu, z wnioskami dotyczącymi </w:t>
            </w: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 xml:space="preserve">harmonizacji definicji przestępstw związanych z praniem pieniędzy i kar za ich popełnienie 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(ustawodawcza; art. 83 TFUE; 4. kwartał 2016)</w:t>
            </w: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 xml:space="preserve">, zwiększenia wzajemnego uznawania zamrażania mienia pochodzącego z działalności przestępczej oraz nakazów konfiskaty 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(ustawodawcza, w tym ocena skutków; art. 82 TFUE; 4. kwartał 2016)</w:t>
            </w: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 xml:space="preserve"> walki z nielegalnym przepływem środków pieniężnych 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(ustawodawcza, w tym ocena skutków; art. 33/114 TFUE; 4. kwartał 2016)</w:t>
            </w: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 xml:space="preserve"> oraz walki z nielegalnym handlem dobrami kultury 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(ustawodawcza, w tym ocena skutków; art. 207 TFUE; 4. kwartał 2016).</w:t>
            </w: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 xml:space="preserve"> Inicjatywa ta obejmuje także wniosek dotyczący europejskiego systemu informacji o podróży oraz zezwoleń na podróż </w:t>
            </w:r>
            <w:r>
              <w:rPr>
                <w:rFonts w:ascii="Times New Roman" w:hAnsi="Times New Roman"/>
                <w:b/>
                <w:noProof/>
                <w:sz w:val="20"/>
              </w:rPr>
              <w:t>(ETIAS)</w:t>
            </w:r>
            <w:r>
              <w:rPr>
                <w:rFonts w:ascii="Times New Roman" w:hAnsi="Times New Roman"/>
                <w:noProof/>
                <w:sz w:val="20"/>
              </w:rPr>
              <w:t xml:space="preserve"> (ustawodawcza; 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 xml:space="preserve">art. 77 ust. 2 lit. b) oraz lit. d) TFUE; </w:t>
            </w:r>
            <w:r>
              <w:rPr>
                <w:rFonts w:ascii="Times New Roman" w:hAnsi="Times New Roman"/>
                <w:noProof/>
                <w:sz w:val="20"/>
              </w:rPr>
              <w:t>4. kwartał 2016)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, a także działania, które zostaną podjęte w następstwie prac </w:t>
            </w: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grupy wysokiego szczebla ds. systemów informacyjnych i interoperacyjności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.</w:t>
            </w:r>
            <w:r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</w:tc>
      </w:tr>
      <w:tr>
        <w:trPr>
          <w:cantSplit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>
            <w:pPr>
              <w:spacing w:before="60" w:after="60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W kierunku nowej polityki w dziedzinie migracji</w:t>
            </w:r>
          </w:p>
        </w:tc>
      </w:tr>
      <w:tr>
        <w:trPr>
          <w:cantSplit/>
        </w:trPr>
        <w:tc>
          <w:tcPr>
            <w:tcW w:w="181" w:type="pct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Realizacja Europejskiego programu w zakresie migracji</w:t>
            </w:r>
          </w:p>
        </w:tc>
        <w:tc>
          <w:tcPr>
            <w:tcW w:w="3565" w:type="pct"/>
          </w:tcPr>
          <w:p>
            <w:pPr>
              <w:keepNext/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Przegląd śródokresowy Europejskiego programu w zakresie migracji, konsolidacja i podsumowanie horyzontalne prac w różnych dziedzinach, w tym wdrożenie nowych ram partnerstwa w dziedzinie migracji z państwami trzecimi</w:t>
            </w:r>
            <w:r>
              <w:rPr>
                <w:rFonts w:ascii="Times New Roman" w:hAnsi="Times New Roman"/>
                <w:noProof/>
                <w:sz w:val="20"/>
              </w:rPr>
              <w:t>.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</w:t>
            </w:r>
          </w:p>
        </w:tc>
      </w:tr>
      <w:tr>
        <w:trPr>
          <w:cantSplit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>
            <w:pPr>
              <w:keepNext/>
              <w:spacing w:before="60" w:after="60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Silniejsza pozycja na arenie międzynarodowej</w:t>
            </w:r>
          </w:p>
        </w:tc>
      </w:tr>
      <w:tr>
        <w:trPr>
          <w:cantSplit/>
        </w:trPr>
        <w:tc>
          <w:tcPr>
            <w:tcW w:w="181" w:type="pct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Wdrożenie europejskiego planu działań w sektorze obrony</w:t>
            </w:r>
          </w:p>
        </w:tc>
        <w:tc>
          <w:tcPr>
            <w:tcW w:w="3565" w:type="pct"/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Obejmuje wniosek dotyczący Europejskiego Funduszu Obronnego oraz środki w celu poprawy wykorzystania i efektywności przepisów dotyczących zamówień publicznych</w:t>
            </w:r>
            <w:r>
              <w:rPr>
                <w:rFonts w:ascii="Times New Roman" w:hAnsi="Times New Roman"/>
                <w:noProof/>
                <w:sz w:val="20"/>
              </w:rPr>
              <w:t xml:space="preserve"> (ustawodawcza/nieustawodawcza).</w:t>
            </w:r>
          </w:p>
        </w:tc>
      </w:tr>
      <w:tr>
        <w:trPr>
          <w:cantSplit/>
        </w:trPr>
        <w:tc>
          <w:tcPr>
            <w:tcW w:w="181" w:type="pct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Wdrożenie globalnej strategii na rzecz polityki zagranicznej i bezpieczeństwa Unii Europejskiej</w:t>
            </w:r>
          </w:p>
        </w:tc>
        <w:tc>
          <w:tcPr>
            <w:tcW w:w="3565" w:type="pct"/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W tym w szczególności działania w celu wspierania odporności państw, gospodarek, środowiska (klimatu) i społeczeństw w państwach trzecich, szczególnie w państwach sąsiadujących z UE oraz w szerzej rozumianych regionach ościennych </w:t>
            </w:r>
            <w:r>
              <w:rPr>
                <w:rFonts w:ascii="Times New Roman" w:hAnsi="Times New Roman"/>
                <w:noProof/>
                <w:sz w:val="20"/>
              </w:rPr>
              <w:t>(nieustawodawcza).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</w:t>
            </w:r>
          </w:p>
        </w:tc>
      </w:tr>
      <w:tr>
        <w:trPr>
          <w:cantSplit/>
        </w:trPr>
        <w:tc>
          <w:tcPr>
            <w:tcW w:w="181" w:type="pct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Strategia UE dotycząca Syrii</w:t>
            </w:r>
          </w:p>
        </w:tc>
        <w:tc>
          <w:tcPr>
            <w:tcW w:w="3565" w:type="pct"/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W strategii tej określone zostanie, jak UE może pomóc w odbudowie pokojowego i stabilnego narodu syryjskiego oraz pluralistycznego i tolerancyjnego społeczeństwa obywatelskiego w Syrii </w:t>
            </w:r>
            <w:r>
              <w:rPr>
                <w:rFonts w:ascii="Times New Roman" w:hAnsi="Times New Roman"/>
                <w:noProof/>
                <w:sz w:val="20"/>
              </w:rPr>
              <w:t>(nieustawodawcza; 1. kwartał 2017).</w:t>
            </w:r>
          </w:p>
        </w:tc>
      </w:tr>
      <w:tr>
        <w:trPr>
          <w:cantSplit/>
        </w:trPr>
        <w:tc>
          <w:tcPr>
            <w:tcW w:w="181" w:type="pct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Partnerstwo Afryka–UE: nowy impuls</w:t>
            </w:r>
          </w:p>
        </w:tc>
        <w:tc>
          <w:tcPr>
            <w:tcW w:w="3565" w:type="pct"/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 xml:space="preserve">W inicjatywie tej określone zostaną strategiczne cele i priorytety UE w jej stosunkach z Afryką 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(nieustawodawcza; 2. kwartał 2017).</w:t>
            </w:r>
            <w:r>
              <w:rPr>
                <w:rFonts w:ascii="Times New Roman" w:hAnsi="Times New Roman"/>
                <w:b/>
                <w:noProof/>
                <w:sz w:val="20"/>
                <w:highlight w:val="yellow"/>
              </w:rPr>
              <w:t xml:space="preserve"> </w:t>
            </w:r>
          </w:p>
        </w:tc>
      </w:tr>
      <w:tr>
        <w:trPr>
          <w:cantSplit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>
            <w:pPr>
              <w:spacing w:before="60" w:after="6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Unia demokratycznych zmian</w:t>
            </w:r>
          </w:p>
        </w:tc>
      </w:tr>
      <w:tr>
        <w:trPr>
          <w:cantSplit/>
        </w:trPr>
        <w:tc>
          <w:tcPr>
            <w:tcW w:w="181" w:type="pct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Modernizacja procedur komitetowych </w:t>
            </w:r>
          </w:p>
        </w:tc>
        <w:tc>
          <w:tcPr>
            <w:tcW w:w="3565" w:type="pct"/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Wnioski w sprawie dostosowania przepisów dotyczących prawodawstwa wtórnego do zaktualizowanych reguł traktatowych </w:t>
            </w:r>
            <w:r>
              <w:rPr>
                <w:rFonts w:ascii="Times New Roman" w:hAnsi="Times New Roman"/>
                <w:noProof/>
                <w:sz w:val="20"/>
              </w:rPr>
              <w:t>(ustawodawcza; 1. kwartał 2017)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; oraz ocena legitymacji demokratycznej w przypadku istniejących procedur przyjmowania aktów delegowanych i wykonawczych </w:t>
            </w:r>
            <w:r>
              <w:rPr>
                <w:rFonts w:ascii="Times New Roman" w:hAnsi="Times New Roman"/>
                <w:noProof/>
                <w:sz w:val="20"/>
              </w:rPr>
              <w:t>(nieustawodawcza; 1. kwartał 2017).</w:t>
            </w:r>
          </w:p>
        </w:tc>
      </w:tr>
      <w:tr>
        <w:trPr>
          <w:cantSplit/>
        </w:trPr>
        <w:tc>
          <w:tcPr>
            <w:tcW w:w="181" w:type="pct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Bardziej strategiczne podejście do egzekwowania prawa Unii</w:t>
            </w:r>
          </w:p>
        </w:tc>
        <w:tc>
          <w:tcPr>
            <w:tcW w:w="3565" w:type="pct"/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Środki w celu zintensyfikowania działań na rzecz zapewnienia stosowania, wdrażania i egzekwowania prawa UE </w:t>
            </w:r>
            <w:r>
              <w:rPr>
                <w:rFonts w:ascii="Times New Roman" w:hAnsi="Times New Roman"/>
                <w:noProof/>
                <w:sz w:val="20"/>
              </w:rPr>
              <w:t>(nieustawodawcza; 4 kwartał 2016),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zgodnie z priorytetami Komisji; konkretne wnioski w celu zapewnienia lepszego egzekwowania przepisów dotyczących jednolitego rynku </w:t>
            </w:r>
            <w:r>
              <w:rPr>
                <w:rFonts w:ascii="Times New Roman" w:hAnsi="Times New Roman"/>
                <w:noProof/>
                <w:sz w:val="20"/>
              </w:rPr>
              <w:t xml:space="preserve">(zob. pkt 6 powyżej), 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a także inicjatywy w ramach programu REFIT w celu zapewnienia prawidłowego wdrożenia i egzekwowania przepisów o ochronie środowiska, w tym zapewnienia przestrzegania przepisów w zakresie ochrony środowiska </w:t>
            </w:r>
            <w:r>
              <w:rPr>
                <w:rFonts w:ascii="Times New Roman" w:hAnsi="Times New Roman"/>
                <w:noProof/>
                <w:sz w:val="20"/>
              </w:rPr>
              <w:t>(nieustawodawcza; 3. kwartał 2017)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, dostęp do wymiaru sprawiedliwości </w:t>
            </w:r>
            <w:r>
              <w:rPr>
                <w:rFonts w:ascii="Times New Roman" w:hAnsi="Times New Roman"/>
                <w:noProof/>
                <w:sz w:val="20"/>
              </w:rPr>
              <w:t>(nieustawodawcza; 1. kwartał 2017)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oraz monitorowanie, przejrzystość i sprawozdawczość </w:t>
            </w:r>
            <w:r>
              <w:rPr>
                <w:rFonts w:ascii="Times New Roman" w:hAnsi="Times New Roman"/>
                <w:noProof/>
                <w:sz w:val="20"/>
              </w:rPr>
              <w:t>(ustawodawcza/nieustawodawcza; 2. kwartał 2017).</w:t>
            </w:r>
          </w:p>
        </w:tc>
      </w:tr>
    </w:tbl>
    <w:p>
      <w:pPr>
        <w:spacing w:after="600"/>
        <w:jc w:val="center"/>
        <w:outlineLvl w:val="0"/>
        <w:rPr>
          <w:noProof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575073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 xml:space="preserve"> W niniejszym załączniku Komisja przedstawia dalsze informacje, o ile są one dostępne, na temat inicjatyw ujętych w programie prac, zgodnie z Porozumieniem międzyinstytucjonalnym w sprawie lepszego stanowienia prawa. Informacje podane w nawiasach pod opisem każdej inicjatywy mają charakter jedynie orientacyjny i mogą ulec zmianie w procesie przygotowawczym, szczególnie z uwagi na wynik procesu oceny skutków.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7A2"/>
    <w:multiLevelType w:val="hybridMultilevel"/>
    <w:tmpl w:val="DC52E516"/>
    <w:lvl w:ilvl="0" w:tplc="50041C60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D369E"/>
    <w:multiLevelType w:val="hybridMultilevel"/>
    <w:tmpl w:val="02CA5520"/>
    <w:lvl w:ilvl="0" w:tplc="FD7E75A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E45813"/>
    <w:multiLevelType w:val="hybridMultilevel"/>
    <w:tmpl w:val="2C16C1E6"/>
    <w:lvl w:ilvl="0" w:tplc="50041C60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revisionView w:markup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do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55DB72D4ED594E80BAB643801E97EEF2"/>
    <w:docVar w:name="LW_CROSSREFERENCE" w:val="{SWD(2016) 400 final}"/>
    <w:docVar w:name="LW_DocType" w:val="NORMAL"/>
    <w:docVar w:name="LW_EMISSION" w:val="25.10.2016"/>
    <w:docVar w:name="LW_EMISSION_ISODATE" w:val="2016-10-25"/>
    <w:docVar w:name="LW_EMISSION_LOCATION" w:val="STR"/>
    <w:docVar w:name="LW_EMISSION_PREFIX" w:val="Strasburg, dnia "/>
    <w:docVar w:name="LW_EMISSION_SUFFIX" w:val=" r."/>
    <w:docVar w:name="LW_ID_DOCTYPE_NONLW" w:val="CP-039"/>
    <w:docVar w:name="LW_LANGUE" w:val="PL"/>
    <w:docVar w:name="LW_MARKING" w:val="&lt;UNUSED&gt;"/>
    <w:docVar w:name="LW_NOM.INST" w:val="KOMISJA EUROPEJSKA"/>
    <w:docVar w:name="LW_NOM.INST_JOINTDOC" w:val="&lt;EMPTY&gt;"/>
    <w:docVar w:name="LW_OBJETACTEPRINCIPAL.CP" w:val="_x000b_Program prac Komisji na rok 2017_x000b__x000b_Na rzecz Europy, która chroni, wspiera i broni"/>
    <w:docVar w:name="LW_PART_NBR" w:val="1"/>
    <w:docVar w:name="LW_PART_NBR_TOTAL" w:val="1"/>
    <w:docVar w:name="LW_REF.INST.NEW" w:val="COM"/>
    <w:docVar w:name="LW_REF.INST.NEW_ADOPTED" w:val="final"/>
    <w:docVar w:name="LW_REF.INST.NEW_TEXT" w:val="(2016) 710"/>
    <w:docVar w:name="LW_REF.INTERNE" w:val="&lt;UNUSED&gt;"/>
    <w:docVar w:name="LW_SUPERTITRE" w:val="&lt;UNUSED&gt;"/>
    <w:docVar w:name="LW_TITRE.OBJ.CP" w:val="&lt;UNUSED&gt;"/>
    <w:docVar w:name="LW_TYPE.DOC.CP" w:val="ZA\u321?\u260?CZNIK_x000b_"/>
    <w:docVar w:name="LW_TYPEACTEPRINCIPAL.CP" w:val="KOMUNIKATU KOMISJI DO PARLAMENTU EUROPEJSKIEGO, RADY, EUROPEJSKIEGO KOMITETU EKONOMICZNO-SPO\u321?ECZNEGO ORAZ KOMITETU REGIONÓW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,Fußnote"/>
    <w:basedOn w:val="Normal"/>
    <w:link w:val="FootnoteTextChar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aliases w:val="Footnote Reference Superscript,Footnote symbol,Footnote reference number,note TESI,SUPERS,EN Footnote Reference,Voetnootverwijzing,Times 10 Point,Exposant 3 Point,Appel note de bas de p,BVI fnr,Ref,de nota al pie,EN Footnote text,num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  <w:outlineLvl w:val="0"/>
    </w:pPr>
    <w:rPr>
      <w:rFonts w:ascii="Times New Roman" w:hAnsi="Times New Roman"/>
      <w:noProof/>
      <w:sz w:val="24"/>
      <w:szCs w:val="28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Calibri" w:hAnsi="Times New Roman" w:cs="Times New Roman"/>
      <w:noProof/>
      <w:sz w:val="24"/>
      <w:szCs w:val="28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  <w:outlineLvl w:val="0"/>
    </w:pPr>
    <w:rPr>
      <w:rFonts w:ascii="Times New Roman" w:hAnsi="Times New Roman"/>
      <w:noProof/>
      <w:sz w:val="24"/>
      <w:szCs w:val="28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Calibri" w:hAnsi="Times New Roman" w:cs="Times New Roman"/>
      <w:noProof/>
      <w:sz w:val="24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,Fußnote"/>
    <w:basedOn w:val="Normal"/>
    <w:link w:val="FootnoteTextChar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aliases w:val="Footnote Reference Superscript,Footnote symbol,Footnote reference number,note TESI,SUPERS,EN Footnote Reference,Voetnootverwijzing,Times 10 Point,Exposant 3 Point,Appel note de bas de p,BVI fnr,Ref,de nota al pie,EN Footnote text,num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  <w:outlineLvl w:val="0"/>
    </w:pPr>
    <w:rPr>
      <w:rFonts w:ascii="Times New Roman" w:hAnsi="Times New Roman"/>
      <w:noProof/>
      <w:sz w:val="24"/>
      <w:szCs w:val="28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Calibri" w:hAnsi="Times New Roman" w:cs="Times New Roman"/>
      <w:noProof/>
      <w:sz w:val="24"/>
      <w:szCs w:val="28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  <w:outlineLvl w:val="0"/>
    </w:pPr>
    <w:rPr>
      <w:rFonts w:ascii="Times New Roman" w:hAnsi="Times New Roman"/>
      <w:noProof/>
      <w:sz w:val="24"/>
      <w:szCs w:val="28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Calibri" w:hAnsi="Times New Roman" w:cs="Times New Roman"/>
      <w:noProof/>
      <w:sz w:val="24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BCA0-6677-4579-8849-2B6DD714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1649</Words>
  <Characters>11267</Characters>
  <Application>Microsoft Office Word</Application>
  <DocSecurity>0</DocSecurity>
  <Lines>190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David (SG)</dc:creator>
  <cp:lastModifiedBy>DIGIT/A3</cp:lastModifiedBy>
  <cp:revision>17</cp:revision>
  <cp:lastPrinted>2016-10-24T19:22:00Z</cp:lastPrinted>
  <dcterms:created xsi:type="dcterms:W3CDTF">2016-10-25T06:07:00Z</dcterms:created>
  <dcterms:modified xsi:type="dcterms:W3CDTF">2016-11-07T08:57:00Z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1</vt:lpwstr>
  </property>
  <property fmtid="{D5CDD505-2E9C-101B-9397-08002B2CF9AE}" pid="3" name="Last annex">
    <vt:lpwstr>1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Classification">
    <vt:lpwstr> </vt:lpwstr>
  </property>
  <property fmtid="{D5CDD505-2E9C-101B-9397-08002B2CF9AE}" pid="7" name="DocStatus">
    <vt:lpwstr>Green</vt:lpwstr>
  </property>
</Properties>
</file>