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8B6E563D9D94A04928A0CD90AF03BF6" style="width:450.5pt;height:4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480"/>
        <w:jc w:val="center"/>
        <w:outlineLvl w:val="0"/>
        <w:rPr>
          <w:rFonts w:ascii="Times New Roman" w:hAnsi="Times New Roman"/>
          <w:b/>
          <w:i/>
          <w:noProof/>
          <w:sz w:val="20"/>
          <w:szCs w:val="20"/>
          <w:highlight w:val="yellow"/>
          <w:u w:val="single"/>
        </w:rPr>
      </w:pPr>
      <w:bookmarkStart w:id="1" w:name="_GoBack"/>
      <w:bookmarkEnd w:id="1"/>
      <w:r>
        <w:rPr>
          <w:rFonts w:ascii="Times New Roman" w:hAnsi="Times New Roman"/>
          <w:b/>
          <w:noProof/>
          <w:sz w:val="28"/>
          <w:u w:val="single"/>
        </w:rPr>
        <w:lastRenderedPageBreak/>
        <w:t>Priloga I: nove pobude</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11"/>
        <w:gridCol w:w="3541"/>
        <w:gridCol w:w="10068"/>
      </w:tblGrid>
      <w:tr>
        <w:trPr>
          <w:cantSplit/>
          <w:tblHeader/>
        </w:trPr>
        <w:tc>
          <w:tcPr>
            <w:tcW w:w="181"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Št.</w:t>
            </w:r>
          </w:p>
        </w:tc>
        <w:tc>
          <w:tcPr>
            <w:tcW w:w="1254"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Naslov</w:t>
            </w:r>
          </w:p>
        </w:tc>
        <w:tc>
          <w:tcPr>
            <w:tcW w:w="3565"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Opis</w:t>
            </w:r>
            <w:r>
              <w:rPr>
                <w:rStyle w:val="FootnoteReference"/>
                <w:rFonts w:ascii="Times New Roman" w:hAnsi="Times New Roman"/>
                <w:b/>
                <w:noProof/>
                <w:sz w:val="20"/>
              </w:rPr>
              <w:footnoteReference w:id="2"/>
            </w:r>
            <w:r>
              <w:rPr>
                <w:rFonts w:ascii="Times New Roman" w:hAnsi="Times New Roman"/>
                <w:b/>
                <w:noProof/>
                <w:sz w:val="20"/>
              </w:rPr>
              <w:t xml:space="preserve"> </w:t>
            </w:r>
          </w:p>
        </w:tc>
      </w:tr>
      <w:tr>
        <w:trPr>
          <w:cantSplit/>
        </w:trPr>
        <w:tc>
          <w:tcPr>
            <w:tcW w:w="5000" w:type="pct"/>
            <w:gridSpan w:val="3"/>
            <w:tcBorders>
              <w:top w:val="single" w:sz="4" w:space="0" w:color="auto"/>
              <w:left w:val="single" w:sz="4" w:space="0" w:color="auto"/>
              <w:bottom w:val="single" w:sz="4" w:space="0" w:color="auto"/>
            </w:tcBorders>
            <w:shd w:val="clear" w:color="auto" w:fill="F2F2F2" w:themeFill="background1" w:themeFillShade="F2"/>
          </w:tcPr>
          <w:p>
            <w:pPr>
              <w:spacing w:before="60" w:after="60"/>
              <w:rPr>
                <w:rFonts w:ascii="Times New Roman" w:hAnsi="Times New Roman"/>
                <w:b/>
                <w:noProof/>
                <w:sz w:val="20"/>
                <w:szCs w:val="20"/>
              </w:rPr>
            </w:pPr>
            <w:r>
              <w:rPr>
                <w:rFonts w:ascii="Times New Roman" w:hAnsi="Times New Roman"/>
                <w:b/>
                <w:noProof/>
                <w:sz w:val="20"/>
              </w:rPr>
              <w:t>Nova spodbuda za delovna mesta, rast in naložbe</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top w:val="single" w:sz="4" w:space="0" w:color="auto"/>
              <w:left w:val="single" w:sz="4" w:space="0" w:color="auto"/>
              <w:bottom w:val="single" w:sz="4" w:space="0" w:color="auto"/>
              <w:right w:val="single" w:sz="4" w:space="0" w:color="auto"/>
            </w:tcBorders>
          </w:tcPr>
          <w:p>
            <w:pPr>
              <w:spacing w:after="0"/>
              <w:rPr>
                <w:rFonts w:ascii="Times New Roman" w:hAnsi="Times New Roman"/>
                <w:b/>
                <w:noProof/>
                <w:sz w:val="20"/>
                <w:szCs w:val="20"/>
              </w:rPr>
            </w:pPr>
            <w:r>
              <w:rPr>
                <w:rFonts w:ascii="Times New Roman" w:hAnsi="Times New Roman"/>
                <w:b/>
                <w:noProof/>
                <w:sz w:val="20"/>
              </w:rPr>
              <w:t>Pobuda za mlade</w:t>
            </w:r>
          </w:p>
          <w:p>
            <w:pPr>
              <w:spacing w:after="0"/>
              <w:rPr>
                <w:rFonts w:ascii="Times New Roman" w:hAnsi="Times New Roman"/>
                <w:b/>
                <w:noProof/>
                <w:sz w:val="20"/>
                <w:szCs w:val="20"/>
              </w:rPr>
            </w:pPr>
          </w:p>
        </w:tc>
        <w:tc>
          <w:tcPr>
            <w:tcW w:w="3565" w:type="pct"/>
            <w:tcBorders>
              <w:top w:val="single" w:sz="4" w:space="0" w:color="auto"/>
              <w:left w:val="single" w:sz="4" w:space="0" w:color="auto"/>
              <w:bottom w:val="single" w:sz="4" w:space="0" w:color="auto"/>
            </w:tcBorders>
          </w:tcPr>
          <w:p>
            <w:pPr>
              <w:spacing w:after="0"/>
              <w:jc w:val="both"/>
              <w:rPr>
                <w:rFonts w:ascii="Times New Roman" w:hAnsi="Times New Roman"/>
                <w:b/>
                <w:noProof/>
                <w:sz w:val="20"/>
                <w:szCs w:val="20"/>
              </w:rPr>
            </w:pPr>
            <w:r>
              <w:rPr>
                <w:rFonts w:ascii="Times New Roman" w:hAnsi="Times New Roman"/>
                <w:b/>
                <w:noProof/>
                <w:sz w:val="20"/>
              </w:rPr>
              <w:t>Pobuda vključuje predlog za ustanovitev evropske solidarnostne enote</w:t>
            </w:r>
            <w:r>
              <w:rPr>
                <w:noProof/>
              </w:rPr>
              <w:t xml:space="preserve"> </w:t>
            </w:r>
            <w:r>
              <w:rPr>
                <w:rFonts w:ascii="Times New Roman" w:hAnsi="Times New Roman"/>
                <w:noProof/>
                <w:sz w:val="20"/>
              </w:rPr>
              <w:t>(zakonodajna/nezakonodajna pobuda)</w:t>
            </w:r>
            <w:r>
              <w:rPr>
                <w:noProof/>
              </w:rPr>
              <w:t xml:space="preserve"> </w:t>
            </w:r>
            <w:r>
              <w:rPr>
                <w:rFonts w:ascii="Times New Roman" w:hAnsi="Times New Roman"/>
                <w:b/>
                <w:noProof/>
                <w:sz w:val="20"/>
              </w:rPr>
              <w:t>in prednostne ukrepe za izvajanje vidikov programa znanj in spretnosti, ki se nanašajo na mlade, vključno z okvirom za kakovost vajeništev in predlogom za večjo mobilnost vajencev</w:t>
            </w:r>
            <w:r>
              <w:rPr>
                <w:noProof/>
              </w:rPr>
              <w:t xml:space="preserve"> </w:t>
            </w:r>
            <w:r>
              <w:rPr>
                <w:rFonts w:ascii="Times New Roman" w:hAnsi="Times New Roman"/>
                <w:noProof/>
                <w:sz w:val="20"/>
              </w:rPr>
              <w:t>(zakonodajna pobuda)</w:t>
            </w:r>
            <w:r>
              <w:rPr>
                <w:rFonts w:ascii="Times New Roman" w:hAnsi="Times New Roman"/>
                <w:b/>
                <w:noProof/>
                <w:sz w:val="20"/>
              </w:rPr>
              <w:t>; predlog za posodobitev šolstva in visokošolskega izobraževanja</w:t>
            </w:r>
            <w:r>
              <w:rPr>
                <w:rFonts w:ascii="Times New Roman" w:hAnsi="Times New Roman"/>
                <w:noProof/>
                <w:sz w:val="20"/>
              </w:rPr>
              <w:t xml:space="preserve"> (nezakonodajna pobuda; drugo četrtletje leta 2017)</w:t>
            </w:r>
            <w:r>
              <w:rPr>
                <w:rFonts w:ascii="Times New Roman" w:hAnsi="Times New Roman"/>
                <w:b/>
                <w:noProof/>
                <w:sz w:val="20"/>
              </w:rPr>
              <w:t xml:space="preserve"> ter predlog za boljše spremljanje poklicne poti diplomantov pa tudi mladih s poklicno izobrazbo in usposabljanjem</w:t>
            </w:r>
            <w:r>
              <w:rPr>
                <w:rFonts w:ascii="Times New Roman" w:hAnsi="Times New Roman"/>
                <w:noProof/>
                <w:sz w:val="20"/>
              </w:rPr>
              <w:t xml:space="preserve"> (nezakonodajna pobuda; drugo četrtletje leta 2017)</w:t>
            </w:r>
            <w:r>
              <w:rPr>
                <w:rFonts w:ascii="Times New Roman" w:hAnsi="Times New Roman"/>
                <w:b/>
                <w:noProof/>
                <w:sz w:val="20"/>
              </w:rPr>
              <w:t xml:space="preserve">. </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top w:val="single" w:sz="4" w:space="0" w:color="auto"/>
              <w:left w:val="single" w:sz="4" w:space="0" w:color="auto"/>
              <w:bottom w:val="single" w:sz="4" w:space="0" w:color="auto"/>
              <w:right w:val="single" w:sz="4" w:space="0" w:color="auto"/>
            </w:tcBorders>
          </w:tcPr>
          <w:p>
            <w:pPr>
              <w:spacing w:after="0"/>
              <w:rPr>
                <w:rFonts w:ascii="Times New Roman" w:hAnsi="Times New Roman"/>
                <w:b/>
                <w:noProof/>
                <w:sz w:val="20"/>
                <w:szCs w:val="20"/>
              </w:rPr>
            </w:pPr>
            <w:r>
              <w:rPr>
                <w:rFonts w:ascii="Times New Roman" w:hAnsi="Times New Roman"/>
                <w:b/>
                <w:noProof/>
                <w:sz w:val="20"/>
              </w:rPr>
              <w:t>Izvajanje akcijskega načrta za krožno gospodarstvo</w:t>
            </w:r>
          </w:p>
        </w:tc>
        <w:tc>
          <w:tcPr>
            <w:tcW w:w="3565" w:type="pct"/>
            <w:tcBorders>
              <w:top w:val="single" w:sz="4" w:space="0" w:color="auto"/>
              <w:left w:val="single" w:sz="4" w:space="0" w:color="auto"/>
              <w:bottom w:val="single" w:sz="4" w:space="0" w:color="auto"/>
            </w:tcBorders>
          </w:tcPr>
          <w:p>
            <w:pPr>
              <w:spacing w:after="0"/>
              <w:jc w:val="both"/>
              <w:rPr>
                <w:rFonts w:ascii="Times New Roman" w:hAnsi="Times New Roman"/>
                <w:b/>
                <w:noProof/>
                <w:sz w:val="20"/>
                <w:szCs w:val="20"/>
              </w:rPr>
            </w:pPr>
            <w:r>
              <w:rPr>
                <w:rFonts w:ascii="Times New Roman" w:hAnsi="Times New Roman"/>
                <w:b/>
                <w:noProof/>
                <w:sz w:val="20"/>
              </w:rPr>
              <w:t>To vključuje strategijo o uporabi, ponovni uporabi in recikliranju plastike</w:t>
            </w:r>
            <w:r>
              <w:rPr>
                <w:noProof/>
              </w:rPr>
              <w:t xml:space="preserve"> </w:t>
            </w:r>
            <w:r>
              <w:rPr>
                <w:rFonts w:ascii="Times New Roman" w:hAnsi="Times New Roman"/>
                <w:noProof/>
                <w:sz w:val="20"/>
              </w:rPr>
              <w:t>(nezakonodajna pobuda; zadnje četrtletje leta 2017)</w:t>
            </w:r>
            <w:r>
              <w:rPr>
                <w:rFonts w:ascii="Times New Roman" w:hAnsi="Times New Roman"/>
                <w:b/>
                <w:noProof/>
                <w:sz w:val="20"/>
              </w:rPr>
              <w:t>; ukrepe v zvezi z vodo: predlog uredbe o minimalnih zahtevah glede kakovosti ponovno uporabljene vode</w:t>
            </w:r>
            <w:r>
              <w:rPr>
                <w:rFonts w:ascii="Times New Roman" w:hAnsi="Times New Roman"/>
                <w:noProof/>
                <w:sz w:val="20"/>
              </w:rPr>
              <w:t xml:space="preserve"> (vključno z oceno učinka; člen 192 PDEU; drugo četrtletje leta 2017)</w:t>
            </w:r>
            <w:r>
              <w:rPr>
                <w:rFonts w:ascii="Times New Roman" w:hAnsi="Times New Roman"/>
                <w:b/>
                <w:noProof/>
                <w:sz w:val="20"/>
              </w:rPr>
              <w:t>;</w:t>
            </w:r>
            <w:r>
              <w:rPr>
                <w:rFonts w:ascii="Times New Roman" w:hAnsi="Times New Roman"/>
                <w:noProof/>
                <w:sz w:val="20"/>
              </w:rPr>
              <w:t xml:space="preserve"> </w:t>
            </w:r>
            <w:r>
              <w:rPr>
                <w:rFonts w:ascii="Times New Roman" w:hAnsi="Times New Roman"/>
                <w:b/>
                <w:noProof/>
                <w:sz w:val="20"/>
              </w:rPr>
              <w:t>revizijo direktive o pitni vodi v okviru programa REFIT</w:t>
            </w:r>
            <w:r>
              <w:rPr>
                <w:rFonts w:ascii="Times New Roman" w:hAnsi="Times New Roman"/>
                <w:noProof/>
                <w:sz w:val="20"/>
              </w:rPr>
              <w:t xml:space="preserve"> (vključno z oceno učinka; člen 192(1) PDEU; zadnje četrtletje leta 2017)</w:t>
            </w:r>
            <w:r>
              <w:rPr>
                <w:rFonts w:ascii="Times New Roman" w:hAnsi="Times New Roman"/>
                <w:b/>
                <w:noProof/>
                <w:sz w:val="20"/>
              </w:rPr>
              <w:t>; pobudo za obravnavo pravnih, tehničnih ali praktičnih ovir na področju medsebojnega delovanja zakonodaje o kemikalijah, izdelkih in odpadkih</w:t>
            </w:r>
            <w:r>
              <w:rPr>
                <w:rFonts w:ascii="Times New Roman" w:hAnsi="Times New Roman"/>
                <w:noProof/>
                <w:sz w:val="20"/>
              </w:rPr>
              <w:t xml:space="preserve"> (nezakonodajna pobuda; zadnje četrtletje leta 2017)</w:t>
            </w:r>
            <w:r>
              <w:rPr>
                <w:rFonts w:ascii="Times New Roman" w:hAnsi="Times New Roman"/>
                <w:b/>
                <w:noProof/>
                <w:sz w:val="20"/>
              </w:rPr>
              <w:t xml:space="preserve"> ter okvir za spremljanje krožnega gospodarstva</w:t>
            </w:r>
            <w:r>
              <w:rPr>
                <w:rFonts w:ascii="Times New Roman" w:hAnsi="Times New Roman"/>
                <w:noProof/>
                <w:sz w:val="20"/>
              </w:rPr>
              <w:t xml:space="preserve"> (nezakonodajna pobuda; tretje četrtletje leta 2017)</w:t>
            </w:r>
            <w:r>
              <w:rPr>
                <w:rFonts w:ascii="Times New Roman" w:hAnsi="Times New Roman"/>
                <w:b/>
                <w:noProof/>
                <w:sz w:val="20"/>
              </w:rPr>
              <w:t>.</w:t>
            </w:r>
          </w:p>
        </w:tc>
      </w:tr>
      <w:tr>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top w:val="single" w:sz="4" w:space="0" w:color="auto"/>
              <w:left w:val="single" w:sz="4" w:space="0" w:color="auto"/>
              <w:bottom w:val="single" w:sz="4" w:space="0" w:color="auto"/>
              <w:right w:val="single" w:sz="4" w:space="0" w:color="auto"/>
            </w:tcBorders>
          </w:tcPr>
          <w:p>
            <w:pPr>
              <w:spacing w:after="0"/>
              <w:rPr>
                <w:rFonts w:ascii="Times New Roman" w:hAnsi="Times New Roman"/>
                <w:b/>
                <w:noProof/>
                <w:sz w:val="20"/>
                <w:szCs w:val="20"/>
              </w:rPr>
            </w:pPr>
            <w:r>
              <w:rPr>
                <w:rFonts w:ascii="Times New Roman" w:hAnsi="Times New Roman"/>
                <w:b/>
                <w:noProof/>
                <w:sz w:val="20"/>
              </w:rPr>
              <w:t>Finančni okvir po letu 2020</w:t>
            </w:r>
          </w:p>
        </w:tc>
        <w:tc>
          <w:tcPr>
            <w:tcW w:w="3565" w:type="pct"/>
            <w:tcBorders>
              <w:top w:val="single" w:sz="4" w:space="0" w:color="auto"/>
              <w:left w:val="single" w:sz="4" w:space="0" w:color="auto"/>
              <w:bottom w:val="single" w:sz="4" w:space="0" w:color="auto"/>
            </w:tcBorders>
          </w:tcPr>
          <w:p>
            <w:pPr>
              <w:spacing w:after="0"/>
              <w:jc w:val="both"/>
              <w:rPr>
                <w:rFonts w:ascii="Times New Roman" w:hAnsi="Times New Roman"/>
                <w:b/>
                <w:noProof/>
                <w:sz w:val="20"/>
                <w:szCs w:val="20"/>
              </w:rPr>
            </w:pPr>
            <w:r>
              <w:rPr>
                <w:rFonts w:ascii="Times New Roman" w:hAnsi="Times New Roman"/>
                <w:b/>
                <w:noProof/>
                <w:sz w:val="20"/>
              </w:rPr>
              <w:t xml:space="preserve">Celovit predlog za naslednji večletni finančni okvir, vključno za lastna sredstva </w:t>
            </w:r>
            <w:r>
              <w:rPr>
                <w:rFonts w:ascii="Times New Roman" w:hAnsi="Times New Roman"/>
                <w:noProof/>
                <w:sz w:val="20"/>
              </w:rPr>
              <w:t>(zakonodajna/nezakonodajna pobuda; člen 312 PDEU)</w:t>
            </w:r>
            <w:r>
              <w:rPr>
                <w:rFonts w:ascii="Times New Roman" w:hAnsi="Times New Roman"/>
                <w:b/>
                <w:noProof/>
                <w:sz w:val="20"/>
              </w:rPr>
              <w:t xml:space="preserve">.  </w:t>
            </w:r>
          </w:p>
        </w:tc>
      </w:tr>
      <w:tr>
        <w:trPr>
          <w:cantSplit/>
        </w:trPr>
        <w:tc>
          <w:tcPr>
            <w:tcW w:w="5000" w:type="pct"/>
            <w:gridSpan w:val="3"/>
            <w:shd w:val="clear" w:color="auto" w:fill="F2F2F2" w:themeFill="background1" w:themeFillShade="F2"/>
          </w:tcPr>
          <w:p>
            <w:pPr>
              <w:spacing w:before="60" w:after="60"/>
              <w:rPr>
                <w:rFonts w:ascii="Times New Roman" w:hAnsi="Times New Roman"/>
                <w:noProof/>
                <w:sz w:val="20"/>
                <w:szCs w:val="20"/>
              </w:rPr>
            </w:pPr>
            <w:r>
              <w:rPr>
                <w:rFonts w:ascii="Times New Roman" w:hAnsi="Times New Roman"/>
                <w:b/>
                <w:noProof/>
                <w:sz w:val="20"/>
              </w:rPr>
              <w:t>Povezan enotni digitalni trg</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 xml:space="preserve">Izvajanje strategije za enotni digitalni trg   </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Vmesni pregled izvajanja strategije za enotni digitalni trg</w:t>
            </w:r>
            <w:r>
              <w:rPr>
                <w:rFonts w:ascii="Times New Roman" w:hAnsi="Times New Roman"/>
                <w:b/>
                <w:noProof/>
                <w:sz w:val="20"/>
                <w:highlight w:val="yellow"/>
              </w:rPr>
              <w:t xml:space="preserve"> </w:t>
            </w:r>
          </w:p>
        </w:tc>
      </w:tr>
      <w:tr>
        <w:trPr>
          <w:cantSplit/>
        </w:trPr>
        <w:tc>
          <w:tcPr>
            <w:tcW w:w="5000" w:type="pct"/>
            <w:gridSpan w:val="3"/>
            <w:shd w:val="clear" w:color="auto" w:fill="F2F2F2" w:themeFill="background1" w:themeFillShade="F2"/>
          </w:tcPr>
          <w:p>
            <w:pPr>
              <w:keepNext/>
              <w:spacing w:before="60" w:after="60"/>
              <w:rPr>
                <w:rFonts w:ascii="Times New Roman" w:hAnsi="Times New Roman"/>
                <w:noProof/>
                <w:sz w:val="20"/>
                <w:szCs w:val="20"/>
              </w:rPr>
            </w:pPr>
            <w:r>
              <w:rPr>
                <w:rFonts w:ascii="Times New Roman" w:hAnsi="Times New Roman"/>
                <w:b/>
                <w:noProof/>
                <w:sz w:val="20"/>
              </w:rPr>
              <w:t>Trdna energetska unija s podnebno politiko, usmerjeno v prihodnost</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Izvajanje strategije za energetsko unijo: potovanja in mobilnost z nizkimi emisijami</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Revizija več ključnih zakonodajnih aktov, na katere je bilo opozorjeno v akcijskem načrtu o mobilnosti z nizkimi emisijami, v okviru programa REFIT: strategij za avtomobile/kombinirana vozila, tovorna vozila in avtobuse za obdobje po letu 2020</w:t>
            </w:r>
            <w:r>
              <w:rPr>
                <w:noProof/>
              </w:rPr>
              <w:t xml:space="preserve"> </w:t>
            </w:r>
            <w:r>
              <w:rPr>
                <w:rFonts w:ascii="Times New Roman" w:hAnsi="Times New Roman"/>
                <w:noProof/>
                <w:sz w:val="20"/>
              </w:rPr>
              <w:t>(zakonodajna pobuda, vključno z oceno učinka; drugo četrtletje leta 2017)</w:t>
            </w:r>
            <w:r>
              <w:rPr>
                <w:rFonts w:ascii="Times New Roman" w:hAnsi="Times New Roman"/>
                <w:b/>
                <w:noProof/>
                <w:sz w:val="20"/>
              </w:rPr>
              <w:t>; direktive o čistih vozilih</w:t>
            </w:r>
            <w:r>
              <w:rPr>
                <w:rFonts w:ascii="Times New Roman" w:hAnsi="Times New Roman"/>
                <w:noProof/>
                <w:sz w:val="20"/>
              </w:rPr>
              <w:t xml:space="preserve"> (vključno z oceno učinka; člen 192 PDEU; drugo četrtletje leta 2017)</w:t>
            </w:r>
            <w:r>
              <w:rPr>
                <w:rFonts w:ascii="Times New Roman" w:hAnsi="Times New Roman"/>
                <w:b/>
                <w:noProof/>
                <w:sz w:val="20"/>
              </w:rPr>
              <w:t xml:space="preserve"> ter direktiv o evrovinjeti in evropskem elektronskem cestninjenju (EETS)</w:t>
            </w:r>
            <w:r>
              <w:rPr>
                <w:rFonts w:ascii="Times New Roman" w:hAnsi="Times New Roman"/>
                <w:noProof/>
                <w:sz w:val="20"/>
              </w:rPr>
              <w:t xml:space="preserve"> (vključno z oceno učinka; člen 91 PDEU; drugo četrtletje leta 2017)</w:t>
            </w:r>
            <w:r>
              <w:rPr>
                <w:rFonts w:ascii="Times New Roman" w:hAnsi="Times New Roman"/>
                <w:b/>
                <w:noProof/>
                <w:sz w:val="20"/>
              </w:rPr>
              <w:t>. Ta pobuda vključuje izvajanje mednarodnega sporazuma o emisijah iz zrakoplovov (ICAO)</w:t>
            </w:r>
            <w:r>
              <w:rPr>
                <w:rFonts w:ascii="Times New Roman" w:hAnsi="Times New Roman"/>
                <w:noProof/>
                <w:sz w:val="20"/>
              </w:rPr>
              <w:t xml:space="preserve"> (zakonodajna pobuda, vključno z oceno učinka; člen 192 PDEU; prvo četrtletje leta 2017)</w:t>
            </w:r>
            <w:r>
              <w:rPr>
                <w:rFonts w:ascii="Times New Roman" w:hAnsi="Times New Roman"/>
                <w:b/>
                <w:noProof/>
                <w:sz w:val="20"/>
              </w:rPr>
              <w:t xml:space="preserve">. </w:t>
            </w:r>
          </w:p>
        </w:tc>
      </w:tr>
      <w:tr>
        <w:trPr>
          <w:cantSplit/>
        </w:trPr>
        <w:tc>
          <w:tcPr>
            <w:tcW w:w="5000" w:type="pct"/>
            <w:gridSpan w:val="3"/>
            <w:shd w:val="clear" w:color="auto" w:fill="F2F2F2" w:themeFill="background1" w:themeFillShade="F2"/>
          </w:tcPr>
          <w:p>
            <w:pPr>
              <w:spacing w:before="60" w:after="60"/>
              <w:rPr>
                <w:rFonts w:ascii="Times New Roman" w:hAnsi="Times New Roman"/>
                <w:noProof/>
                <w:sz w:val="20"/>
                <w:szCs w:val="20"/>
              </w:rPr>
            </w:pPr>
            <w:r>
              <w:rPr>
                <w:rFonts w:ascii="Times New Roman" w:hAnsi="Times New Roman"/>
                <w:b/>
                <w:noProof/>
                <w:sz w:val="20"/>
              </w:rPr>
              <w:t>Bolj povezan in pravičnejši notranji trg z okrepljeno industrijsko bazo</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Izvajanje strategije za enotni trg</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Rezultati bodo vključevali revizijo zakonodaje o blagu v okviru programa REFIT</w:t>
            </w:r>
            <w:r>
              <w:rPr>
                <w:noProof/>
              </w:rPr>
              <w:t xml:space="preserve"> </w:t>
            </w:r>
            <w:r>
              <w:rPr>
                <w:rFonts w:ascii="Times New Roman" w:hAnsi="Times New Roman"/>
                <w:noProof/>
                <w:sz w:val="20"/>
              </w:rPr>
              <w:t>(zakonodajna/nezakonodajna pobuda, vključno z oceno učinka; člen 43/114/207 PDEU; drugo četrtletje leta 2017)</w:t>
            </w:r>
            <w:r>
              <w:rPr>
                <w:rFonts w:ascii="Times New Roman" w:hAnsi="Times New Roman"/>
                <w:b/>
                <w:noProof/>
                <w:sz w:val="20"/>
              </w:rPr>
              <w:t>;</w:t>
            </w:r>
            <w:r>
              <w:rPr>
                <w:rFonts w:ascii="Times New Roman" w:hAnsi="Times New Roman"/>
                <w:noProof/>
                <w:sz w:val="20"/>
              </w:rPr>
              <w:t xml:space="preserve"> </w:t>
            </w:r>
            <w:r>
              <w:rPr>
                <w:rFonts w:ascii="Times New Roman" w:hAnsi="Times New Roman"/>
                <w:b/>
                <w:noProof/>
                <w:sz w:val="20"/>
              </w:rPr>
              <w:t>pobudo glede prava družb za olajšanje uporabe digitalnih tehnologij v vseh fazah življenjskega cikla podjetja ter čezmejnih združitev in delitev</w:t>
            </w:r>
            <w:r>
              <w:rPr>
                <w:rFonts w:ascii="Times New Roman" w:hAnsi="Times New Roman"/>
                <w:noProof/>
                <w:sz w:val="20"/>
              </w:rPr>
              <w:t xml:space="preserve"> (zakonodajna pobuda, vključno z oceno učinka; tretje do zadnje četrtletje leta 2017)</w:t>
            </w:r>
            <w:r>
              <w:rPr>
                <w:rFonts w:ascii="Times New Roman" w:hAnsi="Times New Roman"/>
                <w:b/>
                <w:noProof/>
                <w:sz w:val="20"/>
              </w:rPr>
              <w:t>; pobudo za usklajeno ocenjevanje zdravstvene tehnologije</w:t>
            </w:r>
            <w:r>
              <w:rPr>
                <w:rFonts w:ascii="Times New Roman" w:hAnsi="Times New Roman"/>
                <w:noProof/>
                <w:sz w:val="20"/>
              </w:rPr>
              <w:t xml:space="preserve"> (zakonodajna/nezakonodajna pobuda, vključno z oceno učinka; zadnje četrtletje leta 2017)</w:t>
            </w:r>
            <w:r>
              <w:rPr>
                <w:rFonts w:ascii="Times New Roman" w:hAnsi="Times New Roman"/>
                <w:b/>
                <w:noProof/>
                <w:sz w:val="20"/>
              </w:rPr>
              <w:t>; ukrepe za boljše izvrševanje pravil enotnega trga v okviru širšega svežnja ukrepov za izvrševanje, vključno s predlogom za enotni digitalni portal</w:t>
            </w:r>
            <w:r>
              <w:rPr>
                <w:rFonts w:ascii="Times New Roman" w:hAnsi="Times New Roman"/>
                <w:noProof/>
                <w:sz w:val="20"/>
              </w:rPr>
              <w:t xml:space="preserve"> (zakonodajna/nezakonodajna pobuda, vključno z oceno učinka; člen 114 PDEU; prvo četrtletje leta 2017) </w:t>
            </w:r>
            <w:r>
              <w:rPr>
                <w:rFonts w:ascii="Times New Roman" w:hAnsi="Times New Roman"/>
                <w:b/>
                <w:noProof/>
                <w:sz w:val="20"/>
              </w:rPr>
              <w:t>in predlogom za mehanizem za zbiranje informacij o enotnem trgu</w:t>
            </w:r>
            <w:r>
              <w:rPr>
                <w:rFonts w:ascii="Times New Roman" w:hAnsi="Times New Roman"/>
                <w:noProof/>
                <w:sz w:val="20"/>
              </w:rPr>
              <w:t xml:space="preserve"> (zakonodajna pobuda, vključno z oceno učinka; prvo četrtletje leta 2017)</w:t>
            </w:r>
            <w:r>
              <w:rPr>
                <w:rFonts w:ascii="Times New Roman" w:hAnsi="Times New Roman"/>
                <w:b/>
                <w:noProof/>
                <w:sz w:val="20"/>
              </w:rPr>
              <w:t>; posodobitev mreže SOLVIT</w:t>
            </w:r>
            <w:r>
              <w:rPr>
                <w:rFonts w:ascii="Times New Roman" w:hAnsi="Times New Roman"/>
                <w:noProof/>
                <w:sz w:val="20"/>
              </w:rPr>
              <w:t xml:space="preserve"> (nezakonodajna pobuda; prvo četrtletje leta 2017) </w:t>
            </w:r>
            <w:r>
              <w:rPr>
                <w:rFonts w:ascii="Times New Roman" w:hAnsi="Times New Roman"/>
                <w:b/>
                <w:noProof/>
                <w:sz w:val="20"/>
              </w:rPr>
              <w:t>ter krepitev vloge nacionalnih organov za varstvo konkurence za učinkovitejše izvrševanje pravil</w:t>
            </w:r>
            <w:r>
              <w:rPr>
                <w:rFonts w:ascii="Times New Roman" w:hAnsi="Times New Roman"/>
                <w:noProof/>
                <w:sz w:val="20"/>
              </w:rPr>
              <w:t xml:space="preserve"> (zakonodajna/nezakonodajna pobuda, vključno z oceno učinka; drugo četrtletje leta 2017)</w:t>
            </w:r>
            <w:r>
              <w:rPr>
                <w:rFonts w:ascii="Times New Roman" w:hAnsi="Times New Roman"/>
                <w:b/>
                <w:noProof/>
                <w:sz w:val="20"/>
              </w:rPr>
              <w:t xml:space="preserve">. </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Pravičnejša obdavčitev podjetij</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Pobuda vključuje izvajanje akcijskega načrta za DDV s predlogi v okviru programa REFIT za dokončni sistem DDV in stopnje DDV</w:t>
            </w:r>
            <w:r>
              <w:rPr>
                <w:noProof/>
              </w:rPr>
              <w:t xml:space="preserve"> </w:t>
            </w:r>
            <w:r>
              <w:rPr>
                <w:rFonts w:ascii="Times New Roman" w:hAnsi="Times New Roman"/>
                <w:noProof/>
                <w:sz w:val="20"/>
              </w:rPr>
              <w:t>(zakonodajna pobuda, vključno z oceno učinka; člen 113 PDEU; tretje četrtletje leta 2017)</w:t>
            </w:r>
            <w:r>
              <w:rPr>
                <w:rFonts w:ascii="Times New Roman" w:hAnsi="Times New Roman"/>
                <w:b/>
                <w:noProof/>
                <w:sz w:val="20"/>
              </w:rPr>
              <w:t>; boljše upravno sodelovanje in sveženj za poenostavitev, da bi se zmanjšala bremena za podjetja in davčne uprave</w:t>
            </w:r>
            <w:r>
              <w:rPr>
                <w:rFonts w:ascii="Times New Roman" w:hAnsi="Times New Roman"/>
                <w:noProof/>
                <w:sz w:val="20"/>
              </w:rPr>
              <w:t xml:space="preserve"> (zakonodajna pobuda, vključno z oceno učinka; člen 113 PDEU; zadnje četrtletje leta 2017)</w:t>
            </w:r>
            <w:r>
              <w:rPr>
                <w:rFonts w:ascii="Times New Roman" w:hAnsi="Times New Roman"/>
                <w:b/>
                <w:noProof/>
                <w:sz w:val="20"/>
              </w:rPr>
              <w:t>; predlog za seznam EU z jurisdikcijami tretjih držav, ki ne spoštujejo standardov dobrega davčnega upravljanja</w:t>
            </w:r>
            <w:r>
              <w:rPr>
                <w:rFonts w:ascii="Times New Roman" w:hAnsi="Times New Roman"/>
                <w:noProof/>
                <w:sz w:val="20"/>
              </w:rPr>
              <w:t xml:space="preserve"> (nezakonodajna pobuda; tretje četrtletje leta 2017)</w:t>
            </w:r>
            <w:r>
              <w:rPr>
                <w:rFonts w:ascii="Times New Roman" w:hAnsi="Times New Roman"/>
                <w:b/>
                <w:noProof/>
                <w:sz w:val="20"/>
              </w:rPr>
              <w:t>, ter izvajanje mednarodnega sporazuma o eroziji davčne osnove in preusmerjanju dobička (BEPS) z zakonodajo EU</w:t>
            </w:r>
            <w:r>
              <w:rPr>
                <w:rFonts w:ascii="Times New Roman" w:hAnsi="Times New Roman"/>
                <w:noProof/>
                <w:sz w:val="20"/>
              </w:rPr>
              <w:t xml:space="preserve"> (zakonodajna/nezakonodajna pobuda, vključno z oceno učinka; drugo četrtletje leta 2017)</w:t>
            </w:r>
            <w:r>
              <w:rPr>
                <w:rFonts w:ascii="Times New Roman" w:hAnsi="Times New Roman"/>
                <w:b/>
                <w:noProof/>
                <w:sz w:val="20"/>
              </w:rPr>
              <w:t>.</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highlight w:val="yellow"/>
              </w:rPr>
            </w:pPr>
            <w:r>
              <w:rPr>
                <w:rFonts w:ascii="Times New Roman" w:hAnsi="Times New Roman"/>
                <w:b/>
                <w:noProof/>
                <w:sz w:val="20"/>
              </w:rPr>
              <w:t>Izvajanje vesoljske strategije za Evropo</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Zakonodajni predlog o storitvah vladnih satelitskih komunikacij</w:t>
            </w:r>
            <w:r>
              <w:rPr>
                <w:noProof/>
              </w:rPr>
              <w:t xml:space="preserve"> </w:t>
            </w:r>
            <w:r>
              <w:rPr>
                <w:rFonts w:ascii="Times New Roman" w:hAnsi="Times New Roman"/>
                <w:noProof/>
                <w:sz w:val="20"/>
              </w:rPr>
              <w:t>(vključno z oceno učinka; člen 189 PDEU; zadnje četrtletje leta 2017)</w:t>
            </w:r>
            <w:r>
              <w:rPr>
                <w:rFonts w:ascii="Times New Roman" w:hAnsi="Times New Roman"/>
                <w:b/>
                <w:noProof/>
                <w:sz w:val="20"/>
              </w:rPr>
              <w:t xml:space="preserve"> ter predlog za ukrepe za olajšanje uveljavljanja vesoljskih storitev in podatkov na trgu</w:t>
            </w:r>
            <w:r>
              <w:rPr>
                <w:rFonts w:ascii="Times New Roman" w:hAnsi="Times New Roman"/>
                <w:noProof/>
                <w:sz w:val="20"/>
              </w:rPr>
              <w:t xml:space="preserve"> (zakonodajna/nezakonodajna pobuda)</w:t>
            </w:r>
            <w:r>
              <w:rPr>
                <w:rFonts w:ascii="Times New Roman" w:hAnsi="Times New Roman"/>
                <w:b/>
                <w:noProof/>
                <w:sz w:val="20"/>
              </w:rPr>
              <w:t>.</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 xml:space="preserve">Izvajanje akcijskega načrta za unijo kapitalskih trgov </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V vmesnem pregledu</w:t>
            </w:r>
            <w:r>
              <w:rPr>
                <w:noProof/>
              </w:rPr>
              <w:t xml:space="preserve"> </w:t>
            </w:r>
            <w:r>
              <w:rPr>
                <w:rFonts w:ascii="Times New Roman" w:hAnsi="Times New Roman"/>
                <w:noProof/>
                <w:sz w:val="20"/>
              </w:rPr>
              <w:t xml:space="preserve">(nezakonodajna pobuda; drugo četrtletje leta 2017) </w:t>
            </w:r>
            <w:r>
              <w:rPr>
                <w:rFonts w:ascii="Times New Roman" w:hAnsi="Times New Roman"/>
                <w:b/>
                <w:noProof/>
                <w:sz w:val="20"/>
              </w:rPr>
              <w:t>se bo ocenil napredek pri izvajanju unije kapitalskih trgov in opredelili se bodo morebitni dodatni ukrepi, ki so potrebni za izboljšanje financiranja gospodarstva. Novi ukrepi bodo vključevali okvir za produkt osebnega pokojninskega zavarovanja na ravni EU</w:t>
            </w:r>
            <w:r>
              <w:rPr>
                <w:rFonts w:ascii="Times New Roman" w:hAnsi="Times New Roman"/>
                <w:noProof/>
                <w:sz w:val="20"/>
              </w:rPr>
              <w:t xml:space="preserve"> (zakonodajna/nezakonodajna pobuda, vključno z oceno učinka; člen 114 PDEU; drugo četrtletje leta 2017)</w:t>
            </w:r>
            <w:r>
              <w:rPr>
                <w:rFonts w:ascii="Times New Roman" w:hAnsi="Times New Roman"/>
                <w:b/>
                <w:noProof/>
                <w:sz w:val="20"/>
              </w:rPr>
              <w:t>; revizijo Uredbe o infrastrukturi evropskega trga (EMIR) v okviru programa REFIT</w:t>
            </w:r>
            <w:r>
              <w:rPr>
                <w:rFonts w:ascii="Times New Roman" w:hAnsi="Times New Roman"/>
                <w:noProof/>
                <w:sz w:val="20"/>
              </w:rPr>
              <w:t xml:space="preserve"> (vključno z oceno učinka; člen 114 PDEU; prvo četrtletje leta 2017)</w:t>
            </w:r>
            <w:r>
              <w:rPr>
                <w:rFonts w:ascii="Times New Roman" w:hAnsi="Times New Roman"/>
                <w:b/>
                <w:noProof/>
                <w:sz w:val="20"/>
              </w:rPr>
              <w:t>; akcijski načrt o maloprodajnih finančnih storitvah</w:t>
            </w:r>
            <w:r>
              <w:rPr>
                <w:rFonts w:ascii="Times New Roman" w:hAnsi="Times New Roman"/>
                <w:noProof/>
                <w:sz w:val="20"/>
              </w:rPr>
              <w:t xml:space="preserve"> (nezakonodajna pobuda; prvo četrtletje leta 2017)</w:t>
            </w:r>
            <w:r>
              <w:rPr>
                <w:rFonts w:ascii="Times New Roman" w:hAnsi="Times New Roman"/>
                <w:b/>
                <w:noProof/>
                <w:sz w:val="20"/>
              </w:rPr>
              <w:t xml:space="preserve"> ter dodatne delegirane akte za olajšanje financiranja infrastrukturnih podjetij s strani institucionalnih vlagateljev </w:t>
            </w:r>
            <w:r>
              <w:rPr>
                <w:rFonts w:ascii="Times New Roman" w:hAnsi="Times New Roman"/>
                <w:noProof/>
                <w:sz w:val="20"/>
              </w:rPr>
              <w:t>(vključno z oceno učinka; zadnje četrtletje leta 2016)</w:t>
            </w:r>
            <w:r>
              <w:rPr>
                <w:rFonts w:ascii="Times New Roman" w:hAnsi="Times New Roman"/>
                <w:b/>
                <w:noProof/>
                <w:sz w:val="20"/>
              </w:rPr>
              <w:t>.</w:t>
            </w:r>
          </w:p>
        </w:tc>
      </w:tr>
      <w:tr>
        <w:trPr>
          <w:cantSplit/>
        </w:trPr>
        <w:tc>
          <w:tcPr>
            <w:tcW w:w="5000" w:type="pct"/>
            <w:gridSpan w:val="3"/>
            <w:shd w:val="clear" w:color="auto" w:fill="F2F2F2" w:themeFill="background1" w:themeFillShade="F2"/>
          </w:tcPr>
          <w:p>
            <w:pPr>
              <w:spacing w:before="60" w:after="60"/>
              <w:rPr>
                <w:rFonts w:ascii="Times New Roman" w:hAnsi="Times New Roman"/>
                <w:noProof/>
                <w:sz w:val="20"/>
                <w:szCs w:val="20"/>
              </w:rPr>
            </w:pPr>
            <w:r>
              <w:rPr>
                <w:rFonts w:ascii="Times New Roman" w:hAnsi="Times New Roman"/>
                <w:b/>
                <w:noProof/>
                <w:sz w:val="20"/>
              </w:rPr>
              <w:t>Bolj poglobljena in pravičnejša ekonomska in monetarna unija</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Močna Unija, zgrajena na močni ekonomski in monetarni uniji</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 xml:space="preserve">Bela knjiga o prihodnosti Evrope </w:t>
            </w:r>
            <w:r>
              <w:rPr>
                <w:rFonts w:ascii="Times New Roman" w:hAnsi="Times New Roman"/>
                <w:noProof/>
                <w:sz w:val="20"/>
              </w:rPr>
              <w:t>(nezakonodajna pobuda; prvo četrtletje leta 2017)</w:t>
            </w:r>
            <w:r>
              <w:rPr>
                <w:rFonts w:ascii="Times New Roman" w:hAnsi="Times New Roman"/>
                <w:b/>
                <w:noProof/>
                <w:sz w:val="20"/>
              </w:rPr>
              <w:t xml:space="preserve">, ki bo določala ukrepe za reformo EU s 27 državami članicami 60 let po Rimskih pogodbah, bo zajemala tudi prihodnost EMU, da bi pripravila drugo fazo poglobitve EMU v novih političnih in demokratičnih razmerah (vključno s pregledom Pakta za stabilnost in rast, usmerjenim v stabilnost, ter nadaljnjimi ukrepi na podlagi člena 16 Pogodbe o stabilnosti, usklajevanju in upravljanju v ekonomski in monetarni uniji (vključitev vsebine te pogodbe v pravni okvir EU)). Pobuda bo vključevala tudi pregled Evropskega sistema finančnega nadzora (ESFS), da bi se okrepila učinkovitost in uspešnost makro- in mikrobonitetnega nadzora. </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Evropski steber socialnih pravic</w:t>
            </w:r>
          </w:p>
        </w:tc>
        <w:tc>
          <w:tcPr>
            <w:tcW w:w="3565" w:type="pct"/>
          </w:tcPr>
          <w:p>
            <w:pPr>
              <w:jc w:val="both"/>
              <w:rPr>
                <w:rFonts w:ascii="Times New Roman" w:hAnsi="Times New Roman"/>
                <w:b/>
                <w:noProof/>
                <w:sz w:val="20"/>
                <w:szCs w:val="20"/>
              </w:rPr>
            </w:pPr>
            <w:r>
              <w:rPr>
                <w:rFonts w:ascii="Times New Roman" w:hAnsi="Times New Roman"/>
                <w:b/>
                <w:noProof/>
                <w:sz w:val="20"/>
              </w:rPr>
              <w:t xml:space="preserve">Potem ko bo opravljeno javno posvetovanje, bodo v okviru pobude predstavljeni predlog za steber socialnih pravic </w:t>
            </w:r>
            <w:r>
              <w:rPr>
                <w:rFonts w:ascii="Times New Roman" w:hAnsi="Times New Roman"/>
                <w:noProof/>
                <w:sz w:val="20"/>
              </w:rPr>
              <w:t>(prvo četrtletje leta 2017)</w:t>
            </w:r>
            <w:r>
              <w:rPr>
                <w:rFonts w:ascii="Times New Roman" w:hAnsi="Times New Roman"/>
                <w:b/>
                <w:noProof/>
                <w:sz w:val="20"/>
              </w:rPr>
              <w:t xml:space="preserve"> in podobne pobude, kot so pobuda za obravnavanje izzivov, povezanih z usklajevanjem poklicnega in zasebnega življenja, s katerimi se srečujejo delovno aktivne družine</w:t>
            </w:r>
            <w:r>
              <w:rPr>
                <w:noProof/>
              </w:rPr>
              <w:t xml:space="preserve"> </w:t>
            </w:r>
            <w:r>
              <w:rPr>
                <w:rFonts w:ascii="Times New Roman" w:hAnsi="Times New Roman"/>
                <w:noProof/>
                <w:sz w:val="20"/>
              </w:rPr>
              <w:t>(zakonodajna/nezakonodajna pobuda, vključno z oceno učinka; člen 153/157 PDEU)</w:t>
            </w:r>
            <w:r>
              <w:rPr>
                <w:rFonts w:ascii="Times New Roman" w:hAnsi="Times New Roman"/>
                <w:b/>
                <w:noProof/>
                <w:sz w:val="20"/>
              </w:rPr>
              <w:t>; pobuda o dostopu do socialne zaščite</w:t>
            </w:r>
            <w:r>
              <w:rPr>
                <w:rFonts w:ascii="Times New Roman" w:hAnsi="Times New Roman"/>
                <w:noProof/>
                <w:sz w:val="20"/>
              </w:rPr>
              <w:t xml:space="preserve"> (zakonodajna/nezakonodajna pobuda, vključno z oceno učinka; člen 153/292);</w:t>
            </w:r>
            <w:r>
              <w:rPr>
                <w:rFonts w:ascii="Times New Roman" w:hAnsi="Times New Roman"/>
                <w:b/>
                <w:noProof/>
                <w:sz w:val="20"/>
              </w:rPr>
              <w:t xml:space="preserve"> izvajanje direktive o delovnem času</w:t>
            </w:r>
            <w:r>
              <w:rPr>
                <w:noProof/>
              </w:rPr>
              <w:t xml:space="preserve"> </w:t>
            </w:r>
            <w:r>
              <w:rPr>
                <w:rFonts w:ascii="Times New Roman" w:hAnsi="Times New Roman"/>
                <w:noProof/>
                <w:sz w:val="20"/>
              </w:rPr>
              <w:t xml:space="preserve">(nezakonodajna pobuda) </w:t>
            </w:r>
            <w:r>
              <w:rPr>
                <w:rFonts w:ascii="Times New Roman" w:hAnsi="Times New Roman"/>
                <w:b/>
                <w:noProof/>
                <w:sz w:val="20"/>
              </w:rPr>
              <w:t>ter revizija direktive o pisni izjavi v okviru programa REFIT, s katero se uvaja obveznost delodajalca, da zaposlene obvesti o pogojih pogodbe ali delovnega razmerja</w:t>
            </w:r>
            <w:r>
              <w:rPr>
                <w:noProof/>
              </w:rPr>
              <w:t xml:space="preserve"> </w:t>
            </w:r>
            <w:r>
              <w:rPr>
                <w:rFonts w:ascii="Times New Roman" w:hAnsi="Times New Roman"/>
                <w:noProof/>
                <w:sz w:val="20"/>
              </w:rPr>
              <w:t>(zakonodajna pobuda, vključno z oceno učinka; člen 153.1(b)/154 PDEU)</w:t>
            </w:r>
            <w:r>
              <w:rPr>
                <w:rFonts w:ascii="Times New Roman" w:hAnsi="Times New Roman"/>
                <w:b/>
                <w:noProof/>
                <w:sz w:val="20"/>
              </w:rPr>
              <w:t>.</w:t>
            </w:r>
          </w:p>
        </w:tc>
      </w:tr>
      <w:tr>
        <w:trPr>
          <w:cantSplit/>
        </w:trPr>
        <w:tc>
          <w:tcPr>
            <w:tcW w:w="5000" w:type="pct"/>
            <w:gridSpan w:val="3"/>
            <w:tcBorders>
              <w:bottom w:val="single" w:sz="4" w:space="0" w:color="auto"/>
            </w:tcBorders>
            <w:shd w:val="clear" w:color="auto" w:fill="F2F2F2" w:themeFill="background1" w:themeFillShade="F2"/>
          </w:tcPr>
          <w:p>
            <w:pPr>
              <w:keepNext/>
              <w:spacing w:before="60" w:after="60"/>
              <w:rPr>
                <w:rFonts w:ascii="Times New Roman" w:hAnsi="Times New Roman"/>
                <w:noProof/>
                <w:sz w:val="20"/>
                <w:szCs w:val="20"/>
              </w:rPr>
            </w:pPr>
            <w:r>
              <w:rPr>
                <w:rFonts w:ascii="Times New Roman" w:hAnsi="Times New Roman"/>
                <w:b/>
                <w:noProof/>
                <w:sz w:val="20"/>
              </w:rPr>
              <w:t>Trgovina: razumen in uravnotežen prostotrgovinski sporazum z ZDA</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bottom w:val="single" w:sz="4" w:space="0" w:color="auto"/>
            </w:tcBorders>
          </w:tcPr>
          <w:p>
            <w:pPr>
              <w:spacing w:after="0"/>
              <w:rPr>
                <w:rFonts w:ascii="Times New Roman" w:hAnsi="Times New Roman"/>
                <w:b/>
                <w:noProof/>
                <w:sz w:val="20"/>
                <w:szCs w:val="20"/>
                <w:highlight w:val="yellow"/>
              </w:rPr>
            </w:pPr>
            <w:r>
              <w:rPr>
                <w:rFonts w:ascii="Times New Roman" w:hAnsi="Times New Roman"/>
                <w:b/>
                <w:noProof/>
                <w:sz w:val="20"/>
              </w:rPr>
              <w:t>Izvajanje strategije „Trgovina za vse“</w:t>
            </w:r>
          </w:p>
        </w:tc>
        <w:tc>
          <w:tcPr>
            <w:tcW w:w="3565" w:type="pct"/>
            <w:tcBorders>
              <w:bottom w:val="single" w:sz="4" w:space="0" w:color="auto"/>
            </w:tcBorders>
          </w:tcPr>
          <w:p>
            <w:pPr>
              <w:autoSpaceDE w:val="0"/>
              <w:autoSpaceDN w:val="0"/>
              <w:adjustRightInd w:val="0"/>
              <w:spacing w:after="0"/>
              <w:jc w:val="both"/>
              <w:rPr>
                <w:rFonts w:ascii="Times New Roman" w:hAnsi="Times New Roman"/>
                <w:b/>
                <w:noProof/>
                <w:sz w:val="20"/>
                <w:szCs w:val="20"/>
              </w:rPr>
            </w:pPr>
            <w:r>
              <w:rPr>
                <w:rFonts w:ascii="Times New Roman" w:hAnsi="Times New Roman"/>
                <w:b/>
                <w:noProof/>
                <w:sz w:val="20"/>
              </w:rPr>
              <w:t>Poleg nadaljevanja in zaključitve dvostranskih pogajanj (npr. z Japonsko) ter začetka novih pogajanj o prostotrgovinskih sporazumih z Avstralijo</w:t>
            </w:r>
            <w:r>
              <w:rPr>
                <w:rFonts w:ascii="Times New Roman" w:hAnsi="Times New Roman"/>
                <w:noProof/>
                <w:sz w:val="20"/>
              </w:rPr>
              <w:t xml:space="preserve"> (vključno z oceno učinka; prvo četrtletje leta 2017)</w:t>
            </w:r>
            <w:r>
              <w:rPr>
                <w:rFonts w:ascii="Times New Roman" w:hAnsi="Times New Roman"/>
                <w:b/>
                <w:noProof/>
                <w:sz w:val="20"/>
              </w:rPr>
              <w:t>, Čilom</w:t>
            </w:r>
            <w:r>
              <w:rPr>
                <w:rFonts w:ascii="Times New Roman" w:hAnsi="Times New Roman"/>
                <w:noProof/>
                <w:sz w:val="20"/>
              </w:rPr>
              <w:t xml:space="preserve"> (vključno z oceno učinka; drugo četrtletje leta 2017) </w:t>
            </w:r>
            <w:r>
              <w:rPr>
                <w:rFonts w:ascii="Times New Roman" w:hAnsi="Times New Roman"/>
                <w:b/>
                <w:noProof/>
                <w:sz w:val="20"/>
              </w:rPr>
              <w:t>in Novo Zelandijo</w:t>
            </w:r>
            <w:r>
              <w:rPr>
                <w:rFonts w:ascii="Times New Roman" w:hAnsi="Times New Roman"/>
                <w:noProof/>
                <w:sz w:val="20"/>
              </w:rPr>
              <w:t xml:space="preserve"> (vključno z oceno učinka; prvo četrtletje leta 2017)</w:t>
            </w:r>
            <w:r>
              <w:rPr>
                <w:rFonts w:ascii="Times New Roman" w:hAnsi="Times New Roman"/>
                <w:b/>
                <w:noProof/>
                <w:sz w:val="20"/>
              </w:rPr>
              <w:t>, ta pobuda vključuje nadaljnjo krepitev instrumentov trgovinske zaščite EU s predlogom za spremembo protidampinške zakonodaje EU</w:t>
            </w:r>
            <w:r>
              <w:rPr>
                <w:rFonts w:ascii="Times New Roman" w:hAnsi="Times New Roman"/>
                <w:noProof/>
                <w:sz w:val="20"/>
              </w:rPr>
              <w:t xml:space="preserve"> (vključno z oceno učinka; zadnje četrtletje leta 2016) </w:t>
            </w:r>
            <w:r>
              <w:rPr>
                <w:rFonts w:ascii="Times New Roman" w:hAnsi="Times New Roman"/>
                <w:b/>
                <w:noProof/>
                <w:sz w:val="20"/>
              </w:rPr>
              <w:t>v skladu s sporočilom Komisije z dne 18. oktobra 2016.</w:t>
            </w:r>
          </w:p>
        </w:tc>
      </w:tr>
      <w:tr>
        <w:trPr>
          <w:cantSplit/>
        </w:trPr>
        <w:tc>
          <w:tcPr>
            <w:tcW w:w="5000" w:type="pct"/>
            <w:gridSpan w:val="3"/>
            <w:tcBorders>
              <w:bottom w:val="single" w:sz="4" w:space="0" w:color="auto"/>
            </w:tcBorders>
            <w:shd w:val="clear" w:color="auto" w:fill="F2F2F2" w:themeFill="background1" w:themeFillShade="F2"/>
          </w:tcPr>
          <w:p>
            <w:pPr>
              <w:spacing w:before="60" w:after="60"/>
              <w:rPr>
                <w:rFonts w:ascii="Times New Roman" w:hAnsi="Times New Roman"/>
                <w:noProof/>
                <w:sz w:val="20"/>
                <w:szCs w:val="20"/>
              </w:rPr>
            </w:pPr>
            <w:r>
              <w:rPr>
                <w:rFonts w:ascii="Times New Roman" w:hAnsi="Times New Roman"/>
                <w:b/>
                <w:noProof/>
                <w:sz w:val="20"/>
              </w:rPr>
              <w:t>Območje pravosodja in temeljnih pravic, zasnovano na medsebojnem zaupanju</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bottom w:val="single" w:sz="4" w:space="0" w:color="auto"/>
            </w:tcBorders>
          </w:tcPr>
          <w:p>
            <w:pPr>
              <w:spacing w:after="0"/>
              <w:rPr>
                <w:rFonts w:ascii="Times New Roman" w:hAnsi="Times New Roman"/>
                <w:b/>
                <w:noProof/>
                <w:sz w:val="20"/>
                <w:szCs w:val="20"/>
              </w:rPr>
            </w:pPr>
            <w:r>
              <w:rPr>
                <w:rFonts w:ascii="Times New Roman" w:hAnsi="Times New Roman"/>
                <w:b/>
                <w:noProof/>
                <w:sz w:val="20"/>
              </w:rPr>
              <w:t>Sveženj o varstvu podatkov</w:t>
            </w:r>
          </w:p>
        </w:tc>
        <w:tc>
          <w:tcPr>
            <w:tcW w:w="3565" w:type="pct"/>
            <w:tcBorders>
              <w:bottom w:val="single" w:sz="4" w:space="0" w:color="auto"/>
            </w:tcBorders>
          </w:tcPr>
          <w:p>
            <w:pPr>
              <w:autoSpaceDE w:val="0"/>
              <w:autoSpaceDN w:val="0"/>
              <w:adjustRightInd w:val="0"/>
              <w:spacing w:after="0"/>
              <w:jc w:val="both"/>
              <w:rPr>
                <w:rFonts w:ascii="Times New Roman" w:eastAsia="Times New Roman" w:hAnsi="Times New Roman"/>
                <w:b/>
                <w:noProof/>
                <w:sz w:val="20"/>
                <w:szCs w:val="20"/>
              </w:rPr>
            </w:pPr>
            <w:r>
              <w:rPr>
                <w:rFonts w:ascii="Times New Roman" w:hAnsi="Times New Roman"/>
                <w:b/>
                <w:noProof/>
                <w:sz w:val="20"/>
              </w:rPr>
              <w:t xml:space="preserve">Sveženj </w:t>
            </w:r>
            <w:r>
              <w:rPr>
                <w:rFonts w:ascii="Times New Roman" w:hAnsi="Times New Roman"/>
                <w:noProof/>
                <w:sz w:val="20"/>
              </w:rPr>
              <w:t>(prvo četrtletje leta 2017)</w:t>
            </w:r>
            <w:r>
              <w:rPr>
                <w:noProof/>
              </w:rPr>
              <w:t xml:space="preserve"> </w:t>
            </w:r>
            <w:r>
              <w:rPr>
                <w:rFonts w:ascii="Times New Roman" w:hAnsi="Times New Roman"/>
                <w:b/>
                <w:noProof/>
                <w:sz w:val="20"/>
              </w:rPr>
              <w:t>bo vključeval uskladitev pravil o varstvu osebnih podatkov, ki jih obdelujejo institucije EU, z novimi splošnimi pravili o varstvu podatkov</w:t>
            </w:r>
            <w:r>
              <w:rPr>
                <w:noProof/>
              </w:rPr>
              <w:t xml:space="preserve"> </w:t>
            </w:r>
            <w:r>
              <w:rPr>
                <w:rFonts w:ascii="Times New Roman" w:hAnsi="Times New Roman"/>
                <w:noProof/>
                <w:sz w:val="20"/>
              </w:rPr>
              <w:t>(zakonodajna pobuda; člen 16 PDEU)</w:t>
            </w:r>
            <w:r>
              <w:rPr>
                <w:rFonts w:ascii="Times New Roman" w:hAnsi="Times New Roman"/>
                <w:b/>
                <w:noProof/>
                <w:sz w:val="20"/>
              </w:rPr>
              <w:t>; revizijo direktive o zasebnosti in elektronskih komunikacijah v okviru programa REFIT</w:t>
            </w:r>
            <w:r>
              <w:rPr>
                <w:rFonts w:ascii="Times New Roman" w:hAnsi="Times New Roman"/>
                <w:noProof/>
                <w:sz w:val="20"/>
              </w:rPr>
              <w:t xml:space="preserve"> (vključno z oceno učinka; člen 114/16 PDEU) </w:t>
            </w:r>
            <w:r>
              <w:rPr>
                <w:rFonts w:ascii="Times New Roman" w:hAnsi="Times New Roman"/>
                <w:b/>
                <w:noProof/>
                <w:sz w:val="20"/>
              </w:rPr>
              <w:t xml:space="preserve">ter okvir za sklepe o ustreznosti varstva pri izmenjavi osebnih podatkov s tretjimi državami. </w:t>
            </w:r>
          </w:p>
        </w:tc>
      </w:tr>
      <w:tr>
        <w:trPr>
          <w:cantSplit/>
        </w:trPr>
        <w:tc>
          <w:tcPr>
            <w:tcW w:w="181" w:type="pct"/>
            <w:tcBorders>
              <w:bottom w:val="single" w:sz="4" w:space="0" w:color="auto"/>
            </w:tcBorders>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Borders>
              <w:bottom w:val="single" w:sz="4" w:space="0" w:color="auto"/>
            </w:tcBorders>
          </w:tcPr>
          <w:p>
            <w:pPr>
              <w:spacing w:after="0"/>
              <w:rPr>
                <w:rFonts w:ascii="Times New Roman" w:hAnsi="Times New Roman"/>
                <w:b/>
                <w:noProof/>
                <w:sz w:val="20"/>
                <w:szCs w:val="20"/>
              </w:rPr>
            </w:pPr>
            <w:r>
              <w:rPr>
                <w:rFonts w:ascii="Times New Roman" w:hAnsi="Times New Roman"/>
                <w:b/>
                <w:noProof/>
                <w:sz w:val="20"/>
              </w:rPr>
              <w:t>Napredek pri vzpostavljanju učinkovite in prave varnostne unije</w:t>
            </w:r>
          </w:p>
        </w:tc>
        <w:tc>
          <w:tcPr>
            <w:tcW w:w="3565" w:type="pct"/>
            <w:tcBorders>
              <w:bottom w:val="single" w:sz="4" w:space="0" w:color="auto"/>
            </w:tcBorders>
          </w:tcPr>
          <w:p>
            <w:pPr>
              <w:spacing w:after="0"/>
              <w:jc w:val="both"/>
              <w:rPr>
                <w:rFonts w:ascii="Times New Roman" w:eastAsia="Times New Roman" w:hAnsi="Times New Roman"/>
                <w:b/>
                <w:noProof/>
                <w:color w:val="000000"/>
                <w:sz w:val="20"/>
                <w:szCs w:val="20"/>
              </w:rPr>
            </w:pPr>
            <w:r>
              <w:rPr>
                <w:rFonts w:ascii="Times New Roman" w:hAnsi="Times New Roman"/>
                <w:b/>
                <w:noProof/>
                <w:sz w:val="20"/>
              </w:rPr>
              <w:t>Izvajanje agende za varnostno unijo in akcijskega načrta za boj proti financiranju terorizma s predlogom za uskladitev kaznivih dejanj pranja denarja in sankcij</w:t>
            </w:r>
            <w:r>
              <w:rPr>
                <w:noProof/>
              </w:rPr>
              <w:t xml:space="preserve"> </w:t>
            </w:r>
            <w:r>
              <w:rPr>
                <w:rFonts w:ascii="Times New Roman" w:hAnsi="Times New Roman"/>
                <w:noProof/>
                <w:color w:val="000000"/>
                <w:sz w:val="20"/>
              </w:rPr>
              <w:t>(zakonodajna pobuda; člen 83 PDEU; zadnje četrtletje leta 2016)</w:t>
            </w:r>
            <w:r>
              <w:rPr>
                <w:rFonts w:ascii="Times New Roman" w:hAnsi="Times New Roman"/>
                <w:b/>
                <w:noProof/>
                <w:color w:val="000000"/>
                <w:sz w:val="20"/>
              </w:rPr>
              <w:t>; predlogom za krepitev vzajemnega priznavanja odredb o zamrznitvi in zaplembi sredstev, pridobljenih s kaznivim dejanjem</w:t>
            </w:r>
            <w:r>
              <w:rPr>
                <w:rFonts w:ascii="Times New Roman" w:hAnsi="Times New Roman"/>
                <w:noProof/>
                <w:color w:val="000000"/>
                <w:sz w:val="20"/>
              </w:rPr>
              <w:t xml:space="preserve"> (zakonodajna pobuda, vključno z oceno učinka; člen 82 PDEU; zadnje četrtletje leta 2016)</w:t>
            </w:r>
            <w:r>
              <w:rPr>
                <w:rFonts w:ascii="Times New Roman" w:hAnsi="Times New Roman"/>
                <w:b/>
                <w:noProof/>
                <w:color w:val="000000"/>
                <w:sz w:val="20"/>
              </w:rPr>
              <w:t>, ter predlogoma za boj proti nedovoljenemu prenosu gotovine</w:t>
            </w:r>
            <w:r>
              <w:rPr>
                <w:rFonts w:ascii="Times New Roman" w:hAnsi="Times New Roman"/>
                <w:noProof/>
                <w:color w:val="000000"/>
                <w:sz w:val="20"/>
              </w:rPr>
              <w:t xml:space="preserve"> (zakonodajna pobuda, vključno z oceno učinka; člen 33/114 PDEU; zadnje četrtletje leta 2016) </w:t>
            </w:r>
            <w:r>
              <w:rPr>
                <w:rFonts w:ascii="Times New Roman" w:hAnsi="Times New Roman"/>
                <w:b/>
                <w:noProof/>
                <w:color w:val="000000"/>
                <w:sz w:val="20"/>
              </w:rPr>
              <w:t>in nedovoljeni trgovini s predmeti kulturne dediščine</w:t>
            </w:r>
            <w:r>
              <w:rPr>
                <w:rFonts w:ascii="Times New Roman" w:hAnsi="Times New Roman"/>
                <w:noProof/>
                <w:color w:val="000000"/>
                <w:sz w:val="20"/>
              </w:rPr>
              <w:t xml:space="preserve"> (zakonodajna pobuda, vključno z oceno učinka; člen 207 PDEU; zadnje četrtletje leta 2016)</w:t>
            </w:r>
            <w:r>
              <w:rPr>
                <w:rFonts w:ascii="Times New Roman" w:hAnsi="Times New Roman"/>
                <w:b/>
                <w:noProof/>
                <w:color w:val="000000"/>
                <w:sz w:val="20"/>
              </w:rPr>
              <w:t xml:space="preserve">. </w:t>
            </w:r>
            <w:r>
              <w:rPr>
                <w:rFonts w:ascii="Times New Roman" w:hAnsi="Times New Roman"/>
                <w:b/>
                <w:noProof/>
                <w:sz w:val="20"/>
              </w:rPr>
              <w:t>Ta pobuda vključuje tudi predlog za evropski sistem za obveščanje o potovanjih in njihovo odobritev (ETIAS)</w:t>
            </w:r>
            <w:r>
              <w:rPr>
                <w:noProof/>
              </w:rPr>
              <w:t xml:space="preserve"> </w:t>
            </w:r>
            <w:r>
              <w:rPr>
                <w:rFonts w:ascii="Times New Roman" w:hAnsi="Times New Roman"/>
                <w:noProof/>
                <w:sz w:val="20"/>
              </w:rPr>
              <w:t xml:space="preserve">(zakonodajna pobuda; </w:t>
            </w:r>
            <w:r>
              <w:rPr>
                <w:rFonts w:ascii="Times New Roman" w:hAnsi="Times New Roman"/>
                <w:noProof/>
                <w:color w:val="000000"/>
                <w:sz w:val="20"/>
              </w:rPr>
              <w:t xml:space="preserve">člen 77(2)(b) in (d)(a) PDEU; </w:t>
            </w:r>
            <w:r>
              <w:rPr>
                <w:rFonts w:ascii="Times New Roman" w:hAnsi="Times New Roman"/>
                <w:noProof/>
                <w:sz w:val="20"/>
              </w:rPr>
              <w:t xml:space="preserve">zadnje četrtletje leta 2016) </w:t>
            </w:r>
            <w:r>
              <w:rPr>
                <w:rFonts w:ascii="Times New Roman" w:hAnsi="Times New Roman"/>
                <w:b/>
                <w:noProof/>
                <w:sz w:val="20"/>
              </w:rPr>
              <w:t>ter nadaljnje ukrepe na podlagi dela strokovne skupine na visoki ravni za informacijske sisteme in interoperabilnost.</w:t>
            </w:r>
            <w:r>
              <w:rPr>
                <w:rFonts w:ascii="Times New Roman" w:hAnsi="Times New Roman"/>
                <w:b/>
                <w:noProof/>
                <w:sz w:val="24"/>
              </w:rPr>
              <w:t xml:space="preserve"> </w:t>
            </w:r>
          </w:p>
        </w:tc>
      </w:tr>
      <w:tr>
        <w:trPr>
          <w:cantSplit/>
        </w:trPr>
        <w:tc>
          <w:tcPr>
            <w:tcW w:w="5000" w:type="pct"/>
            <w:gridSpan w:val="3"/>
            <w:shd w:val="clear" w:color="auto" w:fill="F2F2F2" w:themeFill="background1" w:themeFillShade="F2"/>
          </w:tcPr>
          <w:p>
            <w:pPr>
              <w:spacing w:before="60" w:after="60"/>
              <w:rPr>
                <w:rFonts w:ascii="Times New Roman" w:eastAsia="Times New Roman" w:hAnsi="Times New Roman"/>
                <w:noProof/>
                <w:color w:val="000000"/>
                <w:sz w:val="20"/>
                <w:szCs w:val="20"/>
              </w:rPr>
            </w:pPr>
            <w:r>
              <w:rPr>
                <w:rFonts w:ascii="Times New Roman" w:hAnsi="Times New Roman"/>
                <w:b/>
                <w:noProof/>
                <w:sz w:val="20"/>
              </w:rPr>
              <w:t>V smeri nove migracijske politike</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Izvajanje evropske agende o migracijah</w:t>
            </w:r>
          </w:p>
        </w:tc>
        <w:tc>
          <w:tcPr>
            <w:tcW w:w="3565" w:type="pct"/>
          </w:tcPr>
          <w:p>
            <w:pPr>
              <w:keepNext/>
              <w:tabs>
                <w:tab w:val="left" w:pos="284"/>
              </w:tabs>
              <w:spacing w:after="0"/>
              <w:jc w:val="both"/>
              <w:rPr>
                <w:rFonts w:ascii="Times New Roman" w:eastAsia="Times New Roman" w:hAnsi="Times New Roman"/>
                <w:b/>
                <w:noProof/>
                <w:color w:val="000000"/>
                <w:sz w:val="20"/>
                <w:szCs w:val="20"/>
              </w:rPr>
            </w:pPr>
            <w:r>
              <w:rPr>
                <w:rFonts w:ascii="Times New Roman" w:hAnsi="Times New Roman"/>
                <w:b/>
                <w:noProof/>
                <w:sz w:val="20"/>
              </w:rPr>
              <w:t xml:space="preserve">Vmesni pregled izvajanja evropske agende o migracijah ter utrditev in horizontalni pregled napredka na različnih delovnih področjih, vključno z izvajanjem novega okvira za migracijska partnerstva s tretjimi državami. </w:t>
            </w:r>
          </w:p>
        </w:tc>
      </w:tr>
      <w:tr>
        <w:trPr>
          <w:cantSplit/>
        </w:trPr>
        <w:tc>
          <w:tcPr>
            <w:tcW w:w="5000" w:type="pct"/>
            <w:gridSpan w:val="3"/>
            <w:shd w:val="clear" w:color="auto" w:fill="F2F2F2" w:themeFill="background1" w:themeFillShade="F2"/>
          </w:tcPr>
          <w:p>
            <w:pPr>
              <w:keepNext/>
              <w:spacing w:before="60" w:after="60"/>
              <w:rPr>
                <w:rFonts w:ascii="Times New Roman" w:eastAsia="Times New Roman" w:hAnsi="Times New Roman"/>
                <w:noProof/>
                <w:color w:val="000000"/>
                <w:sz w:val="20"/>
                <w:szCs w:val="20"/>
              </w:rPr>
            </w:pPr>
            <w:r>
              <w:rPr>
                <w:rFonts w:ascii="Times New Roman" w:hAnsi="Times New Roman"/>
                <w:b/>
                <w:noProof/>
                <w:sz w:val="20"/>
              </w:rPr>
              <w:t>Močnejši svetovni akter</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Izvajanje evropskega obrambnega akcijskega načrta</w:t>
            </w:r>
          </w:p>
        </w:tc>
        <w:tc>
          <w:tcPr>
            <w:tcW w:w="3565" w:type="pct"/>
          </w:tcPr>
          <w:p>
            <w:pPr>
              <w:spacing w:after="0"/>
              <w:jc w:val="both"/>
              <w:rPr>
                <w:rFonts w:ascii="Times New Roman" w:hAnsi="Times New Roman"/>
                <w:b/>
                <w:noProof/>
                <w:sz w:val="20"/>
                <w:szCs w:val="20"/>
                <w:highlight w:val="yellow"/>
              </w:rPr>
            </w:pPr>
            <w:r>
              <w:rPr>
                <w:rFonts w:ascii="Times New Roman" w:hAnsi="Times New Roman"/>
                <w:b/>
                <w:noProof/>
                <w:sz w:val="20"/>
              </w:rPr>
              <w:t xml:space="preserve">Vključuje predlog za evropski obrambni sklad in ukrepe za izboljšanje uporabe in učinkovitosti pravil o javnem naročanju </w:t>
            </w:r>
            <w:r>
              <w:rPr>
                <w:rFonts w:ascii="Times New Roman" w:hAnsi="Times New Roman"/>
                <w:noProof/>
                <w:sz w:val="20"/>
              </w:rPr>
              <w:t>(zakonodajna/nezakonodajna pobuda)</w:t>
            </w:r>
            <w:r>
              <w:rPr>
                <w:rFonts w:ascii="Times New Roman" w:hAnsi="Times New Roman"/>
                <w:b/>
                <w:noProof/>
                <w:sz w:val="20"/>
              </w:rPr>
              <w:t>.</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Izvajanje globalne strategije EU</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Vključuje prizadevanja za spodbujanje državne, gospodarske, okoljske/podnebne in družbene odpornosti v tretjih državah, zlasti v sosednjih državah EU in širših okoliških regijah</w:t>
            </w:r>
            <w:r>
              <w:rPr>
                <w:rFonts w:ascii="Times New Roman" w:hAnsi="Times New Roman"/>
                <w:noProof/>
                <w:sz w:val="20"/>
              </w:rPr>
              <w:t xml:space="preserve"> (nezakonodajna pobuda)</w:t>
            </w:r>
            <w:r>
              <w:rPr>
                <w:rFonts w:ascii="Times New Roman" w:hAnsi="Times New Roman"/>
                <w:b/>
                <w:noProof/>
                <w:sz w:val="20"/>
              </w:rPr>
              <w:t xml:space="preserve">. </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Strategija EU za Sirijo</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Strategija bo določala, kako lahko EU pomaga ponovno vzpostaviti mir in stabilnost ter pluralistično in strpno civilno družbo v Siriji</w:t>
            </w:r>
            <w:r>
              <w:rPr>
                <w:noProof/>
              </w:rPr>
              <w:t xml:space="preserve"> </w:t>
            </w:r>
            <w:r>
              <w:rPr>
                <w:rFonts w:ascii="Times New Roman" w:hAnsi="Times New Roman"/>
                <w:noProof/>
                <w:sz w:val="20"/>
              </w:rPr>
              <w:t>(nezakonodajna pobuda; prvo četrtletje leta 2017)</w:t>
            </w:r>
            <w:r>
              <w:rPr>
                <w:rFonts w:ascii="Times New Roman" w:hAnsi="Times New Roman"/>
                <w:b/>
                <w:noProof/>
                <w:sz w:val="20"/>
              </w:rPr>
              <w:t>.</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Partnerstvo med EU in Afriko: nov zagon</w:t>
            </w:r>
          </w:p>
        </w:tc>
        <w:tc>
          <w:tcPr>
            <w:tcW w:w="3565" w:type="pct"/>
          </w:tcPr>
          <w:p>
            <w:pPr>
              <w:spacing w:after="0"/>
              <w:jc w:val="both"/>
              <w:rPr>
                <w:rFonts w:ascii="Times New Roman" w:hAnsi="Times New Roman"/>
                <w:b/>
                <w:noProof/>
                <w:sz w:val="20"/>
                <w:szCs w:val="20"/>
                <w:highlight w:val="yellow"/>
              </w:rPr>
            </w:pPr>
            <w:r>
              <w:rPr>
                <w:rFonts w:ascii="Times New Roman" w:hAnsi="Times New Roman"/>
                <w:b/>
                <w:noProof/>
                <w:color w:val="000000"/>
                <w:sz w:val="20"/>
              </w:rPr>
              <w:t>Pobuda bo opredeljevala strateške cilje in prednostne naloge EU v njenih odnosih z Afriko</w:t>
            </w:r>
            <w:r>
              <w:rPr>
                <w:noProof/>
              </w:rPr>
              <w:t xml:space="preserve"> </w:t>
            </w:r>
            <w:r>
              <w:rPr>
                <w:rFonts w:ascii="Times New Roman" w:hAnsi="Times New Roman"/>
                <w:noProof/>
                <w:color w:val="000000"/>
                <w:sz w:val="20"/>
              </w:rPr>
              <w:t>(nezakonodajna pobuda; drugo četrtletje leta 2017)</w:t>
            </w:r>
            <w:r>
              <w:rPr>
                <w:rFonts w:ascii="Times New Roman" w:hAnsi="Times New Roman"/>
                <w:b/>
                <w:noProof/>
                <w:color w:val="000000"/>
                <w:sz w:val="20"/>
              </w:rPr>
              <w:t>.</w:t>
            </w:r>
            <w:r>
              <w:rPr>
                <w:rFonts w:ascii="Times New Roman" w:hAnsi="Times New Roman"/>
                <w:b/>
                <w:noProof/>
                <w:sz w:val="20"/>
                <w:highlight w:val="yellow"/>
              </w:rPr>
              <w:t xml:space="preserve"> </w:t>
            </w:r>
          </w:p>
        </w:tc>
      </w:tr>
      <w:tr>
        <w:trPr>
          <w:cantSplit/>
        </w:trPr>
        <w:tc>
          <w:tcPr>
            <w:tcW w:w="5000" w:type="pct"/>
            <w:gridSpan w:val="3"/>
            <w:shd w:val="clear" w:color="auto" w:fill="F2F2F2" w:themeFill="background1" w:themeFillShade="F2"/>
          </w:tcPr>
          <w:p>
            <w:pPr>
              <w:spacing w:before="60" w:after="60"/>
              <w:rPr>
                <w:rFonts w:ascii="Times New Roman" w:hAnsi="Times New Roman"/>
                <w:noProof/>
                <w:sz w:val="20"/>
                <w:szCs w:val="20"/>
              </w:rPr>
            </w:pPr>
            <w:r>
              <w:rPr>
                <w:rFonts w:ascii="Times New Roman" w:hAnsi="Times New Roman"/>
                <w:b/>
                <w:noProof/>
                <w:sz w:val="20"/>
              </w:rPr>
              <w:t>Unija demokratičnih sprememb</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 xml:space="preserve">Posodobitev postopkov v odboru </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Predlogi za uskladitev pravil o sekundarni zakonodaji s posodobljenimi pravili Pogodbe</w:t>
            </w:r>
            <w:r>
              <w:rPr>
                <w:noProof/>
              </w:rPr>
              <w:t xml:space="preserve"> </w:t>
            </w:r>
            <w:r>
              <w:rPr>
                <w:rFonts w:ascii="Times New Roman" w:hAnsi="Times New Roman"/>
                <w:noProof/>
                <w:sz w:val="20"/>
              </w:rPr>
              <w:t>(zakonodajna pobuda; prvo četrtletje leta 2017)</w:t>
            </w:r>
            <w:r>
              <w:rPr>
                <w:rFonts w:ascii="Times New Roman" w:hAnsi="Times New Roman"/>
                <w:b/>
                <w:noProof/>
                <w:sz w:val="20"/>
              </w:rPr>
              <w:t xml:space="preserve"> ter ocena demokratične legitimnosti obstoječih postopkov za sprejetje delegiranih in izvedbenih aktov</w:t>
            </w:r>
            <w:r>
              <w:rPr>
                <w:rFonts w:ascii="Times New Roman" w:hAnsi="Times New Roman"/>
                <w:noProof/>
                <w:sz w:val="20"/>
              </w:rPr>
              <w:t xml:space="preserve"> (nezakonodajna pobuda; prvo četrtletje leta 2017)</w:t>
            </w:r>
            <w:r>
              <w:rPr>
                <w:rFonts w:ascii="Times New Roman" w:hAnsi="Times New Roman"/>
                <w:b/>
                <w:noProof/>
                <w:sz w:val="20"/>
              </w:rPr>
              <w:t>.</w:t>
            </w:r>
          </w:p>
        </w:tc>
      </w:tr>
      <w:tr>
        <w:trPr>
          <w:cantSplit/>
        </w:trPr>
        <w:tc>
          <w:tcPr>
            <w:tcW w:w="181" w:type="pct"/>
            <w:shd w:val="clear" w:color="auto" w:fill="auto"/>
          </w:tcPr>
          <w:p>
            <w:pPr>
              <w:numPr>
                <w:ilvl w:val="0"/>
                <w:numId w:val="1"/>
              </w:numPr>
              <w:spacing w:after="0" w:line="240" w:lineRule="auto"/>
              <w:rPr>
                <w:rFonts w:ascii="Times New Roman" w:hAnsi="Times New Roman"/>
                <w:b/>
                <w:noProof/>
                <w:color w:val="000000"/>
                <w:sz w:val="20"/>
                <w:szCs w:val="20"/>
              </w:rPr>
            </w:pPr>
          </w:p>
        </w:tc>
        <w:tc>
          <w:tcPr>
            <w:tcW w:w="1254" w:type="pct"/>
          </w:tcPr>
          <w:p>
            <w:pPr>
              <w:spacing w:after="0"/>
              <w:rPr>
                <w:rFonts w:ascii="Times New Roman" w:hAnsi="Times New Roman"/>
                <w:b/>
                <w:noProof/>
                <w:sz w:val="20"/>
                <w:szCs w:val="20"/>
              </w:rPr>
            </w:pPr>
            <w:r>
              <w:rPr>
                <w:rFonts w:ascii="Times New Roman" w:hAnsi="Times New Roman"/>
                <w:b/>
                <w:noProof/>
                <w:sz w:val="20"/>
              </w:rPr>
              <w:t>Bolj strateški pristop k izvrševanju prava EU</w:t>
            </w:r>
          </w:p>
        </w:tc>
        <w:tc>
          <w:tcPr>
            <w:tcW w:w="3565" w:type="pct"/>
          </w:tcPr>
          <w:p>
            <w:pPr>
              <w:spacing w:after="0"/>
              <w:jc w:val="both"/>
              <w:rPr>
                <w:rFonts w:ascii="Times New Roman" w:hAnsi="Times New Roman"/>
                <w:b/>
                <w:noProof/>
                <w:sz w:val="20"/>
                <w:szCs w:val="20"/>
              </w:rPr>
            </w:pPr>
            <w:r>
              <w:rPr>
                <w:rFonts w:ascii="Times New Roman" w:hAnsi="Times New Roman"/>
                <w:b/>
                <w:noProof/>
                <w:sz w:val="20"/>
              </w:rPr>
              <w:t>Ukrepi za okrepitev prizadevanj na področju uporabe, izvajanja in izvrševanja prava EU</w:t>
            </w:r>
            <w:r>
              <w:rPr>
                <w:noProof/>
              </w:rPr>
              <w:t xml:space="preserve"> </w:t>
            </w:r>
            <w:r>
              <w:rPr>
                <w:rFonts w:ascii="Times New Roman" w:hAnsi="Times New Roman"/>
                <w:noProof/>
                <w:sz w:val="20"/>
              </w:rPr>
              <w:t xml:space="preserve">(nezakonodajna pobuda; zadnje četrtletje leta 2016) </w:t>
            </w:r>
            <w:r>
              <w:rPr>
                <w:rFonts w:ascii="Times New Roman" w:hAnsi="Times New Roman"/>
                <w:b/>
                <w:noProof/>
                <w:sz w:val="20"/>
              </w:rPr>
              <w:t>v skladu s prednostnimi nalogami Komisije; konkretni predlogi za zagotovitev boljšega izvrševanja pravil enotnega trga</w:t>
            </w:r>
            <w:r>
              <w:rPr>
                <w:rFonts w:ascii="Times New Roman" w:hAnsi="Times New Roman"/>
                <w:noProof/>
                <w:sz w:val="20"/>
              </w:rPr>
              <w:t xml:space="preserve"> (glej točko 6 zgoraj) </w:t>
            </w:r>
            <w:r>
              <w:rPr>
                <w:rFonts w:ascii="Times New Roman" w:hAnsi="Times New Roman"/>
                <w:b/>
                <w:noProof/>
                <w:sz w:val="20"/>
              </w:rPr>
              <w:t>ter pobude v okviru programa REFIT za zagotovitev pravilnega izvajanja in izvrševanja okoljske zakonodaje, vključno z zagotavljanjem skladnosti z okoljskimi predpisi</w:t>
            </w:r>
            <w:r>
              <w:rPr>
                <w:rFonts w:ascii="Times New Roman" w:hAnsi="Times New Roman"/>
                <w:noProof/>
                <w:sz w:val="20"/>
              </w:rPr>
              <w:t xml:space="preserve"> (nezakonodajna pobuda; tretje četrtletje leta 2017)</w:t>
            </w:r>
            <w:r>
              <w:rPr>
                <w:rFonts w:ascii="Times New Roman" w:hAnsi="Times New Roman"/>
                <w:b/>
                <w:noProof/>
                <w:sz w:val="20"/>
              </w:rPr>
              <w:t>, dostopa do pravnega varstva</w:t>
            </w:r>
            <w:r>
              <w:rPr>
                <w:rFonts w:ascii="Times New Roman" w:hAnsi="Times New Roman"/>
                <w:noProof/>
                <w:sz w:val="20"/>
              </w:rPr>
              <w:t xml:space="preserve"> (nezakonodajna pobuda; prvo četrtletje leta 2017) </w:t>
            </w:r>
            <w:r>
              <w:rPr>
                <w:rFonts w:ascii="Times New Roman" w:hAnsi="Times New Roman"/>
                <w:b/>
                <w:noProof/>
                <w:sz w:val="20"/>
              </w:rPr>
              <w:t>ter spremljanja, preglednosti in poročanja</w:t>
            </w:r>
            <w:r>
              <w:rPr>
                <w:rFonts w:ascii="Times New Roman" w:hAnsi="Times New Roman"/>
                <w:noProof/>
                <w:sz w:val="20"/>
              </w:rPr>
              <w:t xml:space="preserve"> (zakonodajna/nezakonodajna pobuda; drugo četrtletje leta 2017)</w:t>
            </w:r>
            <w:r>
              <w:rPr>
                <w:rFonts w:ascii="Times New Roman" w:hAnsi="Times New Roman"/>
                <w:b/>
                <w:noProof/>
                <w:sz w:val="20"/>
              </w:rPr>
              <w:t>.</w:t>
            </w:r>
          </w:p>
        </w:tc>
      </w:tr>
    </w:tbl>
    <w:p>
      <w:pPr>
        <w:spacing w:after="600"/>
        <w:jc w:val="center"/>
        <w:outlineLvl w:val="0"/>
        <w:rPr>
          <w:noProof/>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7507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Komisija v skladu z Medinstitucionalnim sporazumom o boljši pripravi zakonodaje v tej prilogi navaja dodatne informacije, če so na voljo, o pobudah, ki so vključene v njen delovni program. Te informacije, ki so navedene v oklepajih pod opisom posamezne pobude, so zgolj okvirne in se lahko spremenijo med pripravljalnim postopkom, zlasti zaradi rezultatov ocene učinka.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k"/>
    <w:docVar w:name="LW_ANNEX_NBR_FIRST" w:val="1"/>
    <w:docVar w:name="LW_ANNEX_NBR_LAST" w:val="1"/>
    <w:docVar w:name="LW_CONFIDENCE" w:val=" "/>
    <w:docVar w:name="LW_CONST_RESTREINT_UE" w:val="RESTREINT UE"/>
    <w:docVar w:name="LW_CORRIGENDUM" w:val="&lt;UNUSED&gt;"/>
    <w:docVar w:name="LW_COVERPAGE_GUID" w:val="28B6E563D9D94A04928A0CD90AF03BF6"/>
    <w:docVar w:name="LW_CROSSREFERENCE" w:val="{SWD(2016) 400 final}"/>
    <w:docVar w:name="LW_DocType" w:val="NORMAL"/>
    <w:docVar w:name="LW_EMISSION" w:val="25.10.2016"/>
    <w:docVar w:name="LW_EMISSION_ISODATE" w:val="2016-10-25"/>
    <w:docVar w:name="LW_EMISSION_LOCATION" w:val="STR"/>
    <w:docVar w:name="LW_EMISSION_PREFIX" w:val="Strasbourg, "/>
    <w:docVar w:name="LW_EMISSION_SUFFIX" w:val=" "/>
    <w:docVar w:name="LW_ID_DOCTYPE_NONLW" w:val="CP-039"/>
    <w:docVar w:name="LW_LANGUE" w:val="SL"/>
    <w:docVar w:name="LW_MARKING" w:val="&lt;UNUSED&gt;"/>
    <w:docVar w:name="LW_NOM.INST" w:val="EVROPSKA KOMISIJA"/>
    <w:docVar w:name="LW_NOM.INST_JOINTDOC" w:val="&lt;EMPTY&gt;"/>
    <w:docVar w:name="LW_OBJETACTEPRINCIPAL.CP" w:val="_x000b_Delovni program Komisije za leto 2017_x000b__x000b_Za Evropo, ki varuje, opolnomo\u269?a in \u353?\u269?iti"/>
    <w:docVar w:name="LW_PART_NBR" w:val="1"/>
    <w:docVar w:name="LW_PART_NBR_TOTAL" w:val="1"/>
    <w:docVar w:name="LW_REF.INST.NEW" w:val="COM"/>
    <w:docVar w:name="LW_REF.INST.NEW_ADOPTED" w:val="final"/>
    <w:docVar w:name="LW_REF.INST.NEW_TEXT" w:val="(2016) 710"/>
    <w:docVar w:name="LW_REF.INTERNE" w:val="&lt;UNUSED&gt;"/>
    <w:docVar w:name="LW_SUPERTITRE" w:val="&lt;UNUSED&gt;"/>
    <w:docVar w:name="LW_TITRE.OBJ.CP" w:val="&lt;UNUSED&gt;"/>
    <w:docVar w:name="LW_TYPE.DOC.CP" w:val="PRILOGA_x000b_"/>
    <w:docVar w:name="LW_TYPEACTEPRINCIPAL.CP" w:val="SPORO\u268?ILU KOMISIJE EVROPSKEMU PARLAMEN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sl-SI"/>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sl-SI"/>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2E1F-0DEB-4B87-81B9-ACB060C8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1658</Words>
  <Characters>10602</Characters>
  <Application>Microsoft Office Word</Application>
  <DocSecurity>0</DocSecurity>
  <Lines>179</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David (SG)</dc:creator>
  <cp:lastModifiedBy>DIGIT/A3</cp:lastModifiedBy>
  <cp:revision>23</cp:revision>
  <cp:lastPrinted>2016-10-24T19:22:00Z</cp:lastPrinted>
  <dcterms:created xsi:type="dcterms:W3CDTF">2016-10-25T06:07:00Z</dcterms:created>
  <dcterms:modified xsi:type="dcterms:W3CDTF">2016-11-07T08:58:00Z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