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28A10234EF9B4745ACC548ABB4296D5B" style="width:451pt;height:43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pPr>
        <w:spacing w:after="480"/>
        <w:jc w:val="center"/>
        <w:outlineLvl w:val="0"/>
        <w:rPr>
          <w:rFonts w:ascii="Times New Roman" w:hAnsi="Times New Roman"/>
          <w:b/>
          <w:noProof/>
          <w:sz w:val="28"/>
          <w:szCs w:val="28"/>
          <w:u w:val="single"/>
        </w:rPr>
      </w:pPr>
      <w:bookmarkStart w:id="1" w:name="_GoBack"/>
      <w:bookmarkEnd w:id="1"/>
      <w:r>
        <w:rPr>
          <w:rFonts w:ascii="Times New Roman" w:hAnsi="Times New Roman"/>
          <w:b/>
          <w:noProof/>
          <w:sz w:val="28"/>
          <w:u w:val="single"/>
        </w:rPr>
        <w:lastRenderedPageBreak/>
        <w:t>Priloga IV: umiki</w:t>
      </w:r>
      <w:r>
        <w:rPr>
          <w:rStyle w:val="FootnoteReference"/>
          <w:rFonts w:ascii="Times New Roman" w:hAnsi="Times New Roman"/>
          <w:b/>
          <w:noProof/>
          <w:sz w:val="28"/>
          <w:u w:val="single"/>
        </w:rPr>
        <w:footnoteReference w:id="1"/>
      </w:r>
    </w:p>
    <w:tbl>
      <w:tblPr>
        <w:tblStyle w:val="TableGrid"/>
        <w:tblW w:w="4981" w:type="pct"/>
        <w:tblLayout w:type="fixed"/>
        <w:tblCellMar>
          <w:top w:w="28" w:type="dxa"/>
          <w:left w:w="85" w:type="dxa"/>
          <w:bottom w:w="28" w:type="dxa"/>
          <w:right w:w="85" w:type="dxa"/>
        </w:tblCellMar>
        <w:tblLook w:val="04A0" w:firstRow="1" w:lastRow="0" w:firstColumn="1" w:lastColumn="0" w:noHBand="0" w:noVBand="1"/>
      </w:tblPr>
      <w:tblGrid>
        <w:gridCol w:w="525"/>
        <w:gridCol w:w="2412"/>
        <w:gridCol w:w="6546"/>
        <w:gridCol w:w="4637"/>
      </w:tblGrid>
      <w:tr>
        <w:trPr>
          <w:cantSplit/>
          <w:trHeight w:val="564"/>
          <w:tblHeader/>
        </w:trPr>
        <w:tc>
          <w:tcPr>
            <w:tcW w:w="186" w:type="pct"/>
            <w:tcBorders>
              <w:bottom w:val="single" w:sz="4" w:space="0" w:color="auto"/>
            </w:tcBorders>
            <w:shd w:val="clear" w:color="auto" w:fill="99CCFF"/>
            <w:vAlign w:val="center"/>
          </w:tcPr>
          <w:p>
            <w:pPr>
              <w:jc w:val="center"/>
              <w:rPr>
                <w:rFonts w:ascii="Times New Roman" w:eastAsia="Times New Roman" w:hAnsi="Times New Roman"/>
                <w:b/>
                <w:noProof/>
              </w:rPr>
            </w:pPr>
            <w:r>
              <w:rPr>
                <w:rFonts w:ascii="Times New Roman" w:hAnsi="Times New Roman"/>
                <w:b/>
                <w:noProof/>
              </w:rPr>
              <w:t>Št.</w:t>
            </w:r>
          </w:p>
        </w:tc>
        <w:tc>
          <w:tcPr>
            <w:tcW w:w="854" w:type="pct"/>
            <w:tcBorders>
              <w:bottom w:val="single" w:sz="4" w:space="0" w:color="auto"/>
            </w:tcBorders>
            <w:shd w:val="clear" w:color="auto" w:fill="99CCFF"/>
            <w:vAlign w:val="center"/>
          </w:tcPr>
          <w:p>
            <w:pPr>
              <w:jc w:val="center"/>
              <w:rPr>
                <w:rFonts w:ascii="Times New Roman" w:eastAsia="Times New Roman" w:hAnsi="Times New Roman"/>
                <w:b/>
                <w:noProof/>
              </w:rPr>
            </w:pPr>
            <w:r>
              <w:rPr>
                <w:rFonts w:ascii="Times New Roman" w:hAnsi="Times New Roman"/>
                <w:b/>
                <w:noProof/>
              </w:rPr>
              <w:t>COM/medinstitucionalni sklic</w:t>
            </w:r>
          </w:p>
        </w:tc>
        <w:tc>
          <w:tcPr>
            <w:tcW w:w="2318" w:type="pct"/>
            <w:tcBorders>
              <w:bottom w:val="single" w:sz="4" w:space="0" w:color="auto"/>
            </w:tcBorders>
            <w:shd w:val="clear" w:color="auto" w:fill="99CCFF"/>
            <w:vAlign w:val="center"/>
          </w:tcPr>
          <w:p>
            <w:pPr>
              <w:jc w:val="center"/>
              <w:rPr>
                <w:rFonts w:ascii="Times New Roman" w:eastAsia="Times New Roman" w:hAnsi="Times New Roman"/>
                <w:bCs/>
                <w:noProof/>
              </w:rPr>
            </w:pPr>
            <w:r>
              <w:rPr>
                <w:rFonts w:ascii="Times New Roman" w:hAnsi="Times New Roman"/>
                <w:b/>
                <w:noProof/>
              </w:rPr>
              <w:t>Naslov</w:t>
            </w:r>
          </w:p>
        </w:tc>
        <w:tc>
          <w:tcPr>
            <w:tcW w:w="1643" w:type="pct"/>
            <w:tcBorders>
              <w:bottom w:val="single" w:sz="4" w:space="0" w:color="auto"/>
            </w:tcBorders>
            <w:shd w:val="clear" w:color="auto" w:fill="99CCFF"/>
            <w:vAlign w:val="center"/>
          </w:tcPr>
          <w:p>
            <w:pPr>
              <w:jc w:val="center"/>
              <w:rPr>
                <w:rFonts w:ascii="Times New Roman" w:eastAsia="Times New Roman" w:hAnsi="Times New Roman"/>
                <w:noProof/>
              </w:rPr>
            </w:pPr>
            <w:r>
              <w:rPr>
                <w:rFonts w:ascii="Times New Roman" w:hAnsi="Times New Roman"/>
                <w:b/>
                <w:noProof/>
              </w:rPr>
              <w:t>Razlog za umik</w:t>
            </w:r>
          </w:p>
        </w:tc>
      </w:tr>
      <w:tr>
        <w:trPr>
          <w:cantSplit/>
        </w:trPr>
        <w:tc>
          <w:tcPr>
            <w:tcW w:w="5000" w:type="pct"/>
            <w:gridSpan w:val="4"/>
            <w:shd w:val="clear" w:color="auto" w:fill="F2F2F2" w:themeFill="background1" w:themeFillShade="F2"/>
            <w:vAlign w:val="center"/>
          </w:tcPr>
          <w:p>
            <w:pPr>
              <w:spacing w:before="60" w:after="60"/>
              <w:ind w:right="-170"/>
              <w:rPr>
                <w:rFonts w:ascii="Times New Roman" w:hAnsi="Times New Roman"/>
                <w:b/>
                <w:noProof/>
              </w:rPr>
            </w:pPr>
            <w:r>
              <w:rPr>
                <w:rFonts w:ascii="Times New Roman" w:hAnsi="Times New Roman"/>
                <w:b/>
                <w:noProof/>
              </w:rPr>
              <w:t>Kmetijstvo in razvoj podeželja</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eastAsia="Times New Roman" w:hAnsi="Times New Roman"/>
                <w:noProof/>
              </w:rPr>
            </w:pPr>
            <w:r>
              <w:rPr>
                <w:rFonts w:ascii="Times New Roman" w:hAnsi="Times New Roman"/>
                <w:noProof/>
              </w:rPr>
              <w:t>COM/2016/0159</w:t>
            </w:r>
          </w:p>
          <w:p>
            <w:pPr>
              <w:jc w:val="both"/>
              <w:rPr>
                <w:rFonts w:ascii="Times New Roman" w:eastAsia="Times New Roman" w:hAnsi="Times New Roman"/>
                <w:noProof/>
              </w:rPr>
            </w:pPr>
            <w:r>
              <w:rPr>
                <w:rFonts w:ascii="Times New Roman" w:hAnsi="Times New Roman"/>
                <w:noProof/>
              </w:rPr>
              <w:t>2016/0086 (COD)</w:t>
            </w:r>
          </w:p>
        </w:tc>
        <w:tc>
          <w:tcPr>
            <w:tcW w:w="2318" w:type="pct"/>
          </w:tcPr>
          <w:p>
            <w:pPr>
              <w:jc w:val="both"/>
              <w:rPr>
                <w:rFonts w:ascii="Times New Roman" w:eastAsia="Times New Roman" w:hAnsi="Times New Roman"/>
                <w:bCs/>
                <w:noProof/>
              </w:rPr>
            </w:pPr>
            <w:r>
              <w:rPr>
                <w:rFonts w:ascii="Times New Roman" w:hAnsi="Times New Roman"/>
                <w:noProof/>
              </w:rPr>
              <w:t>Predlog UREDBE EVROPSKEGA PARLAMENTA IN SVETA o določitvi prilagoditvene stopnje za neposredna plačila, določene v Uredbi Sveta (EU) št. 1306/2013, za koledarsko leto 2016</w:t>
            </w:r>
          </w:p>
        </w:tc>
        <w:tc>
          <w:tcPr>
            <w:tcW w:w="1643" w:type="pct"/>
          </w:tcPr>
          <w:p>
            <w:pPr>
              <w:jc w:val="both"/>
              <w:rPr>
                <w:rFonts w:ascii="Times New Roman" w:eastAsia="Times New Roman" w:hAnsi="Times New Roman"/>
                <w:noProof/>
              </w:rPr>
            </w:pPr>
            <w:r>
              <w:rPr>
                <w:rFonts w:ascii="Times New Roman" w:hAnsi="Times New Roman"/>
                <w:noProof/>
              </w:rPr>
              <w:t>Predlog je zastarel: zadeva je obravnavana v Izvedbeni uredbi Komisije (EU) 2016/1153 z dne 14. julija 2016.</w:t>
            </w:r>
          </w:p>
          <w:p>
            <w:pPr>
              <w:jc w:val="both"/>
              <w:rPr>
                <w:rFonts w:ascii="Times New Roman" w:eastAsia="Times New Roman" w:hAnsi="Times New Roman"/>
                <w:noProof/>
              </w:rPr>
            </w:pPr>
          </w:p>
        </w:tc>
      </w:tr>
      <w:tr>
        <w:trPr>
          <w:cantSplit/>
        </w:trPr>
        <w:tc>
          <w:tcPr>
            <w:tcW w:w="5000" w:type="pct"/>
            <w:gridSpan w:val="4"/>
            <w:shd w:val="clear" w:color="auto" w:fill="F2F2F2" w:themeFill="background1" w:themeFillShade="F2"/>
            <w:vAlign w:val="center"/>
          </w:tcPr>
          <w:p>
            <w:pPr>
              <w:spacing w:before="60" w:after="60"/>
              <w:ind w:right="-170"/>
              <w:rPr>
                <w:rFonts w:ascii="Times New Roman" w:hAnsi="Times New Roman"/>
                <w:b/>
                <w:noProof/>
              </w:rPr>
            </w:pPr>
            <w:r>
              <w:rPr>
                <w:rFonts w:ascii="Times New Roman" w:hAnsi="Times New Roman"/>
                <w:b/>
                <w:noProof/>
              </w:rPr>
              <w:t>Podnebni ukrepi in energija</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COM/2014/0566</w:t>
            </w:r>
          </w:p>
          <w:p>
            <w:pPr>
              <w:jc w:val="both"/>
              <w:rPr>
                <w:rFonts w:ascii="Times New Roman" w:hAnsi="Times New Roman"/>
                <w:i/>
                <w:iCs/>
                <w:noProof/>
                <w:color w:val="000000"/>
              </w:rPr>
            </w:pPr>
            <w:r>
              <w:rPr>
                <w:rFonts w:ascii="Times New Roman" w:hAnsi="Times New Roman"/>
                <w:noProof/>
              </w:rPr>
              <w:t>2014/0262/NLE</w:t>
            </w:r>
          </w:p>
        </w:tc>
        <w:tc>
          <w:tcPr>
            <w:tcW w:w="2318" w:type="pct"/>
          </w:tcPr>
          <w:p>
            <w:pPr>
              <w:jc w:val="both"/>
              <w:rPr>
                <w:rFonts w:ascii="Times New Roman" w:eastAsia="Times New Roman" w:hAnsi="Times New Roman"/>
                <w:bCs/>
                <w:noProof/>
              </w:rPr>
            </w:pPr>
            <w:r>
              <w:rPr>
                <w:rFonts w:ascii="Times New Roman" w:hAnsi="Times New Roman"/>
                <w:noProof/>
              </w:rPr>
              <w:t>Predlog SKLEPA SVETA o določitvi smernic Komisiji za pogajanja o spremembah Konvencije o jedrski varnosti v okviru diplomatske konference pogodbenic navedene Konvencije</w:t>
            </w:r>
          </w:p>
        </w:tc>
        <w:tc>
          <w:tcPr>
            <w:tcW w:w="1643" w:type="pct"/>
          </w:tcPr>
          <w:p>
            <w:pPr>
              <w:jc w:val="both"/>
              <w:rPr>
                <w:rFonts w:ascii="Times New Roman" w:eastAsia="Times New Roman" w:hAnsi="Times New Roman"/>
                <w:noProof/>
              </w:rPr>
            </w:pPr>
            <w:r>
              <w:rPr>
                <w:rFonts w:ascii="Times New Roman" w:hAnsi="Times New Roman"/>
                <w:noProof/>
              </w:rPr>
              <w:t>Predlog je zastarel: spremembe so bile obravnavane na Konvenciji o jedrski varnosti na Dunaju.</w:t>
            </w:r>
          </w:p>
        </w:tc>
      </w:tr>
      <w:tr>
        <w:trPr>
          <w:cantSplit/>
        </w:trPr>
        <w:tc>
          <w:tcPr>
            <w:tcW w:w="5000" w:type="pct"/>
            <w:gridSpan w:val="4"/>
            <w:shd w:val="clear" w:color="auto" w:fill="F2F2F2" w:themeFill="background1" w:themeFillShade="F2"/>
            <w:vAlign w:val="center"/>
          </w:tcPr>
          <w:p>
            <w:pPr>
              <w:spacing w:before="60" w:after="60"/>
              <w:ind w:right="-170"/>
              <w:rPr>
                <w:rFonts w:ascii="Times New Roman" w:hAnsi="Times New Roman"/>
                <w:b/>
                <w:noProof/>
              </w:rPr>
            </w:pPr>
            <w:r>
              <w:rPr>
                <w:rFonts w:ascii="Times New Roman" w:hAnsi="Times New Roman"/>
                <w:b/>
                <w:noProof/>
              </w:rPr>
              <w:t>Gospodarske in finančne zadeve, obdavčenje in carina</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eastAsia="Times New Roman" w:hAnsi="Times New Roman"/>
                <w:bCs/>
                <w:noProof/>
              </w:rPr>
            </w:pPr>
            <w:r>
              <w:rPr>
                <w:rFonts w:ascii="Times New Roman" w:hAnsi="Times New Roman"/>
                <w:noProof/>
              </w:rPr>
              <w:t>COM/2011/0121</w:t>
            </w:r>
          </w:p>
          <w:p>
            <w:pPr>
              <w:jc w:val="both"/>
              <w:rPr>
                <w:rFonts w:ascii="Times New Roman" w:eastAsia="Times New Roman" w:hAnsi="Times New Roman"/>
                <w:bCs/>
                <w:noProof/>
              </w:rPr>
            </w:pPr>
            <w:r>
              <w:rPr>
                <w:rFonts w:ascii="Times New Roman" w:hAnsi="Times New Roman"/>
                <w:noProof/>
              </w:rPr>
              <w:t>2011/0058 (CNS)</w:t>
            </w:r>
          </w:p>
        </w:tc>
        <w:tc>
          <w:tcPr>
            <w:tcW w:w="2318" w:type="pct"/>
          </w:tcPr>
          <w:p>
            <w:pPr>
              <w:jc w:val="both"/>
              <w:rPr>
                <w:rFonts w:ascii="Times New Roman" w:eastAsia="Times New Roman" w:hAnsi="Times New Roman"/>
                <w:bCs/>
                <w:noProof/>
              </w:rPr>
            </w:pPr>
            <w:r>
              <w:rPr>
                <w:rFonts w:ascii="Times New Roman" w:hAnsi="Times New Roman"/>
                <w:noProof/>
              </w:rPr>
              <w:t>Predlog DIREKTIVE SVETA o skupni konsolidirani osnovi za davek od dohodkov pravnih oseb (CCCTB)</w:t>
            </w:r>
          </w:p>
        </w:tc>
        <w:tc>
          <w:tcPr>
            <w:tcW w:w="1643" w:type="pct"/>
          </w:tcPr>
          <w:p>
            <w:pPr>
              <w:jc w:val="both"/>
              <w:rPr>
                <w:rFonts w:ascii="Times New Roman" w:eastAsia="Times New Roman" w:hAnsi="Times New Roman"/>
                <w:noProof/>
              </w:rPr>
            </w:pPr>
            <w:r>
              <w:rPr>
                <w:rFonts w:ascii="Times New Roman" w:hAnsi="Times New Roman"/>
                <w:noProof/>
              </w:rPr>
              <w:t>Komisija se je v okviru nadaljnjega ukrepanja na podlagi akcijskega načrta za obdavčenje pravnih oseb iz junija 2015 ponovno lotila dela v zvezi s skupno konsolidirano osnovo za davek od dohodkov pravnih oseb (CCCTB), tokrat na podlagi novega, postopnega pristopa. Zakonodajni predlog za obvezno skupno osnovo za davek od dohodkov pravnih oseb je bil sprejet 25. oktobra 2016. V skladu z napovedmi iz delovnega programa Komisije za leto 2016 je bil prejšnji predlog hkrati umaknjen.</w:t>
            </w:r>
          </w:p>
        </w:tc>
      </w:tr>
      <w:tr>
        <w:trPr>
          <w:cantSplit/>
        </w:trPr>
        <w:tc>
          <w:tcPr>
            <w:tcW w:w="5000" w:type="pct"/>
            <w:gridSpan w:val="4"/>
            <w:shd w:val="clear" w:color="auto" w:fill="F2F2F2" w:themeFill="background1" w:themeFillShade="F2"/>
            <w:vAlign w:val="center"/>
          </w:tcPr>
          <w:p>
            <w:pPr>
              <w:keepNext/>
              <w:spacing w:before="60" w:after="60"/>
              <w:ind w:right="-170"/>
              <w:rPr>
                <w:rFonts w:ascii="Times New Roman" w:hAnsi="Times New Roman"/>
                <w:b/>
                <w:noProof/>
              </w:rPr>
            </w:pPr>
            <w:r>
              <w:rPr>
                <w:rFonts w:ascii="Times New Roman" w:hAnsi="Times New Roman"/>
                <w:b/>
                <w:noProof/>
              </w:rPr>
              <w:t>Zunanje zadeve in varnostna politika</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KOM/2005/0397</w:t>
            </w:r>
          </w:p>
        </w:tc>
        <w:tc>
          <w:tcPr>
            <w:tcW w:w="2318" w:type="pct"/>
          </w:tcPr>
          <w:p>
            <w:pPr>
              <w:jc w:val="both"/>
              <w:rPr>
                <w:rFonts w:ascii="Times New Roman" w:eastAsia="Times New Roman" w:hAnsi="Times New Roman"/>
                <w:bCs/>
                <w:noProof/>
              </w:rPr>
            </w:pPr>
            <w:r>
              <w:rPr>
                <w:rFonts w:ascii="Times New Roman" w:hAnsi="Times New Roman"/>
                <w:noProof/>
              </w:rPr>
              <w:t>Predlog SKLEPA SVETA o stališču Skupnosti v Skupnem odboru o izvajanju člena 66 Začasnega evro-mediteranskega pridružitvenega sporazuma o trgovini in sodelovanju med Evropsko skupnostjo na eni strani ter Palestinsko osvobodilno organizacijo (PLO) za Palestinsko upravo Zahodnega brega in Gaze na drugi strani</w:t>
            </w:r>
          </w:p>
        </w:tc>
        <w:tc>
          <w:tcPr>
            <w:tcW w:w="1643" w:type="pct"/>
          </w:tcPr>
          <w:p>
            <w:pPr>
              <w:jc w:val="both"/>
              <w:rPr>
                <w:rFonts w:ascii="Times New Roman" w:eastAsia="Times New Roman" w:hAnsi="Times New Roman"/>
                <w:noProof/>
              </w:rPr>
            </w:pPr>
            <w:r>
              <w:rPr>
                <w:rFonts w:ascii="Times New Roman" w:hAnsi="Times New Roman"/>
                <w:noProof/>
              </w:rPr>
              <w:t>Predlog je zastarel: najnovejši relevanten dokument o tej zadevi je Sklep Skupnega odbora EU–PLO o ustanovitvi šestih pododborov (UL L 187, 17.7.2012, str. 64–72).</w:t>
            </w:r>
            <w:r>
              <w:rPr>
                <w:rFonts w:ascii="Times New Roman" w:eastAsia="Times New Roman" w:hAnsi="Times New Roman"/>
                <w:noProof/>
              </w:rPr>
              <w:br/>
            </w:r>
          </w:p>
          <w:p>
            <w:pPr>
              <w:jc w:val="both"/>
              <w:rPr>
                <w:rFonts w:ascii="Times New Roman" w:eastAsia="Times New Roman" w:hAnsi="Times New Roman"/>
                <w:noProof/>
              </w:rPr>
            </w:pP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JOIN/2015/0035</w:t>
            </w:r>
          </w:p>
          <w:p>
            <w:pPr>
              <w:jc w:val="both"/>
              <w:rPr>
                <w:rFonts w:ascii="Times New Roman" w:hAnsi="Times New Roman"/>
                <w:noProof/>
                <w:color w:val="000000"/>
              </w:rPr>
            </w:pPr>
            <w:r>
              <w:rPr>
                <w:rFonts w:ascii="Times New Roman" w:hAnsi="Times New Roman"/>
                <w:noProof/>
                <w:color w:val="000000"/>
              </w:rPr>
              <w:t>2015/0303 (NLE)</w:t>
            </w:r>
          </w:p>
        </w:tc>
        <w:tc>
          <w:tcPr>
            <w:tcW w:w="2318" w:type="pct"/>
          </w:tcPr>
          <w:p>
            <w:pPr>
              <w:jc w:val="both"/>
              <w:rPr>
                <w:rFonts w:ascii="Times New Roman" w:eastAsia="Times New Roman" w:hAnsi="Times New Roman"/>
                <w:bCs/>
                <w:noProof/>
              </w:rPr>
            </w:pPr>
            <w:r>
              <w:rPr>
                <w:rFonts w:ascii="Times New Roman" w:hAnsi="Times New Roman"/>
                <w:noProof/>
              </w:rPr>
              <w:t xml:space="preserve">Skupni predlog SKLEPA SVETA o podpisu, v imenu Evropske unije, Sporazuma o sodelovanju za partnerstvo in razvoj med Evropsko unijo in Islamsko republiko Afganistan </w:t>
            </w:r>
          </w:p>
          <w:p>
            <w:pPr>
              <w:jc w:val="both"/>
              <w:rPr>
                <w:rFonts w:ascii="Times New Roman" w:eastAsia="Times New Roman" w:hAnsi="Times New Roman"/>
                <w:bCs/>
                <w:noProof/>
              </w:rPr>
            </w:pPr>
          </w:p>
        </w:tc>
        <w:tc>
          <w:tcPr>
            <w:tcW w:w="1643" w:type="pct"/>
          </w:tcPr>
          <w:p>
            <w:pPr>
              <w:jc w:val="both"/>
              <w:rPr>
                <w:rFonts w:ascii="Times New Roman" w:eastAsia="Times New Roman" w:hAnsi="Times New Roman"/>
                <w:noProof/>
              </w:rPr>
            </w:pPr>
            <w:r>
              <w:rPr>
                <w:rFonts w:ascii="Times New Roman" w:hAnsi="Times New Roman"/>
                <w:noProof/>
              </w:rPr>
              <w:t xml:space="preserve">Nadomeščen je bil s predlogom za mešani sporazum z začasno uporabo (JOIN(2016) 45). </w:t>
            </w:r>
          </w:p>
        </w:tc>
      </w:tr>
      <w:tr>
        <w:trPr>
          <w:cantSplit/>
        </w:trPr>
        <w:tc>
          <w:tcPr>
            <w:tcW w:w="5000" w:type="pct"/>
            <w:gridSpan w:val="4"/>
            <w:shd w:val="clear" w:color="auto" w:fill="F2F2F2" w:themeFill="background1" w:themeFillShade="F2"/>
            <w:vAlign w:val="center"/>
          </w:tcPr>
          <w:p>
            <w:pPr>
              <w:spacing w:before="60" w:after="60"/>
              <w:ind w:right="-170"/>
              <w:rPr>
                <w:rFonts w:ascii="Times New Roman" w:hAnsi="Times New Roman"/>
                <w:b/>
                <w:noProof/>
              </w:rPr>
            </w:pPr>
            <w:r>
              <w:rPr>
                <w:rFonts w:ascii="Times New Roman" w:hAnsi="Times New Roman"/>
                <w:b/>
                <w:noProof/>
              </w:rPr>
              <w:t>Zdravje in varnost hrane</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COM/2014/0004</w:t>
            </w:r>
          </w:p>
          <w:p>
            <w:pPr>
              <w:jc w:val="both"/>
              <w:rPr>
                <w:rFonts w:ascii="Times New Roman" w:hAnsi="Times New Roman"/>
                <w:iCs/>
                <w:noProof/>
                <w:color w:val="000000"/>
              </w:rPr>
            </w:pPr>
            <w:r>
              <w:rPr>
                <w:rFonts w:ascii="Times New Roman" w:hAnsi="Times New Roman"/>
                <w:noProof/>
                <w:color w:val="000000"/>
              </w:rPr>
              <w:t>2014/0033 (COD)</w:t>
            </w:r>
          </w:p>
        </w:tc>
        <w:tc>
          <w:tcPr>
            <w:tcW w:w="2318" w:type="pct"/>
          </w:tcPr>
          <w:p>
            <w:pPr>
              <w:jc w:val="both"/>
              <w:rPr>
                <w:rFonts w:ascii="Times New Roman" w:eastAsia="Times New Roman" w:hAnsi="Times New Roman"/>
                <w:bCs/>
                <w:noProof/>
              </w:rPr>
            </w:pPr>
            <w:r>
              <w:rPr>
                <w:rFonts w:ascii="Times New Roman" w:hAnsi="Times New Roman"/>
                <w:noProof/>
              </w:rPr>
              <w:t>Predlog DIREKTIVE EVROPSKEGA PARLAMENTA IN SVETA o spremembi direktiv 89/608/EGS, 90/425/EGS in 91/496/EGS glede sklicevanja na zootehniško zakonodajo</w:t>
            </w:r>
          </w:p>
        </w:tc>
        <w:tc>
          <w:tcPr>
            <w:tcW w:w="1643" w:type="pct"/>
          </w:tcPr>
          <w:p>
            <w:pPr>
              <w:jc w:val="both"/>
              <w:rPr>
                <w:rFonts w:ascii="Times New Roman" w:eastAsia="Times New Roman" w:hAnsi="Times New Roman"/>
                <w:noProof/>
              </w:rPr>
            </w:pPr>
            <w:r>
              <w:rPr>
                <w:rFonts w:ascii="Times New Roman" w:hAnsi="Times New Roman"/>
                <w:noProof/>
              </w:rPr>
              <w:t xml:space="preserve">Predlog je zastarel: vsebina predlagane direktive je bila prevzeta v novo sprejeto Uredbo (EU) 2016/1012 Evropskega parlamenta in Sveta o zootehniških in genealoških pogojih za rejo, trgovino s čistopasemskimi plemenskimi živalmi, hibridnimi plemenskimi prašiči in njihovim zarodnim materialom ter za njihov vstop v Unijo (UL L 171, 29.6.2016, str. 66–143).  </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KOM/2007/0872</w:t>
            </w:r>
          </w:p>
          <w:p>
            <w:pPr>
              <w:jc w:val="both"/>
              <w:rPr>
                <w:rFonts w:ascii="Times New Roman" w:hAnsi="Times New Roman"/>
                <w:iCs/>
                <w:noProof/>
                <w:color w:val="000000"/>
              </w:rPr>
            </w:pPr>
            <w:r>
              <w:rPr>
                <w:rFonts w:ascii="Times New Roman" w:hAnsi="Times New Roman"/>
                <w:noProof/>
                <w:color w:val="000000"/>
              </w:rPr>
              <w:t>2008/0002 (COD)</w:t>
            </w:r>
          </w:p>
        </w:tc>
        <w:tc>
          <w:tcPr>
            <w:tcW w:w="2318" w:type="pct"/>
          </w:tcPr>
          <w:p>
            <w:pPr>
              <w:jc w:val="both"/>
              <w:rPr>
                <w:rFonts w:ascii="Times New Roman" w:eastAsia="Times New Roman" w:hAnsi="Times New Roman"/>
                <w:bCs/>
                <w:noProof/>
              </w:rPr>
            </w:pPr>
            <w:r>
              <w:rPr>
                <w:rFonts w:ascii="Times New Roman" w:hAnsi="Times New Roman"/>
                <w:noProof/>
              </w:rPr>
              <w:t>Predlog UREDBE EVROPSKEGA PARLAMENTA IN SVETA o novih živilih in spremembi Uredbe (ES) št. XXX/XXXX [enotni postopek]</w:t>
            </w:r>
          </w:p>
        </w:tc>
        <w:tc>
          <w:tcPr>
            <w:tcW w:w="1643" w:type="pct"/>
          </w:tcPr>
          <w:p>
            <w:pPr>
              <w:jc w:val="both"/>
              <w:rPr>
                <w:rFonts w:ascii="Times New Roman" w:eastAsia="Times New Roman" w:hAnsi="Times New Roman"/>
                <w:noProof/>
              </w:rPr>
            </w:pPr>
            <w:r>
              <w:rPr>
                <w:rFonts w:ascii="Times New Roman" w:hAnsi="Times New Roman"/>
                <w:noProof/>
              </w:rPr>
              <w:t xml:space="preserve">Predlog je zastarel: spravni postopek se je neuspešno zaključil leta 2011. </w:t>
            </w:r>
          </w:p>
        </w:tc>
      </w:tr>
      <w:tr>
        <w:trPr>
          <w:cantSplit/>
        </w:trPr>
        <w:tc>
          <w:tcPr>
            <w:tcW w:w="5000" w:type="pct"/>
            <w:gridSpan w:val="4"/>
            <w:shd w:val="clear" w:color="auto" w:fill="F2F2F2" w:themeFill="background1" w:themeFillShade="F2"/>
            <w:vAlign w:val="center"/>
          </w:tcPr>
          <w:p>
            <w:pPr>
              <w:spacing w:before="60" w:after="60"/>
              <w:ind w:right="-170"/>
              <w:rPr>
                <w:rFonts w:ascii="Times New Roman" w:hAnsi="Times New Roman"/>
                <w:b/>
                <w:bCs/>
                <w:noProof/>
              </w:rPr>
            </w:pPr>
            <w:r>
              <w:rPr>
                <w:rFonts w:ascii="Times New Roman" w:hAnsi="Times New Roman"/>
                <w:b/>
                <w:noProof/>
              </w:rPr>
              <w:t>Notranji trg, industrija, podjetništvo ter mala in srednja podjetja (MSP)</w:t>
            </w:r>
          </w:p>
        </w:tc>
      </w:tr>
      <w:tr>
        <w:trPr>
          <w:cantSplit/>
        </w:trPr>
        <w:tc>
          <w:tcPr>
            <w:tcW w:w="186" w:type="pct"/>
            <w:tcBorders>
              <w:bottom w:val="single" w:sz="4" w:space="0" w:color="auto"/>
            </w:tcBorders>
          </w:tcPr>
          <w:p>
            <w:pPr>
              <w:pStyle w:val="ListParagraph"/>
              <w:numPr>
                <w:ilvl w:val="0"/>
                <w:numId w:val="5"/>
              </w:numPr>
              <w:ind w:left="284" w:right="-172" w:hanging="284"/>
              <w:contextualSpacing w:val="0"/>
              <w:rPr>
                <w:rFonts w:ascii="Times New Roman" w:hAnsi="Times New Roman"/>
                <w:noProof/>
              </w:rPr>
            </w:pPr>
          </w:p>
        </w:tc>
        <w:tc>
          <w:tcPr>
            <w:tcW w:w="854" w:type="pct"/>
            <w:tcBorders>
              <w:bottom w:val="single" w:sz="4" w:space="0" w:color="auto"/>
            </w:tcBorders>
          </w:tcPr>
          <w:p>
            <w:pPr>
              <w:jc w:val="both"/>
              <w:rPr>
                <w:rFonts w:ascii="Times New Roman" w:hAnsi="Times New Roman"/>
                <w:noProof/>
                <w:color w:val="000000"/>
              </w:rPr>
            </w:pPr>
            <w:r>
              <w:rPr>
                <w:rFonts w:ascii="Times New Roman" w:hAnsi="Times New Roman"/>
                <w:noProof/>
                <w:color w:val="000000"/>
              </w:rPr>
              <w:t>SEC(2010) 312 </w:t>
            </w:r>
          </w:p>
        </w:tc>
        <w:tc>
          <w:tcPr>
            <w:tcW w:w="2318" w:type="pct"/>
            <w:tcBorders>
              <w:bottom w:val="single" w:sz="4" w:space="0" w:color="auto"/>
            </w:tcBorders>
          </w:tcPr>
          <w:p>
            <w:pPr>
              <w:jc w:val="both"/>
              <w:rPr>
                <w:rFonts w:ascii="Times New Roman" w:eastAsia="Times New Roman" w:hAnsi="Times New Roman"/>
                <w:bCs/>
                <w:noProof/>
              </w:rPr>
            </w:pPr>
            <w:r>
              <w:rPr>
                <w:rFonts w:ascii="Times New Roman" w:hAnsi="Times New Roman"/>
                <w:noProof/>
              </w:rPr>
              <w:t>Priporočilo Evropske Komisije Svetu glede pooblastitve Evropske komisije za začetek pogajanj z državami nečlanicami EU z namenom sklenitve sporazumov o namestitvi zemeljskih postaj Galileo.</w:t>
            </w:r>
          </w:p>
        </w:tc>
        <w:tc>
          <w:tcPr>
            <w:tcW w:w="1643" w:type="pct"/>
            <w:tcBorders>
              <w:bottom w:val="single" w:sz="4" w:space="0" w:color="auto"/>
            </w:tcBorders>
          </w:tcPr>
          <w:p>
            <w:pPr>
              <w:jc w:val="both"/>
              <w:rPr>
                <w:rFonts w:ascii="Times New Roman" w:eastAsia="Times New Roman" w:hAnsi="Times New Roman"/>
                <w:noProof/>
              </w:rPr>
            </w:pPr>
            <w:r>
              <w:rPr>
                <w:rFonts w:ascii="Times New Roman" w:hAnsi="Times New Roman"/>
                <w:noProof/>
              </w:rPr>
              <w:t xml:space="preserve">Svet tega priporočila iz leta 2010 ni sprejel, saj je bila izbrana drugačna pot: namesto pogajanj za namestitev postaj Galileo v tretjih državah, kar je bil prvotni cilj tega predloga, so se države članice raje odločile za njihovo uporabo na ozemljih držav članic EU. </w:t>
            </w:r>
          </w:p>
        </w:tc>
      </w:tr>
      <w:tr>
        <w:trPr>
          <w:cantSplit/>
        </w:trPr>
        <w:tc>
          <w:tcPr>
            <w:tcW w:w="5000" w:type="pct"/>
            <w:gridSpan w:val="4"/>
            <w:shd w:val="clear" w:color="auto" w:fill="F2F2F2" w:themeFill="background1" w:themeFillShade="F2"/>
            <w:vAlign w:val="center"/>
          </w:tcPr>
          <w:p>
            <w:pPr>
              <w:spacing w:before="60" w:after="60"/>
              <w:ind w:right="-170"/>
              <w:rPr>
                <w:rFonts w:ascii="Times New Roman" w:hAnsi="Times New Roman"/>
                <w:b/>
                <w:noProof/>
              </w:rPr>
            </w:pPr>
            <w:r>
              <w:rPr>
                <w:rFonts w:ascii="Times New Roman" w:hAnsi="Times New Roman"/>
                <w:b/>
                <w:noProof/>
              </w:rPr>
              <w:t>Pravosodje, potrošniki in enakost spolov</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KOM/2011/0126</w:t>
            </w:r>
          </w:p>
          <w:p>
            <w:pPr>
              <w:jc w:val="both"/>
              <w:rPr>
                <w:rFonts w:ascii="Times New Roman" w:hAnsi="Times New Roman"/>
                <w:iCs/>
                <w:noProof/>
                <w:color w:val="000000"/>
              </w:rPr>
            </w:pPr>
            <w:r>
              <w:rPr>
                <w:rFonts w:ascii="Times New Roman" w:hAnsi="Times New Roman"/>
                <w:noProof/>
                <w:color w:val="000000"/>
              </w:rPr>
              <w:t>CNS 2011/0059</w:t>
            </w:r>
          </w:p>
        </w:tc>
        <w:tc>
          <w:tcPr>
            <w:tcW w:w="2318" w:type="pct"/>
          </w:tcPr>
          <w:p>
            <w:pPr>
              <w:jc w:val="both"/>
              <w:rPr>
                <w:rFonts w:ascii="Times New Roman" w:eastAsia="Times New Roman" w:hAnsi="Times New Roman"/>
                <w:bCs/>
                <w:noProof/>
              </w:rPr>
            </w:pPr>
            <w:r>
              <w:rPr>
                <w:rFonts w:ascii="Times New Roman" w:hAnsi="Times New Roman"/>
                <w:noProof/>
              </w:rPr>
              <w:t>Predlog UREDBE SVETA o pristojnosti, pravu, ki se uporablja, ter priznavanju in izvrševanju sodnih odločb na področju premoženjskih razmerij med zakoncema</w:t>
            </w:r>
          </w:p>
        </w:tc>
        <w:tc>
          <w:tcPr>
            <w:tcW w:w="1643" w:type="pct"/>
          </w:tcPr>
          <w:p>
            <w:pPr>
              <w:jc w:val="both"/>
              <w:rPr>
                <w:rFonts w:ascii="Times New Roman" w:eastAsia="Times New Roman" w:hAnsi="Times New Roman"/>
                <w:noProof/>
              </w:rPr>
            </w:pPr>
            <w:r>
              <w:rPr>
                <w:rFonts w:ascii="Times New Roman" w:hAnsi="Times New Roman"/>
                <w:noProof/>
              </w:rPr>
              <w:t>Predlog je zastarel: nadomestil ga je predlog v okviru postopka okrepljenega sodelovanja (COM(2016) 108).</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KOM/2011/0127</w:t>
            </w:r>
          </w:p>
          <w:p>
            <w:pPr>
              <w:jc w:val="both"/>
              <w:rPr>
                <w:rFonts w:ascii="Times New Roman" w:hAnsi="Times New Roman"/>
                <w:i/>
                <w:iCs/>
                <w:noProof/>
                <w:color w:val="000000"/>
              </w:rPr>
            </w:pPr>
            <w:r>
              <w:rPr>
                <w:rFonts w:ascii="Times New Roman" w:hAnsi="Times New Roman"/>
                <w:noProof/>
                <w:color w:val="000000"/>
              </w:rPr>
              <w:t>CNS 2011/0060</w:t>
            </w:r>
          </w:p>
        </w:tc>
        <w:tc>
          <w:tcPr>
            <w:tcW w:w="2318" w:type="pct"/>
          </w:tcPr>
          <w:p>
            <w:pPr>
              <w:jc w:val="both"/>
              <w:rPr>
                <w:rFonts w:ascii="Times New Roman" w:eastAsia="Times New Roman" w:hAnsi="Times New Roman"/>
                <w:bCs/>
                <w:noProof/>
              </w:rPr>
            </w:pPr>
            <w:r>
              <w:rPr>
                <w:rFonts w:ascii="Times New Roman" w:hAnsi="Times New Roman"/>
                <w:noProof/>
              </w:rPr>
              <w:t>Predlog UREDBE SVETA o pristojnosti, pravu, ki se uporablja, ter priznavanju in izvrševanju sodnih odločb na področju premoženjskopravnih posledic registriranih partnerskih skupnosti</w:t>
            </w:r>
          </w:p>
        </w:tc>
        <w:tc>
          <w:tcPr>
            <w:tcW w:w="1643" w:type="pct"/>
          </w:tcPr>
          <w:p>
            <w:pPr>
              <w:jc w:val="both"/>
              <w:rPr>
                <w:rFonts w:ascii="Times New Roman" w:eastAsia="Times New Roman" w:hAnsi="Times New Roman"/>
                <w:noProof/>
              </w:rPr>
            </w:pPr>
            <w:r>
              <w:rPr>
                <w:rFonts w:ascii="Times New Roman" w:hAnsi="Times New Roman"/>
                <w:noProof/>
              </w:rPr>
              <w:t>Predlog je zastarel: nadomestila sta ga predloga v okviru postopka okrepljenega sodelovanja (COM(2016) 107/108).</w:t>
            </w:r>
          </w:p>
        </w:tc>
      </w:tr>
      <w:tr>
        <w:trPr>
          <w:cantSplit/>
        </w:trPr>
        <w:tc>
          <w:tcPr>
            <w:tcW w:w="5000" w:type="pct"/>
            <w:gridSpan w:val="4"/>
            <w:shd w:val="clear" w:color="auto" w:fill="F2F2F2" w:themeFill="background1" w:themeFillShade="F2"/>
            <w:vAlign w:val="center"/>
          </w:tcPr>
          <w:p>
            <w:pPr>
              <w:keepNext/>
              <w:spacing w:before="60" w:after="60"/>
              <w:ind w:right="-170"/>
              <w:rPr>
                <w:rFonts w:ascii="Times New Roman" w:hAnsi="Times New Roman"/>
                <w:b/>
                <w:noProof/>
              </w:rPr>
            </w:pPr>
            <w:r>
              <w:rPr>
                <w:rFonts w:ascii="Times New Roman" w:hAnsi="Times New Roman"/>
                <w:b/>
                <w:noProof/>
              </w:rPr>
              <w:t>Migracije, notranje zadeve in državljanstvo</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eastAsia="Times New Roman" w:hAnsi="Times New Roman"/>
                <w:noProof/>
              </w:rPr>
            </w:pPr>
            <w:r>
              <w:rPr>
                <w:rFonts w:ascii="Times New Roman" w:hAnsi="Times New Roman"/>
                <w:noProof/>
              </w:rPr>
              <w:t>COM/2013/0097</w:t>
            </w:r>
          </w:p>
          <w:p>
            <w:pPr>
              <w:jc w:val="both"/>
              <w:rPr>
                <w:rFonts w:ascii="Times New Roman" w:eastAsia="Times New Roman" w:hAnsi="Times New Roman"/>
                <w:noProof/>
              </w:rPr>
            </w:pPr>
            <w:r>
              <w:rPr>
                <w:rFonts w:ascii="Times New Roman" w:hAnsi="Times New Roman"/>
                <w:noProof/>
              </w:rPr>
              <w:t>2013/0059 (COD)</w:t>
            </w:r>
          </w:p>
        </w:tc>
        <w:tc>
          <w:tcPr>
            <w:tcW w:w="2318" w:type="pct"/>
          </w:tcPr>
          <w:p>
            <w:pPr>
              <w:jc w:val="both"/>
              <w:rPr>
                <w:rFonts w:ascii="Times New Roman" w:eastAsia="Times New Roman" w:hAnsi="Times New Roman"/>
                <w:bCs/>
                <w:noProof/>
              </w:rPr>
            </w:pPr>
            <w:r>
              <w:rPr>
                <w:rFonts w:ascii="Times New Roman" w:hAnsi="Times New Roman"/>
                <w:noProof/>
              </w:rPr>
              <w:t>Predlog UREDBE EVROPSKEGA PARLAMENTA IN SVETA o vzpostavitvi programa za registrirane potnike</w:t>
            </w:r>
          </w:p>
        </w:tc>
        <w:tc>
          <w:tcPr>
            <w:tcW w:w="1643" w:type="pct"/>
          </w:tcPr>
          <w:p>
            <w:pPr>
              <w:jc w:val="both"/>
              <w:rPr>
                <w:rFonts w:ascii="Times New Roman" w:eastAsia="Times New Roman" w:hAnsi="Times New Roman"/>
                <w:noProof/>
              </w:rPr>
            </w:pPr>
            <w:r>
              <w:rPr>
                <w:rFonts w:ascii="Times New Roman" w:hAnsi="Times New Roman"/>
                <w:noProof/>
              </w:rPr>
              <w:t xml:space="preserve">Ta predlog je že bil naveden na seznamu umikov ali sprememb predlogov v obravnavi, vključenem v delovni program Komisije za leto 2016. Kot je navedeno v predlogu uredbe Evropskega parlamenta in Sveta o vzpostavitvi sistema vstopa/izstopa (SVI) (COM(2016) 194 final), je Komisija ob sprejetju predloga o SVI predlog o vzpostavitvi programa za registrirane potnike umaknila (glej PV(2016) 2172 final).   </w:t>
            </w:r>
            <w:r>
              <w:rPr>
                <w:rFonts w:ascii="Times New Roman" w:eastAsia="Times New Roman" w:hAnsi="Times New Roman"/>
                <w:noProof/>
              </w:rPr>
              <w:br/>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COM/2013/0619</w:t>
            </w:r>
          </w:p>
          <w:p>
            <w:pPr>
              <w:jc w:val="both"/>
              <w:rPr>
                <w:rFonts w:ascii="Times New Roman" w:hAnsi="Times New Roman"/>
                <w:noProof/>
                <w:color w:val="000000"/>
              </w:rPr>
            </w:pPr>
            <w:r>
              <w:rPr>
                <w:rFonts w:ascii="Times New Roman" w:hAnsi="Times New Roman"/>
                <w:noProof/>
                <w:color w:val="000000"/>
              </w:rPr>
              <w:t>2013/0305 (COD)</w:t>
            </w:r>
          </w:p>
        </w:tc>
        <w:tc>
          <w:tcPr>
            <w:tcW w:w="2318" w:type="pct"/>
          </w:tcPr>
          <w:p>
            <w:pPr>
              <w:jc w:val="both"/>
              <w:rPr>
                <w:rFonts w:ascii="Times New Roman" w:eastAsia="Times New Roman" w:hAnsi="Times New Roman"/>
                <w:bCs/>
                <w:noProof/>
              </w:rPr>
            </w:pPr>
            <w:r>
              <w:rPr>
                <w:rFonts w:ascii="Times New Roman" w:hAnsi="Times New Roman"/>
                <w:noProof/>
              </w:rPr>
              <w:t>Predlog UREDBE EVROPSKEGA PARLAMENTA IN SVETA o novih psihoaktivnih snoveh</w:t>
            </w:r>
          </w:p>
        </w:tc>
        <w:tc>
          <w:tcPr>
            <w:tcW w:w="1643" w:type="pct"/>
          </w:tcPr>
          <w:p>
            <w:pPr>
              <w:jc w:val="both"/>
              <w:rPr>
                <w:rFonts w:ascii="Times New Roman" w:eastAsia="Times New Roman" w:hAnsi="Times New Roman"/>
                <w:noProof/>
              </w:rPr>
            </w:pPr>
            <w:r>
              <w:rPr>
                <w:rFonts w:ascii="Times New Roman" w:hAnsi="Times New Roman"/>
                <w:noProof/>
              </w:rPr>
              <w:t xml:space="preserve">Predlog je zastarel: nekateri elementi tega predloga so bili prevzeti v novi predlog uredbe Evropskega parlamenta in Sveta o spremembi Uredbe (ES) št. 1920/2006 glede izmenjave informacij, sistema zgodnjega opozarjanja in postopka ocene tveganja za nove psihoaktivne snovi (COM(2016) 547), druge elemente pa zajema predlog direktive Evropskega parlamenta in Sveta o spremembi Okvirnega sklepa Sveta 2004/757/PNZ z dne 25. oktobra 2004 o opredelitvi minimalnih določb glede elementov kaznivih dejanj in kazni na področju nedovoljenega prometa s prepovedanimi drogami, kar zadeva opredelitev pojma droga (COM(2013) 618). </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KOM/2009/0703</w:t>
            </w:r>
          </w:p>
          <w:p>
            <w:pPr>
              <w:jc w:val="both"/>
              <w:rPr>
                <w:rFonts w:ascii="Times New Roman" w:hAnsi="Times New Roman"/>
                <w:noProof/>
                <w:color w:val="000000"/>
              </w:rPr>
            </w:pPr>
            <w:r>
              <w:rPr>
                <w:rFonts w:ascii="Times New Roman" w:hAnsi="Times New Roman"/>
                <w:noProof/>
                <w:color w:val="000000"/>
              </w:rPr>
              <w:t>NLE 2009/0190</w:t>
            </w:r>
          </w:p>
        </w:tc>
        <w:tc>
          <w:tcPr>
            <w:tcW w:w="2318" w:type="pct"/>
          </w:tcPr>
          <w:p>
            <w:pPr>
              <w:jc w:val="both"/>
              <w:rPr>
                <w:rFonts w:ascii="Times New Roman" w:eastAsia="Times New Roman" w:hAnsi="Times New Roman"/>
                <w:bCs/>
                <w:noProof/>
              </w:rPr>
            </w:pPr>
            <w:r>
              <w:rPr>
                <w:rFonts w:ascii="Times New Roman" w:hAnsi="Times New Roman"/>
                <w:noProof/>
              </w:rPr>
              <w:t>Predlog SKLEPA SVETA o sklenitvi Sporazuma med Evropsko unijo in Združenimi državami Amerike o obdelavi in posredovanju podatkov o finančnih transakcijah iz Evropske unije Združenim državam Amerike za namene programa za sledenje financiranja terorističnih dejavnosti</w:t>
            </w:r>
          </w:p>
        </w:tc>
        <w:tc>
          <w:tcPr>
            <w:tcW w:w="1643" w:type="pct"/>
          </w:tcPr>
          <w:p>
            <w:pPr>
              <w:jc w:val="both"/>
              <w:rPr>
                <w:rFonts w:ascii="Times New Roman" w:eastAsia="Times New Roman" w:hAnsi="Times New Roman"/>
                <w:noProof/>
              </w:rPr>
            </w:pPr>
            <w:r>
              <w:rPr>
                <w:rFonts w:ascii="Times New Roman" w:hAnsi="Times New Roman"/>
                <w:noProof/>
              </w:rPr>
              <w:t>Predlog je zastarel: Sklep Sveta z dne 13. julija 2010 o sklenitvi Sporazuma med Evropsko unijo in Združenimi državami Amerike o obdelavi in posredovanju podatkov o sporočilih glede finančnih plačil iz Evropske unije Združenim državam Amerike za namene programa za sledenje financiranja terorističnih dejavnosti je bil sprejet na podlagi drugega predloga (KOM(2010) 316). Prejšnji predlog se zato lahko umakne.</w:t>
            </w:r>
          </w:p>
        </w:tc>
      </w:tr>
      <w:tr>
        <w:trPr>
          <w:cantSplit/>
        </w:trPr>
        <w:tc>
          <w:tcPr>
            <w:tcW w:w="5000" w:type="pct"/>
            <w:gridSpan w:val="4"/>
            <w:shd w:val="clear" w:color="auto" w:fill="F2F2F2" w:themeFill="background1" w:themeFillShade="F2"/>
            <w:vAlign w:val="center"/>
          </w:tcPr>
          <w:p>
            <w:pPr>
              <w:keepNext/>
              <w:spacing w:before="120" w:after="120"/>
              <w:ind w:right="-170"/>
              <w:rPr>
                <w:rFonts w:ascii="Times New Roman" w:hAnsi="Times New Roman"/>
                <w:b/>
                <w:noProof/>
              </w:rPr>
            </w:pPr>
            <w:r>
              <w:rPr>
                <w:rFonts w:ascii="Times New Roman" w:hAnsi="Times New Roman"/>
                <w:b/>
                <w:noProof/>
              </w:rPr>
              <w:t>Trgovina</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COM/2015/0390</w:t>
            </w:r>
          </w:p>
          <w:p>
            <w:pPr>
              <w:jc w:val="both"/>
              <w:rPr>
                <w:rFonts w:ascii="Times New Roman" w:hAnsi="Times New Roman"/>
                <w:iCs/>
                <w:noProof/>
                <w:color w:val="000000"/>
              </w:rPr>
            </w:pPr>
            <w:r>
              <w:rPr>
                <w:rFonts w:ascii="Times New Roman" w:hAnsi="Times New Roman"/>
                <w:noProof/>
                <w:color w:val="000000"/>
              </w:rPr>
              <w:t>2015/0170 (NLE)</w:t>
            </w:r>
          </w:p>
        </w:tc>
        <w:tc>
          <w:tcPr>
            <w:tcW w:w="2318" w:type="pct"/>
          </w:tcPr>
          <w:p>
            <w:pPr>
              <w:jc w:val="both"/>
              <w:rPr>
                <w:rFonts w:ascii="Times New Roman" w:eastAsia="Times New Roman" w:hAnsi="Times New Roman"/>
                <w:bCs/>
                <w:noProof/>
              </w:rPr>
            </w:pPr>
            <w:r>
              <w:rPr>
                <w:rFonts w:ascii="Times New Roman" w:hAnsi="Times New Roman"/>
                <w:noProof/>
              </w:rPr>
              <w:t>Predlog SKLEPA SVETA o stališču, ki naj se v imenu Evropske unije zastopa v Pridružitvenem odboru v njegovi trgovinski sestavi, ustanovljenem s Pridružitvenim sporazumom med Evropsko unijo in Evropsko skupnostjo za atomsko energijo in njunimi državami članicami na eni strani ter Republiko Moldavijo na drugi strani</w:t>
            </w:r>
          </w:p>
        </w:tc>
        <w:tc>
          <w:tcPr>
            <w:tcW w:w="1643" w:type="pct"/>
          </w:tcPr>
          <w:p>
            <w:pPr>
              <w:jc w:val="both"/>
              <w:rPr>
                <w:rFonts w:ascii="Times New Roman" w:eastAsia="Times New Roman" w:hAnsi="Times New Roman"/>
                <w:noProof/>
              </w:rPr>
            </w:pPr>
            <w:r>
              <w:rPr>
                <w:rFonts w:ascii="Times New Roman" w:hAnsi="Times New Roman"/>
                <w:noProof/>
              </w:rPr>
              <w:t xml:space="preserve">Predlog je zastarel: nadomestil ga je predlog COM(2016) 649. </w:t>
            </w:r>
          </w:p>
        </w:tc>
      </w:tr>
      <w:tr>
        <w:trPr>
          <w:cantSplit/>
        </w:trPr>
        <w:tc>
          <w:tcPr>
            <w:tcW w:w="5000" w:type="pct"/>
            <w:gridSpan w:val="4"/>
            <w:shd w:val="clear" w:color="auto" w:fill="F2F2F2" w:themeFill="background1" w:themeFillShade="F2"/>
            <w:vAlign w:val="center"/>
          </w:tcPr>
          <w:p>
            <w:pPr>
              <w:spacing w:before="120" w:after="120"/>
              <w:ind w:right="-170"/>
              <w:rPr>
                <w:rFonts w:ascii="Times New Roman" w:hAnsi="Times New Roman"/>
                <w:b/>
                <w:noProof/>
              </w:rPr>
            </w:pPr>
            <w:r>
              <w:rPr>
                <w:rFonts w:ascii="Times New Roman" w:hAnsi="Times New Roman"/>
                <w:b/>
                <w:noProof/>
              </w:rPr>
              <w:t>Promet</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KOM/2010/0263</w:t>
            </w:r>
          </w:p>
          <w:p>
            <w:pPr>
              <w:jc w:val="both"/>
              <w:rPr>
                <w:rFonts w:ascii="Times New Roman" w:hAnsi="Times New Roman"/>
                <w:iCs/>
                <w:noProof/>
                <w:color w:val="000000"/>
              </w:rPr>
            </w:pPr>
            <w:r>
              <w:rPr>
                <w:rFonts w:ascii="Times New Roman" w:hAnsi="Times New Roman"/>
                <w:noProof/>
                <w:color w:val="000000"/>
              </w:rPr>
              <w:t>NLE 2010/0141</w:t>
            </w:r>
          </w:p>
        </w:tc>
        <w:tc>
          <w:tcPr>
            <w:tcW w:w="2318" w:type="pct"/>
          </w:tcPr>
          <w:p>
            <w:pPr>
              <w:jc w:val="both"/>
              <w:rPr>
                <w:rFonts w:ascii="Times New Roman" w:eastAsia="Times New Roman" w:hAnsi="Times New Roman"/>
                <w:bCs/>
                <w:noProof/>
              </w:rPr>
            </w:pPr>
            <w:r>
              <w:rPr>
                <w:rFonts w:ascii="Times New Roman" w:hAnsi="Times New Roman"/>
                <w:noProof/>
              </w:rPr>
              <w:t>Predlog SKLEPA SVETA o podpisu in začasni uporabi Sporazuma o nekaterih vidikih zračnega prevoza med Evropsko unijo in Republiko Peru</w:t>
            </w:r>
          </w:p>
        </w:tc>
        <w:tc>
          <w:tcPr>
            <w:tcW w:w="1643" w:type="pct"/>
          </w:tcPr>
          <w:p>
            <w:pPr>
              <w:jc w:val="both"/>
              <w:rPr>
                <w:rFonts w:ascii="Times New Roman" w:eastAsia="Times New Roman" w:hAnsi="Times New Roman"/>
                <w:noProof/>
              </w:rPr>
            </w:pPr>
            <w:r>
              <w:rPr>
                <w:rFonts w:ascii="Times New Roman" w:hAnsi="Times New Roman"/>
                <w:noProof/>
              </w:rPr>
              <w:t>Predlog je zastarel:</w:t>
            </w:r>
            <w:r>
              <w:rPr>
                <w:rFonts w:ascii="Times New Roman" w:hAnsi="Times New Roman"/>
                <w:noProof/>
                <w:color w:val="FF0000"/>
              </w:rPr>
              <w:t xml:space="preserve"> </w:t>
            </w:r>
            <w:r>
              <w:rPr>
                <w:rFonts w:ascii="Times New Roman" w:hAnsi="Times New Roman"/>
                <w:noProof/>
              </w:rPr>
              <w:t xml:space="preserve">po ponovnih pogajanjih o sporazumu ga je nadomestil predlog COM(2013) 423. </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KOM/2010/0264</w:t>
            </w:r>
          </w:p>
          <w:p>
            <w:pPr>
              <w:jc w:val="both"/>
              <w:rPr>
                <w:rFonts w:ascii="Times New Roman" w:hAnsi="Times New Roman"/>
                <w:noProof/>
                <w:color w:val="000000"/>
              </w:rPr>
            </w:pPr>
            <w:r>
              <w:rPr>
                <w:rFonts w:ascii="Times New Roman" w:hAnsi="Times New Roman"/>
                <w:noProof/>
                <w:color w:val="000000"/>
              </w:rPr>
              <w:t>NLE 2010/0142</w:t>
            </w:r>
          </w:p>
        </w:tc>
        <w:tc>
          <w:tcPr>
            <w:tcW w:w="2318" w:type="pct"/>
          </w:tcPr>
          <w:p>
            <w:pPr>
              <w:jc w:val="both"/>
              <w:rPr>
                <w:rFonts w:ascii="Times New Roman" w:eastAsia="Times New Roman" w:hAnsi="Times New Roman"/>
                <w:bCs/>
                <w:noProof/>
              </w:rPr>
            </w:pPr>
            <w:r>
              <w:rPr>
                <w:rFonts w:ascii="Times New Roman" w:hAnsi="Times New Roman"/>
                <w:noProof/>
              </w:rPr>
              <w:t xml:space="preserve">Predlog SKLEPA SVETA o sklenitvi Sporazuma o nekaterih vidikih zračnega prevoza med Evropsko unijo in Republiko Peru  </w:t>
            </w:r>
          </w:p>
        </w:tc>
        <w:tc>
          <w:tcPr>
            <w:tcW w:w="1643" w:type="pct"/>
          </w:tcPr>
          <w:p>
            <w:pPr>
              <w:jc w:val="both"/>
              <w:rPr>
                <w:rFonts w:ascii="Times New Roman" w:eastAsia="Times New Roman" w:hAnsi="Times New Roman"/>
                <w:noProof/>
              </w:rPr>
            </w:pPr>
            <w:r>
              <w:rPr>
                <w:rFonts w:ascii="Times New Roman" w:hAnsi="Times New Roman"/>
                <w:noProof/>
              </w:rPr>
              <w:t xml:space="preserve">Predlog je zastarel: po ponovnih pogajanjih o sporazumu ga je nadomestil predlog COM(2013) 424. </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KOM/2010/0803</w:t>
            </w:r>
          </w:p>
          <w:p>
            <w:pPr>
              <w:tabs>
                <w:tab w:val="center" w:pos="911"/>
              </w:tabs>
              <w:jc w:val="both"/>
              <w:rPr>
                <w:rFonts w:ascii="Times New Roman" w:hAnsi="Times New Roman"/>
                <w:noProof/>
                <w:color w:val="000000"/>
              </w:rPr>
            </w:pPr>
            <w:r>
              <w:rPr>
                <w:rFonts w:ascii="Times New Roman" w:hAnsi="Times New Roman"/>
                <w:noProof/>
                <w:color w:val="000000"/>
              </w:rPr>
              <w:t>NLE 2010/0388</w:t>
            </w:r>
          </w:p>
        </w:tc>
        <w:tc>
          <w:tcPr>
            <w:tcW w:w="2318" w:type="pct"/>
          </w:tcPr>
          <w:p>
            <w:pPr>
              <w:jc w:val="both"/>
              <w:rPr>
                <w:rFonts w:ascii="Times New Roman" w:eastAsia="Times New Roman" w:hAnsi="Times New Roman"/>
                <w:bCs/>
                <w:noProof/>
              </w:rPr>
            </w:pPr>
            <w:r>
              <w:rPr>
                <w:rFonts w:ascii="Times New Roman" w:hAnsi="Times New Roman"/>
                <w:noProof/>
              </w:rPr>
              <w:t>Predlog SKLEPA SVETA o sklenitvi Sporazuma o nekaterih vidikih zračnega prevoza med Evropsko unijo in Kraljevino Saudovo Arabijo</w:t>
            </w:r>
          </w:p>
        </w:tc>
        <w:tc>
          <w:tcPr>
            <w:tcW w:w="1643" w:type="pct"/>
          </w:tcPr>
          <w:p>
            <w:pPr>
              <w:jc w:val="both"/>
              <w:rPr>
                <w:rFonts w:ascii="Times New Roman" w:eastAsia="Times New Roman" w:hAnsi="Times New Roman"/>
                <w:noProof/>
              </w:rPr>
            </w:pPr>
            <w:r>
              <w:rPr>
                <w:rFonts w:ascii="Times New Roman" w:hAnsi="Times New Roman"/>
                <w:noProof/>
              </w:rPr>
              <w:t>Predlog je zastarel: 15. junija 2014 je Kraljevina Saudova Arabija Komisijo obvestila, da ne namerava podpisati sporazuma. Predlog se zato lahko umakne.</w:t>
            </w:r>
          </w:p>
        </w:tc>
      </w:tr>
      <w:tr>
        <w:trPr>
          <w:cantSplit/>
        </w:trPr>
        <w:tc>
          <w:tcPr>
            <w:tcW w:w="5000" w:type="pct"/>
            <w:gridSpan w:val="4"/>
            <w:shd w:val="clear" w:color="auto" w:fill="F2F2F2" w:themeFill="background1" w:themeFillShade="F2"/>
            <w:vAlign w:val="center"/>
          </w:tcPr>
          <w:p>
            <w:pPr>
              <w:keepNext/>
              <w:spacing w:before="120" w:after="120"/>
              <w:ind w:right="-170"/>
              <w:rPr>
                <w:rFonts w:ascii="Times New Roman" w:hAnsi="Times New Roman"/>
                <w:b/>
                <w:noProof/>
              </w:rPr>
            </w:pPr>
            <w:r>
              <w:rPr>
                <w:rFonts w:ascii="Times New Roman" w:hAnsi="Times New Roman"/>
                <w:b/>
                <w:noProof/>
              </w:rPr>
              <w:t>Kodifikacije</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KOM/2011/0120</w:t>
            </w:r>
          </w:p>
          <w:p>
            <w:pPr>
              <w:jc w:val="both"/>
              <w:rPr>
                <w:rFonts w:ascii="Times New Roman" w:hAnsi="Times New Roman"/>
                <w:noProof/>
                <w:color w:val="000000"/>
              </w:rPr>
            </w:pPr>
            <w:r>
              <w:rPr>
                <w:rFonts w:ascii="Times New Roman" w:hAnsi="Times New Roman"/>
                <w:noProof/>
                <w:color w:val="000000"/>
              </w:rPr>
              <w:t>COD 2011/0053</w:t>
            </w:r>
          </w:p>
        </w:tc>
        <w:tc>
          <w:tcPr>
            <w:tcW w:w="2318" w:type="pct"/>
          </w:tcPr>
          <w:p>
            <w:pPr>
              <w:jc w:val="both"/>
              <w:rPr>
                <w:rFonts w:ascii="Times New Roman" w:eastAsia="Times New Roman" w:hAnsi="Times New Roman"/>
                <w:bCs/>
                <w:noProof/>
              </w:rPr>
            </w:pPr>
            <w:r>
              <w:rPr>
                <w:rFonts w:ascii="Times New Roman" w:hAnsi="Times New Roman"/>
                <w:noProof/>
              </w:rPr>
              <w:t>Predlog DIREKTIVE EVROPSKEGA PARLAMENTA IN SVETA o pnevmatikah za motorna vozila in priklopnike ter njihovi vgradnji (Kodificirano besedilo)</w:t>
            </w:r>
          </w:p>
        </w:tc>
        <w:tc>
          <w:tcPr>
            <w:tcW w:w="1643" w:type="pct"/>
          </w:tcPr>
          <w:p>
            <w:pPr>
              <w:jc w:val="both"/>
              <w:rPr>
                <w:rFonts w:ascii="Times New Roman" w:eastAsia="Times New Roman" w:hAnsi="Times New Roman"/>
                <w:noProof/>
              </w:rPr>
            </w:pPr>
            <w:r>
              <w:rPr>
                <w:rFonts w:ascii="Times New Roman" w:hAnsi="Times New Roman"/>
                <w:noProof/>
              </w:rPr>
              <w:t>Predlog je zastarel: vsebuje sklic na zastarelo določbo o komitologiji.</w:t>
            </w:r>
          </w:p>
        </w:tc>
      </w:tr>
      <w:tr>
        <w:trPr>
          <w:cantSplit/>
        </w:trPr>
        <w:tc>
          <w:tcPr>
            <w:tcW w:w="186" w:type="pct"/>
          </w:tcPr>
          <w:p>
            <w:pPr>
              <w:pStyle w:val="ListParagraph"/>
              <w:numPr>
                <w:ilvl w:val="0"/>
                <w:numId w:val="5"/>
              </w:numPr>
              <w:ind w:left="284" w:right="-172" w:hanging="284"/>
              <w:contextualSpacing w:val="0"/>
              <w:rPr>
                <w:rFonts w:ascii="Times New Roman" w:hAnsi="Times New Roman"/>
                <w:noProof/>
              </w:rPr>
            </w:pPr>
          </w:p>
        </w:tc>
        <w:tc>
          <w:tcPr>
            <w:tcW w:w="854" w:type="pct"/>
          </w:tcPr>
          <w:p>
            <w:pPr>
              <w:jc w:val="both"/>
              <w:rPr>
                <w:rFonts w:ascii="Times New Roman" w:hAnsi="Times New Roman"/>
                <w:noProof/>
                <w:color w:val="000000"/>
              </w:rPr>
            </w:pPr>
            <w:r>
              <w:rPr>
                <w:rFonts w:ascii="Times New Roman" w:hAnsi="Times New Roman"/>
                <w:noProof/>
                <w:color w:val="000000"/>
              </w:rPr>
              <w:t>COM/2015/0157</w:t>
            </w:r>
          </w:p>
          <w:p>
            <w:pPr>
              <w:jc w:val="both"/>
              <w:rPr>
                <w:rFonts w:ascii="Times New Roman" w:hAnsi="Times New Roman"/>
                <w:noProof/>
                <w:color w:val="000000"/>
              </w:rPr>
            </w:pPr>
            <w:r>
              <w:rPr>
                <w:rFonts w:ascii="Times New Roman" w:hAnsi="Times New Roman"/>
                <w:noProof/>
                <w:color w:val="000000"/>
              </w:rPr>
              <w:t>2015/0082 (COD)</w:t>
            </w:r>
          </w:p>
        </w:tc>
        <w:tc>
          <w:tcPr>
            <w:tcW w:w="2318" w:type="pct"/>
          </w:tcPr>
          <w:p>
            <w:pPr>
              <w:jc w:val="both"/>
              <w:rPr>
                <w:rFonts w:ascii="Times New Roman" w:eastAsia="Times New Roman" w:hAnsi="Times New Roman"/>
                <w:bCs/>
                <w:noProof/>
              </w:rPr>
            </w:pPr>
            <w:r>
              <w:rPr>
                <w:rFonts w:ascii="Times New Roman" w:hAnsi="Times New Roman"/>
                <w:noProof/>
              </w:rPr>
              <w:t>Predlog UREDBE EVROPSKEGA PARLAMENTA IN SVETA o trgovini z nekaterimi jeklenimi izdelki med Evropsko unijo in Republiko Kazahstan (prilagojeno)</w:t>
            </w:r>
          </w:p>
        </w:tc>
        <w:tc>
          <w:tcPr>
            <w:tcW w:w="1643" w:type="pct"/>
          </w:tcPr>
          <w:p>
            <w:pPr>
              <w:jc w:val="both"/>
              <w:rPr>
                <w:rFonts w:ascii="Times New Roman" w:eastAsia="Times New Roman" w:hAnsi="Times New Roman"/>
                <w:noProof/>
              </w:rPr>
            </w:pPr>
            <w:r>
              <w:rPr>
                <w:rFonts w:ascii="Times New Roman" w:hAnsi="Times New Roman"/>
                <w:noProof/>
              </w:rPr>
              <w:t>Predlog je zastarel: akt, za katerega se je predlagala kodifikacija, je prenehal veljati (obvestilo o izteku – UL C 425, 18.12.2015).</w:t>
            </w:r>
          </w:p>
        </w:tc>
      </w:tr>
    </w:tbl>
    <w:p>
      <w:pPr>
        <w:spacing w:after="480"/>
        <w:jc w:val="center"/>
        <w:outlineLvl w:val="0"/>
        <w:rPr>
          <w:noProof/>
        </w:rPr>
      </w:pPr>
    </w:p>
    <w:sectPr>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606158"/>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bCs/>
        </w:rPr>
      </w:pPr>
      <w:r>
        <w:rPr>
          <w:rStyle w:val="FootnoteReference"/>
        </w:rPr>
        <w:footnoteRef/>
      </w:r>
      <w:r>
        <w:t xml:space="preserve"> V ta seznam so vključeni zakonodajni predlogi v obravnavi, ki jih Komisija namerava umakniti v šestih mesecih (do aprila 2017). Prav tako sta vključena dva predloga (glej št. 3 in 11), ki sta že bila vključena v delovni program Komisije za leto 2016 in sta tukaj navedena zaradi preglednosti.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D369E"/>
    <w:multiLevelType w:val="hybridMultilevel"/>
    <w:tmpl w:val="02CA5520"/>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F74B90"/>
    <w:multiLevelType w:val="hybridMultilevel"/>
    <w:tmpl w:val="B9768E9E"/>
    <w:lvl w:ilvl="0" w:tplc="BCD0181C">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DE0F67"/>
    <w:multiLevelType w:val="hybridMultilevel"/>
    <w:tmpl w:val="17DA5598"/>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k"/>
    <w:docVar w:name="LW_ANNEX_NBR_FIRST" w:val="4"/>
    <w:docVar w:name="LW_ANNEX_NBR_LAST" w:val="4"/>
    <w:docVar w:name="LW_CONFIDENCE" w:val=" "/>
    <w:docVar w:name="LW_CONST_RESTREINT_UE" w:val="RESTREINT UE"/>
    <w:docVar w:name="LW_CORRIGENDUM" w:val="&lt;UNUSED&gt;"/>
    <w:docVar w:name="LW_COVERPAGE_GUID" w:val="28A10234EF9B4745ACC548ABB4296D5B"/>
    <w:docVar w:name="LW_CROSSREFERENCE" w:val="{SWD(2016) 400 final}"/>
    <w:docVar w:name="LW_DocType" w:val="NORMAL"/>
    <w:docVar w:name="LW_EMISSION" w:val="25.10.2016"/>
    <w:docVar w:name="LW_EMISSION_ISODATE" w:val="2016-10-25"/>
    <w:docVar w:name="LW_EMISSION_LOCATION" w:val="STR"/>
    <w:docVar w:name="LW_EMISSION_PREFIX" w:val="Strasbourg, "/>
    <w:docVar w:name="LW_EMISSION_SUFFIX" w:val=" "/>
    <w:docVar w:name="LW_ID_DOCTYPE_NONLW" w:val="CP-039"/>
    <w:docVar w:name="LW_LANGUE" w:val="SL"/>
    <w:docVar w:name="LW_MARKING" w:val="&lt;UNUSED&gt;"/>
    <w:docVar w:name="LW_NOM.INST" w:val="EVROPSKA KOMISIJA"/>
    <w:docVar w:name="LW_NOM.INST_JOINTDOC" w:val="&lt;EMPTY&gt;"/>
    <w:docVar w:name="LW_OBJETACTEPRINCIPAL.CP" w:val="_x000b_Delovni program Komisije za leto 2017_x000b__x000b_Za Evropo, ki varuje, opolnomo\u269?a in \u353?\u269?iti"/>
    <w:docVar w:name="LW_PART_NBR" w:val="1"/>
    <w:docVar w:name="LW_PART_NBR_TOTAL" w:val="1"/>
    <w:docVar w:name="LW_REF.INST.NEW" w:val="COM"/>
    <w:docVar w:name="LW_REF.INST.NEW_ADOPTED" w:val="final"/>
    <w:docVar w:name="LW_REF.INST.NEW_TEXT" w:val="(2016) 710"/>
    <w:docVar w:name="LW_REF.INTERNE" w:val="&lt;UNUSED&gt;"/>
    <w:docVar w:name="LW_SUPERTITRE" w:val="&lt;UNUSED&gt;"/>
    <w:docVar w:name="LW_TITRE.OBJ.CP" w:val="&lt;UNUSED&gt;"/>
    <w:docVar w:name="LW_TYPE.DOC.CP" w:val="PRILOGA_x000b_"/>
    <w:docVar w:name="LW_TYPEACTEPRINCIPAL.CP" w:val="SPORO\u268?ILU KOMISIJE EVROPSKEMU PARLAMENTU, SVETU, EVROPSKEMU EKONOMSKO-SOCIALNEMU ODBORU IN ODBORU REGIJ"/>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uiPriority w:val="99"/>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w:basedOn w:val="DefaultParagraphFont"/>
    <w:link w:val="FootnoteText"/>
    <w:uiPriority w:val="99"/>
    <w:rPr>
      <w:rFonts w:ascii="Times New Roman" w:eastAsia="Times New Roman" w:hAnsi="Times New Roman" w:cs="Times New Roman"/>
      <w:sz w:val="20"/>
      <w:szCs w:val="20"/>
      <w:lang w:eastAsia="sl-SI"/>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uiPriority w:val="99"/>
    <w:rPr>
      <w:vertAlign w:val="superscript"/>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noProof/>
      <w:sz w:val="24"/>
      <w:szCs w:val="28"/>
    </w:rPr>
  </w:style>
  <w:style w:type="character" w:customStyle="1" w:styleId="FooterCoverPageChar">
    <w:name w:val="Footer Cover Page Char"/>
    <w:basedOn w:val="DefaultParagraphFont"/>
    <w:link w:val="FooterCoverPage"/>
    <w:rPr>
      <w:rFonts w:ascii="Times New Roman" w:eastAsia="Calibri" w:hAnsi="Times New Roman" w:cs="Times New Roman"/>
      <w:noProof/>
      <w:sz w:val="24"/>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noProof/>
      <w:sz w:val="24"/>
      <w:szCs w:val="28"/>
    </w:rPr>
  </w:style>
  <w:style w:type="character" w:customStyle="1" w:styleId="HeaderCoverPageChar">
    <w:name w:val="Header Cover Page Char"/>
    <w:basedOn w:val="DefaultParagraphFont"/>
    <w:link w:val="HeaderCoverPage"/>
    <w:rPr>
      <w:rFonts w:ascii="Times New Roman" w:eastAsia="Calibri" w:hAnsi="Times New Roman" w:cs="Times New Roman"/>
      <w:noProof/>
      <w:sz w:val="24"/>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uiPriority w:val="99"/>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w:basedOn w:val="DefaultParagraphFont"/>
    <w:link w:val="FootnoteText"/>
    <w:uiPriority w:val="99"/>
    <w:rPr>
      <w:rFonts w:ascii="Times New Roman" w:eastAsia="Times New Roman" w:hAnsi="Times New Roman" w:cs="Times New Roman"/>
      <w:sz w:val="20"/>
      <w:szCs w:val="20"/>
      <w:lang w:eastAsia="sl-SI"/>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uiPriority w:val="99"/>
    <w:rPr>
      <w:vertAlign w:val="superscript"/>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noProof/>
      <w:sz w:val="24"/>
      <w:szCs w:val="28"/>
    </w:rPr>
  </w:style>
  <w:style w:type="character" w:customStyle="1" w:styleId="FooterCoverPageChar">
    <w:name w:val="Footer Cover Page Char"/>
    <w:basedOn w:val="DefaultParagraphFont"/>
    <w:link w:val="FooterCoverPage"/>
    <w:rPr>
      <w:rFonts w:ascii="Times New Roman" w:eastAsia="Calibri" w:hAnsi="Times New Roman" w:cs="Times New Roman"/>
      <w:noProof/>
      <w:sz w:val="24"/>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noProof/>
      <w:sz w:val="24"/>
      <w:szCs w:val="28"/>
    </w:rPr>
  </w:style>
  <w:style w:type="character" w:customStyle="1" w:styleId="HeaderCoverPageChar">
    <w:name w:val="Header Cover Page Char"/>
    <w:basedOn w:val="DefaultParagraphFont"/>
    <w:link w:val="HeaderCoverPage"/>
    <w:rPr>
      <w:rFonts w:ascii="Times New Roman" w:eastAsia="Calibri" w:hAnsi="Times New Roman" w:cs="Times New Roman"/>
      <w:noProof/>
      <w:sz w:val="24"/>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CC56-4E8F-45D3-ACD0-E5A422A1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1125</Words>
  <Characters>6930</Characters>
  <Application>Microsoft Office Word</Application>
  <DocSecurity>0</DocSecurity>
  <Lines>223</Lines>
  <Paragraphs>125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David (SG)</dc:creator>
  <cp:lastModifiedBy>DIGIT/A3</cp:lastModifiedBy>
  <cp:revision>19</cp:revision>
  <cp:lastPrinted>2016-10-24T19:26:00Z</cp:lastPrinted>
  <dcterms:created xsi:type="dcterms:W3CDTF">2016-10-25T06:09:00Z</dcterms:created>
  <dcterms:modified xsi:type="dcterms:W3CDTF">2016-11-07T08:59:00Z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4</vt:lpwstr>
  </property>
  <property fmtid="{D5CDD505-2E9C-101B-9397-08002B2CF9AE}" pid="3" name="Last annex">
    <vt:lpwstr>4</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