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608AA1254124B2890986253691C5C1B" style="width:450.75pt;height:4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480"/>
        <w:jc w:val="center"/>
        <w:outlineLvl w:val="0"/>
        <w:rPr>
          <w:rFonts w:ascii="Times New Roman" w:hAnsi="Times New Roman"/>
          <w:b/>
          <w:noProof/>
          <w:sz w:val="28"/>
          <w:szCs w:val="28"/>
          <w:u w:val="single"/>
        </w:rPr>
      </w:pPr>
      <w:bookmarkStart w:id="1" w:name="_GoBack"/>
      <w:bookmarkEnd w:id="1"/>
      <w:r>
        <w:rPr>
          <w:rFonts w:ascii="Times New Roman" w:hAnsi="Times New Roman"/>
          <w:b/>
          <w:noProof/>
          <w:sz w:val="28"/>
          <w:u w:val="single"/>
        </w:rPr>
        <w:lastRenderedPageBreak/>
        <w:t>IV pielikums. Atsauktie tiesību aktu priekšlikumi</w:t>
      </w:r>
      <w:r>
        <w:rPr>
          <w:rStyle w:val="FootnoteReference"/>
          <w:rFonts w:ascii="Times New Roman" w:hAnsi="Times New Roman"/>
          <w:b/>
          <w:noProof/>
          <w:sz w:val="28"/>
          <w:u w:val="single"/>
        </w:rPr>
        <w:footnoteReference w:id="1"/>
      </w:r>
    </w:p>
    <w:tbl>
      <w:tblPr>
        <w:tblStyle w:val="TableGrid"/>
        <w:tblW w:w="4981" w:type="pct"/>
        <w:tblLayout w:type="fixed"/>
        <w:tblCellMar>
          <w:top w:w="28" w:type="dxa"/>
          <w:left w:w="85" w:type="dxa"/>
          <w:bottom w:w="28" w:type="dxa"/>
          <w:right w:w="85" w:type="dxa"/>
        </w:tblCellMar>
        <w:tblLook w:val="04A0" w:firstRow="1" w:lastRow="0" w:firstColumn="1" w:lastColumn="0" w:noHBand="0" w:noVBand="1"/>
      </w:tblPr>
      <w:tblGrid>
        <w:gridCol w:w="525"/>
        <w:gridCol w:w="2412"/>
        <w:gridCol w:w="6546"/>
        <w:gridCol w:w="4637"/>
      </w:tblGrid>
      <w:tr>
        <w:trPr>
          <w:cantSplit/>
          <w:trHeight w:val="564"/>
          <w:tblHeader/>
        </w:trPr>
        <w:tc>
          <w:tcPr>
            <w:tcW w:w="186" w:type="pct"/>
            <w:tcBorders>
              <w:bottom w:val="single" w:sz="4" w:space="0" w:color="auto"/>
            </w:tcBorders>
            <w:shd w:val="clear" w:color="auto" w:fill="99CCFF"/>
            <w:vAlign w:val="center"/>
          </w:tcPr>
          <w:p>
            <w:pPr>
              <w:jc w:val="center"/>
              <w:rPr>
                <w:rFonts w:ascii="Times New Roman" w:eastAsia="Times New Roman" w:hAnsi="Times New Roman"/>
                <w:b/>
                <w:noProof/>
              </w:rPr>
            </w:pPr>
            <w:r>
              <w:rPr>
                <w:rFonts w:ascii="Times New Roman" w:hAnsi="Times New Roman"/>
                <w:b/>
                <w:noProof/>
              </w:rPr>
              <w:t>N</w:t>
            </w:r>
            <w:r>
              <w:rPr>
                <w:noProof/>
              </w:rPr>
              <w:t>r.</w:t>
            </w:r>
          </w:p>
        </w:tc>
        <w:tc>
          <w:tcPr>
            <w:tcW w:w="854" w:type="pct"/>
            <w:tcBorders>
              <w:bottom w:val="single" w:sz="4" w:space="0" w:color="auto"/>
            </w:tcBorders>
            <w:shd w:val="clear" w:color="auto" w:fill="99CCFF"/>
            <w:vAlign w:val="center"/>
          </w:tcPr>
          <w:p>
            <w:pPr>
              <w:jc w:val="center"/>
              <w:rPr>
                <w:rFonts w:ascii="Times New Roman" w:eastAsia="Times New Roman" w:hAnsi="Times New Roman"/>
                <w:b/>
                <w:noProof/>
              </w:rPr>
            </w:pPr>
            <w:r>
              <w:rPr>
                <w:rFonts w:ascii="Times New Roman" w:hAnsi="Times New Roman"/>
                <w:b/>
                <w:noProof/>
              </w:rPr>
              <w:t>COM/Iestāžu atsauce</w:t>
            </w:r>
          </w:p>
        </w:tc>
        <w:tc>
          <w:tcPr>
            <w:tcW w:w="2318" w:type="pct"/>
            <w:tcBorders>
              <w:bottom w:val="single" w:sz="4" w:space="0" w:color="auto"/>
            </w:tcBorders>
            <w:shd w:val="clear" w:color="auto" w:fill="99CCFF"/>
            <w:vAlign w:val="center"/>
          </w:tcPr>
          <w:p>
            <w:pPr>
              <w:jc w:val="center"/>
              <w:rPr>
                <w:rFonts w:ascii="Times New Roman" w:eastAsia="Times New Roman" w:hAnsi="Times New Roman"/>
                <w:bCs/>
                <w:noProof/>
              </w:rPr>
            </w:pPr>
            <w:r>
              <w:rPr>
                <w:rFonts w:ascii="Times New Roman" w:hAnsi="Times New Roman"/>
                <w:b/>
                <w:noProof/>
              </w:rPr>
              <w:t>Virsraksts</w:t>
            </w:r>
          </w:p>
        </w:tc>
        <w:tc>
          <w:tcPr>
            <w:tcW w:w="1643" w:type="pct"/>
            <w:tcBorders>
              <w:bottom w:val="single" w:sz="4" w:space="0" w:color="auto"/>
            </w:tcBorders>
            <w:shd w:val="clear" w:color="auto" w:fill="99CCFF"/>
            <w:vAlign w:val="center"/>
          </w:tcPr>
          <w:p>
            <w:pPr>
              <w:jc w:val="center"/>
              <w:rPr>
                <w:rFonts w:ascii="Times New Roman" w:eastAsia="Times New Roman" w:hAnsi="Times New Roman"/>
                <w:noProof/>
              </w:rPr>
            </w:pPr>
            <w:r>
              <w:rPr>
                <w:rFonts w:ascii="Times New Roman" w:hAnsi="Times New Roman"/>
                <w:b/>
                <w:noProof/>
              </w:rPr>
              <w:t>Atsaukumu pamatojums</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Lauksaimniecība un lauku attīstība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noProof/>
              </w:rPr>
            </w:pPr>
            <w:r>
              <w:rPr>
                <w:rFonts w:ascii="Times New Roman" w:hAnsi="Times New Roman"/>
                <w:noProof/>
              </w:rPr>
              <w:t>COM/2016/0159</w:t>
            </w:r>
          </w:p>
          <w:p>
            <w:pPr>
              <w:jc w:val="both"/>
              <w:rPr>
                <w:rFonts w:ascii="Times New Roman" w:eastAsia="Times New Roman" w:hAnsi="Times New Roman"/>
                <w:noProof/>
              </w:rPr>
            </w:pPr>
            <w:r>
              <w:rPr>
                <w:rFonts w:ascii="Times New Roman" w:hAnsi="Times New Roman"/>
                <w:noProof/>
              </w:rPr>
              <w:t>2016/0086/COD</w:t>
            </w:r>
          </w:p>
        </w:tc>
        <w:tc>
          <w:tcPr>
            <w:tcW w:w="2318" w:type="pct"/>
          </w:tcPr>
          <w:p>
            <w:pPr>
              <w:jc w:val="both"/>
              <w:rPr>
                <w:rFonts w:ascii="Times New Roman" w:eastAsia="Times New Roman" w:hAnsi="Times New Roman"/>
                <w:bCs/>
                <w:noProof/>
              </w:rPr>
            </w:pPr>
            <w:r>
              <w:rPr>
                <w:rFonts w:ascii="Times New Roman" w:hAnsi="Times New Roman"/>
                <w:noProof/>
              </w:rPr>
              <w:t>EIROPAS PARLAMENTA UN PADOMES REGULA, ar ko attiecībā uz 2016. kalendāro gadu nosaka tiešo maksājumu korekcijas likmi, kura paredzēta Regulā (ES) Nr. 1306/2013</w:t>
            </w:r>
          </w:p>
        </w:tc>
        <w:tc>
          <w:tcPr>
            <w:tcW w:w="1643" w:type="pct"/>
          </w:tcPr>
          <w:p>
            <w:pPr>
              <w:jc w:val="both"/>
              <w:rPr>
                <w:rFonts w:ascii="Times New Roman" w:eastAsia="Times New Roman" w:hAnsi="Times New Roman"/>
                <w:noProof/>
              </w:rPr>
            </w:pPr>
            <w:r>
              <w:rPr>
                <w:rFonts w:ascii="Times New Roman" w:hAnsi="Times New Roman"/>
                <w:noProof/>
              </w:rPr>
              <w:t>Novecojis: šis jautājums izskatīts Komisijas 2016. gada 14. jūlija Īstenošanas regulā (ES) 2016/1153.</w:t>
            </w:r>
          </w:p>
          <w:p>
            <w:pPr>
              <w:jc w:val="both"/>
              <w:rPr>
                <w:rFonts w:ascii="Times New Roman" w:eastAsia="Times New Roman" w:hAnsi="Times New Roman"/>
                <w:noProof/>
              </w:rPr>
            </w:pP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Klimata pasākumi un enerģija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w:t>
            </w:r>
            <w:r>
              <w:rPr>
                <w:rFonts w:ascii="Times New Roman" w:hAnsi="Times New Roman"/>
                <w:noProof/>
              </w:rPr>
              <w:t>2014</w:t>
            </w:r>
            <w:r>
              <w:rPr>
                <w:rFonts w:ascii="Times New Roman" w:hAnsi="Times New Roman"/>
                <w:noProof/>
                <w:color w:val="000000"/>
              </w:rPr>
              <w:t>/0566</w:t>
            </w:r>
          </w:p>
          <w:p>
            <w:pPr>
              <w:jc w:val="both"/>
              <w:rPr>
                <w:rFonts w:ascii="Times New Roman" w:hAnsi="Times New Roman"/>
                <w:i/>
                <w:iCs/>
                <w:noProof/>
                <w:color w:val="000000"/>
              </w:rPr>
            </w:pPr>
            <w:r>
              <w:rPr>
                <w:rFonts w:ascii="Times New Roman" w:hAnsi="Times New Roman"/>
                <w:noProof/>
              </w:rPr>
              <w:t>2014/0262/NLE</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ar kuru Komisijai izdod norādes sarunām par grozījumiem Konvencijā par kodoldrošību saistībā ar diplomātisko konferenci</w:t>
            </w:r>
          </w:p>
        </w:tc>
        <w:tc>
          <w:tcPr>
            <w:tcW w:w="1643" w:type="pct"/>
          </w:tcPr>
          <w:p>
            <w:pPr>
              <w:jc w:val="both"/>
              <w:rPr>
                <w:rFonts w:ascii="Times New Roman" w:eastAsia="Times New Roman" w:hAnsi="Times New Roman"/>
                <w:noProof/>
              </w:rPr>
            </w:pPr>
            <w:r>
              <w:rPr>
                <w:rFonts w:ascii="Times New Roman" w:hAnsi="Times New Roman"/>
                <w:noProof/>
              </w:rPr>
              <w:t>Novecojis: priekšlikums ir novecojis, jo grozījumi tika izdarīti Vīnes Konvencijā par kodoldrošību.</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Ekonomikas un finanšu lietas, nodokļu politika un muita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bCs/>
                <w:noProof/>
              </w:rPr>
            </w:pPr>
            <w:r>
              <w:rPr>
                <w:rFonts w:ascii="Times New Roman" w:hAnsi="Times New Roman"/>
                <w:noProof/>
              </w:rPr>
              <w:t>COM/2011/0121</w:t>
            </w:r>
          </w:p>
          <w:p>
            <w:pPr>
              <w:jc w:val="both"/>
              <w:rPr>
                <w:rFonts w:ascii="Times New Roman" w:eastAsia="Times New Roman" w:hAnsi="Times New Roman"/>
                <w:bCs/>
                <w:noProof/>
              </w:rPr>
            </w:pPr>
            <w:r>
              <w:rPr>
                <w:rFonts w:ascii="Times New Roman" w:hAnsi="Times New Roman"/>
                <w:noProof/>
              </w:rPr>
              <w:t>2011/0058/CNS</w:t>
            </w:r>
          </w:p>
        </w:tc>
        <w:tc>
          <w:tcPr>
            <w:tcW w:w="2318" w:type="pct"/>
          </w:tcPr>
          <w:p>
            <w:pPr>
              <w:jc w:val="both"/>
              <w:rPr>
                <w:rFonts w:ascii="Times New Roman" w:eastAsia="Times New Roman" w:hAnsi="Times New Roman"/>
                <w:bCs/>
                <w:noProof/>
              </w:rPr>
            </w:pPr>
            <w:r>
              <w:rPr>
                <w:rFonts w:ascii="Times New Roman" w:hAnsi="Times New Roman"/>
                <w:noProof/>
              </w:rPr>
              <w:t>Priekšlikums – PADOMES DIREKTĪVA par kopējo konsolidēto uzņēmumu ienākuma nodokļa bāzi (KKUINB)</w:t>
            </w:r>
          </w:p>
        </w:tc>
        <w:tc>
          <w:tcPr>
            <w:tcW w:w="1643" w:type="pct"/>
          </w:tcPr>
          <w:p>
            <w:pPr>
              <w:jc w:val="both"/>
              <w:rPr>
                <w:rFonts w:ascii="Times New Roman" w:eastAsia="Times New Roman" w:hAnsi="Times New Roman"/>
                <w:noProof/>
              </w:rPr>
            </w:pPr>
            <w:r>
              <w:rPr>
                <w:rFonts w:ascii="Times New Roman" w:hAnsi="Times New Roman"/>
                <w:noProof/>
              </w:rPr>
              <w:t>Kā turpmāku pasākumu savam 2015. gada jūnija rīcības plānam par uzņēmumu aplikšanu ar nodokļiem Komisija atkārtoti nosaka kopējā konsolidētā uzņēmumu ienākuma nodokļa bāzi (KKUINB), izmantojot jaunu, pakāpenisku pieeju. Tiesību akta priekšlikums par obligātu kopēju uzņēmumu ienākuma nodokļa bāzi tika pieņemts 2016. gada 25. oktobrī. Saskaņā ar paziņojumu, kas jau izteikts Komisijas darba programmā 2016. gadam, vienlaikus ir atsaukts pašreizējais priekšlikums.</w:t>
            </w:r>
          </w:p>
        </w:tc>
      </w:tr>
      <w:tr>
        <w:trPr>
          <w:cantSplit/>
        </w:trPr>
        <w:tc>
          <w:tcPr>
            <w:tcW w:w="5000" w:type="pct"/>
            <w:gridSpan w:val="4"/>
            <w:shd w:val="clear" w:color="auto" w:fill="F2F2F2" w:themeFill="background1" w:themeFillShade="F2"/>
            <w:vAlign w:val="center"/>
          </w:tcPr>
          <w:p>
            <w:pPr>
              <w:keepNext/>
              <w:spacing w:before="60" w:after="60"/>
              <w:ind w:right="-170"/>
              <w:rPr>
                <w:rFonts w:ascii="Times New Roman" w:hAnsi="Times New Roman"/>
                <w:b/>
                <w:noProof/>
              </w:rPr>
            </w:pPr>
            <w:r>
              <w:rPr>
                <w:rFonts w:ascii="Times New Roman" w:hAnsi="Times New Roman"/>
                <w:b/>
                <w:noProof/>
              </w:rPr>
              <w:lastRenderedPageBreak/>
              <w:t>Ārlietas un drošības politika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COM/2005/0397</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par Kopienas nostāju Apvienotajā komitejā attiecībā uz to, kā īstenot 66. pantu Eiropas un Vidusjūras reģiona valstu pagaidu asociācijas nolīgumā par tirdzniecību un sadarbību starp Eiropas Kopienu, no vienas puses, un Palestīnas atbrīvošanas organizāciju (PAO), kas darbojas Jordānas Rietumkrasta un Gazas sektora Palestīniešu pašpārvaldes vārdā, no otras puses</w:t>
            </w:r>
          </w:p>
        </w:tc>
        <w:tc>
          <w:tcPr>
            <w:tcW w:w="1643" w:type="pct"/>
          </w:tcPr>
          <w:p>
            <w:pPr>
              <w:jc w:val="both"/>
              <w:rPr>
                <w:rFonts w:ascii="Times New Roman" w:eastAsia="Times New Roman" w:hAnsi="Times New Roman"/>
                <w:noProof/>
              </w:rPr>
            </w:pPr>
            <w:r>
              <w:rPr>
                <w:rFonts w:ascii="Times New Roman" w:hAnsi="Times New Roman"/>
                <w:noProof/>
              </w:rPr>
              <w:t>Novecojis: jaunākais attiecīgais dokuments par šo jautājumu ir ES un PAO Apvienotās komitejas lēmums par sešu apakškomiteju izveidi (OV L 187, 17.7.2012, 64.–72. lpp.).</w:t>
            </w:r>
            <w:r>
              <w:rPr>
                <w:rFonts w:ascii="Times New Roman" w:eastAsia="Times New Roman" w:hAnsi="Times New Roman"/>
                <w:noProof/>
              </w:rPr>
              <w:br/>
            </w:r>
          </w:p>
          <w:p>
            <w:pPr>
              <w:jc w:val="both"/>
              <w:rPr>
                <w:rFonts w:ascii="Times New Roman" w:eastAsia="Times New Roman" w:hAnsi="Times New Roman"/>
                <w:noProof/>
              </w:rPr>
            </w:pP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COM/2015/0035</w:t>
            </w:r>
          </w:p>
          <w:p>
            <w:pPr>
              <w:jc w:val="both"/>
              <w:rPr>
                <w:rFonts w:ascii="Times New Roman" w:hAnsi="Times New Roman"/>
                <w:noProof/>
                <w:color w:val="000000"/>
              </w:rPr>
            </w:pPr>
            <w:r>
              <w:rPr>
                <w:rFonts w:ascii="Times New Roman" w:hAnsi="Times New Roman"/>
                <w:noProof/>
                <w:color w:val="000000"/>
              </w:rPr>
              <w:t>2015/0303/NLE</w:t>
            </w:r>
          </w:p>
        </w:tc>
        <w:tc>
          <w:tcPr>
            <w:tcW w:w="2318" w:type="pct"/>
          </w:tcPr>
          <w:p>
            <w:pPr>
              <w:jc w:val="both"/>
              <w:rPr>
                <w:rFonts w:ascii="Times New Roman" w:eastAsia="Times New Roman" w:hAnsi="Times New Roman"/>
                <w:bCs/>
                <w:noProof/>
              </w:rPr>
            </w:pPr>
            <w:r>
              <w:rPr>
                <w:rFonts w:ascii="Times New Roman" w:hAnsi="Times New Roman"/>
                <w:noProof/>
              </w:rPr>
              <w:t xml:space="preserve">Kopīgs priekšlikums – PADOMES LĒMUMS par to, lai Eiropas Savienības vārdā parakstītu Eiropas Savienības un Afganistānas Islāma Republikas sadarbības nolīgumu par partnerību un attīstību </w:t>
            </w:r>
          </w:p>
          <w:p>
            <w:pPr>
              <w:jc w:val="both"/>
              <w:rPr>
                <w:rFonts w:ascii="Times New Roman" w:eastAsia="Times New Roman" w:hAnsi="Times New Roman"/>
                <w:bCs/>
                <w:noProof/>
              </w:rPr>
            </w:pPr>
          </w:p>
        </w:tc>
        <w:tc>
          <w:tcPr>
            <w:tcW w:w="1643" w:type="pct"/>
          </w:tcPr>
          <w:p>
            <w:pPr>
              <w:jc w:val="both"/>
              <w:rPr>
                <w:rFonts w:ascii="Times New Roman" w:eastAsia="Times New Roman" w:hAnsi="Times New Roman"/>
                <w:noProof/>
              </w:rPr>
            </w:pPr>
            <w:r>
              <w:rPr>
                <w:rFonts w:ascii="Times New Roman" w:hAnsi="Times New Roman"/>
                <w:noProof/>
              </w:rPr>
              <w:t xml:space="preserve">Tas ir aizstāts ar priekšlikumu par jauktu nolīgumu, tostarp par provizorisku piemērošanu (JOIN (2016)45).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Veselība un pārtikas nekaitīgums</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COM/2014/0004</w:t>
            </w:r>
          </w:p>
          <w:p>
            <w:pPr>
              <w:jc w:val="both"/>
              <w:rPr>
                <w:rFonts w:ascii="Times New Roman" w:hAnsi="Times New Roman"/>
                <w:iCs/>
                <w:noProof/>
                <w:color w:val="000000"/>
              </w:rPr>
            </w:pPr>
            <w:r>
              <w:rPr>
                <w:rFonts w:ascii="Times New Roman" w:hAnsi="Times New Roman"/>
                <w:noProof/>
                <w:color w:val="000000"/>
              </w:rPr>
              <w:t>2014/0033/COD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DIREKTĪVA, ar kuru groza Direktīvas 89/608/EEK, 90/425/EEK un 91/496/EEK attiecībā uz atsaucēm uz zootehniskajiem tiesību aktiem</w:t>
            </w:r>
          </w:p>
        </w:tc>
        <w:tc>
          <w:tcPr>
            <w:tcW w:w="1643" w:type="pct"/>
          </w:tcPr>
          <w:p>
            <w:pPr>
              <w:jc w:val="both"/>
              <w:rPr>
                <w:rFonts w:ascii="Times New Roman" w:eastAsia="Times New Roman" w:hAnsi="Times New Roman"/>
                <w:noProof/>
              </w:rPr>
            </w:pPr>
            <w:r>
              <w:rPr>
                <w:rFonts w:ascii="Times New Roman" w:hAnsi="Times New Roman"/>
                <w:noProof/>
              </w:rPr>
              <w:t xml:space="preserve">Novecojis: ierosinātās direktīvas saturs tika iekļauts nesen pieņemtajā Eiropas Parlamenta un Padomes Regulā (ES) 2016/1012 par zootehniskajiem un ģenealoģiskajiem nosacījumiem dzīvnieku audzēšanai, tīršķirnes vaislas dzīvnieku, krustojuma vaislas cūku un to reproduktīvo produktu tirdzniecībai Savienībā un ievešanai tajā (OV L 171, 29.6.2016., 66.–143. lpp.).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COM/2007/0872</w:t>
            </w:r>
          </w:p>
          <w:p>
            <w:pPr>
              <w:jc w:val="both"/>
              <w:rPr>
                <w:rFonts w:ascii="Times New Roman" w:hAnsi="Times New Roman"/>
                <w:iCs/>
                <w:noProof/>
                <w:color w:val="000000"/>
              </w:rPr>
            </w:pPr>
            <w:r>
              <w:rPr>
                <w:rFonts w:ascii="Times New Roman" w:hAnsi="Times New Roman"/>
                <w:noProof/>
                <w:color w:val="000000"/>
              </w:rPr>
              <w:t>2008/0002/COD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REGULA par jauniem pārtikas produktiem un par Regulas (EK) Nr. XXX/XXXX grozīšanu [vienotā procedūra]</w:t>
            </w:r>
          </w:p>
        </w:tc>
        <w:tc>
          <w:tcPr>
            <w:tcW w:w="1643" w:type="pct"/>
          </w:tcPr>
          <w:p>
            <w:pPr>
              <w:jc w:val="both"/>
              <w:rPr>
                <w:rFonts w:ascii="Times New Roman" w:eastAsia="Times New Roman" w:hAnsi="Times New Roman"/>
                <w:noProof/>
              </w:rPr>
            </w:pPr>
            <w:r>
              <w:rPr>
                <w:rFonts w:ascii="Times New Roman" w:hAnsi="Times New Roman"/>
                <w:noProof/>
              </w:rPr>
              <w:t xml:space="preserve">Novecojis: samierināšanās netika panākta 2011. gadā.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bCs/>
                <w:noProof/>
              </w:rPr>
            </w:pPr>
            <w:r>
              <w:rPr>
                <w:rFonts w:ascii="Times New Roman" w:hAnsi="Times New Roman"/>
                <w:b/>
                <w:noProof/>
              </w:rPr>
              <w:t>Iekšējais tirgus, rūpniecība, uzņēmējdarbība un MVU</w:t>
            </w:r>
          </w:p>
        </w:tc>
      </w:tr>
      <w:tr>
        <w:trPr>
          <w:cantSplit/>
        </w:trPr>
        <w:tc>
          <w:tcPr>
            <w:tcW w:w="186" w:type="pct"/>
            <w:tcBorders>
              <w:bottom w:val="single" w:sz="4" w:space="0" w:color="auto"/>
            </w:tcBorders>
          </w:tcPr>
          <w:p>
            <w:pPr>
              <w:pStyle w:val="ListParagraph"/>
              <w:numPr>
                <w:ilvl w:val="0"/>
                <w:numId w:val="5"/>
              </w:numPr>
              <w:ind w:left="284" w:right="-172" w:hanging="284"/>
              <w:contextualSpacing w:val="0"/>
              <w:rPr>
                <w:rFonts w:ascii="Times New Roman" w:hAnsi="Times New Roman"/>
                <w:noProof/>
              </w:rPr>
            </w:pPr>
          </w:p>
        </w:tc>
        <w:tc>
          <w:tcPr>
            <w:tcW w:w="854" w:type="pct"/>
            <w:tcBorders>
              <w:bottom w:val="single" w:sz="4" w:space="0" w:color="auto"/>
            </w:tcBorders>
          </w:tcPr>
          <w:p>
            <w:pPr>
              <w:jc w:val="both"/>
              <w:rPr>
                <w:rFonts w:ascii="Times New Roman" w:hAnsi="Times New Roman"/>
                <w:noProof/>
                <w:color w:val="000000"/>
              </w:rPr>
            </w:pPr>
            <w:r>
              <w:rPr>
                <w:rFonts w:ascii="Times New Roman" w:hAnsi="Times New Roman"/>
                <w:noProof/>
                <w:color w:val="000000"/>
              </w:rPr>
              <w:t>SEC(2010) 312 </w:t>
            </w:r>
          </w:p>
        </w:tc>
        <w:tc>
          <w:tcPr>
            <w:tcW w:w="2318" w:type="pct"/>
            <w:tcBorders>
              <w:bottom w:val="single" w:sz="4" w:space="0" w:color="auto"/>
            </w:tcBorders>
          </w:tcPr>
          <w:p>
            <w:pPr>
              <w:jc w:val="both"/>
              <w:rPr>
                <w:rFonts w:ascii="Times New Roman" w:eastAsia="Times New Roman" w:hAnsi="Times New Roman"/>
                <w:bCs/>
                <w:noProof/>
              </w:rPr>
            </w:pPr>
            <w:r>
              <w:rPr>
                <w:rFonts w:ascii="Times New Roman" w:hAnsi="Times New Roman"/>
                <w:noProof/>
              </w:rPr>
              <w:t>Eiropas Komisijas ieteikums Padomei pilnvarot Eiropas Komisiju sākt sarunas ar ārpuskopienas valstīm, lai noslēgtu nolīgumus par Galileo Zemes staciju uzstādīšanu.</w:t>
            </w:r>
          </w:p>
        </w:tc>
        <w:tc>
          <w:tcPr>
            <w:tcW w:w="1643" w:type="pct"/>
            <w:tcBorders>
              <w:bottom w:val="single" w:sz="4" w:space="0" w:color="auto"/>
            </w:tcBorders>
          </w:tcPr>
          <w:p>
            <w:pPr>
              <w:jc w:val="both"/>
              <w:rPr>
                <w:rFonts w:ascii="Times New Roman" w:eastAsia="Times New Roman" w:hAnsi="Times New Roman"/>
                <w:noProof/>
              </w:rPr>
            </w:pPr>
            <w:r>
              <w:rPr>
                <w:rFonts w:ascii="Times New Roman" w:hAnsi="Times New Roman"/>
                <w:noProof/>
              </w:rPr>
              <w:t xml:space="preserve">Šo 2010. gada ieteikumu Padome nepieņēma, jo tika izvēlēts alternatīvs risinājums: tā vietā, lai risinātu sarunas par Galileo staciju uzstādīšanu trešās valstīs, kāds bija šā priekšlikuma sākotnējais mērķis, dalībvalstis izvēlējās uzstādīt tās ES dalībvalstu teritorijā.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Tieslietas, patērētāji un dzimumu līdztiesība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COM/2011/0126</w:t>
            </w:r>
          </w:p>
          <w:p>
            <w:pPr>
              <w:jc w:val="both"/>
              <w:rPr>
                <w:rFonts w:ascii="Times New Roman" w:hAnsi="Times New Roman"/>
                <w:iCs/>
                <w:noProof/>
                <w:color w:val="000000"/>
              </w:rPr>
            </w:pPr>
            <w:r>
              <w:rPr>
                <w:rFonts w:ascii="Times New Roman" w:hAnsi="Times New Roman"/>
                <w:noProof/>
                <w:color w:val="000000"/>
              </w:rPr>
              <w:t>2011/0059/CNS</w:t>
            </w:r>
          </w:p>
        </w:tc>
        <w:tc>
          <w:tcPr>
            <w:tcW w:w="2318" w:type="pct"/>
          </w:tcPr>
          <w:p>
            <w:pPr>
              <w:jc w:val="both"/>
              <w:rPr>
                <w:rFonts w:ascii="Times New Roman" w:eastAsia="Times New Roman" w:hAnsi="Times New Roman"/>
                <w:bCs/>
                <w:noProof/>
              </w:rPr>
            </w:pPr>
            <w:r>
              <w:rPr>
                <w:rFonts w:ascii="Times New Roman" w:hAnsi="Times New Roman"/>
                <w:noProof/>
              </w:rPr>
              <w:t>Priekšlikums – PADOMES REGULA par jurisdikciju, piemērojamiem tiesību aktiem, nolēmumu atzīšanu un izpildi laulāto mantisko attiecību lietās</w:t>
            </w:r>
          </w:p>
        </w:tc>
        <w:tc>
          <w:tcPr>
            <w:tcW w:w="1643" w:type="pct"/>
          </w:tcPr>
          <w:p>
            <w:pPr>
              <w:jc w:val="both"/>
              <w:rPr>
                <w:rFonts w:ascii="Times New Roman" w:eastAsia="Times New Roman" w:hAnsi="Times New Roman"/>
                <w:noProof/>
              </w:rPr>
            </w:pPr>
            <w:r>
              <w:rPr>
                <w:rFonts w:ascii="Times New Roman" w:hAnsi="Times New Roman"/>
                <w:noProof/>
              </w:rPr>
              <w:t>Novecojis: šo priekšlikumu aizstāja ar priekšlikumu saskaņā ar ciešākas sadarbības procedūru (COM(2016)108)</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COM/2011/0127</w:t>
            </w:r>
          </w:p>
          <w:p>
            <w:pPr>
              <w:jc w:val="both"/>
              <w:rPr>
                <w:rFonts w:ascii="Times New Roman" w:hAnsi="Times New Roman"/>
                <w:i/>
                <w:iCs/>
                <w:noProof/>
                <w:color w:val="000000"/>
              </w:rPr>
            </w:pPr>
            <w:r>
              <w:rPr>
                <w:rFonts w:ascii="Times New Roman" w:hAnsi="Times New Roman"/>
                <w:noProof/>
                <w:color w:val="000000"/>
              </w:rPr>
              <w:t>2011/0060/CNS</w:t>
            </w:r>
          </w:p>
        </w:tc>
        <w:tc>
          <w:tcPr>
            <w:tcW w:w="2318" w:type="pct"/>
          </w:tcPr>
          <w:p>
            <w:pPr>
              <w:jc w:val="both"/>
              <w:rPr>
                <w:rFonts w:ascii="Times New Roman" w:eastAsia="Times New Roman" w:hAnsi="Times New Roman"/>
                <w:bCs/>
                <w:noProof/>
              </w:rPr>
            </w:pPr>
            <w:r>
              <w:rPr>
                <w:rFonts w:ascii="Times New Roman" w:hAnsi="Times New Roman"/>
                <w:noProof/>
              </w:rPr>
              <w:t>Priekšlikums – PADOMES REGULA par jurisdikciju, piemērojamiem tiesību aktiem, nolēmumu atzīšanu un izpildi lietās par reģistrētu partnerattiecību mantiskajām sekām</w:t>
            </w:r>
          </w:p>
        </w:tc>
        <w:tc>
          <w:tcPr>
            <w:tcW w:w="1643" w:type="pct"/>
          </w:tcPr>
          <w:p>
            <w:pPr>
              <w:jc w:val="both"/>
              <w:rPr>
                <w:rFonts w:ascii="Times New Roman" w:eastAsia="Times New Roman" w:hAnsi="Times New Roman"/>
                <w:noProof/>
              </w:rPr>
            </w:pPr>
            <w:r>
              <w:rPr>
                <w:rFonts w:ascii="Times New Roman" w:hAnsi="Times New Roman"/>
                <w:noProof/>
              </w:rPr>
              <w:t>Novecojis: šo priekšlikumu aizstāja ar priekšlikumiem saskaņā ar ciešākas sadarbības procedūru (COM(2016)107/108)</w:t>
            </w:r>
          </w:p>
        </w:tc>
      </w:tr>
      <w:tr>
        <w:trPr>
          <w:cantSplit/>
        </w:trPr>
        <w:tc>
          <w:tcPr>
            <w:tcW w:w="5000" w:type="pct"/>
            <w:gridSpan w:val="4"/>
            <w:shd w:val="clear" w:color="auto" w:fill="F2F2F2" w:themeFill="background1" w:themeFillShade="F2"/>
            <w:vAlign w:val="center"/>
          </w:tcPr>
          <w:p>
            <w:pPr>
              <w:keepNext/>
              <w:spacing w:before="60" w:after="60"/>
              <w:ind w:right="-170"/>
              <w:rPr>
                <w:rFonts w:ascii="Times New Roman" w:hAnsi="Times New Roman"/>
                <w:b/>
                <w:noProof/>
              </w:rPr>
            </w:pPr>
            <w:r>
              <w:rPr>
                <w:rFonts w:ascii="Times New Roman" w:hAnsi="Times New Roman"/>
                <w:b/>
                <w:noProof/>
              </w:rPr>
              <w:t>Migrācija, iekšlietas un pilsonība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noProof/>
              </w:rPr>
            </w:pPr>
            <w:r>
              <w:rPr>
                <w:rFonts w:ascii="Times New Roman" w:hAnsi="Times New Roman"/>
                <w:noProof/>
              </w:rPr>
              <w:t>COM/2013/0097</w:t>
            </w:r>
          </w:p>
          <w:p>
            <w:pPr>
              <w:jc w:val="both"/>
              <w:rPr>
                <w:rFonts w:ascii="Times New Roman" w:eastAsia="Times New Roman" w:hAnsi="Times New Roman"/>
                <w:noProof/>
              </w:rPr>
            </w:pPr>
            <w:r>
              <w:rPr>
                <w:rFonts w:ascii="Times New Roman" w:hAnsi="Times New Roman"/>
                <w:noProof/>
              </w:rPr>
              <w:t>2013/0059/COD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REGULA, ar ko izveido Reģistrēto ceļotāju programmu</w:t>
            </w:r>
          </w:p>
        </w:tc>
        <w:tc>
          <w:tcPr>
            <w:tcW w:w="1643" w:type="pct"/>
          </w:tcPr>
          <w:p>
            <w:pPr>
              <w:jc w:val="both"/>
              <w:rPr>
                <w:rFonts w:ascii="Times New Roman" w:eastAsia="Times New Roman" w:hAnsi="Times New Roman"/>
                <w:noProof/>
              </w:rPr>
            </w:pPr>
            <w:r>
              <w:rPr>
                <w:rFonts w:ascii="Times New Roman" w:hAnsi="Times New Roman"/>
                <w:noProof/>
              </w:rPr>
              <w:t xml:space="preserve">Priekšlikums jau tika iekļauts to neizskatīto priekšlikumu atsaukumu vai grozījumu sarakstā, kuri iekļauti Komisijas darba programmā 2016. gadam. Kā norādīts regulas priekšlikumā Eiropas Parlamenta un Padomes Regulai par ieceļošanas/izceļošanas sistēmu (IIS), COM(2016)194 </w:t>
            </w:r>
            <w:r>
              <w:rPr>
                <w:rFonts w:ascii="Times New Roman" w:hAnsi="Times New Roman"/>
                <w:i/>
                <w:noProof/>
              </w:rPr>
              <w:t>final</w:t>
            </w:r>
            <w:r>
              <w:rPr>
                <w:rFonts w:ascii="Times New Roman" w:hAnsi="Times New Roman"/>
                <w:noProof/>
              </w:rPr>
              <w:t xml:space="preserve">, pieņemot IIS priekšlikumu, Komisija atsauca priekšlikumu, ar kuru izveido Reģistrēto ceļotāju programmu (sk. PV(2016)2172 </w:t>
            </w:r>
            <w:r>
              <w:rPr>
                <w:rFonts w:ascii="Times New Roman" w:hAnsi="Times New Roman"/>
                <w:i/>
                <w:noProof/>
              </w:rPr>
              <w:t>final</w:t>
            </w:r>
            <w:r>
              <w:rPr>
                <w:rFonts w:ascii="Times New Roman" w:hAnsi="Times New Roman"/>
                <w:noProof/>
              </w:rPr>
              <w:t xml:space="preserve">).   </w:t>
            </w:r>
            <w:r>
              <w:rPr>
                <w:rFonts w:ascii="Times New Roman" w:eastAsia="Times New Roman" w:hAnsi="Times New Roman"/>
                <w:noProof/>
              </w:rPr>
              <w:br/>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COM/2013/0619</w:t>
            </w:r>
          </w:p>
          <w:p>
            <w:pPr>
              <w:jc w:val="both"/>
              <w:rPr>
                <w:rFonts w:ascii="Times New Roman" w:hAnsi="Times New Roman"/>
                <w:noProof/>
                <w:color w:val="000000"/>
              </w:rPr>
            </w:pPr>
            <w:r>
              <w:rPr>
                <w:rFonts w:ascii="Times New Roman" w:hAnsi="Times New Roman"/>
                <w:noProof/>
                <w:color w:val="000000"/>
              </w:rPr>
              <w:t>2013/0305/COD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REGULA par jaunām psihoaktīvām vielām</w:t>
            </w:r>
          </w:p>
        </w:tc>
        <w:tc>
          <w:tcPr>
            <w:tcW w:w="1643" w:type="pct"/>
          </w:tcPr>
          <w:p>
            <w:pPr>
              <w:jc w:val="both"/>
              <w:rPr>
                <w:rFonts w:ascii="Times New Roman" w:eastAsia="Times New Roman" w:hAnsi="Times New Roman"/>
                <w:noProof/>
              </w:rPr>
            </w:pPr>
            <w:r>
              <w:rPr>
                <w:rFonts w:ascii="Times New Roman" w:hAnsi="Times New Roman"/>
                <w:noProof/>
              </w:rPr>
              <w:t xml:space="preserve">Novecojis: daži no šā priekšlikuma elementiem ir iekļauti jaunajā priekšlikumā Eiropas Parlamenta un Padomes Regulai, ar ko groza Regulu (EK) Nr. 1920/2006 attiecībā uz informācijas apmaiņu, agrīnās brīdināšanas sistēmu un riska novērtēšanu saistībā ar jaunām psihoaktīvām vielām (COM(2016)547); citi elementi ir ietverti priekšlikumā Eiropas Parlamenta un Padomes Direktīvai, ar kuru attiecībā uz narkotisko vielu definīciju groza Padomes 2004. gada 25. oktobra Pamatlēmumu 2004/757/TI, ar ko paredz minimuma noteikumus par noziedzīgu darbību pazīmēm un sodiem narkotisko vielu nelikumīgas tirdzniecības jomā (COM(2013)618).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COM/2009/0703</w:t>
            </w:r>
          </w:p>
          <w:p>
            <w:pPr>
              <w:jc w:val="both"/>
              <w:rPr>
                <w:rFonts w:ascii="Times New Roman" w:hAnsi="Times New Roman"/>
                <w:noProof/>
                <w:color w:val="000000"/>
              </w:rPr>
            </w:pPr>
            <w:r>
              <w:rPr>
                <w:rFonts w:ascii="Times New Roman" w:hAnsi="Times New Roman"/>
                <w:noProof/>
                <w:color w:val="000000"/>
              </w:rPr>
              <w:t>2009/0190/NLE</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par Nolīguma noslēgšanu starp Eiropas Savienību un Amerikas Savienotajām Valstīm par tādu finanšu ziņojumapmaiņas datu apstrādi un nodošanu, kurus Eiropas Savienība dara pieejamus Amerikas Savienotajām Valstīm, lai īstenotu Teroristu finansēšanas izsekošanas programmu</w:t>
            </w:r>
          </w:p>
        </w:tc>
        <w:tc>
          <w:tcPr>
            <w:tcW w:w="1643" w:type="pct"/>
          </w:tcPr>
          <w:p>
            <w:pPr>
              <w:jc w:val="both"/>
              <w:rPr>
                <w:rFonts w:ascii="Times New Roman" w:eastAsia="Times New Roman" w:hAnsi="Times New Roman"/>
                <w:noProof/>
              </w:rPr>
            </w:pPr>
            <w:r>
              <w:rPr>
                <w:rFonts w:ascii="Times New Roman" w:hAnsi="Times New Roman"/>
                <w:noProof/>
              </w:rPr>
              <w:t>Novecojis: pamatojoties uz citu priekšlikumu (COM(2010)316), tika pieņemts Padomes 2010. gada 13. jūlija Lēmums par to, lai noslēgtu Nolīgumu starp Eiropas Savienību un Amerikas Savienotajām Valstīm par tādu finanšu ziņojumapmaiņas datu apstrādi un nodošanu, kurus Eiropas Savienība dara pieejamus ASV, lai īstenotu Teroristu finansēšanas izsekošanas programmu. Tāpēc šis iepriekšējais priekšlikums ir jāatsauc.</w:t>
            </w:r>
          </w:p>
        </w:tc>
      </w:tr>
      <w:tr>
        <w:trPr>
          <w:cantSplit/>
        </w:trPr>
        <w:tc>
          <w:tcPr>
            <w:tcW w:w="5000" w:type="pct"/>
            <w:gridSpan w:val="4"/>
            <w:shd w:val="clear" w:color="auto" w:fill="F2F2F2" w:themeFill="background1" w:themeFillShade="F2"/>
            <w:vAlign w:val="center"/>
          </w:tcPr>
          <w:p>
            <w:pPr>
              <w:keepNext/>
              <w:spacing w:before="120" w:after="120"/>
              <w:ind w:right="-170"/>
              <w:rPr>
                <w:rFonts w:ascii="Times New Roman" w:hAnsi="Times New Roman"/>
                <w:b/>
                <w:noProof/>
              </w:rPr>
            </w:pPr>
            <w:r>
              <w:rPr>
                <w:rFonts w:ascii="Times New Roman" w:hAnsi="Times New Roman"/>
                <w:b/>
                <w:noProof/>
              </w:rPr>
              <w:t>Tirdzniecība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COM/2015/0390</w:t>
            </w:r>
          </w:p>
          <w:p>
            <w:pPr>
              <w:jc w:val="both"/>
              <w:rPr>
                <w:rFonts w:ascii="Times New Roman" w:hAnsi="Times New Roman"/>
                <w:iCs/>
                <w:noProof/>
                <w:color w:val="000000"/>
              </w:rPr>
            </w:pPr>
            <w:r>
              <w:rPr>
                <w:rFonts w:ascii="Times New Roman" w:hAnsi="Times New Roman"/>
                <w:noProof/>
                <w:color w:val="000000"/>
              </w:rPr>
              <w:t>2015/0170/NLE</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par nostāju, kas Eiropas Savienības vārdā jāieņem Asociācijas komitejā īpašā sastāvā tirdzniecības jautājumu risināšanai, kura izveidota ar Asociācijas nolīgumu starp Eiropas Savienību un Eiropas Atomenerģijas kopienu un to dalībvalstīm, no vienas puses, un Moldovas Republiku, no otras puses</w:t>
            </w:r>
          </w:p>
        </w:tc>
        <w:tc>
          <w:tcPr>
            <w:tcW w:w="1643" w:type="pct"/>
          </w:tcPr>
          <w:p>
            <w:pPr>
              <w:jc w:val="both"/>
              <w:rPr>
                <w:rFonts w:ascii="Times New Roman" w:eastAsia="Times New Roman" w:hAnsi="Times New Roman"/>
                <w:noProof/>
              </w:rPr>
            </w:pPr>
            <w:r>
              <w:rPr>
                <w:rFonts w:ascii="Times New Roman" w:hAnsi="Times New Roman"/>
                <w:noProof/>
              </w:rPr>
              <w:t xml:space="preserve">Novecojis: šis priekšlikums ir aizstāts ar priekšlikumu COM (2016)649. </w:t>
            </w:r>
          </w:p>
        </w:tc>
      </w:tr>
      <w:tr>
        <w:trPr>
          <w:cantSplit/>
        </w:trPr>
        <w:tc>
          <w:tcPr>
            <w:tcW w:w="5000" w:type="pct"/>
            <w:gridSpan w:val="4"/>
            <w:shd w:val="clear" w:color="auto" w:fill="F2F2F2" w:themeFill="background1" w:themeFillShade="F2"/>
            <w:vAlign w:val="center"/>
          </w:tcPr>
          <w:p>
            <w:pPr>
              <w:spacing w:before="120" w:after="120"/>
              <w:ind w:right="-170"/>
              <w:rPr>
                <w:rFonts w:ascii="Times New Roman" w:hAnsi="Times New Roman"/>
                <w:b/>
                <w:noProof/>
              </w:rPr>
            </w:pPr>
            <w:r>
              <w:rPr>
                <w:rFonts w:ascii="Times New Roman" w:hAnsi="Times New Roman"/>
                <w:b/>
                <w:noProof/>
              </w:rPr>
              <w:t>Transports</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COM/2010/0263</w:t>
            </w:r>
          </w:p>
          <w:p>
            <w:pPr>
              <w:jc w:val="both"/>
              <w:rPr>
                <w:rFonts w:ascii="Times New Roman" w:hAnsi="Times New Roman"/>
                <w:iCs/>
                <w:noProof/>
                <w:color w:val="000000"/>
              </w:rPr>
            </w:pPr>
            <w:r>
              <w:rPr>
                <w:rFonts w:ascii="Times New Roman" w:hAnsi="Times New Roman"/>
                <w:noProof/>
                <w:color w:val="000000"/>
              </w:rPr>
              <w:t>2010/0141/NLE</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par nolīguma parakstīšanu un provizorisku piemērošanu starp Eiropas Savienību un Peru Republiku par atsevišķiem gaisa pārvadājumu pakalpojumu aspektiem</w:t>
            </w:r>
          </w:p>
        </w:tc>
        <w:tc>
          <w:tcPr>
            <w:tcW w:w="1643" w:type="pct"/>
          </w:tcPr>
          <w:p>
            <w:pPr>
              <w:jc w:val="both"/>
              <w:rPr>
                <w:rFonts w:ascii="Times New Roman" w:eastAsia="Times New Roman" w:hAnsi="Times New Roman"/>
                <w:noProof/>
              </w:rPr>
            </w:pPr>
            <w:r>
              <w:rPr>
                <w:rFonts w:ascii="Times New Roman" w:hAnsi="Times New Roman"/>
                <w:noProof/>
              </w:rPr>
              <w:t>Novecojis:</w:t>
            </w:r>
            <w:r>
              <w:rPr>
                <w:rFonts w:ascii="Times New Roman" w:hAnsi="Times New Roman"/>
                <w:noProof/>
                <w:color w:val="FF0000"/>
              </w:rPr>
              <w:t xml:space="preserve"> </w:t>
            </w:r>
            <w:r>
              <w:rPr>
                <w:rFonts w:ascii="Times New Roman" w:hAnsi="Times New Roman"/>
                <w:noProof/>
              </w:rPr>
              <w:t xml:space="preserve">pēc atkārtotām sarunām par nolīgumu šis priekšlikums ir aizstāts ar priekšlikumu COM(2013)423.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COM/2010/0264</w:t>
            </w:r>
          </w:p>
          <w:p>
            <w:pPr>
              <w:jc w:val="both"/>
              <w:rPr>
                <w:rFonts w:ascii="Times New Roman" w:hAnsi="Times New Roman"/>
                <w:noProof/>
                <w:color w:val="000000"/>
              </w:rPr>
            </w:pPr>
            <w:r>
              <w:rPr>
                <w:rFonts w:ascii="Times New Roman" w:hAnsi="Times New Roman"/>
                <w:noProof/>
                <w:color w:val="000000"/>
              </w:rPr>
              <w:t>2010/0142/NLE</w:t>
            </w:r>
          </w:p>
        </w:tc>
        <w:tc>
          <w:tcPr>
            <w:tcW w:w="2318" w:type="pct"/>
          </w:tcPr>
          <w:p>
            <w:pPr>
              <w:jc w:val="both"/>
              <w:rPr>
                <w:rFonts w:ascii="Times New Roman" w:eastAsia="Times New Roman" w:hAnsi="Times New Roman"/>
                <w:bCs/>
                <w:noProof/>
              </w:rPr>
            </w:pPr>
            <w:r>
              <w:rPr>
                <w:rFonts w:ascii="Times New Roman" w:hAnsi="Times New Roman"/>
                <w:noProof/>
              </w:rPr>
              <w:t xml:space="preserve">Priekšlikums – PADOMES LĒMUMS par nolīguma noslēgšanu starp Eiropas Savienību un Peru Republiku par atsevišķiem gaisa pārvadājumu pakalpojumu aspektiem  </w:t>
            </w:r>
          </w:p>
        </w:tc>
        <w:tc>
          <w:tcPr>
            <w:tcW w:w="1643" w:type="pct"/>
          </w:tcPr>
          <w:p>
            <w:pPr>
              <w:jc w:val="both"/>
              <w:rPr>
                <w:rFonts w:ascii="Times New Roman" w:eastAsia="Times New Roman" w:hAnsi="Times New Roman"/>
                <w:noProof/>
              </w:rPr>
            </w:pPr>
            <w:r>
              <w:rPr>
                <w:rFonts w:ascii="Times New Roman" w:hAnsi="Times New Roman"/>
                <w:noProof/>
              </w:rPr>
              <w:t xml:space="preserve">Novecojis: pēc atkārtotām sarunām par nolīgumu šis priekšlikums ir aizstāts ar priekšlikumu COM(2013)424.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COM/2010/0803</w:t>
            </w:r>
          </w:p>
          <w:p>
            <w:pPr>
              <w:tabs>
                <w:tab w:val="center" w:pos="911"/>
              </w:tabs>
              <w:jc w:val="both"/>
              <w:rPr>
                <w:rFonts w:ascii="Times New Roman" w:hAnsi="Times New Roman"/>
                <w:noProof/>
                <w:color w:val="000000"/>
              </w:rPr>
            </w:pPr>
            <w:r>
              <w:rPr>
                <w:rFonts w:ascii="Times New Roman" w:hAnsi="Times New Roman"/>
                <w:noProof/>
                <w:color w:val="000000"/>
              </w:rPr>
              <w:t>2010/0388/NLE</w:t>
            </w:r>
          </w:p>
        </w:tc>
        <w:tc>
          <w:tcPr>
            <w:tcW w:w="2318" w:type="pct"/>
          </w:tcPr>
          <w:p>
            <w:pPr>
              <w:jc w:val="both"/>
              <w:rPr>
                <w:rFonts w:ascii="Times New Roman" w:eastAsia="Times New Roman" w:hAnsi="Times New Roman"/>
                <w:bCs/>
                <w:noProof/>
              </w:rPr>
            </w:pPr>
            <w:r>
              <w:rPr>
                <w:rFonts w:ascii="Times New Roman" w:hAnsi="Times New Roman"/>
                <w:noProof/>
              </w:rPr>
              <w:t>Priekšlikums – PADOMES LĒMUMS par to, lai noslēgtu nolīgumu starp Eiropas Savienību un Saūda Arābijas Karalisti par atsevišķiem gaisa pārvadājumu pakalpojumu aspektiem</w:t>
            </w:r>
          </w:p>
        </w:tc>
        <w:tc>
          <w:tcPr>
            <w:tcW w:w="1643" w:type="pct"/>
          </w:tcPr>
          <w:p>
            <w:pPr>
              <w:jc w:val="both"/>
              <w:rPr>
                <w:rFonts w:ascii="Times New Roman" w:eastAsia="Times New Roman" w:hAnsi="Times New Roman"/>
                <w:noProof/>
              </w:rPr>
            </w:pPr>
            <w:r>
              <w:rPr>
                <w:rFonts w:ascii="Times New Roman" w:hAnsi="Times New Roman"/>
                <w:noProof/>
              </w:rPr>
              <w:t>Novecojis: Saūda Arābijas Karaliste 2014. gada 15. jūnijā informēja Komisiju, ka tā nav paredzējusi parakstīt nolīgumu. Tāpēc šis priekšlikums jāatsauc.</w:t>
            </w:r>
          </w:p>
        </w:tc>
      </w:tr>
      <w:tr>
        <w:trPr>
          <w:cantSplit/>
        </w:trPr>
        <w:tc>
          <w:tcPr>
            <w:tcW w:w="5000" w:type="pct"/>
            <w:gridSpan w:val="4"/>
            <w:shd w:val="clear" w:color="auto" w:fill="F2F2F2" w:themeFill="background1" w:themeFillShade="F2"/>
            <w:vAlign w:val="center"/>
          </w:tcPr>
          <w:p>
            <w:pPr>
              <w:keepNext/>
              <w:spacing w:before="120" w:after="120"/>
              <w:ind w:right="-170"/>
              <w:rPr>
                <w:rFonts w:ascii="Times New Roman" w:hAnsi="Times New Roman"/>
                <w:b/>
                <w:noProof/>
              </w:rPr>
            </w:pPr>
            <w:r>
              <w:rPr>
                <w:rFonts w:ascii="Times New Roman" w:hAnsi="Times New Roman"/>
                <w:b/>
                <w:noProof/>
              </w:rPr>
              <w:t>Kodifikācijas</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COM/2011/0120</w:t>
            </w:r>
          </w:p>
          <w:p>
            <w:pPr>
              <w:jc w:val="both"/>
              <w:rPr>
                <w:rFonts w:ascii="Times New Roman" w:hAnsi="Times New Roman"/>
                <w:noProof/>
                <w:color w:val="000000"/>
              </w:rPr>
            </w:pPr>
            <w:r>
              <w:rPr>
                <w:rFonts w:ascii="Times New Roman" w:hAnsi="Times New Roman"/>
                <w:noProof/>
                <w:color w:val="000000"/>
              </w:rPr>
              <w:t>2011/0053/COD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DIREKTĪVA par mehānisko transportlīdzekļu un to piekabju riepām un riepu montāžu (kodificēta redakcija)</w:t>
            </w:r>
          </w:p>
        </w:tc>
        <w:tc>
          <w:tcPr>
            <w:tcW w:w="1643" w:type="pct"/>
          </w:tcPr>
          <w:p>
            <w:pPr>
              <w:jc w:val="both"/>
              <w:rPr>
                <w:rFonts w:ascii="Times New Roman" w:eastAsia="Times New Roman" w:hAnsi="Times New Roman"/>
                <w:noProof/>
              </w:rPr>
            </w:pPr>
            <w:r>
              <w:rPr>
                <w:rFonts w:ascii="Times New Roman" w:hAnsi="Times New Roman"/>
                <w:noProof/>
              </w:rPr>
              <w:t>Novecojis, jo satur atsauci uz novecojušu noteikumu par komitoloģiju.</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COM/2015/0157</w:t>
            </w:r>
          </w:p>
          <w:p>
            <w:pPr>
              <w:jc w:val="both"/>
              <w:rPr>
                <w:rFonts w:ascii="Times New Roman" w:hAnsi="Times New Roman"/>
                <w:noProof/>
                <w:color w:val="000000"/>
              </w:rPr>
            </w:pPr>
            <w:r>
              <w:rPr>
                <w:rFonts w:ascii="Times New Roman" w:hAnsi="Times New Roman"/>
                <w:noProof/>
                <w:color w:val="000000"/>
              </w:rPr>
              <w:t>2015/0082/COD</w:t>
            </w:r>
          </w:p>
        </w:tc>
        <w:tc>
          <w:tcPr>
            <w:tcW w:w="2318" w:type="pct"/>
          </w:tcPr>
          <w:p>
            <w:pPr>
              <w:jc w:val="both"/>
              <w:rPr>
                <w:rFonts w:ascii="Times New Roman" w:eastAsia="Times New Roman" w:hAnsi="Times New Roman"/>
                <w:bCs/>
                <w:noProof/>
              </w:rPr>
            </w:pPr>
            <w:r>
              <w:rPr>
                <w:rFonts w:ascii="Times New Roman" w:hAnsi="Times New Roman"/>
                <w:noProof/>
              </w:rPr>
              <w:t>Priekšlikums – EIROPAS PARLAMENTA UN PADOMES REGULA par konkrētu tērauda izstrādājumu tirdzniecību starp Eiropas Savienību un Kazahstānas Republiku (kodificēta redakcija)</w:t>
            </w:r>
          </w:p>
        </w:tc>
        <w:tc>
          <w:tcPr>
            <w:tcW w:w="1643" w:type="pct"/>
          </w:tcPr>
          <w:p>
            <w:pPr>
              <w:jc w:val="both"/>
              <w:rPr>
                <w:rFonts w:ascii="Times New Roman" w:eastAsia="Times New Roman" w:hAnsi="Times New Roman"/>
                <w:noProof/>
              </w:rPr>
            </w:pPr>
            <w:r>
              <w:rPr>
                <w:rFonts w:ascii="Times New Roman" w:hAnsi="Times New Roman"/>
                <w:noProof/>
              </w:rPr>
              <w:t>Novecojis: šā tiesību akta, kura kodifikācija tika ierosināta, termiņš ir beidzies (paziņojums par termiņa beigām — OV C 425, 18.12.2015.).</w:t>
            </w:r>
          </w:p>
        </w:tc>
      </w:tr>
    </w:tbl>
    <w:p>
      <w:pPr>
        <w:spacing w:after="480"/>
        <w:jc w:val="center"/>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615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bCs/>
        </w:rPr>
      </w:pPr>
      <w:r>
        <w:rPr>
          <w:rStyle w:val="FootnoteReference"/>
        </w:rPr>
        <w:footnoteRef/>
      </w:r>
      <w:r>
        <w:t xml:space="preserve"> Šajā sarakstā iekļauti vēl nepieņemto tiesību aktu priekšlikumi, kurus Komisija ir iecerējusi atsaukt sešu mēnešu laikā (līdz 2017. gada aprīlim). Tajā ir ietverti arī divi priekšlikumi (sk. Nr. 3 un Nr. 11), kas jau bija iekļauti Komisijas 2016. gada darba programmā, un tie ir uzskaitīti šeit pārskatāmības labad.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74B90"/>
    <w:multiLevelType w:val="hybridMultilevel"/>
    <w:tmpl w:val="B9768E9E"/>
    <w:lvl w:ilvl="0" w:tplc="BCD0181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kumentam"/>
    <w:docVar w:name="LW_ANNEX_NBR_FIRST" w:val="4"/>
    <w:docVar w:name="LW_ANNEX_NBR_LAST" w:val="4"/>
    <w:docVar w:name="LW_CONFIDENCE" w:val=" "/>
    <w:docVar w:name="LW_CONST_RESTREINT_UE" w:val="RESTREINT UE"/>
    <w:docVar w:name="LW_CORRIGENDUM" w:val="&lt;UNUSED&gt;"/>
    <w:docVar w:name="LW_COVERPAGE_GUID" w:val="9608AA1254124B2890986253691C5C1B"/>
    <w:docVar w:name="LW_CROSSREFERENCE" w:val="{SWD(2016) 400 final}"/>
    <w:docVar w:name="LW_DocType" w:val="NORMAL"/>
    <w:docVar w:name="LW_EMISSION" w:val="25.10.2016"/>
    <w:docVar w:name="LW_EMISSION_ISODATE" w:val="2016-10-25"/>
    <w:docVar w:name="LW_EMISSION_LOCATION" w:val="STR"/>
    <w:docVar w:name="LW_EMISSION_PREFIX" w:val="Strasbūrā, "/>
    <w:docVar w:name="LW_EMISSION_SUFFIX" w:val="."/>
    <w:docVar w:name="LW_ID_DOCTYPE_NONLW" w:val="CP-039"/>
    <w:docVar w:name="LW_LANGUE" w:val="LV"/>
    <w:docVar w:name="LW_MARKING" w:val="&lt;UNUSED&gt;"/>
    <w:docVar w:name="LW_NOM.INST" w:val="EIROPAS KOMISIJA"/>
    <w:docVar w:name="LW_NOM.INST_JOINTDOC" w:val="&lt;EMPTY&gt;"/>
    <w:docVar w:name="LW_OBJETACTEPRINCIPAL.CP" w:val="Komisijas 2017. gada darba programma_x000b__x000b_Pan\u257?kot t\u257?du Eiropu, kas aizsarg\u257?, dod iesp\u275?jas un aizst\u257?v_x000b_"/>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PIELIKUMS_x000b_"/>
    <w:docVar w:name="LW_TYPEACTEPRINCIPAL.CP" w:val="KOMISIJAS PAZI\u325?OJUMS EIROPAS PARLAMENTAM, PADOMEI, EIROPAS EKONOMIKAS UN SOCI\u256?LO LIETU KOMITEJAI UN RE\u290?IONU KOMITEJAI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1E95-EA44-48C4-8E32-14028BD5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7360</Characters>
  <Application>Microsoft Office Word</Application>
  <DocSecurity>0</DocSecurity>
  <Lines>230</Lines>
  <Paragraphs>123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10</cp:revision>
  <cp:lastPrinted>2016-10-24T19:26:00Z</cp:lastPrinted>
  <dcterms:created xsi:type="dcterms:W3CDTF">2016-10-25T06:09:00Z</dcterms:created>
  <dcterms:modified xsi:type="dcterms:W3CDTF">2016-11-07T08:58:00Z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4</vt:lpwstr>
  </property>
  <property fmtid="{D5CDD505-2E9C-101B-9397-08002B2CF9AE}" pid="3" name="Last annex">
    <vt:lpwstr>4</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