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373B6F58F819442F86D3DB8FCF6CDA31" style="width:450.75pt;height:447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480" w:line="240" w:lineRule="auto"/>
        <w:jc w:val="center"/>
        <w:outlineLvl w:val="0"/>
        <w:rPr>
          <w:rFonts w:ascii="Times New Roman" w:eastAsia="Times New Roman" w:hAnsi="Times New Roman"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Załącznik V: akty do uchylenia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1"/>
        <w:gridCol w:w="1273"/>
        <w:gridCol w:w="5824"/>
        <w:gridCol w:w="6803"/>
      </w:tblGrid>
      <w:tr>
        <w:trPr>
          <w:cantSplit/>
          <w:trHeight w:val="471"/>
          <w:tblHeader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tabs>
                <w:tab w:val="left" w:pos="176"/>
              </w:tabs>
              <w:spacing w:after="0"/>
              <w:ind w:left="142" w:hanging="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Lp.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Obszar polityki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Tytuł</w:t>
            </w:r>
          </w:p>
        </w:tc>
        <w:tc>
          <w:tcPr>
            <w:tcW w:w="236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Powód uchylenia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Rolnictwo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Działanie horyzontalne zastępujące kilka nieaktualnych rozporządzeń Komisji w dziedzinie rynków rolnych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Celem tego działania jest z jednej strony dostosowanie rozporządzeń Komisji z okresu sprzed Traktatu z Lizbony do przepisów w sprawie wspólnej organizacji rynków produktów rolnych określonych w rozporządzeniu (UE) nr 1308/2013, a z drugiej strony uproszczenie w miarę możliwości istniejących przepisów. Wskutek tego kilka rozporządzeń Komisji w dziedzinie rynków rolnych zostanie uchylonych i zastąpionych nowymi aktami delegowanymi i wykonawczymi.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Zatrudnienie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wykonawcza Komisji 2012/733/UE z dnia 26 listopada 2012 r. w sprawie wykonania rozporządzenia Parlamentu Europejskiego i Rady (UE) nr 492/2011 odnośnie do kojarzenia ofert zatrudnienia i wniosków o zatrudnienie oraz ich równoważenia oraz ponownego ustanowienia EURES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Zastąpiona rozporządzeniem (UE) 2016/589, jak określono w rozdziale II rozporządzenia (UE) nr 492/2011.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Energia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Rozporządzenie Parlamentu Europejskiego i Rady (UE) nr 256/2014 z dnia 26 lutego 2014 r. w sprawie zgłaszania Komisji projektów inwestycyjnych dotyczących infrastruktury energetycznej w Unii Europejskiej, zastępujące rozporządzenie Rady (UE, Euratom) nr 617/2010 oraz uchylające rozporządzenie Rady (WE) nr 736/96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Rozporządzenie to nie stanowi wartości dodanej i, jak wynika z kontroli sprawności dotyczącej obowiązków w zakresie sprawozdawczości, planowania i monitorowania określonych w dorobku prawnym UE w dziedzinie energii, w znacznym stopniu pokrywa się z innymi aktami prawnymi. Ponadto w tablicy wyników REFIT opublikowanej w 2015 r. wskazano już, że rozporządzenie to kwalifikuje się do uchylenia.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Bezpieczeństwo żywności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Komisji 92/176/EWG z dnia 2 marca 1992 r. dotycząca map przewidzianych do stosowania w systemie Animo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ta została zastąpiona narzędziem online służącym do zarządzania w ramach zintegrowanego skomputeryzowanego systemu weterynaryjnego TRACES, które obejmuje wszystkie wymogi sanitarne w obrocie handlowym zwierzętami, nasieniem i embrionami, żywnością, paszami i roślinami wewnątrz UE oraz w ich przywozie.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Bezpieczeństwo żywności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Komisji 2002/623/WE z dnia 24 lipca 2002 r. ustanawiająca noty wyjaśniające uzupełniające załącznik II do dyrektywy 2001/18/WE Parlamentu Europejskiego oraz Rady w sprawie zamierzonego uwalniania do środowiska organizmów genetycznie zmodyfikowanych i uchylającej dyrektywę Rady 90/220/EWG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Komisji 2002/623/WE zawiera wskazówki dotyczące oceny ryzyka środowiskowego przeprowadzanej dla organizmów zmodyfikowanych genetycznie, o której mowa w załączniku II do dyrektywy 2001/18/WE w sprawie zamierzonego uwalniania do środowiska organizmów zmodyfikowanych genetycznie. W 2017 r. Komisja przyjmie nową dyrektywę, w której scali najważniejsze elementy kompleksowych wytycznych Europejskiego Urzędu ds. Bezpieczeństwa Żywności z 2010 r. dotyczących oceny ryzyka środowiskowego zawartych w załączniku II do dyrektywy 2001/18/WE, zgodnie z wymogami dyrektywy (UE) 2015/412. W wyniku tego decyzja 2002/623/WE przestanie być aktualna. Aby wprowadzić uproszczenia dla podmiotów gospodarczych i władz krajowych, wraz z przyjęciem nowej dyrektywy należy uchylić decyzję 2002/623/WE.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Bezpieczeństwo żywności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Komisji 2005/463/WE z dnia 21 czerwca 2005 r. ustanawiająca grupę roboczą ds. wymiany i koordynacji informacji dotyczących współistnienia upraw genetycznie zmodyfikowanych, tradycyjnych i ekologicznych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Proponuje się zlikwidować tę grupę ekspertów, szczególnie w świetle zrewidowanych przepisów przekrojowych Komisji dotyczących tworzenia i funkcjonowania grup ekspertów Komisji, przyjętych w maju 2016 r., oraz braku aktywności tej grupy ekspertów na przestrzeni ostatnich 5 lat.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Rynek wewnętrzny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Dyrektywa Rady 73/361/EWG z dnia 19 listopada 1973 r. w sprawie zbliżenia przepisów ustawowych, wykonawczych i administracyjnych państw członkowskich odnoszących się do zaświadczeń i oznakowań lin drucianych, łańcuchów i haków ładunkowych.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Dyrektywa w obecnej formie nie zawiera już żadnych przepisów prawa materialnego, które nadal miałyby zastosowanie, gdyż niektóre jej przepisy zostały uchylone dyrektywą Rady 91/368/EWG zmieniającą poprzednią dyrektywę odnoszącą się do maszyn 89/392/EWG, a inne zostały uchylone lub zastąpione załącznikiem III do rozporządzenia Rady 807/2003/WE. Pozostałe przepisy są przestarzałe, a odpowiednie przepisy w zakresie bezpieczeństwa zostały uwzględnione w dyrektywie 2014/33/UE dotyczącej dźwigów.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Rynek wewnętrzny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Decyzja Komisji 2009/767/WE z dnia 16 października 2009 r. ustanawiająca środki ułatwiające korzystanie z procedur realizowanych drogą elektroniczną poprzez „pojedyncze punkty kontaktowe” zgodnie z dyrektywą 2006/123/WE Parlamentu Europejskiego i Rady dotyczącą usług na rynku wewnętrznym 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Obowiązki i specyfikacje techniczne określone w decyzji 2009/767/WE są obecnie uwzględnione w rozporządzeniu (UE) nr 910/2014 w sprawie identyfikacji elektronicznej i usług zaufania w odniesieniu do transakcji elektronicznych na rynku wewnętrznym oraz uchylającym dyrektywę (WE) 1999/93, a także w decyzjach wykonawczych Komisji (UE) 2015/1505 i (UE) 2015/1506. W związku z tym decyzja 2009/767/WE przestała być aktualna.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Rynek wewnętrzny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Komisji 2011/130/UE z dnia 25 lutego 2011 r. w sprawie ustalenia minimalnych wymagań dotyczących transgranicznego przetwarzania dokumentów podpisanych elektronicznie przez właściwe organy zgodnie z dyrektywą 2006/123/WE Parlamentu Europejskiego i Rady dotyczącą usług na rynku wewnętrznym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Obowiązki i specyfikacje techniczne określone w decyzji 2011/130/UE są obecnie uwzględnione w rozporządzeniu (UE) nr 910/2014 w sprawie identyfikacji elektronicznej i usług zaufania w odniesieniu do transakcji elektronicznych na rynku wewnętrznym oraz uchylającym dyrektywę (WE) 1999/93, a także w decyzjach wykonawczych Komisji (UE) 2015/1505 i (UE) 2015/1506. W związku z tym decyzja 2011/130/UE przestała być aktualna.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Podatki i cła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Rozporządzenie Komisji (EWG) nr 3510/80 z dnia 23 grudnia 1980 r. w sprawie definicji pojęcia produktów pochodzących do celów stosowania preferencji taryfowych przyznanych przez Europejską Wspólnotę Gospodarczą w odniesieniu do niektórych produktów z krajów rozwijających się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 następstwie kolejnych reform preferencyjnych reguł pochodzenia to rozporządzenie Komisji przestało być aktualne. Najnowsze i aktualne preferencyjne reguły pochodzenia zawarte są obecnie w rozporządzeniu (UE) nr 952/2013 (unijny kodeks celny), rozporządzeniu delegowanym (UE) 2015/2446 oraz rozporządzeniu wykonawczym (UE) 2015/2447 (ostatnie dwa rozporządzenia zastępują przepisy wykonawcze do poprzedniego kodeksu celnego z 1992 r).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Podatki i cła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Rozporządzenie Rady (WE) nr 1147/2002 z dnia 25 czerwca 2002 r. w sprawie tymczasowego zawieszenia autonomicznych ceł Wspólnej Taryfy Celnej na niektóre przywożone towary posiadające świadectwo zdatności do lotu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Komisja zaproponuje uchylenie tego rozporządzenia Rady wraz z przedstawieniem nowego wniosku dotyczącego rozporządzenia Rady w sprawie tymczasowego zawieszenia ceł autonomicznych wspólnej taryfy celnej na niektóre towary przywożone z autoryzowanym poświadczeniem produkcji/obsługi.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Podatki i cła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Rozporządzenie Komisji (WE) nr 209/2005 z dnia 7 lutego 2005 r. ustanawiające wykaz wyrobów włókienniczych, dla których dowód pochodzenia nie jest wymagany przy dopuszczaniu do swobodnego obrotu we Wspólnocie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To rozporządzenie Komisji było aktem wykonawczym do rozporządzenia Rady (WE) nr 1541/98 z dnia 13 lipca 1998 r., które zostało uchylone w 2011 r.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Podatki i cła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Parlamentu Europejskiego i Rady nr 70/2008/WE z dnia 15 stycznia 2008 r. w sprawie eliminowania papierowej formy dokumentów w sektorach ceł i handlu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Ze względu na zmiany w prawie celnym oraz dużą szczegółowość i wysoki stopień harmonizacji towarzyszące wprowadzeniu prawnego obowiązku korzystania z systemów elektronicznych decyzja w sprawie elektronicznych systemów celnych z 2008 r. stała się zbędna. Główne przepisy tej decyzji zostały obecnie zastąpione wyjątkiem przewidzianym w art. 4 ust. 4–7 decyzji dotyczącej pojedynczego punktu kontaktowego. Rozpoczęto przygotowania do przyjęcia nowej podstawy prawnej dotyczącej pojedynczego punktu kontaktowego, a wniosek w tej sprawie zostanie złożony jednocześnie z wnioskiem dotyczącym uchylenia decyzji nr 70/2008/WE.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Podatki i cła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wykonawcza Komisji 2011/544/UE z dnia 16 września 2011 r. ustanawiająca wspólny znacznik skarbowy olejów napędowych i nafty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Decyzja wykonawcza zostanie zastąpiona nową, począwszy od 2017 r. i w związku z tym zostanie jednocześnie uchylona.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Transport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Dyrektywa Rady 89/629/EWG z dnia 4 grudnia 1989 r. w sprawie ograniczenia emisji hałasu z cywilnych poddźwiękowych samolotów odrzutowych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highlight w:val="yellow"/>
              </w:rPr>
            </w:pPr>
            <w:r>
              <w:rPr>
                <w:rFonts w:ascii="Times New Roman" w:hAnsi="Times New Roman"/>
                <w:noProof/>
                <w:sz w:val="20"/>
              </w:rPr>
              <w:t>Dyrektywa stała się zbędna po przyjęciu i transponowaniu do prawa krajowego dyrektywy 2006/93/WE, która umożliwia przyjęcie bardziej kompleksowego i restrykcyjnego podejścia. Dyrektywa 89/629/EWG dopuszczała dalszą eksploatację hałaśliwych statków powietrznych, jeżeli były one już wpisane do rejestrów krajowych. Nie było natomiast możliwości dokonywania nowych rejestracji takich hałaśliwych statków powietrznych (zasada niedopisywania). Starsze i hałaśliwe statki powietrzne mogły więc być dalej eksploatowane. Dyrektywą 2006/93/WE wprowadzono zasadę całkowitego wycofywania hałaśliwych statków powietrznych, w tym także statków powietrznych objętych zakresem przepisów dyrektywy 89/629/EWG, bez względu na to, czy były już zarejestrowane, czy też nie, co oznacza, że statki powietrzne niespełniające norm nie mogą już latać na trasach lotniczych w UE i muszą zostać usunięte z rejestrów krajowych.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Transport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Rozporządzenie Rady (EWG) nr 3572/90 z dnia 4 grudnia 1990 r. zmieniające, w wyniku zjednoczenia Niemiec, niektóre dyrektywy, decyzje oraz rozporządzenia odnoszące się do transportu drogowego, kolejowego i śródlądowego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Akty prawne zmienione tym rozporządzeniem zostały uchylone lub są obecnie uchylane. Kiedy rozporządzenie straci aktualność, należy je uchylić.</w:t>
            </w:r>
          </w:p>
        </w:tc>
      </w:tr>
    </w:tbl>
    <w:p>
      <w:pPr>
        <w:spacing w:after="480"/>
        <w:outlineLvl w:val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7" w:bottom="28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B90"/>
    <w:multiLevelType w:val="hybridMultilevel"/>
    <w:tmpl w:val="B9768E9E"/>
    <w:lvl w:ilvl="0" w:tplc="BCD0181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143F"/>
    <w:multiLevelType w:val="hybridMultilevel"/>
    <w:tmpl w:val="D13683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5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373B6F58F819442F86D3DB8FCF6CDA31"/>
    <w:docVar w:name="LW_CROSSREFERENCE" w:val="{SWD(2016) 400 final}"/>
    <w:docVar w:name="LW_DocType" w:val="NORMAL"/>
    <w:docVar w:name="LW_EMISSION" w:val="25.10.2016"/>
    <w:docVar w:name="LW_EMISSION_ISODATE" w:val="2016-10-25"/>
    <w:docVar w:name="LW_EMISSION_LOCATION" w:val="STR"/>
    <w:docVar w:name="LW_EMISSION_PREFIX" w:val="Strasburg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_x000b_Program prac Komisji na rok 2017_x000b__x000b_Na rzecz Europy, która chroni, wspiera i broni"/>
    <w:docVar w:name="LW_PART_NBR" w:val="1"/>
    <w:docVar w:name="LW_PART_NBR_TOTAL" w:val="1"/>
    <w:docVar w:name="LW_REF.INST.NEW" w:val="COM"/>
    <w:docVar w:name="LW_REF.INST.NEW_ADOPTED" w:val="final"/>
    <w:docVar w:name="LW_REF.INST.NEW_TEXT" w:val="(2016) 710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KOMUNIKATU KOMISJI DO PARLAMENTU EUROPEJSKIEGO, RADY, EUROPEJSKIEGO KOMITETU EKONOMICZNO-SPO\u321?ECZNEGO ORAZ KOMITETU REGIONÓ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9330-832F-40C2-AD08-FFC33AF2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1315</Words>
  <Characters>8830</Characters>
  <Application>Microsoft Office Word</Application>
  <DocSecurity>0</DocSecurity>
  <Lines>205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David (SG)</dc:creator>
  <cp:lastModifiedBy>DIGIT/A3</cp:lastModifiedBy>
  <cp:revision>11</cp:revision>
  <cp:lastPrinted>2016-10-24T19:27:00Z</cp:lastPrinted>
  <dcterms:created xsi:type="dcterms:W3CDTF">2016-10-25T06:09:00Z</dcterms:created>
  <dcterms:modified xsi:type="dcterms:W3CDTF">2016-11-07T08:59:00Z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5</vt:lpwstr>
  </property>
  <property fmtid="{D5CDD505-2E9C-101B-9397-08002B2CF9AE}" pid="3" name="Last annex">
    <vt:lpwstr>5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