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2CDA9E9FA114B4C8643B8432C2291E6" style="width:450.7pt;height:433.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480" w:line="240" w:lineRule="auto"/>
        <w:jc w:val="center"/>
        <w:outlineLvl w:val="0"/>
        <w:rPr>
          <w:rFonts w:ascii="Times New Roman" w:eastAsia="Times New Roman" w:hAnsi="Times New Roman"/>
          <w:noProof/>
          <w:sz w:val="20"/>
          <w:szCs w:val="20"/>
        </w:rPr>
      </w:pPr>
      <w:bookmarkStart w:id="1" w:name="_GoBack"/>
      <w:bookmarkEnd w:id="1"/>
      <w:r>
        <w:rPr>
          <w:rFonts w:ascii="Times New Roman" w:hAnsi="Times New Roman"/>
          <w:b/>
          <w:noProof/>
          <w:sz w:val="28"/>
          <w:u w:val="single"/>
        </w:rPr>
        <w:lastRenderedPageBreak/>
        <w:t>V pielikums. Atcelšana</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01"/>
        <w:gridCol w:w="1570"/>
        <w:gridCol w:w="5527"/>
        <w:gridCol w:w="6803"/>
      </w:tblGrid>
      <w:tr>
        <w:trPr>
          <w:cantSplit/>
          <w:trHeight w:val="471"/>
          <w:tblHeader/>
        </w:trPr>
        <w:tc>
          <w:tcPr>
            <w:tcW w:w="174" w:type="pct"/>
            <w:tcBorders>
              <w:bottom w:val="single" w:sz="4" w:space="0" w:color="auto"/>
            </w:tcBorders>
            <w:shd w:val="clear" w:color="auto" w:fill="99CCFF"/>
            <w:vAlign w:val="center"/>
          </w:tcPr>
          <w:p>
            <w:pPr>
              <w:tabs>
                <w:tab w:val="left" w:pos="176"/>
              </w:tabs>
              <w:spacing w:after="0"/>
              <w:ind w:left="142" w:hanging="108"/>
              <w:jc w:val="center"/>
              <w:rPr>
                <w:rFonts w:ascii="Times New Roman" w:hAnsi="Times New Roman"/>
                <w:b/>
                <w:noProof/>
                <w:sz w:val="20"/>
                <w:szCs w:val="20"/>
              </w:rPr>
            </w:pPr>
            <w:r>
              <w:rPr>
                <w:rFonts w:ascii="Times New Roman" w:hAnsi="Times New Roman"/>
                <w:b/>
                <w:noProof/>
                <w:sz w:val="20"/>
              </w:rPr>
              <w:t>Nr.</w:t>
            </w:r>
          </w:p>
        </w:tc>
        <w:tc>
          <w:tcPr>
            <w:tcW w:w="545"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Politikas joma</w:t>
            </w:r>
          </w:p>
        </w:tc>
        <w:tc>
          <w:tcPr>
            <w:tcW w:w="1919"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Virsraksts</w:t>
            </w:r>
          </w:p>
        </w:tc>
        <w:tc>
          <w:tcPr>
            <w:tcW w:w="2362" w:type="pct"/>
            <w:tcBorders>
              <w:bottom w:val="single" w:sz="4" w:space="0" w:color="auto"/>
            </w:tcBorders>
            <w:shd w:val="clear" w:color="auto" w:fill="99CCFF"/>
            <w:vAlign w:val="center"/>
          </w:tcPr>
          <w:p>
            <w:pPr>
              <w:spacing w:after="0"/>
              <w:jc w:val="center"/>
              <w:rPr>
                <w:rFonts w:ascii="Times New Roman" w:hAnsi="Times New Roman"/>
                <w:b/>
                <w:noProof/>
                <w:sz w:val="20"/>
                <w:szCs w:val="20"/>
              </w:rPr>
            </w:pPr>
            <w:r>
              <w:rPr>
                <w:rFonts w:ascii="Times New Roman" w:hAnsi="Times New Roman"/>
                <w:b/>
                <w:noProof/>
                <w:sz w:val="20"/>
              </w:rPr>
              <w:t>Atcelšanas iemesli</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jc w:val="both"/>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noProof/>
                <w:sz w:val="20"/>
                <w:szCs w:val="20"/>
              </w:rPr>
            </w:pPr>
            <w:r>
              <w:rPr>
                <w:rFonts w:ascii="Times New Roman" w:hAnsi="Times New Roman"/>
                <w:noProof/>
                <w:sz w:val="20"/>
              </w:rPr>
              <w:t>Lauksaimniecība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Horizontāli pasākumi aizstāj vairākas novecojušas Komisijas regulas lauksaimniecības tirgu jomā</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Šo pasākumu mērķis ir, no vienas puses, pielāgot Komisijas regulas, kas pieņemtas pirms Lisabonas līguma stāšanās spēkā, noteikumiem par tirgu kopīgo organizāciju lauksaimniecības produktiem, kā noteikts Regulā (ES) Nr. 1308/2013, un, no otras puses, cik vien iespējams, vienkāršot spēkā esošos noteikumus. Attiecīgi vairākas Komisijas regulas lauksaimniecības tirgu jomā tiks atceltas un aizstātas ar jauniem deleģētiem un īstenošanas aktiem.</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noProof/>
                <w:sz w:val="20"/>
                <w:szCs w:val="20"/>
              </w:rPr>
            </w:pPr>
            <w:r>
              <w:rPr>
                <w:rFonts w:ascii="Times New Roman" w:hAnsi="Times New Roman"/>
                <w:noProof/>
                <w:sz w:val="20"/>
              </w:rPr>
              <w:t xml:space="preserve">Nodarbinātība </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 xml:space="preserve">Komisijas 2012. gada 26. novembra Īstenošanas lēmums 2012/2012/ES, ar ko īsteno Eiropas Parlamenta un Padomes Regulu (ES) Nr. 492/2011 attiecībā uz informācijas par brīvajām darba vietām un darba pieteikumiem apkopošanu un izplatīšanu un </w:t>
            </w:r>
            <w:r>
              <w:rPr>
                <w:rFonts w:ascii="Times New Roman" w:hAnsi="Times New Roman"/>
                <w:i/>
                <w:noProof/>
                <w:sz w:val="20"/>
              </w:rPr>
              <w:t>EURES</w:t>
            </w:r>
            <w:r>
              <w:rPr>
                <w:rFonts w:ascii="Times New Roman" w:hAnsi="Times New Roman"/>
                <w:noProof/>
                <w:sz w:val="20"/>
              </w:rPr>
              <w:t xml:space="preserve"> dibināšanu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noProof/>
                <w:sz w:val="20"/>
                <w:szCs w:val="20"/>
              </w:rPr>
            </w:pPr>
            <w:r>
              <w:rPr>
                <w:rFonts w:ascii="Times New Roman" w:hAnsi="Times New Roman"/>
                <w:noProof/>
                <w:sz w:val="20"/>
              </w:rPr>
              <w:t>Aizstāta ar Regulu (ES) Nr. 2016/589, kā izklāstīts Regulas (ES) Nr. 492/2011 II nodaļā.</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jc w:val="both"/>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noProof/>
                <w:sz w:val="20"/>
                <w:szCs w:val="20"/>
              </w:rPr>
            </w:pPr>
            <w:r>
              <w:rPr>
                <w:rFonts w:ascii="Times New Roman" w:hAnsi="Times New Roman"/>
                <w:noProof/>
                <w:sz w:val="20"/>
              </w:rPr>
              <w:t>Enerģētika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Eiropas Parlamenta un Padomes 2014. gada 26. februāra Regula (ES) Nr. 256/2014 par Eiropas Savienībā īstenotu energoinfrastruktūras investīciju projektu paziņošanu Komisijai, ar ko aizstāj Padomes Regulu (ES, Euratom) Nr. 617/2010 un atceļ Padomes Regulu (EK) Nr. 736/96</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 xml:space="preserve">Kā konstatēts atbilstības pārbaudē par ziņošanas, plānošanas un kontroles pienākumiem ES </w:t>
            </w:r>
            <w:r>
              <w:rPr>
                <w:rFonts w:ascii="Times New Roman" w:hAnsi="Times New Roman"/>
                <w:i/>
                <w:noProof/>
                <w:sz w:val="20"/>
              </w:rPr>
              <w:t>acquis</w:t>
            </w:r>
            <w:r>
              <w:rPr>
                <w:rFonts w:ascii="Times New Roman" w:hAnsi="Times New Roman"/>
                <w:noProof/>
                <w:sz w:val="20"/>
              </w:rPr>
              <w:t xml:space="preserve"> enerģētikas jomā, šī regula nesniedz nekādu pievienoto vērtību un pārklājas ar citiem tiesību aktiem. Turklāt </w:t>
            </w:r>
            <w:r>
              <w:rPr>
                <w:rFonts w:ascii="Times New Roman" w:hAnsi="Times New Roman"/>
                <w:i/>
                <w:noProof/>
                <w:sz w:val="20"/>
              </w:rPr>
              <w:t>REFIT</w:t>
            </w:r>
            <w:r>
              <w:rPr>
                <w:rFonts w:ascii="Times New Roman" w:hAnsi="Times New Roman"/>
                <w:noProof/>
                <w:sz w:val="20"/>
              </w:rPr>
              <w:t xml:space="preserve"> rezultātu pārskatā 2015. gadam jau bija ierosināts atcelt šo regulu.</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noProof/>
                <w:sz w:val="20"/>
                <w:szCs w:val="20"/>
              </w:rPr>
            </w:pPr>
            <w:r>
              <w:rPr>
                <w:rFonts w:ascii="Times New Roman" w:hAnsi="Times New Roman"/>
                <w:noProof/>
                <w:sz w:val="20"/>
              </w:rPr>
              <w:t>Pārtikas nekaitīgums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 xml:space="preserve">Komisijas 1992. gada 2. marta Lēmums (EEK) Nr. 92/176 par kartēm, kas jānodrošina lietošanai </w:t>
            </w:r>
            <w:r>
              <w:rPr>
                <w:rFonts w:ascii="Times New Roman" w:hAnsi="Times New Roman"/>
                <w:i/>
                <w:noProof/>
                <w:sz w:val="20"/>
              </w:rPr>
              <w:t>Animo</w:t>
            </w:r>
            <w:r>
              <w:rPr>
                <w:rFonts w:ascii="Times New Roman" w:hAnsi="Times New Roman"/>
                <w:noProof/>
                <w:sz w:val="20"/>
              </w:rPr>
              <w:t xml:space="preserve"> tīklā</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Minētais lēmums kopš tā laika ir aizstāts ar tirdzniecības kontroles un ekspertu sistēmas (</w:t>
            </w:r>
            <w:r>
              <w:rPr>
                <w:rFonts w:ascii="Times New Roman" w:hAnsi="Times New Roman"/>
                <w:i/>
                <w:noProof/>
                <w:sz w:val="20"/>
              </w:rPr>
              <w:t>TRACES</w:t>
            </w:r>
            <w:r>
              <w:rPr>
                <w:rFonts w:ascii="Times New Roman" w:hAnsi="Times New Roman"/>
                <w:noProof/>
                <w:sz w:val="20"/>
              </w:rPr>
              <w:t>) tiešsaistes pārvaldības instrumentu, kas aptver visas sanitārās prasības attiecībā uz dzīvnieku, spermas un embriju, pārtikas, barības un augu tirdzniecību un importu.</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noProof/>
                <w:sz w:val="20"/>
                <w:szCs w:val="20"/>
              </w:rPr>
            </w:pPr>
            <w:r>
              <w:rPr>
                <w:rFonts w:ascii="Times New Roman" w:hAnsi="Times New Roman"/>
                <w:noProof/>
                <w:sz w:val="20"/>
              </w:rPr>
              <w:t>Pārtikas nekaitīgums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Komisijas 2002. gada 24. jūlija Lēmums (EK) Nr. 2002/623, ar ko nosaka metodiskas norādes, kuras papildina II pielikumu Eiropas Parlamenta un Padomes Direktīvā (EK) Nr. 2001/18 par ģenētiski modificētu organismu apzinātu izplatīšanu vidē un Padomes Direktīvas (EEK) Nr. 90/220 atcelšanu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eastAsia="Times New Roman" w:hAnsi="Times New Roman"/>
                <w:noProof/>
                <w:sz w:val="20"/>
                <w:szCs w:val="20"/>
              </w:rPr>
            </w:pPr>
            <w:r>
              <w:rPr>
                <w:rFonts w:ascii="Times New Roman" w:hAnsi="Times New Roman"/>
                <w:noProof/>
                <w:sz w:val="20"/>
              </w:rPr>
              <w:t>Komisijas Lēmumā (EK) Nr. 2002/623 ir dotas norādes par Direktīvas (EK) Nr. 2001/18 II pielikumā minēto ĢMO vides riska novērtējuma (VRN) veikšanu attiecībā uz ĢMO apzinātu izplatīšanu vidē. Komisija 2017. gadā pieņems jaunu direktīvu, kas integrēs visaptverošo EFSA 2010. gada pamatnostādņu svarīgākos elementus attiecībā uz VRN Direktīvas (EK) Nr. 2001/18 II pielikumā, kā paredzēts Direktīvā (ES) Nr. 2015/412. Tādējādi Lēmums (EK) Nr. 2002/623 zaudēs spēku. Vienkāršības labad līdztekus jaunās direktīvas pieņemšanai attiecībā uz operatoriem un valsts iestādēm ir lietderīgi atcelt Lēmumu (EK) Nr. 2002/623.</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noProof/>
                <w:sz w:val="20"/>
                <w:szCs w:val="20"/>
              </w:rPr>
            </w:pPr>
            <w:r>
              <w:rPr>
                <w:rFonts w:ascii="Times New Roman" w:hAnsi="Times New Roman"/>
                <w:noProof/>
                <w:sz w:val="20"/>
              </w:rPr>
              <w:t>Pārtikas nekaitīgums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Komisijas 2005. gada 21. jūnija Lēmums (EK) 2005/463/EK, ar ko izveido informācijas apmaiņas un koordinācijas grupu jautājumos par ģenētiski modificēto, parasto un bioloģiski audzēto kultūraugu līdzāspastāvēšanu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eastAsia="Times New Roman" w:hAnsi="Times New Roman"/>
                <w:noProof/>
                <w:sz w:val="20"/>
                <w:szCs w:val="20"/>
              </w:rPr>
            </w:pPr>
            <w:r>
              <w:rPr>
                <w:rFonts w:ascii="Times New Roman" w:hAnsi="Times New Roman"/>
                <w:noProof/>
                <w:sz w:val="20"/>
              </w:rPr>
              <w:t>Tiek ierosināts likvidēt šo ekspertu grupu, jo īpaši ņemot vērā 2016. gada maijā pieņemtos pārskatītos Komisijas horizontālos noteikumus par Komisijas ekspertu grupu izveidi un darbību un šīs ekspertu grupas pasivitāti pēdējo 5 gadu laikā.</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noProof/>
                <w:sz w:val="20"/>
                <w:szCs w:val="20"/>
              </w:rPr>
            </w:pPr>
            <w:r>
              <w:rPr>
                <w:rFonts w:ascii="Times New Roman" w:hAnsi="Times New Roman"/>
                <w:noProof/>
                <w:sz w:val="20"/>
              </w:rPr>
              <w:t>Iekšējais tirgus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eastAsiaTheme="minorHAnsi" w:hAnsi="Times New Roman"/>
                <w:noProof/>
                <w:sz w:val="20"/>
                <w:szCs w:val="20"/>
              </w:rPr>
            </w:pPr>
            <w:r>
              <w:rPr>
                <w:rFonts w:ascii="Times New Roman" w:hAnsi="Times New Roman"/>
                <w:noProof/>
                <w:sz w:val="20"/>
              </w:rPr>
              <w:t>Padomes 1973. gada 19. novembra Direktīva (EEK) Nr. 73/361 par dalībvalstu normatīvo un administratīvo aktu tuvināšanu attiecībā uz stiepļu tauvu, ķēžu un āķu sertificēšanu un marķēšanu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eastAsiaTheme="minorHAnsi" w:hAnsi="Times New Roman"/>
                <w:noProof/>
                <w:sz w:val="20"/>
                <w:szCs w:val="20"/>
              </w:rPr>
            </w:pPr>
            <w:r>
              <w:rPr>
                <w:rFonts w:ascii="Times New Roman" w:hAnsi="Times New Roman"/>
                <w:noProof/>
                <w:sz w:val="20"/>
              </w:rPr>
              <w:t>Akts pašreizējā redakcijā vairs neietver nekādas joprojām piemērojamas materiālās normas, jo daži tā noteikumi ir atcelti ar Padomes Direktīvu (EEK) Nr. 91/368, ar ko groza iepriekšējo Mašīnu direktīvu (EEK) Nr. 89/392, bet citi – atcelti vai aizstāti ar III pielikumu Padomes Regulā (EK) Nr. 807/2003. Pārējie noteikumi ir novecojuši, un attiecīgie drošības noteikumi ir ietverti Liftu direktīvā (ES) Nr. 2014/33.</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eastAsiaTheme="minorHAnsi" w:hAnsi="Times New Roman"/>
                <w:noProof/>
                <w:sz w:val="20"/>
                <w:szCs w:val="20"/>
              </w:rPr>
            </w:pPr>
            <w:r>
              <w:rPr>
                <w:rFonts w:ascii="Times New Roman" w:hAnsi="Times New Roman"/>
                <w:noProof/>
                <w:sz w:val="20"/>
              </w:rPr>
              <w:t>Iekšējais tirgus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 xml:space="preserve">Komisijas 2009. gada 16. oktobra Lēmums (EK) Nr. 2009/767 par pasākumiem, lai veicinātu procedūru veikšanu elektroniski, izmantojot vienotos kontaktpunktus atbilstoši Eiropas Parlamenta un Padomes Direktīvai (EK) Nr. 2006/123 par pakalpojumiem iekšējā tirgū </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eastAsiaTheme="minorHAnsi" w:hAnsi="Times New Roman"/>
                <w:noProof/>
                <w:sz w:val="20"/>
                <w:szCs w:val="20"/>
              </w:rPr>
            </w:pPr>
            <w:r>
              <w:rPr>
                <w:rFonts w:ascii="Times New Roman" w:hAnsi="Times New Roman"/>
                <w:noProof/>
                <w:sz w:val="20"/>
              </w:rPr>
              <w:t>Saistības un tehniskās specifikācijas, kas izklāstītas Lēmumā (EK) Nr. 2009/767, tagad ir iekļautas Regulā (ES) Nr. 910/2014 par elektronisko identifikāciju un uzticamības pakalpojumiem elektronisko darījumu veikšanai iekšējā tirgū un ar ko atceļ Direktīvu (EK) Nr. 1999/93 un Komisijas Īstenošanas lēmumus (ES) Nr. 2015/1505 un (ES) Nr. 2015/1506. Tādēļ Lēmums (EK) Nr. 2009/767 ir novecojis.</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noProof/>
                <w:sz w:val="20"/>
                <w:szCs w:val="20"/>
              </w:rPr>
            </w:pPr>
            <w:r>
              <w:rPr>
                <w:rFonts w:ascii="Times New Roman" w:hAnsi="Times New Roman"/>
                <w:noProof/>
                <w:sz w:val="20"/>
              </w:rPr>
              <w:t>Iekšējais tirgus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Komisijas 2011. gada 25. februāra Lēmums Nr. 2011/130, ar kuru nosaka minimālās prasības kompetento iestāžu elektroniski parakstītu dokumentu pārrobežu apstrādei saskaņā ar Eiropas Parlamenta un Padomes Direktīvu (EK) Nr. 2006/123 par pakalpojumiem iekšējā tirgū</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Saistības un tehniskās specifikācijas, kas izklāstītas Lēmumā (ES) Nr. 2011/130, tagad ir iekļautas Regulā (ES) Nr. 910/2014 par elektronisko identifikāciju un uzticamības pakalpojumiem elektronisko darījumu veikšanai iekšējā tirgū un ar ko atceļ Direktīvu (EK) Nr. 1999/93 un Komisijas Īstenošanas lēmumus (ES) Nr. 2015/1505 un (ES) Nr. 2015/1506. Tādēļ Lēmums (ES) Nr. 2011/130 ir novecojis.</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eastAsia="Times New Roman" w:hAnsi="Times New Roman"/>
                <w:noProof/>
                <w:sz w:val="20"/>
                <w:szCs w:val="20"/>
              </w:rPr>
            </w:pPr>
            <w:r>
              <w:rPr>
                <w:rFonts w:ascii="Times New Roman" w:hAnsi="Times New Roman"/>
                <w:noProof/>
                <w:sz w:val="20"/>
              </w:rPr>
              <w:t>Nodokļu politika un muita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Komisijas 1980. gada 23. decembra Regula (EEK) Nr. 3510/80 par noteiktas izcelsmes izstrādājumu jēdziena definīciju, lai piemērotu tarifu atvieglojumus, ko Eiropas Ekonomikas kopiena piešķīrusi attiecībā uz dažiem jaunattīstības valstu izstrādājumiem</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Pēc kārtējās reformas attiecībā uz preferenciāliem izcelsmes noteikumiem šī Komisijas regula ir novecojusi. Jaunākie un atjauninātie preferenciālie izcelsmes noteikumi tagad ir iekļauti Regulā (ES) Nr. 952/2013 (Kopienas Muitas kodekss), Deleģētajā regulā (ES) Nr. 2015/2446 un Īstenošanas regulā (ES) Nr. 2015/2447 (abas pēdējās minētās regulas aizstāj iepriekšējā, 1992. gadā izdotā Muitas kodeksa īstenošanas noteikumus).</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rPr>
                <w:rFonts w:ascii="Times New Roman" w:eastAsia="Times New Roman" w:hAnsi="Times New Roman"/>
                <w:noProof/>
                <w:sz w:val="20"/>
                <w:szCs w:val="20"/>
              </w:rPr>
            </w:pPr>
            <w:r>
              <w:rPr>
                <w:rFonts w:ascii="Times New Roman" w:hAnsi="Times New Roman"/>
                <w:noProof/>
                <w:sz w:val="20"/>
              </w:rPr>
              <w:t>Nodokļu politika un muita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Padomes 2002. gada 25. jūnija Regula (EK) Nr. 1147/2002, ar ko uz laiku atliek kopējā muitas tarifa autonomos nodokļus dažām precēm, kuras ieved ar lidojumderīguma sertifikātu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rPr>
                <w:rFonts w:ascii="Times New Roman" w:hAnsi="Times New Roman"/>
                <w:noProof/>
                <w:sz w:val="20"/>
                <w:szCs w:val="20"/>
              </w:rPr>
            </w:pPr>
            <w:r>
              <w:rPr>
                <w:rFonts w:ascii="Times New Roman" w:hAnsi="Times New Roman"/>
                <w:noProof/>
                <w:sz w:val="20"/>
              </w:rPr>
              <w:t>Šīs Padomes regulas atcelšana tiks ierosināta ar priekšlikumu jaunai Padomes Regulai, ar ko uz laiku atliek kopīgā muitas tarifa autonomos nodokļus dažām precēm, kuras ieved ar autorizētu izmantošanas sertifikātu.</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jc w:val="both"/>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noProof/>
                <w:sz w:val="20"/>
                <w:szCs w:val="20"/>
              </w:rPr>
            </w:pPr>
            <w:r>
              <w:rPr>
                <w:rFonts w:ascii="Times New Roman" w:hAnsi="Times New Roman"/>
                <w:noProof/>
                <w:sz w:val="20"/>
              </w:rPr>
              <w:t>Nodokļu politika un muita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Komisijas 2005. gada 7. februāra Regula (EK) Nr. 209/2005, ar ko nosaka to tekstilpreču sarakstu, par kurām nav vajadzīgs izcelsmes apliecinājums, laižot tās brīvā apgrozībā Kopienā</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Šī Komisijas regula bija Padomes 1998. gada 13. jūlija Regulas (EK) Nr. 1541/98 īstenošanas akts, kura tika atcelta 2011. gadā.</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jc w:val="both"/>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noProof/>
                <w:sz w:val="20"/>
                <w:szCs w:val="20"/>
              </w:rPr>
            </w:pPr>
            <w:r>
              <w:rPr>
                <w:rFonts w:ascii="Times New Roman" w:hAnsi="Times New Roman"/>
                <w:noProof/>
                <w:sz w:val="20"/>
              </w:rPr>
              <w:t>Nodokļu politika un muita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Eiropas Parlamenta un Padomes 2008. gada 15. janvāra Lēmums (EK) Nr. 70/2008 par elektronisku muitas un tirdzniecības vidi</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Muitas tiesību aktu attīstības, kā arī augstā precizitātes un saskaņošanas līmeņa, kādā noteikts juridiskais pienākums izmantot elektroniskas sistēmas, dēļ 2008. gada Lēmums e-muitas jomā ir kļuvis lieks. Šā lēmuma pamatnoteikumi tagad ir atcelti, izņemot Lēmuma par vienotu kontaktpunktu 4. panta 4. līdz 7. punktu. Ir sākta vienotā kontaktpunkta jauna juridiskā pamata sagatavošana, un tā priekšlikums tiks iesniegts līdztekus priekšlikumam atcelt Padomes Lēmumu (EK) Nr. 70/2008.</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jc w:val="both"/>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line="240" w:lineRule="auto"/>
              <w:jc w:val="both"/>
              <w:rPr>
                <w:rFonts w:ascii="Times New Roman" w:eastAsia="Times New Roman" w:hAnsi="Times New Roman"/>
                <w:noProof/>
                <w:sz w:val="20"/>
                <w:szCs w:val="20"/>
              </w:rPr>
            </w:pPr>
            <w:r>
              <w:rPr>
                <w:rFonts w:ascii="Times New Roman" w:hAnsi="Times New Roman"/>
                <w:noProof/>
                <w:sz w:val="20"/>
              </w:rPr>
              <w:t>Nodokļu politika un muita</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Komisijas 2011. gada 16. septembra Īstenošanas lēmums (ES) Nr. 2011/544, ar ko nosaka kopīgu fiskālo marķējumu gāzeļļām un petrolejai</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Sākot no 2017. gada, šis īstenošanas lēmums tiks aizstāts ar jaunu un tāpēc vienlaikus atcelts.</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noProof/>
                <w:sz w:val="20"/>
                <w:szCs w:val="20"/>
              </w:rPr>
            </w:pPr>
            <w:r>
              <w:rPr>
                <w:rFonts w:ascii="Times New Roman" w:hAnsi="Times New Roman"/>
                <w:noProof/>
                <w:sz w:val="20"/>
              </w:rPr>
              <w:t>Transports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Padomes 1989. gada 4. decembra Direktīva (EEK) Nr. 89/629 par civilo zemskaņas reaktīvo lidmašīnu trokšņa emisijas ierobežošanu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highlight w:val="yellow"/>
              </w:rPr>
            </w:pPr>
            <w:r>
              <w:rPr>
                <w:rFonts w:ascii="Times New Roman" w:hAnsi="Times New Roman"/>
                <w:noProof/>
                <w:sz w:val="20"/>
              </w:rPr>
              <w:t>Šī direktīva ir kļuvusi lieka, pieņemot un transponējot Direktīvu (EK) Nr. 2006/93, kas paredz plašāku un stingrāku pieeju. Direktīva (EEK) Nr. 89/629 ļāva turpināt izmantot trokšņainus gaisa kuģus, ja tie jau bija ierakstīti valstu reģistros. Tomēr vairs nebija atļauts šādus trokšņainus gaisa kuģus iekļaut reģistros no jauna (nepievienošanas noteikums). Attiecīgi joprojām varēja izmantot vecākus un trokšņainus gaisa kuģus. Direktīvā (EK) Nr. 2006/93 ir noteikta visu trokšņaino gaisa kuģu lietošanas pilnīga atcelšana, tostarp tādu gaisa kuģu, uz kuriem attiecas Direktīva (EEK) Nr. 89/629, neatkarīgi no tā, vai tie ir vai nav reģistrēti, kas nozīmē, ka nestandarta gaisa kuģiem vairs nav atļauts lidot ES gaisa telpā un tie bija jāizņem no valstu reģistriem.</w:t>
            </w:r>
          </w:p>
        </w:tc>
      </w:tr>
      <w:tr>
        <w:trPr>
          <w:cantSplit/>
        </w:trPr>
        <w:tc>
          <w:tcPr>
            <w:tcW w:w="174" w:type="pct"/>
            <w:tcBorders>
              <w:top w:val="single" w:sz="4" w:space="0" w:color="auto"/>
              <w:left w:val="single" w:sz="4" w:space="0" w:color="auto"/>
              <w:bottom w:val="single" w:sz="4" w:space="0" w:color="auto"/>
              <w:right w:val="single" w:sz="4" w:space="0" w:color="auto"/>
            </w:tcBorders>
          </w:tcPr>
          <w:p>
            <w:pPr>
              <w:numPr>
                <w:ilvl w:val="0"/>
                <w:numId w:val="5"/>
              </w:numPr>
              <w:spacing w:after="0" w:line="240" w:lineRule="auto"/>
              <w:ind w:left="357" w:hanging="357"/>
              <w:rPr>
                <w:rFonts w:ascii="Times New Roman" w:hAnsi="Times New Roman"/>
                <w:noProof/>
                <w:sz w:val="20"/>
                <w:szCs w:val="20"/>
              </w:rPr>
            </w:pPr>
          </w:p>
        </w:tc>
        <w:tc>
          <w:tcPr>
            <w:tcW w:w="545" w:type="pct"/>
            <w:tcBorders>
              <w:top w:val="single" w:sz="4" w:space="0" w:color="auto"/>
              <w:left w:val="single" w:sz="4" w:space="0" w:color="auto"/>
              <w:bottom w:val="single" w:sz="4" w:space="0" w:color="auto"/>
              <w:right w:val="single" w:sz="4" w:space="0" w:color="auto"/>
            </w:tcBorders>
          </w:tcPr>
          <w:p>
            <w:pPr>
              <w:spacing w:after="0"/>
              <w:jc w:val="both"/>
              <w:rPr>
                <w:rFonts w:ascii="Times New Roman" w:hAnsi="Times New Roman"/>
                <w:noProof/>
                <w:sz w:val="20"/>
                <w:szCs w:val="20"/>
              </w:rPr>
            </w:pPr>
            <w:r>
              <w:rPr>
                <w:rFonts w:ascii="Times New Roman" w:hAnsi="Times New Roman"/>
                <w:noProof/>
                <w:sz w:val="20"/>
              </w:rPr>
              <w:t>Transports</w:t>
            </w:r>
          </w:p>
        </w:tc>
        <w:tc>
          <w:tcPr>
            <w:tcW w:w="1919"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Padomes 1990. gada 4. decembra Regula (EEK) Nr. 3572/90, ar ko pēc Vācijas apvienošanās groza dažas direktīvas, lēmumus un regulas par dzelzceļa transportu, autotransportu un iekšzemes ūdensceļu transportu</w:t>
            </w:r>
          </w:p>
        </w:tc>
        <w:tc>
          <w:tcPr>
            <w:tcW w:w="2362" w:type="pct"/>
            <w:tcBorders>
              <w:top w:val="single" w:sz="4" w:space="0" w:color="auto"/>
              <w:left w:val="single" w:sz="4" w:space="0" w:color="auto"/>
              <w:bottom w:val="single" w:sz="4" w:space="0" w:color="auto"/>
              <w:right w:val="single" w:sz="4" w:space="0" w:color="auto"/>
            </w:tcBorders>
            <w:shd w:val="clear" w:color="auto" w:fill="auto"/>
          </w:tcPr>
          <w:p>
            <w:pPr>
              <w:spacing w:after="0"/>
              <w:jc w:val="both"/>
              <w:rPr>
                <w:rFonts w:ascii="Times New Roman" w:hAnsi="Times New Roman"/>
                <w:noProof/>
                <w:sz w:val="20"/>
                <w:szCs w:val="20"/>
              </w:rPr>
            </w:pPr>
            <w:r>
              <w:rPr>
                <w:rFonts w:ascii="Times New Roman" w:hAnsi="Times New Roman"/>
                <w:noProof/>
                <w:sz w:val="20"/>
              </w:rPr>
              <w:t>Ar šo regulu grozītie tiesību akti jau ir vai pašlaik tiek atcelti. Kad šī regula attiecīgi ir novecojusi, tā būtu jāatceļ.</w:t>
            </w:r>
          </w:p>
        </w:tc>
      </w:tr>
    </w:tbl>
    <w:p>
      <w:pPr>
        <w:spacing w:after="480"/>
        <w:outlineLvl w:val="0"/>
        <w:rPr>
          <w:noProof/>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417" w:bottom="284"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74B90"/>
    <w:multiLevelType w:val="hybridMultilevel"/>
    <w:tmpl w:val="B9768E9E"/>
    <w:lvl w:ilvl="0" w:tplc="BCD0181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kumentam"/>
    <w:docVar w:name="LW_ANNEX_NBR_FIRST" w:val="5"/>
    <w:docVar w:name="LW_ANNEX_NBR_LAST" w:val="5"/>
    <w:docVar w:name="LW_CONFIDENCE" w:val=" "/>
    <w:docVar w:name="LW_CONST_RESTREINT_UE" w:val="RESTREINT UE"/>
    <w:docVar w:name="LW_CORRIGENDUM" w:val="&lt;UNUSED&gt;"/>
    <w:docVar w:name="LW_COVERPAGE_GUID" w:val="C2CDA9E9FA114B4C8643B8432C2291E6"/>
    <w:docVar w:name="LW_CROSSREFERENCE" w:val="{SWD(2016) 400 final}"/>
    <w:docVar w:name="LW_DocType" w:val="NORMAL"/>
    <w:docVar w:name="LW_EMISSION" w:val="25.10.2016"/>
    <w:docVar w:name="LW_EMISSION_ISODATE" w:val="2016-10-25"/>
    <w:docVar w:name="LW_EMISSION_LOCATION" w:val="STR"/>
    <w:docVar w:name="LW_EMISSION_PREFIX" w:val="Strasbūrā, "/>
    <w:docVar w:name="LW_EMISSION_SUFFIX" w:val="."/>
    <w:docVar w:name="LW_ID_DOCTYPE_NONLW" w:val="CP-039"/>
    <w:docVar w:name="LW_LANGUE" w:val="LV"/>
    <w:docVar w:name="LW_MARKING" w:val="&lt;UNUSED&gt;"/>
    <w:docVar w:name="LW_NOM.INST" w:val="EIROPAS KOMISIJA"/>
    <w:docVar w:name="LW_NOM.INST_JOINTDOC" w:val="&lt;EMPTY&gt;"/>
    <w:docVar w:name="LW_OBJETACTEPRINCIPAL.CP" w:val="Komisijas 2017. gada darba programma_x000b__x000b_Pan\u257?kot t\u257?du Eiropu, kas aizsarg\u257?, dod iesp\u275?jas un aizst\u257?v_x000b_"/>
    <w:docVar w:name="LW_PART_NBR" w:val="1"/>
    <w:docVar w:name="LW_PART_NBR_TOTAL" w:val="1"/>
    <w:docVar w:name="LW_REF.INST.NEW" w:val="COM"/>
    <w:docVar w:name="LW_REF.INST.NEW_ADOPTED" w:val="final"/>
    <w:docVar w:name="LW_REF.INST.NEW_TEXT" w:val="(2016) 710"/>
    <w:docVar w:name="LW_REF.INTERNE" w:val="&lt;UNUSED&gt;"/>
    <w:docVar w:name="LW_SUPERTITRE" w:val="&lt;UNUSED&gt;"/>
    <w:docVar w:name="LW_TITRE.OBJ.CP" w:val="&lt;UNUSED&gt;"/>
    <w:docVar w:name="LW_TYPE.DOC.CP" w:val="PIELIKUMS_x000b_"/>
    <w:docVar w:name="LW_TYPEACTEPRINCIPAL.CP" w:val="KOMISIJAS PA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iPriority w:val="9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Pr>
      <w:rFonts w:ascii="Times New Roman" w:eastAsia="Times New Roman" w:hAnsi="Times New Roman" w:cs="Times New Roman"/>
      <w:sz w:val="20"/>
      <w:szCs w:val="20"/>
      <w:lang w:eastAsia="lv-LV"/>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Pr>
      <w:vertAlign w:val="superscript"/>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noProof/>
      <w:sz w:val="24"/>
      <w:szCs w:val="28"/>
    </w:rPr>
  </w:style>
  <w:style w:type="character" w:customStyle="1" w:styleId="FooterCoverPageChar">
    <w:name w:val="Footer Cover Page Char"/>
    <w:basedOn w:val="DefaultParagraphFont"/>
    <w:link w:val="FooterCoverPage"/>
    <w:rPr>
      <w:rFonts w:ascii="Times New Roman" w:eastAsia="Calibri" w:hAnsi="Times New Roman" w:cs="Times New Roman"/>
      <w:noProof/>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noProof/>
      <w:sz w:val="24"/>
      <w:szCs w:val="28"/>
    </w:rPr>
  </w:style>
  <w:style w:type="character" w:customStyle="1" w:styleId="HeaderCoverPageChar">
    <w:name w:val="Header Cover Page Char"/>
    <w:basedOn w:val="DefaultParagraphFont"/>
    <w:link w:val="HeaderCoverPage"/>
    <w:rPr>
      <w:rFonts w:ascii="Times New Roman" w:eastAsia="Calibri" w:hAnsi="Times New Roman" w:cs="Times New Roman"/>
      <w:noProof/>
      <w:sz w:val="24"/>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B5E4-26C6-4CC4-8A01-FCFA12E4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1224</Words>
  <Characters>7699</Characters>
  <Application>Microsoft Office Word</Application>
  <DocSecurity>0</DocSecurity>
  <Lines>183</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DIGIT/A3</cp:lastModifiedBy>
  <cp:revision>11</cp:revision>
  <cp:lastPrinted>2016-10-24T19:27:00Z</cp:lastPrinted>
  <dcterms:created xsi:type="dcterms:W3CDTF">2016-10-25T06:09:00Z</dcterms:created>
  <dcterms:modified xsi:type="dcterms:W3CDTF">2016-11-07T08:59:00Z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5</vt:lpwstr>
  </property>
  <property fmtid="{D5CDD505-2E9C-101B-9397-08002B2CF9AE}" pid="3" name="Last annex">
    <vt:lpwstr>5</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