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6E" w:rsidRDefault="00E64252" w:rsidP="00E64252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alt="893843AEF773489593CBC44C3BD3AE6D" style="width:451.65pt;height:410.5pt">
            <v:imagedata r:id="rId12" o:title=""/>
          </v:shape>
        </w:pict>
      </w:r>
      <w:bookmarkEnd w:id="0"/>
    </w:p>
    <w:p w:rsidR="000D206E" w:rsidRDefault="000D206E">
      <w:pPr>
        <w:rPr>
          <w:noProof/>
        </w:rPr>
        <w:sectPr w:rsidR="000D206E" w:rsidSect="00E642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D206E" w:rsidRDefault="00E64252">
      <w:pPr>
        <w:pStyle w:val="Typedudocument"/>
        <w:rPr>
          <w:noProof/>
        </w:rPr>
      </w:pPr>
      <w:bookmarkStart w:id="1" w:name="_Toc285188014"/>
      <w:r>
        <w:rPr>
          <w:noProof/>
        </w:rPr>
        <w:lastRenderedPageBreak/>
        <w:t>BIJLAGEN</w:t>
      </w:r>
    </w:p>
    <w:p w:rsidR="000D206E" w:rsidRDefault="00E64252">
      <w:pPr>
        <w:pStyle w:val="Accompagnant"/>
        <w:rPr>
          <w:noProof/>
        </w:rPr>
      </w:pPr>
      <w:r>
        <w:rPr>
          <w:noProof/>
        </w:rPr>
        <w:t>bij het</w:t>
      </w:r>
    </w:p>
    <w:p w:rsidR="000D206E" w:rsidRDefault="00E64252">
      <w:pPr>
        <w:pStyle w:val="Typeacteprincipal"/>
        <w:rPr>
          <w:noProof/>
        </w:rPr>
      </w:pPr>
      <w:r>
        <w:rPr>
          <w:noProof/>
        </w:rPr>
        <w:t xml:space="preserve">Voorstel voor een RICHTLIJN VAN DE RAAD </w:t>
      </w:r>
    </w:p>
    <w:p w:rsidR="000D206E" w:rsidRDefault="00E64252">
      <w:pPr>
        <w:pStyle w:val="Objetacteprincipal"/>
        <w:rPr>
          <w:noProof/>
        </w:rPr>
      </w:pPr>
      <w:r>
        <w:rPr>
          <w:noProof/>
        </w:rPr>
        <w:t xml:space="preserve">betreffende mechanismen ter beslechting </w:t>
      </w:r>
      <w:r>
        <w:rPr>
          <w:noProof/>
        </w:rPr>
        <w:t>van geschillen</w:t>
      </w:r>
      <w:r>
        <w:rPr>
          <w:noProof/>
        </w:rPr>
        <w:br/>
        <w:t>over dubbele belasting in de Europese Unie</w:t>
      </w:r>
    </w:p>
    <w:p w:rsidR="000D206E" w:rsidRDefault="00E64252">
      <w:pPr>
        <w:pStyle w:val="ManualHeading1"/>
        <w:spacing w:after="240"/>
        <w:rPr>
          <w:noProof/>
          <w:lang w:val="fr-FR"/>
        </w:rPr>
      </w:pPr>
      <w:r>
        <w:rPr>
          <w:noProof/>
          <w:lang w:val="fr-FR"/>
        </w:rPr>
        <w:t>BIJLAGE I</w:t>
      </w:r>
      <w:bookmarkEnd w:id="1"/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  <w:snapToGrid w:val="0"/>
          <w:lang w:val="fr-FR"/>
        </w:rPr>
        <w:t>België / Belgique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personenbelasting/impôt des personnes physiques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rechtspersonenbelasting/impôt des personnes morales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belasting der niet-verblijfhouders/impôt des non-résidents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vennootscha</w:t>
      </w:r>
      <w:r>
        <w:rPr>
          <w:noProof/>
          <w:lang w:val="fr-FR"/>
        </w:rPr>
        <w:t>psbelasting/impôt des sociétés</w:t>
      </w:r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</w:rPr>
        <w:t>България</w:t>
      </w:r>
    </w:p>
    <w:p w:rsidR="000D206E" w:rsidRDefault="00E64252">
      <w:pPr>
        <w:rPr>
          <w:noProof/>
          <w:lang w:val="fr-FR"/>
        </w:rPr>
      </w:pPr>
      <w:r>
        <w:rPr>
          <w:noProof/>
        </w:rPr>
        <w:t>данък</w:t>
      </w:r>
      <w:r>
        <w:rPr>
          <w:noProof/>
          <w:lang w:val="fr-FR"/>
        </w:rPr>
        <w:t xml:space="preserve"> </w:t>
      </w:r>
      <w:r>
        <w:rPr>
          <w:noProof/>
        </w:rPr>
        <w:t>върху</w:t>
      </w:r>
      <w:r>
        <w:rPr>
          <w:noProof/>
          <w:lang w:val="fr-FR"/>
        </w:rPr>
        <w:t xml:space="preserve"> </w:t>
      </w:r>
      <w:r>
        <w:rPr>
          <w:noProof/>
        </w:rPr>
        <w:t>доходите</w:t>
      </w:r>
      <w:r>
        <w:rPr>
          <w:noProof/>
          <w:lang w:val="fr-FR"/>
        </w:rPr>
        <w:t xml:space="preserve"> </w:t>
      </w:r>
      <w:r>
        <w:rPr>
          <w:noProof/>
        </w:rPr>
        <w:t>на</w:t>
      </w:r>
      <w:r>
        <w:rPr>
          <w:noProof/>
          <w:lang w:val="fr-FR"/>
        </w:rPr>
        <w:t xml:space="preserve"> </w:t>
      </w:r>
      <w:r>
        <w:rPr>
          <w:noProof/>
        </w:rPr>
        <w:t>физическите</w:t>
      </w:r>
      <w:r>
        <w:rPr>
          <w:noProof/>
          <w:lang w:val="fr-FR"/>
        </w:rPr>
        <w:t xml:space="preserve"> </w:t>
      </w:r>
      <w:r>
        <w:rPr>
          <w:noProof/>
        </w:rPr>
        <w:t>лица</w:t>
      </w:r>
    </w:p>
    <w:p w:rsidR="000D206E" w:rsidRDefault="00E64252">
      <w:pPr>
        <w:rPr>
          <w:noProof/>
          <w:lang w:val="fr-FR"/>
        </w:rPr>
      </w:pPr>
      <w:r>
        <w:rPr>
          <w:noProof/>
        </w:rPr>
        <w:t>корпоративен</w:t>
      </w:r>
      <w:r>
        <w:rPr>
          <w:noProof/>
          <w:lang w:val="fr-FR"/>
        </w:rPr>
        <w:t xml:space="preserve"> </w:t>
      </w:r>
      <w:r>
        <w:rPr>
          <w:noProof/>
        </w:rPr>
        <w:t>данък</w:t>
      </w:r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Česká republika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Daň z příjmů fyzických osob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Daň z příjmů právnických osob</w:t>
      </w:r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Danmark</w:t>
      </w:r>
    </w:p>
    <w:p w:rsidR="000D206E" w:rsidRDefault="00E64252">
      <w:pPr>
        <w:spacing w:after="0"/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0D206E" w:rsidRDefault="00E64252">
      <w:pPr>
        <w:spacing w:after="0"/>
        <w:rPr>
          <w:noProof/>
          <w:lang w:val="da-DK"/>
        </w:rPr>
      </w:pPr>
      <w:r>
        <w:rPr>
          <w:noProof/>
          <w:lang w:val="da-DK"/>
        </w:rPr>
        <w:t>indkomstskat til staten</w:t>
      </w:r>
    </w:p>
    <w:p w:rsidR="000D206E" w:rsidRDefault="00E64252">
      <w:pPr>
        <w:spacing w:after="0"/>
        <w:rPr>
          <w:noProof/>
          <w:lang w:val="da-DK"/>
        </w:rPr>
      </w:pPr>
      <w:r>
        <w:rPr>
          <w:noProof/>
          <w:lang w:val="da-DK"/>
        </w:rPr>
        <w:t>kommunale indkomstskat</w:t>
      </w:r>
    </w:p>
    <w:p w:rsidR="000D206E" w:rsidRDefault="00E64252">
      <w:pPr>
        <w:spacing w:after="0"/>
        <w:rPr>
          <w:noProof/>
          <w:lang w:val="da-DK"/>
        </w:rPr>
      </w:pPr>
      <w:r>
        <w:rPr>
          <w:noProof/>
          <w:lang w:val="da-DK"/>
        </w:rPr>
        <w:t xml:space="preserve">amtskommunal </w:t>
      </w:r>
      <w:r>
        <w:rPr>
          <w:noProof/>
          <w:lang w:val="da-DK"/>
        </w:rPr>
        <w:t>indkomstskat</w:t>
      </w:r>
    </w:p>
    <w:p w:rsidR="000D206E" w:rsidRDefault="00E64252">
      <w:pPr>
        <w:rPr>
          <w:noProof/>
          <w:lang w:val="da-DK"/>
        </w:rPr>
      </w:pPr>
      <w:r>
        <w:rPr>
          <w:noProof/>
          <w:lang w:val="da-DK"/>
        </w:rPr>
        <w:t>saerlig indkomstskat</w:t>
      </w:r>
    </w:p>
    <w:p w:rsidR="000D206E" w:rsidRDefault="00E64252">
      <w:pPr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0D206E" w:rsidRDefault="00E64252">
      <w:pPr>
        <w:spacing w:after="0"/>
        <w:rPr>
          <w:b/>
          <w:noProof/>
          <w:lang w:val="da-DK"/>
        </w:rPr>
      </w:pPr>
      <w:r>
        <w:rPr>
          <w:b/>
          <w:noProof/>
          <w:lang w:val="da-DK"/>
        </w:rPr>
        <w:t>Deutschland</w:t>
      </w:r>
    </w:p>
    <w:p w:rsidR="000D206E" w:rsidRDefault="00E64252">
      <w:pPr>
        <w:rPr>
          <w:noProof/>
          <w:lang w:val="de-DE"/>
        </w:rPr>
      </w:pPr>
      <w:r>
        <w:rPr>
          <w:noProof/>
          <w:lang w:val="de-DE"/>
        </w:rPr>
        <w:t>Einkommensteuer</w:t>
      </w:r>
    </w:p>
    <w:p w:rsidR="000D206E" w:rsidRDefault="00E64252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0D206E" w:rsidRDefault="00E642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0D206E" w:rsidRDefault="00E64252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0D206E" w:rsidRDefault="00E642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Éire/Ireland</w:t>
      </w:r>
    </w:p>
    <w:p w:rsidR="000D206E" w:rsidRDefault="00E64252">
      <w:pPr>
        <w:rPr>
          <w:noProof/>
          <w:lang w:val="el-GR"/>
        </w:rPr>
      </w:pPr>
      <w:r>
        <w:rPr>
          <w:noProof/>
        </w:rPr>
        <w:t>Income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0D206E" w:rsidRDefault="00E64252">
      <w:pPr>
        <w:rPr>
          <w:noProof/>
          <w:lang w:val="el-GR"/>
        </w:rPr>
      </w:pP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0D206E" w:rsidRDefault="00E64252">
      <w:pPr>
        <w:keepNext/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lastRenderedPageBreak/>
        <w:t>Ελλάδα</w:t>
      </w:r>
    </w:p>
    <w:p w:rsidR="000D206E" w:rsidRDefault="00E64252">
      <w:pPr>
        <w:rPr>
          <w:noProof/>
          <w:lang w:val="el-GR"/>
        </w:rPr>
      </w:pPr>
      <w:r>
        <w:rPr>
          <w:noProof/>
          <w:lang w:val="el-GR"/>
        </w:rPr>
        <w:t>Φόρος εισοδήματος φυσικών προσώπων</w:t>
      </w:r>
    </w:p>
    <w:p w:rsidR="000D206E" w:rsidRDefault="00E64252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(κερδοσκοπικού χαρακτήρα)</w:t>
      </w:r>
    </w:p>
    <w:p w:rsidR="000D206E" w:rsidRDefault="00E64252">
      <w:pPr>
        <w:spacing w:after="0"/>
        <w:rPr>
          <w:b/>
          <w:noProof/>
          <w:lang w:val="es-ES"/>
        </w:rPr>
      </w:pPr>
      <w:r>
        <w:rPr>
          <w:b/>
          <w:noProof/>
          <w:lang w:val="es-ES"/>
        </w:rPr>
        <w:t>Espa</w:t>
      </w:r>
      <w:r>
        <w:rPr>
          <w:b/>
          <w:noProof/>
          <w:lang w:val="es-ES"/>
        </w:rPr>
        <w:t>ña</w:t>
      </w:r>
    </w:p>
    <w:p w:rsidR="000D206E" w:rsidRDefault="00E64252">
      <w:pPr>
        <w:rPr>
          <w:noProof/>
          <w:lang w:val="es-ES"/>
        </w:rPr>
      </w:pPr>
      <w:r>
        <w:rPr>
          <w:noProof/>
          <w:lang w:val="es-ES"/>
        </w:rPr>
        <w:t>Impuesto sobre la renta de las personas fisicas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Impuesto sobre sociedades</w:t>
      </w:r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France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Impôt sur le revenu</w:t>
      </w:r>
    </w:p>
    <w:p w:rsidR="000D206E" w:rsidRDefault="00E64252">
      <w:pPr>
        <w:rPr>
          <w:noProof/>
          <w:lang w:val="fr-FR"/>
        </w:rPr>
      </w:pPr>
      <w:r>
        <w:rPr>
          <w:noProof/>
        </w:rPr>
        <w:t>Ι</w:t>
      </w:r>
      <w:r>
        <w:rPr>
          <w:noProof/>
          <w:lang w:val="fr-FR"/>
        </w:rPr>
        <w:t>mpôt sur les sociétés</w:t>
      </w:r>
    </w:p>
    <w:p w:rsidR="000D206E" w:rsidRDefault="00E64252">
      <w:pPr>
        <w:spacing w:after="0"/>
        <w:rPr>
          <w:b/>
          <w:noProof/>
          <w:szCs w:val="24"/>
          <w:lang w:val="fr-FR"/>
        </w:rPr>
      </w:pPr>
      <w:r>
        <w:rPr>
          <w:b/>
          <w:noProof/>
          <w:color w:val="252525"/>
          <w:szCs w:val="24"/>
          <w:shd w:val="clear" w:color="auto" w:fill="FFFFFF"/>
          <w:lang w:val="fr-FR"/>
        </w:rPr>
        <w:t>Republika Hrvatska</w:t>
      </w:r>
    </w:p>
    <w:p w:rsidR="000D206E" w:rsidRDefault="00E64252">
      <w:pPr>
        <w:rPr>
          <w:noProof/>
          <w:lang w:val="pl-PL"/>
        </w:rPr>
      </w:pPr>
      <w:r>
        <w:rPr>
          <w:noProof/>
          <w:lang w:val="pl-PL"/>
        </w:rPr>
        <w:t>Porez na dohodak</w:t>
      </w:r>
    </w:p>
    <w:p w:rsidR="000D206E" w:rsidRDefault="00E64252">
      <w:pPr>
        <w:rPr>
          <w:noProof/>
          <w:lang w:val="pl-PL"/>
        </w:rPr>
      </w:pPr>
      <w:r>
        <w:rPr>
          <w:noProof/>
          <w:lang w:val="pl-PL"/>
        </w:rPr>
        <w:t>Porez na dobit</w:t>
      </w:r>
    </w:p>
    <w:p w:rsidR="000D206E" w:rsidRDefault="00E64252">
      <w:pPr>
        <w:spacing w:after="0"/>
        <w:rPr>
          <w:b/>
          <w:noProof/>
          <w:lang w:val="it-IT"/>
        </w:rPr>
      </w:pPr>
      <w:r>
        <w:rPr>
          <w:b/>
          <w:noProof/>
          <w:lang w:val="it-IT"/>
        </w:rPr>
        <w:t>Italia</w:t>
      </w:r>
    </w:p>
    <w:p w:rsidR="000D206E" w:rsidRDefault="00E64252">
      <w:pPr>
        <w:rPr>
          <w:noProof/>
          <w:lang w:val="it-IT"/>
        </w:rPr>
      </w:pPr>
      <w:r>
        <w:rPr>
          <w:noProof/>
          <w:lang w:val="it-IT"/>
        </w:rPr>
        <w:t>Imposta sul reddito delle persone fisiche</w:t>
      </w:r>
    </w:p>
    <w:p w:rsidR="000D206E" w:rsidRDefault="00E64252">
      <w:pPr>
        <w:rPr>
          <w:noProof/>
          <w:lang w:val="it-IT"/>
        </w:rPr>
      </w:pPr>
      <w:r>
        <w:rPr>
          <w:noProof/>
          <w:lang w:val="it-IT"/>
        </w:rPr>
        <w:t xml:space="preserve">Imposta sul reddito delle </w:t>
      </w:r>
      <w:r>
        <w:rPr>
          <w:noProof/>
          <w:lang w:val="it-IT"/>
        </w:rPr>
        <w:t>società</w:t>
      </w:r>
    </w:p>
    <w:p w:rsidR="000D206E" w:rsidRDefault="00E64252">
      <w:pPr>
        <w:spacing w:after="0"/>
        <w:rPr>
          <w:b/>
          <w:noProof/>
          <w:lang w:val="it-IT"/>
        </w:rPr>
      </w:pPr>
      <w:r>
        <w:rPr>
          <w:b/>
          <w:noProof/>
        </w:rPr>
        <w:t>Κύπρος</w:t>
      </w:r>
    </w:p>
    <w:p w:rsidR="000D206E" w:rsidRDefault="00E64252">
      <w:pPr>
        <w:rPr>
          <w:noProof/>
          <w:lang w:val="el-GR"/>
        </w:rPr>
      </w:pPr>
      <w:r>
        <w:rPr>
          <w:noProof/>
          <w:lang w:val="el-GR"/>
        </w:rPr>
        <w:t>Έκτακτη Εισφορά για την Άμυνα της Δημοκρατίας</w:t>
      </w:r>
    </w:p>
    <w:p w:rsidR="000D206E" w:rsidRDefault="00E64252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0D206E" w:rsidRDefault="00E64252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0D206E" w:rsidRDefault="00E64252">
      <w:pPr>
        <w:rPr>
          <w:noProof/>
          <w:lang w:val="el-GR"/>
        </w:rPr>
      </w:pPr>
      <w:r>
        <w:rPr>
          <w:noProof/>
        </w:rPr>
        <w:t>iedz</w:t>
      </w:r>
      <w:r>
        <w:rPr>
          <w:noProof/>
          <w:lang w:val="el-GR"/>
        </w:rPr>
        <w:t>ī</w:t>
      </w:r>
      <w:r>
        <w:rPr>
          <w:noProof/>
        </w:rPr>
        <w:t>vot</w:t>
      </w:r>
      <w:r>
        <w:rPr>
          <w:noProof/>
          <w:lang w:val="el-GR"/>
        </w:rPr>
        <w:t>ā</w:t>
      </w:r>
      <w:r>
        <w:rPr>
          <w:noProof/>
        </w:rPr>
        <w:t>ju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0D206E" w:rsidRDefault="00E64252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0D206E" w:rsidRDefault="00E64252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</w:p>
    <w:p w:rsidR="000D206E" w:rsidRDefault="00E64252">
      <w:pPr>
        <w:rPr>
          <w:noProof/>
          <w:lang w:val="el-GR"/>
        </w:rPr>
      </w:pPr>
      <w:r>
        <w:rPr>
          <w:noProof/>
        </w:rPr>
        <w:t>Gyventoj</w:t>
      </w:r>
      <w:r>
        <w:rPr>
          <w:noProof/>
          <w:lang w:val="el-GR"/>
        </w:rPr>
        <w:t xml:space="preserve">ų </w:t>
      </w:r>
      <w:r>
        <w:rPr>
          <w:noProof/>
        </w:rPr>
        <w:t>pajam</w:t>
      </w:r>
      <w:r>
        <w:rPr>
          <w:noProof/>
          <w:lang w:val="el-GR"/>
        </w:rPr>
        <w:t xml:space="preserve">ų </w:t>
      </w:r>
      <w:r>
        <w:rPr>
          <w:noProof/>
        </w:rPr>
        <w:t>mokestis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Pelno mokestis</w:t>
      </w:r>
    </w:p>
    <w:p w:rsidR="000D206E" w:rsidRDefault="00E64252">
      <w:pPr>
        <w:spacing w:before="240" w:after="0"/>
        <w:rPr>
          <w:b/>
          <w:noProof/>
          <w:lang w:val="fr-FR"/>
        </w:rPr>
      </w:pPr>
      <w:r>
        <w:rPr>
          <w:b/>
          <w:noProof/>
          <w:lang w:val="fr-FR"/>
        </w:rPr>
        <w:t>Luxembourg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impôt sur le revenu des personnes physiques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 xml:space="preserve">impôt </w:t>
      </w:r>
      <w:r>
        <w:rPr>
          <w:noProof/>
          <w:lang w:val="fr-FR"/>
        </w:rPr>
        <w:t>sur le revenu des collectivités</w:t>
      </w:r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Magyarország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személyi jövedelemadó</w:t>
      </w:r>
    </w:p>
    <w:p w:rsidR="000D206E" w:rsidRDefault="00E64252">
      <w:pPr>
        <w:rPr>
          <w:noProof/>
          <w:lang w:val="fr-FR"/>
        </w:rPr>
      </w:pPr>
      <w:r>
        <w:rPr>
          <w:noProof/>
          <w:lang w:val="fr-FR"/>
        </w:rPr>
        <w:t>Társasági adó</w:t>
      </w:r>
    </w:p>
    <w:p w:rsidR="000D206E" w:rsidRDefault="00E642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Malta</w:t>
      </w:r>
    </w:p>
    <w:p w:rsidR="000D206E" w:rsidRDefault="00E64252">
      <w:pPr>
        <w:rPr>
          <w:noProof/>
        </w:rPr>
      </w:pPr>
      <w:r>
        <w:rPr>
          <w:noProof/>
        </w:rPr>
        <w:t>Taxxa fuq l-income</w:t>
      </w:r>
    </w:p>
    <w:p w:rsidR="000D206E" w:rsidRDefault="00E64252">
      <w:pPr>
        <w:spacing w:after="0"/>
        <w:rPr>
          <w:b/>
          <w:noProof/>
        </w:rPr>
      </w:pPr>
      <w:r>
        <w:rPr>
          <w:b/>
          <w:noProof/>
        </w:rPr>
        <w:t>Nederland</w:t>
      </w:r>
    </w:p>
    <w:p w:rsidR="000D206E" w:rsidRDefault="00E64252">
      <w:pPr>
        <w:rPr>
          <w:noProof/>
        </w:rPr>
      </w:pPr>
      <w:r>
        <w:rPr>
          <w:noProof/>
        </w:rPr>
        <w:t>inkomstenbelasting</w:t>
      </w:r>
    </w:p>
    <w:p w:rsidR="000D206E" w:rsidRDefault="00E64252">
      <w:pPr>
        <w:rPr>
          <w:noProof/>
        </w:rPr>
      </w:pPr>
      <w:r>
        <w:rPr>
          <w:noProof/>
        </w:rPr>
        <w:t>vennootschapsbelasting</w:t>
      </w:r>
    </w:p>
    <w:p w:rsidR="000D206E" w:rsidRDefault="00E64252">
      <w:pPr>
        <w:spacing w:after="0"/>
        <w:rPr>
          <w:noProof/>
        </w:rPr>
      </w:pPr>
      <w:r>
        <w:rPr>
          <w:b/>
          <w:noProof/>
        </w:rPr>
        <w:lastRenderedPageBreak/>
        <w:t>Österreich</w:t>
      </w:r>
    </w:p>
    <w:p w:rsidR="000D206E" w:rsidRDefault="00E64252">
      <w:pPr>
        <w:rPr>
          <w:noProof/>
        </w:rPr>
      </w:pPr>
      <w:r>
        <w:rPr>
          <w:noProof/>
        </w:rPr>
        <w:t>Einkommensteuer</w:t>
      </w:r>
    </w:p>
    <w:p w:rsidR="000D206E" w:rsidRDefault="00E64252">
      <w:pPr>
        <w:rPr>
          <w:noProof/>
        </w:rPr>
      </w:pPr>
      <w:r>
        <w:rPr>
          <w:noProof/>
        </w:rPr>
        <w:t>Körperschaftsteuer</w:t>
      </w:r>
    </w:p>
    <w:p w:rsidR="000D206E" w:rsidRDefault="00E64252">
      <w:pPr>
        <w:spacing w:after="0"/>
        <w:rPr>
          <w:b/>
          <w:noProof/>
        </w:rPr>
      </w:pPr>
      <w:r>
        <w:rPr>
          <w:b/>
          <w:noProof/>
        </w:rPr>
        <w:t>Polska</w:t>
      </w:r>
    </w:p>
    <w:p w:rsidR="000D206E" w:rsidRDefault="00E64252">
      <w:pPr>
        <w:rPr>
          <w:noProof/>
        </w:rPr>
      </w:pPr>
      <w:r>
        <w:rPr>
          <w:noProof/>
        </w:rPr>
        <w:t>Podatek dochodowy od osób fizycznych</w:t>
      </w:r>
    </w:p>
    <w:p w:rsidR="000D206E" w:rsidRDefault="00E64252">
      <w:pPr>
        <w:rPr>
          <w:noProof/>
          <w:lang w:val="pl-PL"/>
        </w:rPr>
      </w:pPr>
      <w:r>
        <w:rPr>
          <w:noProof/>
          <w:lang w:val="pl-PL"/>
        </w:rPr>
        <w:t xml:space="preserve">Podatek </w:t>
      </w:r>
      <w:r>
        <w:rPr>
          <w:noProof/>
          <w:lang w:val="pl-PL"/>
        </w:rPr>
        <w:t>dochodowy od osób prawnych</w:t>
      </w:r>
    </w:p>
    <w:p w:rsidR="000D206E" w:rsidRDefault="00E64252">
      <w:pPr>
        <w:spacing w:after="0"/>
        <w:rPr>
          <w:b/>
          <w:noProof/>
          <w:lang w:val="pl-PL"/>
        </w:rPr>
      </w:pPr>
      <w:r>
        <w:rPr>
          <w:b/>
          <w:noProof/>
          <w:lang w:val="pl-PL"/>
        </w:rPr>
        <w:t>Portugal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imposto sobre o rendimento das pessoas singulares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0D206E" w:rsidRDefault="00E642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România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impozitul pe venit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0D206E" w:rsidRDefault="00E642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Slovenija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Dohodnina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0D206E" w:rsidRDefault="00E642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Slovensko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 xml:space="preserve">Daň z príjmov </w:t>
      </w:r>
      <w:r>
        <w:rPr>
          <w:noProof/>
          <w:lang w:val="pt-PT"/>
        </w:rPr>
        <w:t>fyzických osôb</w:t>
      </w:r>
    </w:p>
    <w:p w:rsidR="000D206E" w:rsidRDefault="00E64252">
      <w:pPr>
        <w:rPr>
          <w:noProof/>
          <w:lang w:val="pt-PT"/>
        </w:rPr>
      </w:pPr>
      <w:r>
        <w:rPr>
          <w:noProof/>
          <w:lang w:val="pt-PT"/>
        </w:rPr>
        <w:t>Daň z príjmov právnických osôb</w:t>
      </w:r>
    </w:p>
    <w:p w:rsidR="000D206E" w:rsidRDefault="00E642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Suomi/Finland</w:t>
      </w:r>
    </w:p>
    <w:p w:rsidR="000D206E" w:rsidRDefault="00E64252">
      <w:pPr>
        <w:rPr>
          <w:noProof/>
          <w:lang w:val="sv-SE"/>
        </w:rPr>
      </w:pPr>
      <w:r>
        <w:rPr>
          <w:noProof/>
          <w:lang w:val="sv-SE"/>
        </w:rPr>
        <w:t>valtion tuloverot/de statliga inkomstskatterna</w:t>
      </w:r>
    </w:p>
    <w:p w:rsidR="000D206E" w:rsidRDefault="00E64252">
      <w:pPr>
        <w:rPr>
          <w:noProof/>
          <w:lang w:val="sv-SE"/>
        </w:rPr>
      </w:pPr>
      <w:r>
        <w:rPr>
          <w:noProof/>
          <w:lang w:val="sv-SE"/>
        </w:rPr>
        <w:t>yhteisöjen tulovero/inkomstskatten för samfund</w:t>
      </w:r>
    </w:p>
    <w:p w:rsidR="000D206E" w:rsidRDefault="00E64252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Sverige</w:t>
      </w:r>
    </w:p>
    <w:p w:rsidR="000D206E" w:rsidRDefault="00E64252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0D206E" w:rsidRDefault="00E64252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United Kingdom</w:t>
      </w:r>
    </w:p>
    <w:p w:rsidR="000D206E" w:rsidRDefault="00E64252">
      <w:pPr>
        <w:rPr>
          <w:noProof/>
          <w:lang w:val="sv-SE"/>
        </w:rPr>
      </w:pPr>
      <w:r>
        <w:rPr>
          <w:noProof/>
          <w:lang w:val="sv-SE"/>
        </w:rPr>
        <w:t>Income Tax</w:t>
      </w:r>
    </w:p>
    <w:p w:rsidR="000D206E" w:rsidRDefault="00E64252">
      <w:pPr>
        <w:rPr>
          <w:noProof/>
        </w:rPr>
      </w:pPr>
      <w:r>
        <w:rPr>
          <w:noProof/>
        </w:rPr>
        <w:t>Corporation Tax</w:t>
      </w:r>
    </w:p>
    <w:p w:rsidR="000D206E" w:rsidRDefault="00E64252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0D206E" w:rsidRDefault="00E64252">
      <w:pPr>
        <w:pStyle w:val="ManualHeading1"/>
        <w:spacing w:after="240"/>
        <w:rPr>
          <w:noProof/>
        </w:rPr>
      </w:pPr>
      <w:r>
        <w:rPr>
          <w:noProof/>
        </w:rPr>
        <w:lastRenderedPageBreak/>
        <w:t>BIJLAGE II</w:t>
      </w:r>
    </w:p>
    <w:p w:rsidR="000D206E" w:rsidRDefault="00E64252">
      <w:pPr>
        <w:spacing w:before="150" w:after="150"/>
        <w:ind w:right="975"/>
        <w:jc w:val="center"/>
        <w:rPr>
          <w:b/>
          <w:smallCaps/>
          <w:noProof/>
          <w:szCs w:val="18"/>
        </w:rPr>
      </w:pPr>
      <w:r>
        <w:rPr>
          <w:b/>
          <w:smallCaps/>
          <w:noProof/>
        </w:rPr>
        <w:t>Werkingsregels van</w:t>
      </w:r>
      <w:r>
        <w:rPr>
          <w:b/>
          <w:smallCaps/>
          <w:noProof/>
        </w:rPr>
        <w:t xml:space="preserve"> de raadgevende commissie</w:t>
      </w:r>
      <w:r>
        <w:rPr>
          <w:b/>
          <w:smallCaps/>
          <w:noProof/>
        </w:rPr>
        <w:br/>
        <w:t xml:space="preserve">of van de alternatieve geschillenbeslechtingscommissie </w:t>
      </w:r>
    </w:p>
    <w:p w:rsidR="000D206E" w:rsidRDefault="000D206E">
      <w:pPr>
        <w:spacing w:before="150" w:after="150"/>
        <w:ind w:right="975"/>
        <w:jc w:val="center"/>
        <w:rPr>
          <w:noProof/>
          <w:szCs w:val="18"/>
        </w:rPr>
      </w:pPr>
    </w:p>
    <w:p w:rsidR="000D206E" w:rsidRDefault="00E64252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>Algemene informatie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Naam van de partijen: </w: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Lidstaat van woonplaats of vestiging:</w: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Volledig adres en gegevens van een contactpersoon voor de partijen (incl. telefoonnummer </w:t>
      </w:r>
      <w:r>
        <w:rPr>
          <w:noProof/>
        </w:rPr>
        <w:t>en e-mailadres):</w: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Naam en gegevens van de raadslieden van de partijen:</w: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Samenstelling van de raadgevende commissie of van de alternatieve geschillenbeslechtingscommissie</w:t>
      </w:r>
    </w:p>
    <w:p w:rsidR="000D206E" w:rsidRDefault="00E64252">
      <w:pPr>
        <w:pStyle w:val="Heading2"/>
        <w:rPr>
          <w:noProof/>
          <w:szCs w:val="18"/>
        </w:rPr>
      </w:pPr>
      <w:r>
        <w:rPr>
          <w:noProof/>
        </w:rPr>
        <w:t>Vorm:</w:t>
      </w:r>
    </w:p>
    <w:p w:rsidR="000D206E" w:rsidRDefault="00E64252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Raadgevende commissie</w:t>
      </w:r>
      <w:r>
        <w:rPr>
          <w:noProof/>
        </w:rPr>
        <w:t xml:space="preserve"> </w:t>
      </w:r>
    </w:p>
    <w:p w:rsidR="000D206E" w:rsidRDefault="00E64252">
      <w:pPr>
        <w:ind w:left="850"/>
        <w:jc w:val="left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Alternatieve geschillenbeslechtingscommissie</w:t>
      </w:r>
      <w:r>
        <w:rPr>
          <w:noProof/>
        </w:rPr>
        <w:t xml:space="preserve">, </w:t>
      </w:r>
      <w:r>
        <w:rPr>
          <w:i/>
          <w:noProof/>
        </w:rPr>
        <w:t xml:space="preserve">gelieve </w:t>
      </w:r>
      <w:r>
        <w:rPr>
          <w:i/>
          <w:noProof/>
        </w:rPr>
        <w:t>te preciseren (verzoening, bemiddeling enz.): _________________</w:t>
      </w:r>
    </w:p>
    <w:p w:rsidR="000D206E" w:rsidRDefault="000D206E">
      <w:pPr>
        <w:ind w:left="850"/>
        <w:rPr>
          <w:i/>
          <w:noProof/>
        </w:rPr>
      </w:pPr>
    </w:p>
    <w:p w:rsidR="000D206E" w:rsidRDefault="00E64252">
      <w:pPr>
        <w:ind w:left="850"/>
        <w:rPr>
          <w:b/>
          <w:noProof/>
        </w:rPr>
      </w:pPr>
      <w:r>
        <w:rPr>
          <w:b/>
          <w:noProof/>
        </w:rPr>
        <w:t>Aantal leden: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Voorzitter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vooraanstaande onafhankelijke personen </w:t>
      </w:r>
      <w:r>
        <w:rPr>
          <w:i/>
          <w:noProof/>
          <w:sz w:val="20"/>
        </w:rPr>
        <w:t>(vermeld een even aantal)</w:t>
      </w:r>
    </w:p>
    <w:p w:rsidR="000D206E" w:rsidRDefault="00E64252">
      <w:pPr>
        <w:pStyle w:val="ListDash2"/>
        <w:numPr>
          <w:ilvl w:val="0"/>
          <w:numId w:val="6"/>
        </w:numPr>
        <w:spacing w:after="36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vertegenwoordigers van bevoegde autoriteiten </w:t>
      </w:r>
      <w:r>
        <w:rPr>
          <w:i/>
          <w:noProof/>
          <w:sz w:val="20"/>
        </w:rPr>
        <w:t xml:space="preserve">(maximaal </w:t>
      </w:r>
      <w:r>
        <w:rPr>
          <w:i/>
          <w:noProof/>
          <w:sz w:val="20"/>
          <w:highlight w:val="red"/>
        </w:rPr>
        <w:t>4</w:t>
      </w:r>
      <w:r>
        <w:rPr>
          <w:i/>
          <w:noProof/>
          <w:sz w:val="20"/>
        </w:rPr>
        <w:t>, nl. </w:t>
      </w:r>
      <w:r>
        <w:rPr>
          <w:i/>
          <w:noProof/>
          <w:sz w:val="20"/>
          <w:highlight w:val="red"/>
        </w:rPr>
        <w:t>2</w:t>
      </w:r>
      <w:r>
        <w:rPr>
          <w:i/>
          <w:noProof/>
          <w:sz w:val="20"/>
        </w:rPr>
        <w:t> vertegenwoordigers va</w:t>
      </w:r>
      <w:r>
        <w:rPr>
          <w:i/>
          <w:noProof/>
          <w:sz w:val="20"/>
        </w:rPr>
        <w:t xml:space="preserve">n elke bevoegde autoriteit, wat kan worden verminderd tot </w:t>
      </w:r>
      <w:r>
        <w:rPr>
          <w:i/>
          <w:noProof/>
          <w:sz w:val="20"/>
          <w:highlight w:val="red"/>
        </w:rPr>
        <w:t>2</w:t>
      </w:r>
      <w:r>
        <w:rPr>
          <w:i/>
          <w:noProof/>
          <w:sz w:val="20"/>
        </w:rPr>
        <w:t>)</w:t>
      </w:r>
    </w:p>
    <w:p w:rsidR="000D206E" w:rsidRDefault="00E64252">
      <w:pPr>
        <w:pStyle w:val="Heading2"/>
        <w:rPr>
          <w:noProof/>
        </w:rPr>
      </w:pPr>
      <w:r>
        <w:rPr>
          <w:rStyle w:val="Heading2Char"/>
          <w:b/>
          <w:noProof/>
          <w:lang w:val="nl-NL"/>
        </w:rPr>
        <w:t>Volledige gegevens en contactinformatie van de leden</w:t>
      </w:r>
      <w:r>
        <w:rPr>
          <w:noProof/>
        </w:rPr>
        <w:t xml:space="preserve"> </w:t>
      </w:r>
      <w:r>
        <w:rPr>
          <w:i/>
          <w:noProof/>
          <w:sz w:val="20"/>
        </w:rPr>
        <w:t>(incl. naam van een contactpersoon, volledig postadres, e-mailadres en telefoonnummer; de cv’s en referenties van de onafhankelijke personen w</w:t>
      </w:r>
      <w:r>
        <w:rPr>
          <w:i/>
          <w:noProof/>
          <w:sz w:val="20"/>
        </w:rPr>
        <w:t>orden aan deze werkingsregels gehecht. Specifieke referenties betreffende de onafhankelijkheid en deskundigheid zijn in de aangehechte cv’s opgenomen)</w:t>
      </w:r>
      <w:r>
        <w:rPr>
          <w:noProof/>
        </w:rPr>
        <w:t>: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Voorzitter: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Nationaliteit: ______________________ Woonplaats: _______________________</w:t>
      </w:r>
    </w:p>
    <w:p w:rsidR="000D206E" w:rsidRDefault="000D206E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Onafhankelijk</w:t>
      </w:r>
      <w:r>
        <w:rPr>
          <w:noProof/>
        </w:rPr>
        <w:t xml:space="preserve"> persoon (aangewezen door _______________ ):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8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Nationaliteit: ______________________ Woonplaats: _______________________</w:t>
      </w:r>
    </w:p>
    <w:p w:rsidR="000D206E" w:rsidRDefault="000D206E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0D206E" w:rsidRDefault="00E64252">
      <w:pPr>
        <w:pStyle w:val="ListParagraph"/>
        <w:pageBreakBefore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lastRenderedPageBreak/>
        <w:t>Onafhankelijk persoon (aangewezen door _______________ ):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 xml:space="preserve">Nationaliteit: ______________________ Woonplaats: </w:t>
      </w:r>
      <w:r>
        <w:rPr>
          <w:i/>
          <w:noProof/>
          <w:sz w:val="20"/>
        </w:rPr>
        <w:t>_______________________</w:t>
      </w:r>
    </w:p>
    <w:p w:rsidR="000D206E" w:rsidRDefault="000D206E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Bevoegde autoriteiten (vertegenwoordiger aangewezen voor _________ )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Bevoegde autoriteiten (vertegenwoordiger aangewezen voor _________ )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4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5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Bevoegde autoriteiten (vertegenwoordiger aangewezen voor __________)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 xml:space="preserve">Bevoegde </w:t>
      </w:r>
      <w:r>
        <w:rPr>
          <w:noProof/>
        </w:rPr>
        <w:t>autoriteiten (vertegenwoordiger aangewezen voor _________ )</w: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8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9" style="width:0;height:1.5pt" o:hralign="center" o:hrstd="t" o:hr="t" fillcolor="#a0a0a0" stroked="f"/>
        </w:pic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Beschrijving en kenmerken van de zaak</w:t>
      </w:r>
    </w:p>
    <w:p w:rsidR="000D206E" w:rsidRDefault="00E64252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Beschrijving van het onderwerp: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Belastingtijdvak(ken):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4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5" style="width:0;height:1.5pt" o:hralign="center" o:hrstd="t" o:hr="t" fillcolor="#a0a0a0" stroked="f"/>
        </w:pic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Sector-/industriecategorieën: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8" style="width:0;height:1.5pt" o:hralign="center" o:hrstd="t" o:hr="t" fillcolor="#a0a0a0" stroked="f"/>
        </w:pic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Verwijzingen naar wetgeving (toepasselijke wet(te</w:t>
      </w:r>
      <w:r>
        <w:rPr>
          <w:b/>
          <w:noProof/>
        </w:rPr>
        <w:t xml:space="preserve">n) en verdrag – internationale praktijken): </w:t>
      </w:r>
    </w:p>
    <w:p w:rsidR="000D206E" w:rsidRDefault="000D206E">
      <w:pPr>
        <w:pStyle w:val="ListParagraph"/>
        <w:spacing w:before="150" w:after="150"/>
        <w:ind w:left="0" w:right="975"/>
        <w:rPr>
          <w:b/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Nationale wetsbepalingen</w:t>
      </w:r>
      <w:r>
        <w:rPr>
          <w:noProof/>
        </w:rPr>
        <w:t xml:space="preserve"> </w:t>
      </w:r>
      <w:r>
        <w:rPr>
          <w:i/>
          <w:noProof/>
          <w:sz w:val="20"/>
        </w:rPr>
        <w:t>(Er wordt in detail naar de overeenkomstige artikelen verwezen – de volledige bepalingen kunnen worden bijgevoegd)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4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Verdrag tot het vermijden van dubbele belasting</w:t>
      </w:r>
      <w:r>
        <w:rPr>
          <w:noProof/>
        </w:rPr>
        <w:t xml:space="preserve"> </w:t>
      </w:r>
      <w:r>
        <w:rPr>
          <w:i/>
          <w:noProof/>
          <w:sz w:val="20"/>
        </w:rPr>
        <w:t>(Er wordt in</w:t>
      </w:r>
      <w:r>
        <w:rPr>
          <w:i/>
          <w:noProof/>
          <w:sz w:val="20"/>
        </w:rPr>
        <w:t xml:space="preserve"> detail naar de overeenkomstige artikelen verwezen – de volledige bepalingen kunnen worden bijgevoegd)</w:t>
      </w:r>
      <w:r>
        <w:rPr>
          <w:noProof/>
        </w:rPr>
        <w:t xml:space="preserve"> </w: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Geef aan of het gaat om: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een ondertekend verdrag tot het vermijden van dubbele belasting tussen beide [of meer] lidstaten (datum van ondertekening: _________________ )</w:t>
      </w:r>
    </w:p>
    <w:p w:rsidR="000D206E" w:rsidRDefault="00E64252">
      <w:pPr>
        <w:pStyle w:val="Text1"/>
        <w:pageBreakBefore/>
        <w:ind w:left="851"/>
        <w:rPr>
          <w:noProof/>
        </w:rPr>
      </w:pPr>
      <w:r>
        <w:rPr>
          <w:noProof/>
        </w:rPr>
        <w:lastRenderedPageBreak/>
        <w:t>Of, ingeval er geen verdrag tot het vermijden van dubbele belasting van kracht is: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het OESO-modelverdrag ter v</w:t>
      </w:r>
      <w:r>
        <w:rPr>
          <w:noProof/>
        </w:rPr>
        <w:t>oorkoming van dubbele belasting</w:t>
      </w:r>
      <w:r>
        <w:rPr>
          <w:noProof/>
        </w:rPr>
        <w:br/>
        <w:t>(datum: _________________ )</w:t>
      </w:r>
    </w:p>
    <w:p w:rsidR="000D206E" w:rsidRDefault="00E64252">
      <w:pPr>
        <w:pStyle w:val="ListDash2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enigerlei andere verwijzing waarover de bevoegde autoriteiten overeenstemming hebben bereikt:</w:t>
      </w:r>
    </w:p>
    <w:p w:rsidR="000D206E" w:rsidRDefault="00E64252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4" style="width:0;height:1.5pt" o:hralign="center" o:hrstd="t" o:hr="t" fillcolor="#a0a0a0" stroked="f"/>
        </w:pict>
      </w:r>
      <w:r>
        <w:rPr>
          <w:noProof/>
          <w:szCs w:val="18"/>
        </w:rPr>
        <w:pict>
          <v:rect id="_x0000_i1055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 xml:space="preserve">Benaderende berekening van de betwiste dubbele belasting </w:t>
      </w:r>
      <w:r>
        <w:rPr>
          <w:i/>
          <w:noProof/>
          <w:sz w:val="20"/>
        </w:rPr>
        <w:t>(Totaalbedrag en nadere bijzonde</w:t>
      </w:r>
      <w:r>
        <w:rPr>
          <w:i/>
          <w:noProof/>
          <w:sz w:val="20"/>
        </w:rPr>
        <w:t>rheden per belastingjaar over de hoofdsom van de belasting, de rente en de boeten, de toepasselijke belastingtarieven en de overeenkomstige heffingsgrondslag)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58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3" style="width:0;height:1.5pt" o:hralign="center" o:hrstd="t" o:hr="t" fillcolor="#a0a0a0" stroked="f"/>
        </w:pic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i/>
          <w:noProof/>
          <w:sz w:val="22"/>
          <w:szCs w:val="18"/>
        </w:rPr>
      </w:pPr>
      <w:r>
        <w:rPr>
          <w:b/>
          <w:i/>
          <w:noProof/>
          <w:sz w:val="22"/>
        </w:rPr>
        <w:t>Opmerkingen van de belastingplichtige over de bovenstaande informatie:</w: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i/>
          <w:noProof/>
          <w:sz w:val="18"/>
        </w:rPr>
        <w:t xml:space="preserve">(Hierna kan </w:t>
      </w:r>
      <w:r>
        <w:rPr>
          <w:i/>
          <w:noProof/>
          <w:sz w:val="18"/>
        </w:rPr>
        <w:t>de belastingplichtige in het kader van de procedure opmerkingen invoegen)</w: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Beschrijving van het onderwerp:</w: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4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5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Belastingtijdvak:</w: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6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Verwijzingen naar rechtsgrondslagen (toepasselijke wet(ten) en verdrag):</w: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7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b/>
          <w:noProof/>
          <w:sz w:val="22"/>
        </w:rPr>
        <w:t xml:space="preserve">Berekening van de betwiste dubbele belasting </w:t>
      </w:r>
      <w:r>
        <w:rPr>
          <w:i/>
          <w:noProof/>
          <w:sz w:val="18"/>
        </w:rPr>
        <w:t>(Totaa</w:t>
      </w:r>
      <w:r>
        <w:rPr>
          <w:i/>
          <w:noProof/>
          <w:sz w:val="18"/>
        </w:rPr>
        <w:t>lbedrag en nadere bijzonderheden per belastingjaar over de hoofdsom van de belasting, de rente en de boeten, de toepasselijke belastingtarieven en de overeenkomstige heffingsgrondslag)</w:t>
      </w:r>
      <w:r>
        <w:rPr>
          <w:noProof/>
          <w:sz w:val="22"/>
        </w:rPr>
        <w:t xml:space="preserve"> </w:t>
      </w:r>
      <w:r>
        <w:rPr>
          <w:noProof/>
          <w:sz w:val="22"/>
          <w:szCs w:val="18"/>
        </w:rPr>
        <w:pict>
          <v:rect id="_x0000_i1068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9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0" style="width:0;height:1.5pt" o:hralign="center" o:hrstd="t" o:hr="t" fillcolor="#a0a0a0" stroked="f"/>
        </w:pict>
      </w:r>
    </w:p>
    <w:p w:rsidR="000D206E" w:rsidRDefault="00E642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1" style="width:0;height:1.5pt" o:hralign="center" o:hrstd="t" o:hr="t" fillcolor="#a0a0a0" stroked="f"/>
        </w:pic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Door de bevoegde autoriteiten overeengekomen mandaat</w:t>
      </w:r>
    </w:p>
    <w:p w:rsidR="000D206E" w:rsidRDefault="00E64252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Beschrijvi</w:t>
      </w:r>
      <w:r>
        <w:rPr>
          <w:b/>
          <w:noProof/>
        </w:rPr>
        <w:t>ng van de juridische kwesties die in het kader van het geschil over de dubbele belasting uitleg behoeven: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4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5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Beschrijving van de in aanmerking te nemen feitelijke omstandigheden en van de concrete kwesties die volgens de bevoegde autoriteiten verduide</w:t>
      </w:r>
      <w:r>
        <w:rPr>
          <w:b/>
          <w:noProof/>
        </w:rPr>
        <w:t>lijking en/of uitleg door de raadgevende commissie of de alternatieve geschillenbeslechtingscommissie behoeven:</w:t>
      </w:r>
      <w:r>
        <w:rPr>
          <w:b/>
          <w:noProof/>
          <w:szCs w:val="18"/>
        </w:rPr>
        <w:pict>
          <v:rect id="_x0000_i107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78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Aangelegenheden die de raadgevende commissie of de alternatieve geschillenbeslechtingscommissie in haar advies dient te behandelen:</w:t>
      </w:r>
      <w:r>
        <w:rPr>
          <w:b/>
          <w:noProof/>
          <w:szCs w:val="18"/>
        </w:rPr>
        <w:pict>
          <v:rect id="_x0000_i108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08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4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5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6" style="width:0;height:1.5pt" o:hralign="center" o:hrstd="t" o:hr="t" fillcolor="#a0a0a0" stroked="f"/>
        </w:pic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Tijdschema en kalender voor het besluitvormingsproces</w:t>
      </w:r>
    </w:p>
    <w:p w:rsidR="000D206E" w:rsidRDefault="00E64252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Verwachte datum van het definitieve advies: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8" style="width:0;height:1.5pt" o:hralign="center" o:hrstd="t" o:hr="t" fillcolor="#a0a0a0" stroked="f"/>
        </w:pict>
      </w:r>
    </w:p>
    <w:p w:rsidR="000D206E" w:rsidRDefault="00E64252">
      <w:pPr>
        <w:rPr>
          <w:b/>
          <w:noProof/>
          <w:szCs w:val="18"/>
        </w:rPr>
      </w:pPr>
      <w:r>
        <w:rPr>
          <w:b/>
          <w:noProof/>
        </w:rPr>
        <w:t>Planning van de indiening van schriftelijke bijdragen door de partijen: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Planning van de achtereenvolgende of gelijktijdige indiening van bijdr</w:t>
      </w:r>
      <w:r>
        <w:rPr>
          <w:b/>
          <w:noProof/>
        </w:rPr>
        <w:t xml:space="preserve">agen </w:t>
      </w:r>
      <w:r>
        <w:rPr>
          <w:i/>
          <w:noProof/>
          <w:sz w:val="20"/>
        </w:rPr>
        <w:t>(indien toepasselijk)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2" style="width:0;height:1.5pt" o:hralign="center" o:hrstd="t" o:hr="t" fillcolor="#a0a0a0" stroked="f"/>
        </w:pict>
      </w:r>
    </w:p>
    <w:p w:rsidR="000D206E" w:rsidRDefault="00E64252">
      <w:pPr>
        <w:ind w:right="851"/>
        <w:rPr>
          <w:b/>
          <w:noProof/>
          <w:szCs w:val="18"/>
        </w:rPr>
      </w:pPr>
      <w:r>
        <w:rPr>
          <w:b/>
          <w:noProof/>
        </w:rPr>
        <w:t xml:space="preserve">Planning van de uiteenzetting van de standpunten van de bevoegde autoriteiten </w:t>
      </w:r>
      <w:r>
        <w:rPr>
          <w:i/>
          <w:noProof/>
          <w:sz w:val="20"/>
        </w:rPr>
        <w:t>(indien toepasselijk)</w:t>
      </w:r>
      <w:r>
        <w:rPr>
          <w:b/>
          <w:noProof/>
        </w:rPr>
        <w:t>:</w: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4" style="width:0;height:1.5pt" o:hralign="center" o:hrstd="t" o:hr="t" fillcolor="#a0a0a0" stroked="f"/>
        </w:pict>
      </w:r>
    </w:p>
    <w:p w:rsidR="000D206E" w:rsidRDefault="00E64252">
      <w:pPr>
        <w:tabs>
          <w:tab w:val="left" w:pos="8222"/>
        </w:tabs>
        <w:ind w:right="993"/>
        <w:rPr>
          <w:noProof/>
        </w:rPr>
      </w:pPr>
      <w:r>
        <w:rPr>
          <w:b/>
          <w:noProof/>
        </w:rPr>
        <w:t>Tijdslimieten voor de indiening van de bewijsstukken die de partijen voornemens zijn over te leggen; gevolgen van laatti</w:t>
      </w:r>
      <w:r>
        <w:rPr>
          <w:b/>
          <w:noProof/>
        </w:rPr>
        <w:t xml:space="preserve">jdige indiening </w:t>
      </w:r>
      <w:r>
        <w:rPr>
          <w:i/>
          <w:noProof/>
          <w:sz w:val="20"/>
        </w:rPr>
        <w:t>(indien toepasselijk)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5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7" style="width:0;height:1.5pt" o:hralign="center" o:hrstd="t" o:hr="t" fillcolor="#a0a0a0" stroked="f"/>
        </w:pict>
      </w:r>
    </w:p>
    <w:p w:rsidR="000D206E" w:rsidRDefault="00E64252">
      <w:pPr>
        <w:ind w:right="993"/>
        <w:rPr>
          <w:noProof/>
        </w:rPr>
      </w:pPr>
      <w:r>
        <w:rPr>
          <w:b/>
          <w:noProof/>
        </w:rPr>
        <w:t xml:space="preserve">Planning van het uitbrengen van advies (adviezen) door respectievelijk de onafhankelijke personen en de vertegenwoordigers van de bevoegde autoriteiten </w:t>
      </w:r>
      <w:r>
        <w:rPr>
          <w:i/>
          <w:noProof/>
          <w:sz w:val="20"/>
        </w:rPr>
        <w:t>(indien toepasselijk)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8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09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0" style="width:0;height:1.5pt" o:hralign="center" o:hrstd="t" o:hr="t" fillcolor="#a0a0a0" stroked="f"/>
        </w:pict>
      </w:r>
    </w:p>
    <w:p w:rsidR="000D206E" w:rsidRDefault="00E64252">
      <w:pPr>
        <w:ind w:right="993"/>
        <w:rPr>
          <w:b/>
          <w:noProof/>
        </w:rPr>
      </w:pPr>
      <w:r>
        <w:rPr>
          <w:b/>
          <w:noProof/>
        </w:rPr>
        <w:t xml:space="preserve">Geplande data van (eventuele) hoorzittingen en plaats van de hoorzittingen </w:t>
      </w:r>
      <w:r>
        <w:rPr>
          <w:i/>
          <w:noProof/>
          <w:sz w:val="20"/>
        </w:rPr>
        <w:t>(indien toepasselijk)</w:t>
      </w:r>
      <w:r>
        <w:rPr>
          <w:b/>
          <w:noProof/>
        </w:rPr>
        <w:t>:</w:t>
      </w:r>
    </w:p>
    <w:p w:rsidR="000D206E" w:rsidRDefault="00E64252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01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2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3" style="width:0;height:1.5pt" o:hralign="center" o:hrstd="t" o:hr="t" fillcolor="#a0a0a0" stroked="f"/>
        </w:pic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lastRenderedPageBreak/>
        <w:t>Soort beslechtingsproces</w:t>
      </w:r>
    </w:p>
    <w:p w:rsidR="000D206E" w:rsidRDefault="00E64252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noProof/>
        </w:rPr>
        <w:t>"</w:t>
      </w:r>
      <w:r>
        <w:rPr>
          <w:b/>
          <w:noProof/>
        </w:rPr>
        <w:t>Onafhankelijk advies"</w:t>
      </w:r>
    </w:p>
    <w:p w:rsidR="000D206E" w:rsidRDefault="00E64252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"</w:t>
      </w:r>
      <w:r>
        <w:rPr>
          <w:b/>
          <w:noProof/>
        </w:rPr>
        <w:t>Laatste definitieve aanbod"</w:t>
      </w:r>
    </w:p>
    <w:p w:rsidR="000D206E" w:rsidRDefault="00E64252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Ander proces</w:t>
      </w:r>
      <w:r>
        <w:rPr>
          <w:noProof/>
        </w:rPr>
        <w:t xml:space="preserve">, </w:t>
      </w:r>
      <w:r>
        <w:rPr>
          <w:i/>
          <w:noProof/>
        </w:rPr>
        <w:t>preciseer: ______________________________________</w: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Kosten</w:t>
      </w:r>
    </w:p>
    <w:p w:rsidR="000D206E" w:rsidRDefault="00E64252">
      <w:pPr>
        <w:ind w:right="993"/>
        <w:rPr>
          <w:noProof/>
        </w:rPr>
      </w:pPr>
      <w:r>
        <w:rPr>
          <w:b/>
          <w:noProof/>
        </w:rPr>
        <w:t>Nadere bijzonderheden over de kosten (aard en verwachte bedragen) die gelijkelijk over de lidstaten moeten worden verdeeld:</w:t>
      </w:r>
      <w:r>
        <w:rPr>
          <w:b/>
          <w:noProof/>
          <w:szCs w:val="18"/>
        </w:rPr>
        <w:pict>
          <v:rect id="_x0000_i1104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5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6" style="width:0;height:1.5pt" o:hralign="center" o:hrstd="t" o:hr="t" fillcolor="#a0a0a0" stroked="f"/>
        </w:pict>
      </w:r>
    </w:p>
    <w:p w:rsidR="000D206E" w:rsidRDefault="00E64252">
      <w:pPr>
        <w:spacing w:before="150" w:after="150"/>
        <w:ind w:right="975"/>
        <w:rPr>
          <w:noProof/>
          <w:szCs w:val="18"/>
        </w:rPr>
      </w:pPr>
      <w:r>
        <w:rPr>
          <w:noProof/>
        </w:rPr>
        <w:t xml:space="preserve">Waaronder, in voorkomend geval: 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vergoeding van de onafhankelijke personen _______________________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andere kosten en </w:t>
      </w:r>
      <w:r>
        <w:rPr>
          <w:noProof/>
        </w:rPr>
        <w:t>dagvergoedingen van de onafhankelijke personen _________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vertaalkosten ________________________________________________</w:t>
      </w:r>
    </w:p>
    <w:p w:rsidR="000D206E" w:rsidRDefault="00E64252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vertolkingskosten ______________________________________________</w:t>
      </w:r>
    </w:p>
    <w:p w:rsidR="000D206E" w:rsidRDefault="00E64252">
      <w:pPr>
        <w:pStyle w:val="ListDash2"/>
        <w:numPr>
          <w:ilvl w:val="0"/>
          <w:numId w:val="6"/>
        </w:numPr>
        <w:jc w:val="left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andere administratieve kosten (incl. secretariaatskosten) _______</w:t>
      </w:r>
      <w:r>
        <w:rPr>
          <w:noProof/>
        </w:rPr>
        <w:t>___________________________________________________________</w:t>
      </w:r>
    </w:p>
    <w:p w:rsidR="000D206E" w:rsidRDefault="00E64252">
      <w:pPr>
        <w:pStyle w:val="ListDash2"/>
        <w:rPr>
          <w:noProof/>
        </w:rPr>
      </w:pPr>
      <w:r>
        <w:rPr>
          <w:noProof/>
        </w:rPr>
        <w:t xml:space="preserve">Andere informatie over en regelingen inzake kosten </w:t>
      </w:r>
      <w:r>
        <w:rPr>
          <w:i/>
          <w:noProof/>
          <w:sz w:val="20"/>
        </w:rPr>
        <w:t>(te preciseren)</w:t>
      </w:r>
      <w:r>
        <w:rPr>
          <w:noProof/>
        </w:rPr>
        <w:t>:</w:t>
      </w:r>
    </w:p>
    <w:p w:rsidR="000D206E" w:rsidRDefault="00E64252">
      <w:pPr>
        <w:pStyle w:val="ListDash2"/>
        <w:tabs>
          <w:tab w:val="left" w:pos="7938"/>
          <w:tab w:val="left" w:pos="8789"/>
        </w:tabs>
        <w:rPr>
          <w:noProof/>
        </w:rPr>
      </w:pPr>
      <w:r>
        <w:rPr>
          <w:noProof/>
        </w:rPr>
        <w:pict>
          <v:rect id="_x0000_i1107" style="width:375.9pt;height:1.7pt" o:hrpct="947" o:hralign="center" o:hrstd="t" o:hr="t" fillcolor="#a0a0a0" stroked="f"/>
        </w:pict>
      </w:r>
    </w:p>
    <w:p w:rsidR="000D206E" w:rsidRDefault="00E64252">
      <w:pPr>
        <w:pStyle w:val="ListDash2"/>
        <w:tabs>
          <w:tab w:val="left" w:pos="8080"/>
        </w:tabs>
        <w:ind w:right="142"/>
        <w:rPr>
          <w:noProof/>
        </w:rPr>
      </w:pPr>
      <w:r>
        <w:rPr>
          <w:noProof/>
        </w:rPr>
        <w:pict>
          <v:rect id="_x0000_i1108" style="width:0;height:1.5pt" o:hralign="center" o:hrstd="t" o:hr="t" fillcolor="#a0a0a0" stroked="f"/>
        </w:pict>
      </w:r>
    </w:p>
    <w:p w:rsidR="000D206E" w:rsidRDefault="00E64252">
      <w:pPr>
        <w:pStyle w:val="ListDash2"/>
        <w:tabs>
          <w:tab w:val="left" w:pos="8080"/>
        </w:tabs>
        <w:rPr>
          <w:noProof/>
        </w:rPr>
      </w:pPr>
      <w:r>
        <w:rPr>
          <w:noProof/>
        </w:rPr>
        <w:pict>
          <v:rect id="_x0000_i1109" style="width:0;height:1.5pt" o:hralign="center" o:hrstd="t" o:hr="t" fillcolor="#a0a0a0" stroked="f"/>
        </w:pict>
      </w:r>
    </w:p>
    <w:p w:rsidR="000D206E" w:rsidRDefault="00E64252">
      <w:pPr>
        <w:pStyle w:val="ListDash2"/>
        <w:tabs>
          <w:tab w:val="left" w:pos="8931"/>
        </w:tabs>
        <w:rPr>
          <w:noProof/>
        </w:rPr>
      </w:pPr>
      <w:r>
        <w:rPr>
          <w:noProof/>
        </w:rPr>
        <w:pict>
          <v:rect id="_x0000_i1110" style="width:0;height:1.5pt" o:hralign="center" o:hrstd="t" o:hr="t" fillcolor="#a0a0a0" stroked="f"/>
        </w:pict>
      </w:r>
    </w:p>
    <w:p w:rsidR="000D206E" w:rsidRDefault="00E64252">
      <w:pPr>
        <w:pStyle w:val="ListDash2"/>
        <w:rPr>
          <w:noProof/>
        </w:rPr>
      </w:pPr>
      <w:r>
        <w:rPr>
          <w:noProof/>
        </w:rPr>
        <w:pict>
          <v:rect id="_x0000_i1111" style="width:0;height:1.5pt" o:hralign="center" o:hrstd="t" o:hr="t" fillcolor="#a0a0a0" stroked="f"/>
        </w:pict>
      </w:r>
    </w:p>
    <w:p w:rsidR="000D206E" w:rsidRDefault="00E64252">
      <w:pPr>
        <w:pStyle w:val="ListDash2"/>
        <w:rPr>
          <w:noProof/>
        </w:rPr>
      </w:pPr>
      <w:r>
        <w:rPr>
          <w:noProof/>
        </w:rPr>
        <w:pict>
          <v:rect id="_x0000_i1112" style="width:343.35pt;height:1.7pt" o:hrpct="865" o:hralign="center" o:hrstd="t" o:hr="t" fillcolor="#a0a0a0" stroked="f"/>
        </w:pic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Organisatie en werking</w:t>
      </w:r>
    </w:p>
    <w:p w:rsidR="000D206E" w:rsidRDefault="00E64252">
      <w:pPr>
        <w:spacing w:before="150" w:after="150"/>
        <w:ind w:right="975"/>
        <w:rPr>
          <w:b/>
          <w:smallCaps/>
          <w:noProof/>
          <w:szCs w:val="18"/>
        </w:rPr>
      </w:pPr>
      <w:r>
        <w:rPr>
          <w:i/>
          <w:noProof/>
          <w:sz w:val="20"/>
        </w:rPr>
        <w:t>[</w:t>
      </w:r>
      <w:r>
        <w:rPr>
          <w:b/>
          <w:i/>
          <w:noProof/>
          <w:sz w:val="20"/>
        </w:rPr>
        <w:t>NB: invullen van de vetgedrukte vakjes in deze afdeling is verplicht</w:t>
      </w:r>
      <w:r>
        <w:rPr>
          <w:noProof/>
        </w:rPr>
        <w:t>]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Plaats van bijeenkomst van de raadgevende commissie of van de alternatieve geschillenbeslechtingscommissie: 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Mogelijkheid dat vergaderingen op een andere plaats worden gehouden dan de plaats van bijeenkomst van de raadgevende c</w:t>
      </w:r>
      <w:r>
        <w:rPr>
          <w:noProof/>
        </w:rPr>
        <w:t>ommissie of van de alternatieve geschillenbeslechtingscommissie: 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Administratieve diensten die voor de uitoefening van de taken van de raadgevende commissie of van de alternatieve geschillenbeslechtingscommi</w:t>
      </w:r>
      <w:r>
        <w:rPr>
          <w:b/>
          <w:noProof/>
        </w:rPr>
        <w:t>ssie noodzakelijk kunnen zijn:</w:t>
      </w:r>
      <w:r>
        <w:rPr>
          <w:noProof/>
        </w:rPr>
        <w:t xml:space="preserve"> _______________________________________________________________________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Gemeenschappelijke werktaal voor de geschillenbeslechtingsprocedure: 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Eventuele noodzaak van (gehele of gedeeltelijke) ve</w:t>
      </w:r>
      <w:r>
        <w:rPr>
          <w:noProof/>
        </w:rPr>
        <w:t>rtaling van documenten: 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Eventuele noodzaak van vertolking van mondelinge presentaties: 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Verspreiding van schriftelijke mededelingen onder de partijen (incl. middelen om documenten per e-mail te verzenden, mondelinge commu</w:t>
      </w:r>
      <w:r>
        <w:rPr>
          <w:noProof/>
        </w:rPr>
        <w:t xml:space="preserve">nicatie, </w:t>
      </w:r>
      <w:r>
        <w:rPr>
          <w:i/>
          <w:noProof/>
        </w:rPr>
        <w:t>webex conference call,</w:t>
      </w:r>
      <w:r>
        <w:rPr>
          <w:noProof/>
        </w:rPr>
        <w:t xml:space="preserve"> specifieke IT-instrumenten enz.): 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Praktische gegevens over de indiening van schriftelijke bijdragen en bewijsstukken (bv. wijze van indiening, kopie</w:t>
      </w:r>
      <w:r>
        <w:rPr>
          <w:noProof/>
        </w:rPr>
        <w:t>ën, nummering, verwijzingen): ___________________________________________________________________________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Verspreiding van schriftelijke mededelingen onder de partijen (incl. middelen om documenten te verzenden):</w:t>
      </w:r>
      <w:r>
        <w:rPr>
          <w:b/>
          <w:noProof/>
          <w:szCs w:val="18"/>
        </w:rPr>
        <w:br/>
      </w:r>
      <w:r>
        <w:rPr>
          <w:b/>
          <w:noProof/>
        </w:rPr>
        <w:t>_________________________________________</w:t>
      </w:r>
      <w:r>
        <w:rPr>
          <w:b/>
          <w:noProof/>
        </w:rPr>
        <w:t>__________________________________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Regelingen voor de uitwisseling van schriftelijke bijdragen: ____________________________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Regelingen voor verzoeken om inlichtingen door de raadgevende commissie of de alternatieve geschillenbeslechtingscommissie en v</w:t>
      </w:r>
      <w:r>
        <w:rPr>
          <w:b/>
          <w:noProof/>
        </w:rPr>
        <w:t>oor de reacties daarop door de belastingplichtige en de bevoegde autoriteiten: 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Praktische gegevens over de indiening van schriftelijke bijdragen en bewijsstukken (bv. wijze van indiening, kopieën, nummering, verwijzing</w:t>
      </w:r>
      <w:r>
        <w:rPr>
          <w:noProof/>
        </w:rPr>
        <w:t>en): ___________________________________________________________________________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Of een partij geacht wordt bewijsstukken te verschaffen: 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Deskundigen (voorwaarden voor de mededeling van een mondeling of schriftelijk standpunt): _____</w:t>
      </w:r>
      <w:r>
        <w:rPr>
          <w:noProof/>
        </w:rPr>
        <w:t>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Mag worden aangenomen dat beweringen over de oorsprong en ontvangst van documenten en over de juistheid van fotokopieën correct zijn: 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Mogen omvangrijke en complexe b</w:t>
      </w:r>
      <w:r>
        <w:rPr>
          <w:noProof/>
        </w:rPr>
        <w:t>ewijsstukken in de vorm van samenvattingen, tabellen, grafieken, uittreksels of steekproeven worden gepresenteerd: _________________________</w:t>
      </w:r>
    </w:p>
    <w:p w:rsidR="000D206E" w:rsidRDefault="00E64252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Beslissing of hoorzittingen worden gehouden (en aantal hoorzittingen): 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Of er één hoorzittingsperiode, dan wel afzonderlijke hoorzittingsperioden moeten worden georganiseerd: 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Of er een limiet moet worden vastgesteld voor de totale tijd waarover elke partij zal beschikken om pleidooien te houden en getuigen te onde</w:t>
      </w:r>
      <w:r>
        <w:rPr>
          <w:noProof/>
        </w:rPr>
        <w:t>rvragen: 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Volgorde waarin de partijen hun argumenten en bewijzen naar voren zullen brengen: ___________________________________________________________________________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Duur van de hoorzittingen: ___________________________________________________________________________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Regelingen voor het opstellen van een verslag van de hoorzittingen: ___________________________________________________________________________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Moge</w:t>
      </w:r>
      <w:r>
        <w:rPr>
          <w:noProof/>
        </w:rPr>
        <w:t>lijke vereisten voor het indienen of uiteenzetten door respectievelijk de onafhankelijke personen en de vertegenwoordigers van de bevoegde autoriteiten van hun standpunt: 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Mogelijke vereis</w:t>
      </w:r>
      <w:r>
        <w:rPr>
          <w:noProof/>
        </w:rPr>
        <w:t>ten voor het indienen of uitbrengen van het schriftelijk advies: ___________________________________________________________________________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Overige (</w:t>
      </w:r>
      <w:r>
        <w:rPr>
          <w:i/>
          <w:noProof/>
          <w:sz w:val="20"/>
        </w:rPr>
        <w:t xml:space="preserve">te preciseren; het betreft onder meer eventuele andere toepasselijke procedurele, bewijsgerelateerde en </w:t>
      </w:r>
      <w:r>
        <w:rPr>
          <w:i/>
          <w:noProof/>
          <w:sz w:val="20"/>
        </w:rPr>
        <w:t>logistieke regelingen</w:t>
      </w:r>
      <w:r>
        <w:rPr>
          <w:noProof/>
        </w:rPr>
        <w:t>): ___________________________________________________________________________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0D206E" w:rsidRDefault="00E64252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0D206E" w:rsidRDefault="00E64252">
      <w:pPr>
        <w:pStyle w:val="Heading1"/>
        <w:rPr>
          <w:noProof/>
        </w:rPr>
      </w:pPr>
      <w:r>
        <w:rPr>
          <w:noProof/>
        </w:rPr>
        <w:t>Over</w:t>
      </w:r>
      <w:r>
        <w:rPr>
          <w:noProof/>
        </w:rPr>
        <w:t>ige</w:t>
      </w:r>
    </w:p>
    <w:p w:rsidR="000D206E" w:rsidRDefault="00E64252">
      <w:pPr>
        <w:rPr>
          <w:b/>
          <w:noProof/>
        </w:rPr>
      </w:pPr>
      <w:r>
        <w:rPr>
          <w:noProof/>
        </w:rPr>
        <w:t>[</w:t>
      </w:r>
      <w:r>
        <w:rPr>
          <w:i/>
          <w:noProof/>
        </w:rPr>
        <w:t>in te vullen</w:t>
      </w:r>
      <w:r>
        <w:rPr>
          <w:noProof/>
        </w:rPr>
        <w:t>]:</w:t>
      </w:r>
    </w:p>
    <w:p w:rsidR="000D206E" w:rsidRDefault="00E64252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3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4" style="width:0;height:1.5pt" o:hralign="center" o:hrstd="t" o:hr="t" fillcolor="#a0a0a0" stroked="f"/>
        </w:pict>
      </w:r>
    </w:p>
    <w:p w:rsidR="000D206E" w:rsidRDefault="00E64252">
      <w:pPr>
        <w:ind w:right="993"/>
        <w:rPr>
          <w:noProof/>
        </w:rPr>
      </w:pPr>
      <w:r>
        <w:rPr>
          <w:noProof/>
          <w:szCs w:val="18"/>
        </w:rPr>
        <w:pict>
          <v:rect id="_x0000_i1115" style="width:0;height:1.5pt" o:hralign="center" o:hrstd="t" o:hr="t" fillcolor="#a0a0a0" stroked="f"/>
        </w:pict>
      </w:r>
      <w:r>
        <w:rPr>
          <w:b/>
          <w:noProof/>
          <w:szCs w:val="18"/>
        </w:rPr>
        <w:pict>
          <v:rect id="_x0000_i1116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7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18" style="width:0;height:1.5pt" o:hralign="center" o:hrstd="t" o:hr="t" fillcolor="#a0a0a0" stroked="f"/>
        </w:pict>
      </w:r>
    </w:p>
    <w:p w:rsidR="000D206E" w:rsidRDefault="00E64252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9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20" style="width:0;height:1.5pt" o:hralign="center" o:hrstd="t" o:hr="t" fillcolor="#a0a0a0" stroked="f"/>
        </w:pict>
      </w:r>
    </w:p>
    <w:p w:rsidR="000D206E" w:rsidRDefault="00E64252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21" style="width:0;height:1.5pt" o:hralign="center" o:hrstd="t" o:hr="t" fillcolor="#a0a0a0" stroked="f"/>
        </w:pict>
      </w:r>
    </w:p>
    <w:p w:rsidR="000D206E" w:rsidRDefault="000D206E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D206E" w:rsidRDefault="00E64252">
      <w:pPr>
        <w:rPr>
          <w:b/>
          <w:noProof/>
        </w:rPr>
      </w:pPr>
      <w:r>
        <w:rPr>
          <w:b/>
          <w:noProof/>
        </w:rPr>
        <w:t>Datum:</w:t>
      </w:r>
    </w:p>
    <w:p w:rsidR="000D206E" w:rsidRDefault="000D206E">
      <w:pPr>
        <w:rPr>
          <w:b/>
          <w:noProof/>
        </w:rPr>
      </w:pPr>
    </w:p>
    <w:p w:rsidR="000D206E" w:rsidRDefault="00E64252">
      <w:pPr>
        <w:rPr>
          <w:noProof/>
          <w:szCs w:val="18"/>
        </w:rPr>
      </w:pPr>
      <w:r>
        <w:rPr>
          <w:b/>
          <w:noProof/>
        </w:rPr>
        <w:t>Handtekening van de vertegenwoordigers van de bevoegde autoriteiten van de lidstaten:</w:t>
      </w:r>
    </w:p>
    <w:p w:rsidR="000D206E" w:rsidRDefault="000D206E">
      <w:pPr>
        <w:rPr>
          <w:noProof/>
        </w:rPr>
      </w:pPr>
    </w:p>
    <w:p w:rsidR="000D206E" w:rsidRPr="00E64252" w:rsidRDefault="00E64252">
      <w:pPr>
        <w:rPr>
          <w:noProof/>
        </w:rPr>
      </w:pPr>
      <w:r>
        <w:rPr>
          <w:noProof/>
        </w:rPr>
        <w:t>______________________________                  ___________________________</w:t>
      </w:r>
    </w:p>
    <w:sectPr w:rsidR="000D206E" w:rsidRPr="00E64252" w:rsidSect="00E64252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6E" w:rsidRDefault="00E64252">
      <w:pPr>
        <w:spacing w:before="0" w:after="0"/>
      </w:pPr>
      <w:r>
        <w:separator/>
      </w:r>
    </w:p>
  </w:endnote>
  <w:endnote w:type="continuationSeparator" w:id="0">
    <w:p w:rsidR="000D206E" w:rsidRDefault="00E642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E" w:rsidRPr="00E64252" w:rsidRDefault="00E64252" w:rsidP="00E64252">
    <w:pPr>
      <w:pStyle w:val="Footer"/>
      <w:rPr>
        <w:rFonts w:ascii="Arial" w:hAnsi="Arial" w:cs="Arial"/>
        <w:b/>
        <w:sz w:val="48"/>
      </w:rPr>
    </w:pPr>
    <w:r w:rsidRPr="00E64252">
      <w:rPr>
        <w:rFonts w:ascii="Arial" w:hAnsi="Arial" w:cs="Arial"/>
        <w:b/>
        <w:sz w:val="48"/>
      </w:rPr>
      <w:t>NL</w:t>
    </w:r>
    <w:r w:rsidRPr="00E64252">
      <w:rPr>
        <w:rFonts w:ascii="Arial" w:hAnsi="Arial" w:cs="Arial"/>
        <w:b/>
        <w:sz w:val="48"/>
      </w:rPr>
      <w:tab/>
    </w:r>
    <w:r w:rsidRPr="00E6425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E64252">
      <w:tab/>
    </w:r>
    <w:proofErr w:type="spellStart"/>
    <w:r w:rsidRPr="00E64252">
      <w:rPr>
        <w:rFonts w:ascii="Arial" w:hAnsi="Arial" w:cs="Arial"/>
        <w:b/>
        <w:sz w:val="48"/>
      </w:rPr>
      <w:t>NL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Footer"/>
      <w:rPr>
        <w:rFonts w:ascii="Arial" w:hAnsi="Arial" w:cs="Arial"/>
        <w:b/>
        <w:sz w:val="48"/>
      </w:rPr>
    </w:pPr>
    <w:r w:rsidRPr="00E64252">
      <w:rPr>
        <w:rFonts w:ascii="Arial" w:hAnsi="Arial" w:cs="Arial"/>
        <w:b/>
        <w:sz w:val="48"/>
      </w:rPr>
      <w:t>NL</w:t>
    </w:r>
    <w:r w:rsidRPr="00E6425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E64252">
      <w:tab/>
    </w:r>
    <w:r w:rsidRPr="00E64252"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6E" w:rsidRDefault="00E64252">
      <w:pPr>
        <w:spacing w:before="0" w:after="0"/>
      </w:pPr>
      <w:r>
        <w:separator/>
      </w:r>
    </w:p>
  </w:footnote>
  <w:footnote w:type="continuationSeparator" w:id="0">
    <w:p w:rsidR="000D206E" w:rsidRDefault="00E642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Pr="00E64252" w:rsidRDefault="00E64252" w:rsidP="00E6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8625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F659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D659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90F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22E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128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E0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347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0320E5"/>
    <w:multiLevelType w:val="hybridMultilevel"/>
    <w:tmpl w:val="72F4533A"/>
    <w:lvl w:ilvl="0" w:tplc="6D50ED16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2DCA1808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 w:tplc="7D548FE2">
      <w:start w:val="1"/>
      <w:numFmt w:val="bullet"/>
      <w:lvlText w:val="-"/>
      <w:lvlJc w:val="left"/>
      <w:pPr>
        <w:ind w:left="2776" w:hanging="360"/>
      </w:pPr>
      <w:rPr>
        <w:rFonts w:ascii="Times New Roman" w:eastAsia="Times New Roman" w:hAnsi="Times New Roman" w:cs="Times New Roman" w:hint="default"/>
        <w:sz w:val="24"/>
      </w:rPr>
    </w:lvl>
    <w:lvl w:ilvl="3" w:tplc="2190EC54">
      <w:start w:val="3"/>
      <w:numFmt w:val="decimal"/>
      <w:lvlText w:val="(%4)"/>
      <w:lvlJc w:val="left"/>
      <w:pPr>
        <w:ind w:left="3316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48F59BA"/>
    <w:multiLevelType w:val="hybridMultilevel"/>
    <w:tmpl w:val="41CEFFB6"/>
    <w:lvl w:ilvl="0" w:tplc="83BC382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6"/>
  </w:num>
  <w:num w:numId="7">
    <w:abstractNumId w:val="24"/>
  </w:num>
  <w:num w:numId="8">
    <w:abstractNumId w:val="10"/>
    <w:lvlOverride w:ilvl="0">
      <w:lvl w:ilvl="0" w:tplc="6D50ED16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DCA18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548FE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90EC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7"/>
  </w:num>
  <w:num w:numId="27">
    <w:abstractNumId w:val="25"/>
  </w:num>
  <w:num w:numId="28">
    <w:abstractNumId w:val="21"/>
  </w:num>
  <w:num w:numId="29">
    <w:abstractNumId w:val="13"/>
  </w:num>
  <w:num w:numId="30">
    <w:abstractNumId w:val="23"/>
  </w:num>
  <w:num w:numId="31">
    <w:abstractNumId w:val="12"/>
  </w:num>
  <w:num w:numId="32">
    <w:abstractNumId w:val="14"/>
  </w:num>
  <w:num w:numId="33">
    <w:abstractNumId w:val="9"/>
  </w:num>
  <w:num w:numId="34">
    <w:abstractNumId w:val="22"/>
  </w:num>
  <w:num w:numId="35">
    <w:abstractNumId w:val="8"/>
  </w:num>
  <w:num w:numId="36">
    <w:abstractNumId w:val="15"/>
  </w:num>
  <w:num w:numId="37">
    <w:abstractNumId w:val="19"/>
  </w:num>
  <w:num w:numId="38">
    <w:abstractNumId w:val="20"/>
  </w:num>
  <w:num w:numId="39">
    <w:abstractNumId w:val="11"/>
  </w:num>
  <w:num w:numId="40">
    <w:abstractNumId w:val="17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7 17:02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7"/>
    <w:docVar w:name="DQCResult_UnknownFonts" w:val="0;0"/>
    <w:docVar w:name="DQCResult_UnknownStyles" w:val="0;120"/>
    <w:docVar w:name="DQCStatus" w:val="Yellow"/>
    <w:docVar w:name="DQCVersion" w:val="3"/>
    <w:docVar w:name="DQCWithWarnings" w:val="0"/>
    <w:docVar w:name="LW_ACCOMPAGNANT.CP" w:val="bij het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893843AEF773489593CBC44C3BD3AE6D"/>
    <w:docVar w:name="LW_CROSSREFERENCE" w:val="{SWD(2016) 343 final}_x000b_{SWD(2016) 344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atsburg, "/>
    <w:docVar w:name="LW_EMISSION_SUFFIX" w:val=" "/>
    <w:docVar w:name="LW_ID_DOCSTRUCTURE" w:val="COM/ANNEX"/>
    <w:docVar w:name="LW_ID_DOCTYPE" w:val="SG-017"/>
    <w:docVar w:name="LW_LANGUE" w:val="NL"/>
    <w:docVar w:name="LW_MARKING" w:val="&lt;UNUSED&gt;"/>
    <w:docVar w:name="LW_NOM.INST" w:val="EUROPESE COMMISSIE"/>
    <w:docVar w:name="LW_NOM.INST_JOINTDOC" w:val="&lt;EMPTY&gt;"/>
    <w:docVar w:name="LW_OBJETACTEPRINCIPAL.CP" w:val="betreffende mechanismen ter beslechting van geschillen_x000b_over dubbele belasting in de Europese Unie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6"/>
    <w:docVar w:name="LW_REF.INTERNE" w:val="&lt;UNUSED&gt;"/>
    <w:docVar w:name="LW_SUPERTITRE" w:val="&lt;UNUSED&gt;"/>
    <w:docVar w:name="LW_TITRE.OBJ.CP" w:val="&lt;UNUSED&gt;"/>
    <w:docVar w:name="LW_TYPE.DOC.CP" w:val="BIJLAGEN"/>
    <w:docVar w:name="LW_TYPEACTEPRINCIPAL.CP" w:val="Voorstel voor een RICHTLIJN VAN DE RAAD "/>
  </w:docVars>
  <w:rsids>
    <w:rsidRoot w:val="000D206E"/>
    <w:rsid w:val="000D206E"/>
    <w:rsid w:val="00E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E6425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425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6425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E6425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425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6425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034c5a8-16c9-4395-aa5f-bdb6e7f52619" xsi:nil="true"/>
    <EC_Collab_DocumentLanguage xmlns="2034c5a8-16c9-4395-aa5f-bdb6e7f52619">EN</EC_Collab_DocumentLanguage>
    <EC_Collab_Status xmlns="2034c5a8-16c9-4395-aa5f-bdb6e7f52619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4D38037E8E064B9AB4DD92FD798682" ma:contentTypeVersion="1" ma:contentTypeDescription="Create a new document in this library." ma:contentTypeScope="" ma:versionID="26f6938dd2f9ef8cff9d10d04eaa8746">
  <xsd:schema xmlns:xsd="http://www.w3.org/2001/XMLSchema" xmlns:xs="http://www.w3.org/2001/XMLSchema" xmlns:p="http://schemas.microsoft.com/office/2006/metadata/properties" xmlns:ns3="2034c5a8-16c9-4395-aa5f-bdb6e7f52619" targetNamespace="http://schemas.microsoft.com/office/2006/metadata/properties" ma:root="true" ma:fieldsID="0c6857498ea97d15e40cdc43dd99db40" ns3:_="">
    <xsd:import namespace="2034c5a8-16c9-4395-aa5f-bdb6e7f5261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c5a8-16c9-4395-aa5f-bdb6e7f5261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8E0F-893F-453C-A50A-0315871D337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034c5a8-16c9-4395-aa5f-bdb6e7f5261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121D3-77D1-472D-AD64-27EEF1A3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C345-CA55-41A4-A1D4-3DCCDF87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c5a8-16c9-4395-aa5f-bdb6e7f5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8671C-9486-4F23-BED7-F3A9FDBE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1308</Words>
  <Characters>11258</Characters>
  <Application>Microsoft Office Word</Application>
  <DocSecurity>0</DocSecurity>
  <Lines>433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2016-10-05T13:53:00Z</cp:lastPrinted>
  <dcterms:created xsi:type="dcterms:W3CDTF">2016-10-27T08:56:00Z</dcterms:created>
  <dcterms:modified xsi:type="dcterms:W3CDTF">2016-11-07T16:32:00Z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0x010100258AA79CEB83498886A3A08681123250009A4D38037E8E064B9AB4DD92FD798682</vt:lpwstr>
  </property>
  <property fmtid="{D5CDD505-2E9C-101B-9397-08002B2CF9AE}" pid="13" name="DQCStatus">
    <vt:lpwstr>Yellow (DQC version 03)</vt:lpwstr>
  </property>
</Properties>
</file>