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17" w:rsidRDefault="003D3F69" w:rsidP="003D3F69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4" type="#_x0000_t75" alt="378F55973CA24E5AB437D7FD7807D84D" style="width:451.35pt;height:410.5pt">
            <v:imagedata r:id="rId12" o:title=""/>
          </v:shape>
        </w:pict>
      </w:r>
      <w:bookmarkEnd w:id="0"/>
    </w:p>
    <w:p w:rsidR="00534317" w:rsidRDefault="00534317">
      <w:pPr>
        <w:rPr>
          <w:noProof/>
        </w:rPr>
        <w:sectPr w:rsidR="00534317" w:rsidSect="003D3F6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534317" w:rsidRDefault="003D3F69">
      <w:pPr>
        <w:pStyle w:val="Typedudocument"/>
        <w:rPr>
          <w:noProof/>
        </w:rPr>
      </w:pPr>
      <w:bookmarkStart w:id="1" w:name="_Toc285188014"/>
      <w:r>
        <w:rPr>
          <w:noProof/>
        </w:rPr>
        <w:lastRenderedPageBreak/>
        <w:t>ANEXOS</w:t>
      </w:r>
    </w:p>
    <w:p w:rsidR="00534317" w:rsidRDefault="003D3F69">
      <w:pPr>
        <w:pStyle w:val="Accompagnant"/>
        <w:rPr>
          <w:noProof/>
        </w:rPr>
      </w:pPr>
      <w:r>
        <w:rPr>
          <w:noProof/>
        </w:rPr>
        <w:t>da</w:t>
      </w:r>
    </w:p>
    <w:p w:rsidR="00534317" w:rsidRDefault="003D3F69">
      <w:pPr>
        <w:pStyle w:val="Typeacteprincipal"/>
        <w:rPr>
          <w:noProof/>
        </w:rPr>
      </w:pPr>
      <w:r>
        <w:rPr>
          <w:noProof/>
        </w:rPr>
        <w:t xml:space="preserve">Proposta de DIRETIVA DO CONSELHO </w:t>
      </w:r>
    </w:p>
    <w:p w:rsidR="00534317" w:rsidRDefault="003D3F69">
      <w:pPr>
        <w:pStyle w:val="Objetacteprincipal"/>
        <w:rPr>
          <w:noProof/>
        </w:rPr>
      </w:pPr>
      <w:r>
        <w:rPr>
          <w:noProof/>
        </w:rPr>
        <w:t xml:space="preserve">relativa aos mecanismos de resolução de litígios em </w:t>
      </w:r>
      <w:r>
        <w:rPr>
          <w:noProof/>
        </w:rPr>
        <w:t>matéria de dupla tributação na União Europeia</w:t>
      </w:r>
    </w:p>
    <w:p w:rsidR="00534317" w:rsidRDefault="003D3F69">
      <w:pPr>
        <w:pStyle w:val="ManualHeading1"/>
        <w:spacing w:after="240"/>
        <w:rPr>
          <w:noProof/>
          <w:lang w:val="fr-FR"/>
        </w:rPr>
      </w:pPr>
      <w:r>
        <w:rPr>
          <w:noProof/>
          <w:lang w:val="fr-FR"/>
        </w:rPr>
        <w:t>ANEXO I</w:t>
      </w:r>
      <w:bookmarkEnd w:id="1"/>
    </w:p>
    <w:p w:rsidR="00534317" w:rsidRDefault="003D3F69">
      <w:pPr>
        <w:spacing w:after="0"/>
        <w:rPr>
          <w:b/>
          <w:noProof/>
          <w:lang w:val="fr-FR"/>
        </w:rPr>
      </w:pPr>
      <w:r>
        <w:rPr>
          <w:b/>
          <w:noProof/>
          <w:snapToGrid w:val="0"/>
          <w:lang w:val="fr-FR"/>
        </w:rPr>
        <w:t>Belgien/Belgique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impôt des personnes physiques/personenbelasting,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impôt des personnes morales/rechtspersonenbelasting,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impôt des non-résidents/belasting der niet-verblijfhouders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impôt des sociétés/venno</w:t>
      </w:r>
      <w:r>
        <w:rPr>
          <w:noProof/>
          <w:lang w:val="fr-FR"/>
        </w:rPr>
        <w:t>otschapsbelasting</w:t>
      </w:r>
    </w:p>
    <w:p w:rsidR="00534317" w:rsidRDefault="003D3F69">
      <w:pPr>
        <w:spacing w:after="0"/>
        <w:rPr>
          <w:b/>
          <w:noProof/>
          <w:lang w:val="fr-FR"/>
        </w:rPr>
      </w:pPr>
      <w:r>
        <w:rPr>
          <w:b/>
          <w:noProof/>
        </w:rPr>
        <w:t>България</w:t>
      </w:r>
    </w:p>
    <w:p w:rsidR="00534317" w:rsidRDefault="003D3F69">
      <w:pPr>
        <w:rPr>
          <w:noProof/>
          <w:lang w:val="fr-FR"/>
        </w:rPr>
      </w:pPr>
      <w:r>
        <w:rPr>
          <w:noProof/>
        </w:rPr>
        <w:t>данък</w:t>
      </w:r>
      <w:r>
        <w:rPr>
          <w:noProof/>
          <w:lang w:val="fr-FR"/>
        </w:rPr>
        <w:t xml:space="preserve"> </w:t>
      </w:r>
      <w:r>
        <w:rPr>
          <w:noProof/>
        </w:rPr>
        <w:t>върху</w:t>
      </w:r>
      <w:r>
        <w:rPr>
          <w:noProof/>
          <w:lang w:val="fr-FR"/>
        </w:rPr>
        <w:t xml:space="preserve"> </w:t>
      </w:r>
      <w:r>
        <w:rPr>
          <w:noProof/>
        </w:rPr>
        <w:t>доходите</w:t>
      </w:r>
      <w:r>
        <w:rPr>
          <w:noProof/>
          <w:lang w:val="fr-FR"/>
        </w:rPr>
        <w:t xml:space="preserve"> </w:t>
      </w:r>
      <w:r>
        <w:rPr>
          <w:noProof/>
        </w:rPr>
        <w:t>на</w:t>
      </w:r>
      <w:r>
        <w:rPr>
          <w:noProof/>
          <w:lang w:val="fr-FR"/>
        </w:rPr>
        <w:t xml:space="preserve"> </w:t>
      </w:r>
      <w:r>
        <w:rPr>
          <w:noProof/>
        </w:rPr>
        <w:t>физическите</w:t>
      </w:r>
      <w:r>
        <w:rPr>
          <w:noProof/>
          <w:lang w:val="fr-FR"/>
        </w:rPr>
        <w:t xml:space="preserve"> </w:t>
      </w:r>
      <w:r>
        <w:rPr>
          <w:noProof/>
        </w:rPr>
        <w:t>лица</w:t>
      </w:r>
    </w:p>
    <w:p w:rsidR="00534317" w:rsidRDefault="003D3F69">
      <w:pPr>
        <w:rPr>
          <w:noProof/>
          <w:lang w:val="fr-FR"/>
        </w:rPr>
      </w:pPr>
      <w:r>
        <w:rPr>
          <w:noProof/>
        </w:rPr>
        <w:t>корпоративен</w:t>
      </w:r>
      <w:r>
        <w:rPr>
          <w:noProof/>
          <w:lang w:val="fr-FR"/>
        </w:rPr>
        <w:t xml:space="preserve"> </w:t>
      </w:r>
      <w:r>
        <w:rPr>
          <w:noProof/>
        </w:rPr>
        <w:t>данък</w:t>
      </w:r>
    </w:p>
    <w:p w:rsidR="00534317" w:rsidRDefault="003D3F69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Česká republika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Daň z příjmů fyzických osob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Daň z příjmů právnických osob</w:t>
      </w:r>
    </w:p>
    <w:p w:rsidR="00534317" w:rsidRDefault="003D3F69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Danmark</w:t>
      </w:r>
    </w:p>
    <w:p w:rsidR="00534317" w:rsidRDefault="003D3F69">
      <w:pPr>
        <w:spacing w:after="0"/>
        <w:rPr>
          <w:noProof/>
          <w:lang w:val="da-DK"/>
        </w:rPr>
      </w:pPr>
      <w:r>
        <w:rPr>
          <w:noProof/>
          <w:lang w:val="da-DK"/>
        </w:rPr>
        <w:t>selskabsskat</w:t>
      </w:r>
    </w:p>
    <w:p w:rsidR="00534317" w:rsidRDefault="003D3F69">
      <w:pPr>
        <w:spacing w:after="0"/>
        <w:rPr>
          <w:noProof/>
          <w:lang w:val="da-DK"/>
        </w:rPr>
      </w:pPr>
      <w:r>
        <w:rPr>
          <w:noProof/>
          <w:lang w:val="da-DK"/>
        </w:rPr>
        <w:t>indkomstskat til staten</w:t>
      </w:r>
    </w:p>
    <w:p w:rsidR="00534317" w:rsidRDefault="003D3F69">
      <w:pPr>
        <w:spacing w:after="0"/>
        <w:rPr>
          <w:noProof/>
          <w:lang w:val="da-DK"/>
        </w:rPr>
      </w:pPr>
      <w:r>
        <w:rPr>
          <w:noProof/>
          <w:lang w:val="da-DK"/>
        </w:rPr>
        <w:t>kommunale indkomstskat</w:t>
      </w:r>
    </w:p>
    <w:p w:rsidR="00534317" w:rsidRDefault="003D3F69">
      <w:pPr>
        <w:spacing w:after="0"/>
        <w:rPr>
          <w:noProof/>
          <w:lang w:val="da-DK"/>
        </w:rPr>
      </w:pPr>
      <w:r>
        <w:rPr>
          <w:noProof/>
          <w:lang w:val="da-DK"/>
        </w:rPr>
        <w:t>amtskommunal indkomstskat</w:t>
      </w:r>
    </w:p>
    <w:p w:rsidR="00534317" w:rsidRDefault="003D3F69">
      <w:pPr>
        <w:rPr>
          <w:noProof/>
          <w:lang w:val="da-DK"/>
        </w:rPr>
      </w:pPr>
      <w:r>
        <w:rPr>
          <w:noProof/>
          <w:lang w:val="da-DK"/>
        </w:rPr>
        <w:t>saerlig indkomstskat</w:t>
      </w:r>
    </w:p>
    <w:p w:rsidR="00534317" w:rsidRDefault="003D3F69">
      <w:pPr>
        <w:rPr>
          <w:noProof/>
          <w:lang w:val="da-DK"/>
        </w:rPr>
      </w:pPr>
      <w:r>
        <w:rPr>
          <w:noProof/>
          <w:lang w:val="da-DK"/>
        </w:rPr>
        <w:t>selskabsskat</w:t>
      </w:r>
    </w:p>
    <w:p w:rsidR="00534317" w:rsidRDefault="003D3F69">
      <w:pPr>
        <w:spacing w:after="0"/>
        <w:rPr>
          <w:b/>
          <w:noProof/>
          <w:lang w:val="da-DK"/>
        </w:rPr>
      </w:pPr>
      <w:r>
        <w:rPr>
          <w:b/>
          <w:noProof/>
          <w:lang w:val="da-DK"/>
        </w:rPr>
        <w:t>Deutschland</w:t>
      </w:r>
    </w:p>
    <w:p w:rsidR="00534317" w:rsidRDefault="003D3F69">
      <w:pPr>
        <w:rPr>
          <w:noProof/>
          <w:lang w:val="de-DE"/>
        </w:rPr>
      </w:pPr>
      <w:r>
        <w:rPr>
          <w:noProof/>
          <w:lang w:val="de-DE"/>
        </w:rPr>
        <w:t>Einkommensteuer</w:t>
      </w:r>
    </w:p>
    <w:p w:rsidR="00534317" w:rsidRDefault="003D3F69">
      <w:pPr>
        <w:rPr>
          <w:noProof/>
          <w:lang w:val="de-DE"/>
        </w:rPr>
      </w:pPr>
      <w:r>
        <w:rPr>
          <w:noProof/>
          <w:lang w:val="de-DE"/>
        </w:rPr>
        <w:t>Körperschaftsteuer</w:t>
      </w:r>
    </w:p>
    <w:p w:rsidR="00534317" w:rsidRDefault="003D3F69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Eesti</w:t>
      </w:r>
    </w:p>
    <w:p w:rsidR="00534317" w:rsidRDefault="003D3F69">
      <w:pPr>
        <w:rPr>
          <w:noProof/>
          <w:lang w:val="de-DE"/>
        </w:rPr>
      </w:pPr>
      <w:r>
        <w:rPr>
          <w:noProof/>
          <w:lang w:val="de-DE"/>
        </w:rPr>
        <w:t>Tulumaks</w:t>
      </w:r>
    </w:p>
    <w:p w:rsidR="00534317" w:rsidRDefault="003D3F69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Éire/Ireland</w:t>
      </w:r>
    </w:p>
    <w:p w:rsidR="00534317" w:rsidRDefault="003D3F69">
      <w:pPr>
        <w:rPr>
          <w:noProof/>
          <w:lang w:val="el-GR"/>
        </w:rPr>
      </w:pPr>
      <w:r>
        <w:rPr>
          <w:noProof/>
          <w:lang w:val="de-DE"/>
        </w:rPr>
        <w:t>Income</w:t>
      </w:r>
      <w:r>
        <w:rPr>
          <w:noProof/>
          <w:lang w:val="el-GR"/>
        </w:rPr>
        <w:t xml:space="preserve"> </w:t>
      </w:r>
      <w:r>
        <w:rPr>
          <w:noProof/>
          <w:lang w:val="de-DE"/>
        </w:rPr>
        <w:t>Tax</w:t>
      </w:r>
    </w:p>
    <w:p w:rsidR="00534317" w:rsidRDefault="003D3F69">
      <w:pPr>
        <w:rPr>
          <w:noProof/>
          <w:lang w:val="el-GR"/>
        </w:rPr>
      </w:pPr>
      <w:r>
        <w:rPr>
          <w:noProof/>
          <w:lang w:val="de-DE"/>
        </w:rPr>
        <w:t>Corporation</w:t>
      </w:r>
      <w:r>
        <w:rPr>
          <w:noProof/>
          <w:lang w:val="el-GR"/>
        </w:rPr>
        <w:t xml:space="preserve"> </w:t>
      </w:r>
      <w:r>
        <w:rPr>
          <w:noProof/>
          <w:lang w:val="de-DE"/>
        </w:rPr>
        <w:t>Tax</w:t>
      </w:r>
    </w:p>
    <w:p w:rsidR="00534317" w:rsidRDefault="003D3F69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Ελλάδα</w:t>
      </w:r>
    </w:p>
    <w:p w:rsidR="00534317" w:rsidRDefault="003D3F69">
      <w:pPr>
        <w:rPr>
          <w:noProof/>
          <w:lang w:val="el-GR"/>
        </w:rPr>
      </w:pPr>
      <w:r>
        <w:rPr>
          <w:noProof/>
          <w:lang w:val="el-GR"/>
        </w:rPr>
        <w:lastRenderedPageBreak/>
        <w:t>Φόρος εισοδήματος φυσικών προσώπων</w:t>
      </w:r>
    </w:p>
    <w:p w:rsidR="00534317" w:rsidRDefault="003D3F69">
      <w:pPr>
        <w:rPr>
          <w:noProof/>
          <w:lang w:val="el-GR"/>
        </w:rPr>
      </w:pPr>
      <w:r>
        <w:rPr>
          <w:noProof/>
          <w:lang w:val="el-GR"/>
        </w:rPr>
        <w:t>Φόρος εισοδήματος νομικών προσώπων (κερδοσκοπικού χαρακτήρα)</w:t>
      </w:r>
    </w:p>
    <w:p w:rsidR="00534317" w:rsidRDefault="003D3F69">
      <w:pPr>
        <w:spacing w:after="0"/>
        <w:rPr>
          <w:b/>
          <w:noProof/>
          <w:lang w:val="es-ES"/>
        </w:rPr>
      </w:pPr>
      <w:r>
        <w:rPr>
          <w:b/>
          <w:noProof/>
          <w:lang w:val="es-ES"/>
        </w:rPr>
        <w:t>España</w:t>
      </w:r>
    </w:p>
    <w:p w:rsidR="00534317" w:rsidRDefault="003D3F69">
      <w:pPr>
        <w:rPr>
          <w:noProof/>
          <w:lang w:val="es-ES"/>
        </w:rPr>
      </w:pPr>
      <w:r>
        <w:rPr>
          <w:noProof/>
          <w:lang w:val="es-ES"/>
        </w:rPr>
        <w:t>Impuesto s</w:t>
      </w:r>
      <w:r>
        <w:rPr>
          <w:noProof/>
          <w:lang w:val="es-ES"/>
        </w:rPr>
        <w:t>obre la renta de las personas fisicas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Impuesto sobre sociedades</w:t>
      </w:r>
    </w:p>
    <w:p w:rsidR="00534317" w:rsidRDefault="003D3F69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France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Impôt sur le revenu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Impôt sur les sociétés</w:t>
      </w:r>
    </w:p>
    <w:p w:rsidR="00534317" w:rsidRDefault="003D3F69">
      <w:pPr>
        <w:rPr>
          <w:b/>
          <w:noProof/>
          <w:lang w:val="fr-FR"/>
        </w:rPr>
      </w:pPr>
      <w:r>
        <w:rPr>
          <w:rFonts w:ascii="Arial" w:hAnsi="Arial"/>
          <w:b/>
          <w:noProof/>
          <w:color w:val="252525"/>
          <w:sz w:val="21"/>
          <w:shd w:val="clear" w:color="auto" w:fill="FFFFFF"/>
          <w:lang w:val="fr-FR"/>
        </w:rPr>
        <w:t>Republika Hrvatska</w:t>
      </w:r>
    </w:p>
    <w:p w:rsidR="00534317" w:rsidRDefault="003D3F69">
      <w:pPr>
        <w:rPr>
          <w:noProof/>
          <w:lang w:val="pl-PL"/>
        </w:rPr>
      </w:pPr>
      <w:r>
        <w:rPr>
          <w:noProof/>
          <w:lang w:val="pl-PL"/>
        </w:rPr>
        <w:t>Porez na dohodak</w:t>
      </w:r>
    </w:p>
    <w:p w:rsidR="00534317" w:rsidRDefault="003D3F69">
      <w:pPr>
        <w:rPr>
          <w:noProof/>
          <w:lang w:val="pl-PL"/>
        </w:rPr>
      </w:pPr>
      <w:r>
        <w:rPr>
          <w:noProof/>
          <w:lang w:val="pl-PL"/>
        </w:rPr>
        <w:t>Porez na dobit</w:t>
      </w:r>
    </w:p>
    <w:p w:rsidR="00534317" w:rsidRDefault="003D3F69">
      <w:pPr>
        <w:spacing w:after="0"/>
        <w:rPr>
          <w:b/>
          <w:noProof/>
          <w:lang w:val="it-IT"/>
        </w:rPr>
      </w:pPr>
      <w:r>
        <w:rPr>
          <w:b/>
          <w:noProof/>
          <w:lang w:val="it-IT"/>
        </w:rPr>
        <w:t>Italia</w:t>
      </w:r>
    </w:p>
    <w:p w:rsidR="00534317" w:rsidRDefault="003D3F69">
      <w:pPr>
        <w:rPr>
          <w:noProof/>
          <w:lang w:val="it-IT"/>
        </w:rPr>
      </w:pPr>
      <w:r>
        <w:rPr>
          <w:noProof/>
          <w:lang w:val="it-IT"/>
        </w:rPr>
        <w:t>Imposta sul reddito delle persone fisiche</w:t>
      </w:r>
    </w:p>
    <w:p w:rsidR="00534317" w:rsidRDefault="003D3F69">
      <w:pPr>
        <w:rPr>
          <w:noProof/>
          <w:lang w:val="it-IT"/>
        </w:rPr>
      </w:pPr>
      <w:r>
        <w:rPr>
          <w:noProof/>
          <w:lang w:val="it-IT"/>
        </w:rPr>
        <w:t>Imposta sul reddito delle società</w:t>
      </w:r>
    </w:p>
    <w:p w:rsidR="00534317" w:rsidRDefault="003D3F69">
      <w:pPr>
        <w:spacing w:after="0"/>
        <w:rPr>
          <w:b/>
          <w:noProof/>
          <w:lang w:val="it-IT"/>
        </w:rPr>
      </w:pPr>
      <w:r>
        <w:rPr>
          <w:b/>
          <w:noProof/>
        </w:rPr>
        <w:t>Κύπρος</w:t>
      </w:r>
    </w:p>
    <w:p w:rsidR="00534317" w:rsidRDefault="003D3F69">
      <w:pPr>
        <w:rPr>
          <w:noProof/>
          <w:lang w:val="el-GR"/>
        </w:rPr>
      </w:pPr>
      <w:r>
        <w:rPr>
          <w:noProof/>
          <w:lang w:val="el-GR"/>
        </w:rPr>
        <w:t>Έκτακτη Εισφορά για την Άμυνα της Δημοκρατίας</w:t>
      </w:r>
    </w:p>
    <w:p w:rsidR="00534317" w:rsidRDefault="003D3F69">
      <w:pPr>
        <w:rPr>
          <w:noProof/>
          <w:lang w:val="el-GR"/>
        </w:rPr>
      </w:pPr>
      <w:r>
        <w:rPr>
          <w:noProof/>
          <w:lang w:val="el-GR"/>
        </w:rPr>
        <w:t>Φόρος Εισοδήματος</w:t>
      </w:r>
    </w:p>
    <w:p w:rsidR="00534317" w:rsidRDefault="003D3F69">
      <w:pPr>
        <w:spacing w:after="0"/>
        <w:rPr>
          <w:b/>
          <w:noProof/>
          <w:lang w:val="el-GR"/>
        </w:rPr>
      </w:pPr>
      <w:r>
        <w:rPr>
          <w:b/>
          <w:noProof/>
        </w:rPr>
        <w:t>Latvija</w:t>
      </w:r>
    </w:p>
    <w:p w:rsidR="00534317" w:rsidRDefault="003D3F69">
      <w:pPr>
        <w:rPr>
          <w:noProof/>
          <w:lang w:val="el-GR"/>
        </w:rPr>
      </w:pPr>
      <w:r>
        <w:rPr>
          <w:noProof/>
        </w:rPr>
        <w:t>iedz</w:t>
      </w:r>
      <w:r>
        <w:rPr>
          <w:noProof/>
          <w:lang w:val="el-GR"/>
        </w:rPr>
        <w:t>ī</w:t>
      </w:r>
      <w:r>
        <w:rPr>
          <w:noProof/>
        </w:rPr>
        <w:t>vot</w:t>
      </w:r>
      <w:r>
        <w:rPr>
          <w:noProof/>
          <w:lang w:val="el-GR"/>
        </w:rPr>
        <w:t>ā</w:t>
      </w:r>
      <w:r>
        <w:rPr>
          <w:noProof/>
        </w:rPr>
        <w:t>ju</w:t>
      </w:r>
      <w:r>
        <w:rPr>
          <w:noProof/>
          <w:lang w:val="el-GR"/>
        </w:rPr>
        <w:t xml:space="preserve"> </w:t>
      </w:r>
      <w:r>
        <w:rPr>
          <w:noProof/>
        </w:rPr>
        <w:t>ien</w:t>
      </w:r>
      <w:r>
        <w:rPr>
          <w:noProof/>
          <w:lang w:val="el-GR"/>
        </w:rPr>
        <w:t>ā</w:t>
      </w:r>
      <w:r>
        <w:rPr>
          <w:noProof/>
        </w:rPr>
        <w:t>kuma</w:t>
      </w:r>
      <w:r>
        <w:rPr>
          <w:noProof/>
          <w:lang w:val="el-GR"/>
        </w:rPr>
        <w:t xml:space="preserve"> </w:t>
      </w:r>
      <w:r>
        <w:rPr>
          <w:noProof/>
        </w:rPr>
        <w:t>nodoklis</w:t>
      </w:r>
    </w:p>
    <w:p w:rsidR="00534317" w:rsidRDefault="003D3F69">
      <w:pPr>
        <w:rPr>
          <w:noProof/>
          <w:lang w:val="el-GR"/>
        </w:rPr>
      </w:pPr>
      <w:r>
        <w:rPr>
          <w:noProof/>
        </w:rPr>
        <w:t>uz</w:t>
      </w:r>
      <w:r>
        <w:rPr>
          <w:noProof/>
          <w:lang w:val="el-GR"/>
        </w:rPr>
        <w:t>ņē</w:t>
      </w:r>
      <w:r>
        <w:rPr>
          <w:noProof/>
        </w:rPr>
        <w:t>mumu</w:t>
      </w:r>
      <w:r>
        <w:rPr>
          <w:noProof/>
          <w:lang w:val="el-GR"/>
        </w:rPr>
        <w:t xml:space="preserve"> </w:t>
      </w:r>
      <w:r>
        <w:rPr>
          <w:noProof/>
        </w:rPr>
        <w:t>ien</w:t>
      </w:r>
      <w:r>
        <w:rPr>
          <w:noProof/>
          <w:lang w:val="el-GR"/>
        </w:rPr>
        <w:t>ā</w:t>
      </w:r>
      <w:r>
        <w:rPr>
          <w:noProof/>
        </w:rPr>
        <w:t>kuma</w:t>
      </w:r>
      <w:r>
        <w:rPr>
          <w:noProof/>
          <w:lang w:val="el-GR"/>
        </w:rPr>
        <w:t xml:space="preserve"> </w:t>
      </w:r>
      <w:r>
        <w:rPr>
          <w:noProof/>
        </w:rPr>
        <w:t>nodoklis</w:t>
      </w:r>
    </w:p>
    <w:p w:rsidR="00534317" w:rsidRDefault="003D3F69">
      <w:pPr>
        <w:spacing w:after="0"/>
        <w:rPr>
          <w:b/>
          <w:noProof/>
          <w:lang w:val="el-GR"/>
        </w:rPr>
      </w:pPr>
      <w:r>
        <w:rPr>
          <w:b/>
          <w:noProof/>
        </w:rPr>
        <w:t>Lietuva</w:t>
      </w:r>
    </w:p>
    <w:p w:rsidR="00534317" w:rsidRDefault="003D3F69">
      <w:pPr>
        <w:rPr>
          <w:noProof/>
          <w:lang w:val="el-GR"/>
        </w:rPr>
      </w:pPr>
      <w:r>
        <w:rPr>
          <w:noProof/>
        </w:rPr>
        <w:t>Gyventoj</w:t>
      </w:r>
      <w:r>
        <w:rPr>
          <w:noProof/>
          <w:lang w:val="el-GR"/>
        </w:rPr>
        <w:t xml:space="preserve">ų </w:t>
      </w:r>
      <w:r>
        <w:rPr>
          <w:noProof/>
        </w:rPr>
        <w:t>pajam</w:t>
      </w:r>
      <w:r>
        <w:rPr>
          <w:noProof/>
          <w:lang w:val="el-GR"/>
        </w:rPr>
        <w:t xml:space="preserve">ų </w:t>
      </w:r>
      <w:r>
        <w:rPr>
          <w:noProof/>
        </w:rPr>
        <w:t>mokestis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Pelno mokestis</w:t>
      </w:r>
    </w:p>
    <w:p w:rsidR="00534317" w:rsidRDefault="003D3F69">
      <w:pPr>
        <w:spacing w:before="240" w:after="0"/>
        <w:rPr>
          <w:b/>
          <w:noProof/>
          <w:lang w:val="fr-FR"/>
        </w:rPr>
      </w:pPr>
      <w:r>
        <w:rPr>
          <w:b/>
          <w:noProof/>
          <w:lang w:val="fr-FR"/>
        </w:rPr>
        <w:t>Luxembourg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impôt sur le revenu des personnes physiques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impôt sur le revenu des</w:t>
      </w:r>
      <w:r>
        <w:rPr>
          <w:noProof/>
          <w:lang w:val="fr-FR"/>
        </w:rPr>
        <w:t xml:space="preserve"> collectivités</w:t>
      </w:r>
    </w:p>
    <w:p w:rsidR="00534317" w:rsidRDefault="003D3F69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Magyarország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személyi jövedelemadó</w:t>
      </w:r>
    </w:p>
    <w:p w:rsidR="00534317" w:rsidRDefault="003D3F69">
      <w:pPr>
        <w:rPr>
          <w:noProof/>
          <w:lang w:val="fr-FR"/>
        </w:rPr>
      </w:pPr>
      <w:r>
        <w:rPr>
          <w:noProof/>
          <w:lang w:val="fr-FR"/>
        </w:rPr>
        <w:t>Társasági adó</w:t>
      </w:r>
    </w:p>
    <w:p w:rsidR="00534317" w:rsidRDefault="003D3F69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Malta</w:t>
      </w:r>
    </w:p>
    <w:p w:rsidR="00534317" w:rsidRDefault="003D3F69">
      <w:pPr>
        <w:rPr>
          <w:noProof/>
          <w:lang w:val="nl-NL"/>
        </w:rPr>
      </w:pPr>
      <w:r>
        <w:rPr>
          <w:noProof/>
          <w:lang w:val="nl-NL"/>
        </w:rPr>
        <w:t>Taxxa fuq l-income</w:t>
      </w:r>
    </w:p>
    <w:p w:rsidR="00534317" w:rsidRDefault="003D3F69">
      <w:pPr>
        <w:spacing w:after="0"/>
        <w:rPr>
          <w:b/>
          <w:noProof/>
          <w:lang w:val="nl-NL"/>
        </w:rPr>
      </w:pPr>
      <w:r>
        <w:rPr>
          <w:b/>
          <w:noProof/>
          <w:lang w:val="nl-NL"/>
        </w:rPr>
        <w:t>Nederland</w:t>
      </w:r>
    </w:p>
    <w:p w:rsidR="00534317" w:rsidRDefault="003D3F69">
      <w:pPr>
        <w:rPr>
          <w:noProof/>
          <w:lang w:val="nl-NL"/>
        </w:rPr>
      </w:pPr>
      <w:r>
        <w:rPr>
          <w:noProof/>
          <w:lang w:val="nl-NL"/>
        </w:rPr>
        <w:t>inkomstenbelasting</w:t>
      </w:r>
    </w:p>
    <w:p w:rsidR="00534317" w:rsidRDefault="003D3F69">
      <w:pPr>
        <w:rPr>
          <w:noProof/>
          <w:lang w:val="nl-NL"/>
        </w:rPr>
      </w:pPr>
      <w:r>
        <w:rPr>
          <w:noProof/>
          <w:lang w:val="nl-NL"/>
        </w:rPr>
        <w:t>vennootschapsbelasting</w:t>
      </w:r>
    </w:p>
    <w:p w:rsidR="00534317" w:rsidRDefault="003D3F69">
      <w:pPr>
        <w:spacing w:after="0"/>
        <w:rPr>
          <w:noProof/>
          <w:lang w:val="nl-NL"/>
        </w:rPr>
      </w:pPr>
      <w:r>
        <w:rPr>
          <w:b/>
          <w:noProof/>
          <w:lang w:val="nl-NL"/>
        </w:rPr>
        <w:t>Österreich</w:t>
      </w:r>
    </w:p>
    <w:p w:rsidR="00534317" w:rsidRDefault="003D3F69">
      <w:pPr>
        <w:rPr>
          <w:noProof/>
          <w:lang w:val="nl-NL"/>
        </w:rPr>
      </w:pPr>
      <w:r>
        <w:rPr>
          <w:noProof/>
          <w:lang w:val="nl-NL"/>
        </w:rPr>
        <w:lastRenderedPageBreak/>
        <w:t>Einkommensteuer</w:t>
      </w:r>
    </w:p>
    <w:p w:rsidR="00534317" w:rsidRDefault="003D3F69">
      <w:pPr>
        <w:rPr>
          <w:noProof/>
          <w:lang w:val="nl-NL"/>
        </w:rPr>
      </w:pPr>
      <w:r>
        <w:rPr>
          <w:noProof/>
          <w:lang w:val="nl-NL"/>
        </w:rPr>
        <w:t>Körperschaftsteuer</w:t>
      </w:r>
    </w:p>
    <w:p w:rsidR="00534317" w:rsidRDefault="003D3F69">
      <w:pPr>
        <w:spacing w:after="0"/>
        <w:rPr>
          <w:b/>
          <w:noProof/>
          <w:lang w:val="nl-NL"/>
        </w:rPr>
      </w:pPr>
      <w:r>
        <w:rPr>
          <w:b/>
          <w:noProof/>
          <w:lang w:val="nl-NL"/>
        </w:rPr>
        <w:t>Polska</w:t>
      </w:r>
    </w:p>
    <w:p w:rsidR="00534317" w:rsidRDefault="003D3F69">
      <w:pPr>
        <w:rPr>
          <w:noProof/>
          <w:lang w:val="nl-NL"/>
        </w:rPr>
      </w:pPr>
      <w:r>
        <w:rPr>
          <w:noProof/>
          <w:lang w:val="nl-NL"/>
        </w:rPr>
        <w:t>Podatek dochodowy od osób fizycznych</w:t>
      </w:r>
    </w:p>
    <w:p w:rsidR="00534317" w:rsidRDefault="003D3F69">
      <w:pPr>
        <w:rPr>
          <w:noProof/>
          <w:lang w:val="pl-PL"/>
        </w:rPr>
      </w:pPr>
      <w:r>
        <w:rPr>
          <w:noProof/>
          <w:lang w:val="pl-PL"/>
        </w:rPr>
        <w:t>Podatek dochodowy od osób</w:t>
      </w:r>
      <w:r>
        <w:rPr>
          <w:noProof/>
          <w:lang w:val="pl-PL"/>
        </w:rPr>
        <w:t xml:space="preserve"> prawnych</w:t>
      </w:r>
    </w:p>
    <w:p w:rsidR="00534317" w:rsidRDefault="003D3F69">
      <w:pPr>
        <w:spacing w:after="0"/>
        <w:rPr>
          <w:b/>
          <w:noProof/>
          <w:lang w:val="pl-PL"/>
        </w:rPr>
      </w:pPr>
      <w:r>
        <w:rPr>
          <w:b/>
          <w:noProof/>
          <w:lang w:val="pl-PL"/>
        </w:rPr>
        <w:t>Portugal</w:t>
      </w:r>
    </w:p>
    <w:p w:rsidR="00534317" w:rsidRDefault="003D3F69">
      <w:pPr>
        <w:rPr>
          <w:noProof/>
        </w:rPr>
      </w:pPr>
      <w:r>
        <w:rPr>
          <w:noProof/>
        </w:rPr>
        <w:t>imposto sobre o rendimento das pessoas singulares</w:t>
      </w:r>
    </w:p>
    <w:p w:rsidR="00534317" w:rsidRDefault="003D3F69">
      <w:pPr>
        <w:rPr>
          <w:noProof/>
        </w:rPr>
      </w:pPr>
      <w:r>
        <w:rPr>
          <w:noProof/>
        </w:rPr>
        <w:t>imposto sobre o rendimento das pessoas coletivas</w:t>
      </w:r>
    </w:p>
    <w:p w:rsidR="00534317" w:rsidRDefault="003D3F69">
      <w:pPr>
        <w:spacing w:after="0"/>
        <w:rPr>
          <w:b/>
          <w:noProof/>
        </w:rPr>
      </w:pPr>
      <w:r>
        <w:rPr>
          <w:b/>
          <w:noProof/>
        </w:rPr>
        <w:t>România</w:t>
      </w:r>
    </w:p>
    <w:p w:rsidR="00534317" w:rsidRDefault="003D3F69">
      <w:pPr>
        <w:rPr>
          <w:noProof/>
        </w:rPr>
      </w:pPr>
      <w:r>
        <w:rPr>
          <w:noProof/>
        </w:rPr>
        <w:t>impozitul pe venit</w:t>
      </w:r>
    </w:p>
    <w:p w:rsidR="00534317" w:rsidRDefault="003D3F69">
      <w:pPr>
        <w:rPr>
          <w:noProof/>
        </w:rPr>
      </w:pPr>
      <w:r>
        <w:rPr>
          <w:noProof/>
        </w:rPr>
        <w:t>impozit pe profit</w:t>
      </w:r>
    </w:p>
    <w:p w:rsidR="00534317" w:rsidRDefault="003D3F69">
      <w:pPr>
        <w:spacing w:after="0"/>
        <w:rPr>
          <w:b/>
          <w:noProof/>
        </w:rPr>
      </w:pPr>
      <w:r>
        <w:rPr>
          <w:b/>
          <w:noProof/>
        </w:rPr>
        <w:t>Slovenija</w:t>
      </w:r>
    </w:p>
    <w:p w:rsidR="00534317" w:rsidRDefault="003D3F69">
      <w:pPr>
        <w:rPr>
          <w:noProof/>
        </w:rPr>
      </w:pPr>
      <w:r>
        <w:rPr>
          <w:noProof/>
        </w:rPr>
        <w:t>Dohodnina</w:t>
      </w:r>
    </w:p>
    <w:p w:rsidR="00534317" w:rsidRDefault="003D3F69">
      <w:pPr>
        <w:rPr>
          <w:noProof/>
        </w:rPr>
      </w:pPr>
      <w:r>
        <w:rPr>
          <w:noProof/>
        </w:rPr>
        <w:t>Davek od dobička pravnih oseb</w:t>
      </w:r>
    </w:p>
    <w:p w:rsidR="00534317" w:rsidRDefault="003D3F69">
      <w:pPr>
        <w:spacing w:after="0"/>
        <w:rPr>
          <w:b/>
          <w:noProof/>
        </w:rPr>
      </w:pPr>
      <w:r>
        <w:rPr>
          <w:b/>
          <w:noProof/>
        </w:rPr>
        <w:t>Slovensko</w:t>
      </w:r>
    </w:p>
    <w:p w:rsidR="00534317" w:rsidRDefault="003D3F69">
      <w:pPr>
        <w:rPr>
          <w:noProof/>
        </w:rPr>
      </w:pPr>
      <w:r>
        <w:rPr>
          <w:noProof/>
        </w:rPr>
        <w:t>Daň z príjmov fyzických osôb</w:t>
      </w:r>
    </w:p>
    <w:p w:rsidR="00534317" w:rsidRDefault="003D3F69">
      <w:pPr>
        <w:rPr>
          <w:noProof/>
        </w:rPr>
      </w:pPr>
      <w:r>
        <w:rPr>
          <w:noProof/>
        </w:rPr>
        <w:t xml:space="preserve">Daň </w:t>
      </w:r>
      <w:r>
        <w:rPr>
          <w:noProof/>
        </w:rPr>
        <w:t>z príjmov právnických osôb</w:t>
      </w:r>
    </w:p>
    <w:p w:rsidR="00534317" w:rsidRDefault="003D3F69">
      <w:pPr>
        <w:spacing w:after="0"/>
        <w:rPr>
          <w:b/>
          <w:noProof/>
        </w:rPr>
      </w:pPr>
      <w:r>
        <w:rPr>
          <w:b/>
          <w:noProof/>
        </w:rPr>
        <w:t>Suomi/Finland</w:t>
      </w:r>
    </w:p>
    <w:p w:rsidR="00534317" w:rsidRDefault="003D3F69">
      <w:pPr>
        <w:rPr>
          <w:noProof/>
          <w:lang w:val="sv-SE"/>
        </w:rPr>
      </w:pPr>
      <w:r>
        <w:rPr>
          <w:noProof/>
          <w:lang w:val="sv-SE"/>
        </w:rPr>
        <w:t>valtion tuloverot/de statliga inkomstskatterna</w:t>
      </w:r>
    </w:p>
    <w:p w:rsidR="00534317" w:rsidRDefault="003D3F69">
      <w:pPr>
        <w:rPr>
          <w:noProof/>
          <w:lang w:val="sv-SE"/>
        </w:rPr>
      </w:pPr>
      <w:r>
        <w:rPr>
          <w:noProof/>
          <w:lang w:val="sv-SE"/>
        </w:rPr>
        <w:t>yhteisöjen tulovero/inkomstskatten för samfund</w:t>
      </w:r>
    </w:p>
    <w:p w:rsidR="00534317" w:rsidRDefault="003D3F69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>Sverige</w:t>
      </w:r>
    </w:p>
    <w:p w:rsidR="00534317" w:rsidRDefault="003D3F69">
      <w:pPr>
        <w:rPr>
          <w:noProof/>
          <w:lang w:val="sv-SE"/>
        </w:rPr>
      </w:pPr>
      <w:r>
        <w:rPr>
          <w:noProof/>
          <w:lang w:val="sv-SE"/>
        </w:rPr>
        <w:t>statlig inkomstskatt</w:t>
      </w:r>
    </w:p>
    <w:p w:rsidR="00534317" w:rsidRDefault="003D3F69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>United Kingdom</w:t>
      </w:r>
    </w:p>
    <w:p w:rsidR="00534317" w:rsidRDefault="003D3F69">
      <w:pPr>
        <w:rPr>
          <w:noProof/>
          <w:lang w:val="sv-SE"/>
        </w:rPr>
      </w:pPr>
      <w:r>
        <w:rPr>
          <w:noProof/>
          <w:lang w:val="sv-SE"/>
        </w:rPr>
        <w:t>Income Tax</w:t>
      </w:r>
    </w:p>
    <w:p w:rsidR="00534317" w:rsidRDefault="003D3F69">
      <w:pPr>
        <w:rPr>
          <w:noProof/>
        </w:rPr>
      </w:pPr>
      <w:r>
        <w:rPr>
          <w:noProof/>
        </w:rPr>
        <w:t>Corporation Tax</w:t>
      </w:r>
    </w:p>
    <w:p w:rsidR="00534317" w:rsidRDefault="003D3F69">
      <w:pPr>
        <w:spacing w:before="0" w:after="0"/>
        <w:jc w:val="left"/>
        <w:rPr>
          <w:noProof/>
        </w:rPr>
      </w:pPr>
      <w:r>
        <w:rPr>
          <w:noProof/>
        </w:rPr>
        <w:br w:type="page"/>
      </w:r>
    </w:p>
    <w:p w:rsidR="00534317" w:rsidRDefault="003D3F69">
      <w:pPr>
        <w:pStyle w:val="ManualHeading1"/>
        <w:spacing w:after="240"/>
        <w:rPr>
          <w:noProof/>
        </w:rPr>
      </w:pPr>
      <w:r>
        <w:rPr>
          <w:noProof/>
        </w:rPr>
        <w:lastRenderedPageBreak/>
        <w:t>ANEXO II</w:t>
      </w:r>
    </w:p>
    <w:p w:rsidR="00534317" w:rsidRDefault="003D3F69">
      <w:pPr>
        <w:spacing w:before="150" w:after="150"/>
        <w:ind w:right="975"/>
        <w:jc w:val="center"/>
        <w:rPr>
          <w:b/>
          <w:smallCaps/>
          <w:noProof/>
          <w:szCs w:val="18"/>
        </w:rPr>
      </w:pPr>
      <w:r>
        <w:rPr>
          <w:b/>
          <w:smallCaps/>
          <w:noProof/>
        </w:rPr>
        <w:t xml:space="preserve">Regras de funcionamento da comissão consultiva ou da comissão de resolução alternativa de litígios </w:t>
      </w:r>
    </w:p>
    <w:p w:rsidR="00534317" w:rsidRDefault="00534317">
      <w:pPr>
        <w:spacing w:before="150" w:after="150"/>
        <w:ind w:right="975"/>
        <w:jc w:val="center"/>
        <w:rPr>
          <w:noProof/>
          <w:szCs w:val="18"/>
        </w:rPr>
      </w:pPr>
    </w:p>
    <w:p w:rsidR="00534317" w:rsidRDefault="003D3F69">
      <w:pPr>
        <w:pStyle w:val="Heading1"/>
        <w:numPr>
          <w:ilvl w:val="0"/>
          <w:numId w:val="13"/>
        </w:numPr>
        <w:rPr>
          <w:noProof/>
        </w:rPr>
      </w:pPr>
      <w:r>
        <w:rPr>
          <w:noProof/>
        </w:rPr>
        <w:t xml:space="preserve"> Informações gerais</w: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 xml:space="preserve">Nomes das partes: </w:t>
      </w:r>
    </w:p>
    <w:p w:rsidR="00534317" w:rsidRDefault="00534317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Estado-Membro de residência ou de estabelecimento:</w:t>
      </w:r>
    </w:p>
    <w:p w:rsidR="00534317" w:rsidRDefault="00534317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Endereço completo e dados de uma pessoa de contacto para as par</w:t>
      </w:r>
      <w:r>
        <w:rPr>
          <w:noProof/>
        </w:rPr>
        <w:t>tes (incluindo número de telefone e endereço de correio eletrónico):</w:t>
      </w:r>
    </w:p>
    <w:p w:rsidR="00534317" w:rsidRDefault="00534317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Nomes e dados dos assistentes das partes:</w:t>
      </w:r>
    </w:p>
    <w:p w:rsidR="00534317" w:rsidRDefault="003D3F69">
      <w:pPr>
        <w:pStyle w:val="Heading1"/>
        <w:rPr>
          <w:noProof/>
        </w:rPr>
      </w:pPr>
      <w:r>
        <w:rPr>
          <w:noProof/>
        </w:rPr>
        <w:t>Composição da comissão consultiva ou da comissão de resolução alternativa de litígios</w:t>
      </w:r>
    </w:p>
    <w:p w:rsidR="00534317" w:rsidRDefault="003D3F69">
      <w:pPr>
        <w:pStyle w:val="Heading2"/>
        <w:rPr>
          <w:noProof/>
          <w:szCs w:val="18"/>
        </w:rPr>
      </w:pPr>
      <w:r>
        <w:rPr>
          <w:noProof/>
        </w:rPr>
        <w:t>Forma:</w:t>
      </w:r>
    </w:p>
    <w:p w:rsidR="00534317" w:rsidRDefault="003D3F69"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Comissão consultiva</w:t>
      </w:r>
      <w:r>
        <w:rPr>
          <w:noProof/>
        </w:rPr>
        <w:t xml:space="preserve"> </w:t>
      </w:r>
    </w:p>
    <w:p w:rsidR="00534317" w:rsidRDefault="003D3F69">
      <w:pPr>
        <w:ind w:left="850"/>
        <w:jc w:val="left"/>
        <w:rPr>
          <w:i/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 xml:space="preserve">Comissão de resolução </w:t>
      </w:r>
      <w:r>
        <w:rPr>
          <w:b/>
          <w:noProof/>
        </w:rPr>
        <w:t>alternativa de litígios</w:t>
      </w:r>
      <w:r>
        <w:rPr>
          <w:noProof/>
        </w:rPr>
        <w:t xml:space="preserve">, </w:t>
      </w:r>
      <w:r>
        <w:rPr>
          <w:i/>
          <w:noProof/>
        </w:rPr>
        <w:t>especificar (conciliação, mediação, etc.): _________________</w:t>
      </w:r>
    </w:p>
    <w:p w:rsidR="00534317" w:rsidRDefault="00534317">
      <w:pPr>
        <w:ind w:left="850"/>
        <w:rPr>
          <w:i/>
          <w:noProof/>
        </w:rPr>
      </w:pPr>
    </w:p>
    <w:p w:rsidR="00534317" w:rsidRDefault="003D3F69">
      <w:pPr>
        <w:ind w:left="850"/>
        <w:rPr>
          <w:b/>
          <w:noProof/>
        </w:rPr>
      </w:pPr>
      <w:r>
        <w:rPr>
          <w:b/>
          <w:noProof/>
        </w:rPr>
        <w:t>Número de membros:</w:t>
      </w:r>
    </w:p>
    <w:p w:rsidR="00534317" w:rsidRDefault="003D3F6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Presidente</w:t>
      </w:r>
    </w:p>
    <w:p w:rsidR="00534317" w:rsidRDefault="003D3F6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___ personalidades independentes</w:t>
      </w:r>
      <w:r>
        <w:rPr>
          <w:i/>
          <w:noProof/>
        </w:rPr>
        <w:t xml:space="preserve"> (deve ser indicado um número par)</w:t>
      </w:r>
    </w:p>
    <w:p w:rsidR="00534317" w:rsidRDefault="003D3F69">
      <w:pPr>
        <w:pStyle w:val="ListDash2"/>
        <w:numPr>
          <w:ilvl w:val="0"/>
          <w:numId w:val="6"/>
        </w:numPr>
        <w:spacing w:after="36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____ representantes das autoridades competentes </w:t>
      </w:r>
      <w:r>
        <w:rPr>
          <w:i/>
          <w:noProof/>
        </w:rPr>
        <w:t>(máximo de 4, ou s</w:t>
      </w:r>
      <w:r>
        <w:rPr>
          <w:i/>
          <w:noProof/>
        </w:rPr>
        <w:t>eja, 2 representantes de cada autoridade competente, que podem ser reduzidos para 2)</w:t>
      </w:r>
    </w:p>
    <w:p w:rsidR="00534317" w:rsidRDefault="003D3F69">
      <w:pPr>
        <w:pStyle w:val="Heading2"/>
        <w:rPr>
          <w:noProof/>
        </w:rPr>
      </w:pPr>
      <w:r>
        <w:rPr>
          <w:rStyle w:val="Heading2Char"/>
          <w:b/>
          <w:noProof/>
          <w:lang w:val="pt-PT"/>
        </w:rPr>
        <w:t>Dados completos e informações de contacto dos membros</w:t>
      </w:r>
      <w:r>
        <w:rPr>
          <w:noProof/>
        </w:rPr>
        <w:t xml:space="preserve"> </w:t>
      </w:r>
      <w:r>
        <w:rPr>
          <w:i/>
          <w:noProof/>
        </w:rPr>
        <w:t>(incluindo o nome de uma pessoa de contacto, endereço postal completo, endereço de correio eletrónico e número de tel</w:t>
      </w:r>
      <w:r>
        <w:rPr>
          <w:i/>
          <w:noProof/>
        </w:rPr>
        <w:t>efone; os CV e as referências das personalidades independentes são anexados às presentes regras.</w:t>
      </w:r>
      <w:r>
        <w:rPr>
          <w:i/>
          <w:noProof/>
          <w:sz w:val="20"/>
        </w:rPr>
        <w:t xml:space="preserve"> </w:t>
      </w:r>
      <w:r>
        <w:rPr>
          <w:i/>
          <w:noProof/>
        </w:rPr>
        <w:t>As referências específicas em matéria de independência e especialização devem ser incluídas nos CV anexados)</w:t>
      </w:r>
      <w:r>
        <w:rPr>
          <w:noProof/>
        </w:rPr>
        <w:t>:</w: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Presidente:</w: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6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7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 xml:space="preserve">Nacionalidade: </w:t>
      </w:r>
      <w:r>
        <w:rPr>
          <w:i/>
          <w:noProof/>
          <w:sz w:val="20"/>
        </w:rPr>
        <w:t>______________________ Local de residência: _______________________</w:t>
      </w:r>
    </w:p>
    <w:p w:rsidR="00534317" w:rsidRDefault="00534317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Personalidade independente (nomeada por _______________):</w: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8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9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>Nacionalidade: ______________________ Local de residência: _______________________</w:t>
      </w:r>
    </w:p>
    <w:p w:rsidR="00534317" w:rsidRDefault="00534317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Personalidade independente (nomeada por _</w:t>
      </w:r>
      <w:r>
        <w:rPr>
          <w:noProof/>
        </w:rPr>
        <w:t>______________):</w: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0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1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>Nacionalidade: ______________________ Local de residência: _______________________</w:t>
      </w:r>
    </w:p>
    <w:p w:rsidR="00534317" w:rsidRDefault="00534317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Autoridades competentes (representante nomeado para___)</w: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2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3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Autoridades competentes (representante nomeado para___)</w: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4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5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 xml:space="preserve">Autoridades competentes </w:t>
      </w:r>
      <w:r>
        <w:rPr>
          <w:noProof/>
        </w:rPr>
        <w:t>(representante nomeado para___)</w: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6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7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Autoridades competentes (representante nomeado para___)</w: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8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9" style="width:0;height:1.5pt" o:hralign="center" o:hrstd="t" o:hr="t" fillcolor="#a0a0a0" stroked="f"/>
        </w:pict>
      </w:r>
    </w:p>
    <w:p w:rsidR="00534317" w:rsidRDefault="003D3F69">
      <w:pPr>
        <w:pStyle w:val="Heading1"/>
        <w:rPr>
          <w:noProof/>
        </w:rPr>
      </w:pPr>
      <w:r>
        <w:rPr>
          <w:noProof/>
        </w:rPr>
        <w:t>Enunciação e caracterização do caso</w:t>
      </w:r>
    </w:p>
    <w:p w:rsidR="00534317" w:rsidRDefault="003D3F6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Descrição do objeto:</w: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0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1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2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3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Período(s) de tributação:</w: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4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5" style="width:0;height:1.5pt" o:hralign="center" o:hrstd="t" o:hr="t" fillcolor="#a0a0a0" stroked="f"/>
        </w:pict>
      </w:r>
    </w:p>
    <w:p w:rsidR="00534317" w:rsidRDefault="00534317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534317" w:rsidRDefault="003D3F6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Categorias do setor/indústria:</w: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6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7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8" style="width:0;height:1.5pt" o:hralign="center" o:hrstd="t" o:hr="t" fillcolor="#a0a0a0" stroked="f"/>
        </w:pict>
      </w:r>
    </w:p>
    <w:p w:rsidR="00534317" w:rsidRDefault="00534317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534317" w:rsidRDefault="003D3F6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 xml:space="preserve">Referências jurídicas </w:t>
      </w:r>
      <w:r>
        <w:rPr>
          <w:b/>
          <w:noProof/>
        </w:rPr>
        <w:t>(legislação e tratado em causa — práticas internacionais):</w:t>
      </w:r>
    </w:p>
    <w:p w:rsidR="00534317" w:rsidRDefault="00534317">
      <w:pPr>
        <w:pStyle w:val="ListParagraph"/>
        <w:spacing w:before="150" w:after="150"/>
        <w:ind w:left="0" w:right="975"/>
        <w:rPr>
          <w:b/>
          <w:noProof/>
          <w:szCs w:val="18"/>
        </w:rPr>
      </w:pP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Disposições do direito nacional</w:t>
      </w:r>
      <w:r>
        <w:rPr>
          <w:noProof/>
        </w:rPr>
        <w:t xml:space="preserve"> </w:t>
      </w:r>
      <w:r>
        <w:rPr>
          <w:i/>
          <w:noProof/>
        </w:rPr>
        <w:t>(deve ser fornecida a referência pormenorizada dos artigos correspondentes – pode ser anexada a totalidade das disposições)</w:t>
      </w:r>
      <w:r>
        <w:rPr>
          <w:noProof/>
        </w:rPr>
        <w:t xml:space="preserve"> </w:t>
      </w:r>
      <w:r>
        <w:rPr>
          <w:noProof/>
          <w:szCs w:val="18"/>
        </w:rPr>
        <w:pict>
          <v:rect id="_x0000_i1049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0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1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 xml:space="preserve">Convenção para evitar a dupla </w:t>
      </w:r>
      <w:r>
        <w:rPr>
          <w:b/>
          <w:noProof/>
        </w:rPr>
        <w:t>tributação</w:t>
      </w:r>
      <w:r>
        <w:rPr>
          <w:i/>
          <w:noProof/>
        </w:rPr>
        <w:t xml:space="preserve"> (deve ser fornecida a referência pormenorizada dos artigos correspondentes – pode ser anexada a totalidade das disposições)</w:t>
      </w:r>
    </w:p>
    <w:p w:rsidR="00534317" w:rsidRDefault="00534317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Indicar se existe:</w:t>
      </w:r>
    </w:p>
    <w:p w:rsidR="00534317" w:rsidRDefault="003D3F6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lastRenderedPageBreak/>
        <w:sym w:font="Wingdings" w:char="F0A8"/>
      </w:r>
      <w:r>
        <w:rPr>
          <w:noProof/>
        </w:rPr>
        <w:t xml:space="preserve"> Convenção para evitar a dupla tributação assinada entre os dois [ou mais] Estados-Membros (data de assinatura: _________________ )</w:t>
      </w:r>
    </w:p>
    <w:p w:rsidR="00534317" w:rsidRDefault="003D3F69">
      <w:pPr>
        <w:pStyle w:val="Text1"/>
        <w:rPr>
          <w:noProof/>
        </w:rPr>
      </w:pPr>
      <w:r>
        <w:rPr>
          <w:noProof/>
        </w:rPr>
        <w:t>E, caso não esteja em vigor nenhuma convenção para evitar a dupla tributação:</w:t>
      </w:r>
    </w:p>
    <w:p w:rsidR="00534317" w:rsidRDefault="003D3F6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Modelo de convenção fiscal da OCDE (data: _________________ )</w:t>
      </w:r>
    </w:p>
    <w:p w:rsidR="00534317" w:rsidRDefault="003D3F69">
      <w:pPr>
        <w:pStyle w:val="ListDash2"/>
        <w:numPr>
          <w:ilvl w:val="0"/>
          <w:numId w:val="6"/>
        </w:numPr>
        <w:spacing w:before="0" w:after="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Qualquer outra referência acordada pelas autoridades competentes:</w:t>
      </w:r>
    </w:p>
    <w:p w:rsidR="00534317" w:rsidRDefault="003D3F69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2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3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4" style="width:0;height:1.5pt" o:hralign="center" o:hrstd="t" o:hr="t" fillcolor="#a0a0a0" stroked="f"/>
        </w:pict>
      </w:r>
      <w:r>
        <w:rPr>
          <w:noProof/>
          <w:szCs w:val="18"/>
        </w:rPr>
        <w:pict>
          <v:rect id="_x0000_i1055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6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7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Cálculo estimado da dupla tributação em litígio</w:t>
      </w:r>
      <w:r>
        <w:rPr>
          <w:noProof/>
        </w:rPr>
        <w:t xml:space="preserve"> </w:t>
      </w:r>
      <w:r>
        <w:rPr>
          <w:i/>
          <w:noProof/>
        </w:rPr>
        <w:t>(montante total e elementos pormenorizados sobre o imposto para ca</w:t>
      </w:r>
      <w:r>
        <w:rPr>
          <w:i/>
          <w:noProof/>
        </w:rPr>
        <w:t>da exercício fiscal, incluindo capital, juros e sanções, taxas fiscais aplicáveis e matéria coletável correspondente)</w:t>
      </w:r>
      <w:r>
        <w:rPr>
          <w:noProof/>
        </w:rPr>
        <w:t xml:space="preserve"> </w:t>
      </w:r>
      <w:r>
        <w:rPr>
          <w:noProof/>
          <w:szCs w:val="18"/>
        </w:rPr>
        <w:pict>
          <v:rect id="_x0000_i1058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9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0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1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2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3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4" style="width:0;height:1.5pt" o:hralign="center" o:hrstd="t" o:hr="t" fillcolor="#a0a0a0" stroked="f"/>
        </w:pict>
      </w:r>
    </w:p>
    <w:p w:rsidR="00534317" w:rsidRDefault="00534317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534317" w:rsidRDefault="003D3F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i/>
          <w:noProof/>
          <w:sz w:val="22"/>
          <w:szCs w:val="18"/>
        </w:rPr>
      </w:pPr>
      <w:r>
        <w:rPr>
          <w:b/>
          <w:i/>
          <w:noProof/>
          <w:sz w:val="22"/>
        </w:rPr>
        <w:t>Observações do contribuinte sobre as informações acima referidas:</w:t>
      </w:r>
    </w:p>
    <w:p w:rsidR="00534317" w:rsidRDefault="003D3F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i/>
          <w:noProof/>
          <w:sz w:val="18"/>
        </w:rPr>
        <w:t xml:space="preserve">([O contribuinte pode inserir </w:t>
      </w:r>
      <w:r>
        <w:rPr>
          <w:noProof/>
          <w:sz w:val="18"/>
        </w:rPr>
        <w:t>infra</w:t>
      </w:r>
      <w:r>
        <w:rPr>
          <w:i/>
          <w:noProof/>
          <w:sz w:val="18"/>
        </w:rPr>
        <w:t xml:space="preserve"> as suas observações n</w:t>
      </w:r>
      <w:r>
        <w:rPr>
          <w:i/>
          <w:noProof/>
          <w:sz w:val="18"/>
        </w:rPr>
        <w:t>o âmbito do procedimento)</w:t>
      </w:r>
    </w:p>
    <w:p w:rsidR="00534317" w:rsidRDefault="003D3F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Descrição do objeto:</w:t>
      </w:r>
    </w:p>
    <w:p w:rsidR="00534317" w:rsidRDefault="003D3F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5" style="width:0;height:1.5pt" o:hralign="center" o:hrstd="t" o:hr="t" fillcolor="#a0a0a0" stroked="f"/>
        </w:pict>
      </w:r>
    </w:p>
    <w:p w:rsidR="00534317" w:rsidRDefault="003D3F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6" style="width:0;height:1.5pt" o:hralign="center" o:hrstd="t" o:hr="t" fillcolor="#a0a0a0" stroked="f"/>
        </w:pict>
      </w:r>
    </w:p>
    <w:p w:rsidR="00534317" w:rsidRDefault="003D3F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Período de tributação:</w:t>
      </w:r>
    </w:p>
    <w:p w:rsidR="00534317" w:rsidRDefault="003D3F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7" style="width:0;height:1.5pt" o:hralign="center" o:hrstd="t" o:hr="t" fillcolor="#a0a0a0" stroked="f"/>
        </w:pict>
      </w:r>
    </w:p>
    <w:p w:rsidR="00534317" w:rsidRDefault="003D3F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Referências de base jurídica (legislação e tratado em causa):</w:t>
      </w:r>
    </w:p>
    <w:p w:rsidR="00534317" w:rsidRDefault="003D3F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8" style="width:0;height:1.5pt" o:hralign="center" o:hrstd="t" o:hr="t" fillcolor="#a0a0a0" stroked="f"/>
        </w:pict>
      </w:r>
    </w:p>
    <w:p w:rsidR="00534317" w:rsidRDefault="003D3F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b/>
          <w:noProof/>
        </w:rPr>
        <w:t>Cálculo da dupla tributação em litígio</w:t>
      </w:r>
      <w:r>
        <w:rPr>
          <w:noProof/>
        </w:rPr>
        <w:t xml:space="preserve"> </w:t>
      </w:r>
      <w:r>
        <w:rPr>
          <w:i/>
          <w:noProof/>
        </w:rPr>
        <w:t xml:space="preserve">(montante total e elementos pormenorizados sobre o imposto para cada </w:t>
      </w:r>
      <w:r>
        <w:rPr>
          <w:i/>
          <w:noProof/>
        </w:rPr>
        <w:t>exercício fiscal, incluindo capital, juros e sanções, taxas fiscais aplicáveis e base tributável correspondente)</w:t>
      </w:r>
      <w:r>
        <w:rPr>
          <w:noProof/>
          <w:sz w:val="22"/>
        </w:rPr>
        <w:t xml:space="preserve"> </w:t>
      </w:r>
      <w:r>
        <w:rPr>
          <w:noProof/>
          <w:sz w:val="22"/>
          <w:szCs w:val="18"/>
        </w:rPr>
        <w:pict>
          <v:rect id="_x0000_i1069" style="width:0;height:1.5pt" o:hralign="center" o:hrstd="t" o:hr="t" fillcolor="#a0a0a0" stroked="f"/>
        </w:pict>
      </w:r>
    </w:p>
    <w:p w:rsidR="00534317" w:rsidRDefault="003D3F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0" style="width:0;height:1.5pt" o:hralign="center" o:hrstd="t" o:hr="t" fillcolor="#a0a0a0" stroked="f"/>
        </w:pict>
      </w:r>
    </w:p>
    <w:p w:rsidR="00534317" w:rsidRDefault="003D3F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1" style="width:0;height:1.5pt" o:hralign="center" o:hrstd="t" o:hr="t" fillcolor="#a0a0a0" stroked="f"/>
        </w:pict>
      </w:r>
    </w:p>
    <w:p w:rsidR="00534317" w:rsidRDefault="003D3F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2" style="width:0;height:1.5pt" o:hralign="center" o:hrstd="t" o:hr="t" fillcolor="#a0a0a0" stroked="f"/>
        </w:pict>
      </w:r>
    </w:p>
    <w:p w:rsidR="00534317" w:rsidRDefault="003D3F69">
      <w:pPr>
        <w:pStyle w:val="Heading1"/>
        <w:rPr>
          <w:noProof/>
        </w:rPr>
      </w:pPr>
      <w:r>
        <w:rPr>
          <w:noProof/>
        </w:rPr>
        <w:t>Mandato acordado pelas autoridades competentes</w:t>
      </w:r>
    </w:p>
    <w:p w:rsidR="00534317" w:rsidRDefault="003D3F6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Descrição das questões jurídicas sujeitas a interpretação no caso de dupla tributação em</w:t>
      </w:r>
      <w:r>
        <w:rPr>
          <w:b/>
          <w:noProof/>
        </w:rPr>
        <w:t xml:space="preserve"> litígio:</w: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3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4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5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6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Descrição da matéria de facto a considerar e dos elementos de facto</w:t>
      </w:r>
      <w:r>
        <w:rPr>
          <w:noProof/>
        </w:rPr>
        <w:t xml:space="preserve"> </w:t>
      </w:r>
      <w:r>
        <w:rPr>
          <w:b/>
          <w:noProof/>
        </w:rPr>
        <w:t xml:space="preserve">sobre os quais as autoridades competentes precisam de clarificação e/ou de interpretação pela comissão consultiva ou pela comissão de resolução </w:t>
      </w:r>
      <w:r>
        <w:rPr>
          <w:b/>
          <w:noProof/>
        </w:rPr>
        <w:lastRenderedPageBreak/>
        <w:t>alternativa de litígios:</w:t>
      </w:r>
      <w:r>
        <w:rPr>
          <w:b/>
          <w:noProof/>
          <w:szCs w:val="18"/>
        </w:rPr>
        <w:pict>
          <v:rect id="_x0000_i1077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8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9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0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Questões a tratar pela comissão consultiva ou pela comissão de resolução alternativa de litígios no seu parecer:</w:t>
      </w:r>
      <w:r>
        <w:rPr>
          <w:b/>
          <w:noProof/>
          <w:szCs w:val="18"/>
        </w:rPr>
        <w:pict>
          <v:rect id="_x0000_i1081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2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3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084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5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6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7" style="width:0;height:1.5pt" o:hralign="center" o:hrstd="t" o:hr="t" fillcolor="#a0a0a0" stroked="f"/>
        </w:pict>
      </w:r>
    </w:p>
    <w:p w:rsidR="00534317" w:rsidRDefault="003D3F69">
      <w:pPr>
        <w:pStyle w:val="Heading1"/>
        <w:rPr>
          <w:noProof/>
        </w:rPr>
      </w:pPr>
      <w:r>
        <w:rPr>
          <w:noProof/>
        </w:rPr>
        <w:t>Prazos e calendário do processo de decisão</w:t>
      </w:r>
    </w:p>
    <w:p w:rsidR="00534317" w:rsidRDefault="003D3F6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Data prevista para o parecer final:</w: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8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9" style="width:0;height:1.5pt" o:hralign="center" o:hrstd="t" o:hr="t" fillcolor="#a0a0a0" stroked="f"/>
        </w:pict>
      </w:r>
    </w:p>
    <w:p w:rsidR="00534317" w:rsidRDefault="003D3F69">
      <w:pPr>
        <w:rPr>
          <w:b/>
          <w:noProof/>
          <w:szCs w:val="18"/>
        </w:rPr>
      </w:pPr>
      <w:r>
        <w:rPr>
          <w:b/>
          <w:noProof/>
        </w:rPr>
        <w:t xml:space="preserve">Calendário das observações por escrito </w:t>
      </w:r>
      <w:r>
        <w:rPr>
          <w:b/>
          <w:noProof/>
        </w:rPr>
        <w:t>apresentadas pelas partes:</w: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0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1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Calendário das observações consecutivas ou simultâneas</w:t>
      </w:r>
      <w:r>
        <w:rPr>
          <w:noProof/>
        </w:rPr>
        <w:t xml:space="preserve"> </w:t>
      </w:r>
      <w:r>
        <w:rPr>
          <w:i/>
          <w:noProof/>
        </w:rPr>
        <w:t>(se for caso disso)</w:t>
      </w:r>
      <w:r>
        <w:rPr>
          <w:noProof/>
        </w:rPr>
        <w:t>:</w:t>
      </w:r>
      <w:r>
        <w:rPr>
          <w:b/>
          <w:noProof/>
          <w:szCs w:val="18"/>
        </w:rPr>
        <w:pict>
          <v:rect id="_x0000_i1092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3" style="width:0;height:1.5pt" o:hralign="center" o:hrstd="t" o:hr="t" fillcolor="#a0a0a0" stroked="f"/>
        </w:pict>
      </w:r>
    </w:p>
    <w:p w:rsidR="00534317" w:rsidRDefault="003D3F69">
      <w:pPr>
        <w:rPr>
          <w:b/>
          <w:noProof/>
          <w:szCs w:val="18"/>
        </w:rPr>
      </w:pPr>
      <w:r>
        <w:rPr>
          <w:b/>
          <w:noProof/>
        </w:rPr>
        <w:t>Calendário de apresentação das posições de apoio pelas autoridades competentes</w:t>
      </w:r>
      <w:r>
        <w:rPr>
          <w:i/>
          <w:noProof/>
        </w:rPr>
        <w:t xml:space="preserve"> (se for caso disso)</w:t>
      </w:r>
      <w:r>
        <w:rPr>
          <w:b/>
          <w:noProof/>
        </w:rPr>
        <w:t>:</w: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4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5" style="width:0;height:1.5pt" o:hralign="center" o:hrstd="t" o:hr="t" fillcolor="#a0a0a0" stroked="f"/>
        </w:pict>
      </w:r>
    </w:p>
    <w:p w:rsidR="00534317" w:rsidRDefault="003D3F69">
      <w:pPr>
        <w:tabs>
          <w:tab w:val="left" w:pos="8222"/>
        </w:tabs>
        <w:ind w:right="993"/>
        <w:rPr>
          <w:noProof/>
        </w:rPr>
      </w:pPr>
      <w:r>
        <w:rPr>
          <w:b/>
          <w:noProof/>
        </w:rPr>
        <w:t>Prazos para a apresentação de elementos do</w:t>
      </w:r>
      <w:r>
        <w:rPr>
          <w:b/>
          <w:noProof/>
        </w:rPr>
        <w:t>cumentais de prova destinados a serem apresentados pelas partes; consequências da apresentação tardia</w:t>
      </w:r>
      <w:r>
        <w:rPr>
          <w:noProof/>
        </w:rPr>
        <w:t xml:space="preserve"> </w:t>
      </w:r>
      <w:r>
        <w:rPr>
          <w:i/>
          <w:noProof/>
        </w:rPr>
        <w:t>(se for caso disso)</w:t>
      </w:r>
      <w:r>
        <w:rPr>
          <w:noProof/>
        </w:rPr>
        <w:t>:</w:t>
      </w:r>
      <w:r>
        <w:rPr>
          <w:b/>
          <w:noProof/>
          <w:szCs w:val="18"/>
        </w:rPr>
        <w:pict>
          <v:rect id="_x0000_i1096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7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8" style="width:0;height:1.5pt" o:hralign="center" o:hrstd="t" o:hr="t" fillcolor="#a0a0a0" stroked="f"/>
        </w:pict>
      </w:r>
    </w:p>
    <w:p w:rsidR="00534317" w:rsidRDefault="003D3F69">
      <w:pPr>
        <w:ind w:right="993"/>
        <w:rPr>
          <w:noProof/>
        </w:rPr>
      </w:pPr>
      <w:r>
        <w:rPr>
          <w:b/>
          <w:noProof/>
        </w:rPr>
        <w:t>Calendário da apresentação, pelas personalidades independentes e pelos representantes das autoridades competentes, respetivament</w:t>
      </w:r>
      <w:r>
        <w:rPr>
          <w:b/>
          <w:noProof/>
        </w:rPr>
        <w:t xml:space="preserve">e, do(s) seu(s) parecer(es) </w:t>
      </w:r>
      <w:r>
        <w:rPr>
          <w:i/>
          <w:noProof/>
          <w:sz w:val="20"/>
        </w:rPr>
        <w:t>(se for caso disso)</w:t>
      </w:r>
      <w:r>
        <w:rPr>
          <w:b/>
          <w:noProof/>
        </w:rPr>
        <w:t>:</w:t>
      </w:r>
      <w:r>
        <w:rPr>
          <w:b/>
          <w:noProof/>
          <w:szCs w:val="18"/>
        </w:rPr>
        <w:pict>
          <v:rect id="_x0000_i1099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0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1" style="width:0;height:1.5pt" o:hralign="center" o:hrstd="t" o:hr="t" fillcolor="#a0a0a0" stroked="f"/>
        </w:pict>
      </w:r>
    </w:p>
    <w:p w:rsidR="00534317" w:rsidRDefault="003D3F69">
      <w:pPr>
        <w:rPr>
          <w:b/>
          <w:noProof/>
        </w:rPr>
      </w:pPr>
      <w:r>
        <w:rPr>
          <w:b/>
          <w:noProof/>
        </w:rPr>
        <w:t>Datas previstas para as audiências (se for caso disso) e local das audiências</w:t>
      </w:r>
      <w:r>
        <w:rPr>
          <w:noProof/>
        </w:rPr>
        <w:t xml:space="preserve"> </w:t>
      </w:r>
      <w:r>
        <w:rPr>
          <w:i/>
          <w:noProof/>
        </w:rPr>
        <w:t>(se for caso disso)</w:t>
      </w:r>
      <w:r>
        <w:rPr>
          <w:noProof/>
        </w:rPr>
        <w:t>:</w:t>
      </w:r>
    </w:p>
    <w:p w:rsidR="00534317" w:rsidRDefault="003D3F69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02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lastRenderedPageBreak/>
        <w:pict>
          <v:rect id="_x0000_i1103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4" style="width:0;height:1.5pt" o:hralign="center" o:hrstd="t" o:hr="t" fillcolor="#a0a0a0" stroked="f"/>
        </w:pict>
      </w:r>
    </w:p>
    <w:p w:rsidR="00534317" w:rsidRDefault="003D3F69">
      <w:pPr>
        <w:pStyle w:val="Heading1"/>
        <w:rPr>
          <w:noProof/>
        </w:rPr>
      </w:pPr>
      <w:r>
        <w:rPr>
          <w:noProof/>
        </w:rPr>
        <w:t>Tipo de processo de resolução</w:t>
      </w:r>
    </w:p>
    <w:p w:rsidR="00534317" w:rsidRDefault="003D3F69"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Processo de </w:t>
      </w:r>
      <w:r>
        <w:rPr>
          <w:b/>
          <w:noProof/>
        </w:rPr>
        <w:t>«Parecer independente»</w:t>
      </w:r>
    </w:p>
    <w:p w:rsidR="00534317" w:rsidRDefault="003D3F69">
      <w:pPr>
        <w:ind w:left="850"/>
        <w:rPr>
          <w:i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Processo de </w:t>
      </w:r>
      <w:r>
        <w:rPr>
          <w:b/>
          <w:noProof/>
        </w:rPr>
        <w:t>«Última proposta</w:t>
      </w:r>
      <w:r>
        <w:rPr>
          <w:b/>
          <w:noProof/>
        </w:rPr>
        <w:t xml:space="preserve"> final»</w:t>
      </w:r>
    </w:p>
    <w:p w:rsidR="00534317" w:rsidRDefault="003D3F69">
      <w:pPr>
        <w:ind w:left="850"/>
        <w:rPr>
          <w:i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Outro</w:t>
      </w:r>
      <w:r>
        <w:rPr>
          <w:noProof/>
        </w:rPr>
        <w:t xml:space="preserve">, </w:t>
      </w:r>
      <w:r>
        <w:rPr>
          <w:i/>
          <w:noProof/>
        </w:rPr>
        <w:t>especificar: ______________________________________</w:t>
      </w:r>
    </w:p>
    <w:p w:rsidR="00534317" w:rsidRDefault="003D3F69">
      <w:pPr>
        <w:pStyle w:val="Heading1"/>
        <w:rPr>
          <w:noProof/>
        </w:rPr>
      </w:pPr>
      <w:r>
        <w:rPr>
          <w:noProof/>
        </w:rPr>
        <w:t>Custos</w:t>
      </w:r>
    </w:p>
    <w:p w:rsidR="00534317" w:rsidRDefault="003D3F69">
      <w:pPr>
        <w:ind w:right="993"/>
        <w:rPr>
          <w:noProof/>
        </w:rPr>
      </w:pPr>
      <w:r>
        <w:rPr>
          <w:b/>
          <w:noProof/>
        </w:rPr>
        <w:t>Informações sobre os custos (natureza, montante previsto) a repartir equitativamente entre os Estados-Membros:</w:t>
      </w:r>
      <w:r>
        <w:rPr>
          <w:b/>
          <w:noProof/>
          <w:szCs w:val="18"/>
        </w:rPr>
        <w:pict>
          <v:rect id="_x0000_i1105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6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7" style="width:0;height:1.5pt" o:hralign="center" o:hrstd="t" o:hr="t" fillcolor="#a0a0a0" stroked="f"/>
        </w:pict>
      </w:r>
    </w:p>
    <w:p w:rsidR="00534317" w:rsidRDefault="003D3F69">
      <w:pPr>
        <w:spacing w:before="150" w:after="150"/>
        <w:ind w:right="975"/>
        <w:rPr>
          <w:noProof/>
          <w:szCs w:val="18"/>
        </w:rPr>
      </w:pPr>
      <w:r>
        <w:rPr>
          <w:noProof/>
        </w:rPr>
        <w:t>Incluindo, se for caso disso:</w:t>
      </w:r>
    </w:p>
    <w:p w:rsidR="00534317" w:rsidRDefault="003D3F6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Remuneração das personalidades i</w:t>
      </w:r>
      <w:r>
        <w:rPr>
          <w:noProof/>
        </w:rPr>
        <w:t>ndependentes _______________________</w:t>
      </w:r>
    </w:p>
    <w:p w:rsidR="00534317" w:rsidRDefault="003D3F6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Outras despesas e pagamento de ajudas de custo diárias às personalidades independentes_________</w:t>
      </w:r>
    </w:p>
    <w:p w:rsidR="00534317" w:rsidRDefault="003D3F6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Custos de tradução ________________________________________________</w:t>
      </w:r>
    </w:p>
    <w:p w:rsidR="00534317" w:rsidRDefault="003D3F6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Custos de interpretação _________________________</w:t>
      </w:r>
      <w:r>
        <w:rPr>
          <w:noProof/>
        </w:rPr>
        <w:t>_____________________</w:t>
      </w:r>
    </w:p>
    <w:p w:rsidR="00534317" w:rsidRDefault="003D3F69">
      <w:pPr>
        <w:pStyle w:val="ListDash2"/>
        <w:numPr>
          <w:ilvl w:val="0"/>
          <w:numId w:val="6"/>
        </w:numPr>
        <w:jc w:val="left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Outros custos administrativos (incluindo custos de secretariado) __________________________________________________________________</w:t>
      </w:r>
    </w:p>
    <w:p w:rsidR="00534317" w:rsidRDefault="003D3F69">
      <w:pPr>
        <w:pStyle w:val="ListDash2"/>
        <w:rPr>
          <w:noProof/>
        </w:rPr>
      </w:pPr>
      <w:r>
        <w:rPr>
          <w:noProof/>
        </w:rPr>
        <w:t xml:space="preserve">Outras informações e disposições em matéria de custos </w:t>
      </w:r>
      <w:r>
        <w:rPr>
          <w:i/>
          <w:noProof/>
        </w:rPr>
        <w:t>(a especificar)</w:t>
      </w:r>
      <w:r>
        <w:rPr>
          <w:noProof/>
        </w:rPr>
        <w:t>:</w:t>
      </w:r>
    </w:p>
    <w:p w:rsidR="00534317" w:rsidRDefault="003D3F69">
      <w:pPr>
        <w:pStyle w:val="ListDash2"/>
        <w:tabs>
          <w:tab w:val="left" w:pos="7938"/>
          <w:tab w:val="left" w:pos="8789"/>
        </w:tabs>
        <w:rPr>
          <w:noProof/>
        </w:rPr>
      </w:pPr>
      <w:r>
        <w:rPr>
          <w:noProof/>
        </w:rPr>
        <w:pict>
          <v:rect id="_x0000_i1108" style="width:375.9pt;height:1.7pt" o:hrpct="947" o:hralign="center" o:hrstd="t" o:hr="t" fillcolor="#a0a0a0" stroked="f"/>
        </w:pict>
      </w:r>
    </w:p>
    <w:p w:rsidR="00534317" w:rsidRDefault="003D3F69">
      <w:pPr>
        <w:pStyle w:val="ListDash2"/>
        <w:tabs>
          <w:tab w:val="left" w:pos="8080"/>
        </w:tabs>
        <w:ind w:right="142"/>
        <w:rPr>
          <w:noProof/>
        </w:rPr>
      </w:pPr>
      <w:r>
        <w:rPr>
          <w:noProof/>
        </w:rPr>
        <w:pict>
          <v:rect id="_x0000_i1109" style="width:0;height:1.5pt" o:hralign="center" o:hrstd="t" o:hr="t" fillcolor="#a0a0a0" stroked="f"/>
        </w:pict>
      </w:r>
    </w:p>
    <w:p w:rsidR="00534317" w:rsidRDefault="003D3F69">
      <w:pPr>
        <w:pStyle w:val="ListDash2"/>
        <w:tabs>
          <w:tab w:val="left" w:pos="8080"/>
        </w:tabs>
        <w:rPr>
          <w:noProof/>
        </w:rPr>
      </w:pPr>
      <w:r>
        <w:rPr>
          <w:noProof/>
        </w:rPr>
        <w:pict>
          <v:rect id="_x0000_i1110" style="width:0;height:1.5pt" o:hralign="center" o:hrstd="t" o:hr="t" fillcolor="#a0a0a0" stroked="f"/>
        </w:pict>
      </w:r>
    </w:p>
    <w:p w:rsidR="00534317" w:rsidRDefault="003D3F69">
      <w:pPr>
        <w:pStyle w:val="ListDash2"/>
        <w:tabs>
          <w:tab w:val="left" w:pos="8931"/>
        </w:tabs>
        <w:rPr>
          <w:noProof/>
        </w:rPr>
      </w:pPr>
      <w:r>
        <w:rPr>
          <w:noProof/>
        </w:rPr>
        <w:pict>
          <v:rect id="_x0000_i1111" style="width:0;height:1.5pt" o:hralign="center" o:hrstd="t" o:hr="t" fillcolor="#a0a0a0" stroked="f"/>
        </w:pict>
      </w:r>
    </w:p>
    <w:p w:rsidR="00534317" w:rsidRDefault="003D3F69">
      <w:pPr>
        <w:pStyle w:val="ListDash2"/>
        <w:rPr>
          <w:noProof/>
        </w:rPr>
      </w:pPr>
      <w:r>
        <w:rPr>
          <w:noProof/>
        </w:rPr>
        <w:pict>
          <v:rect id="_x0000_i1112" style="width:0;height:1.5pt" o:hralign="center" o:hrstd="t" o:hr="t" fillcolor="#a0a0a0" stroked="f"/>
        </w:pict>
      </w:r>
    </w:p>
    <w:p w:rsidR="00534317" w:rsidRDefault="003D3F69">
      <w:pPr>
        <w:pStyle w:val="ListDash2"/>
        <w:rPr>
          <w:noProof/>
        </w:rPr>
      </w:pPr>
      <w:r>
        <w:rPr>
          <w:noProof/>
        </w:rPr>
        <w:pict>
          <v:rect id="_x0000_i1113" style="width:343.35pt;height:1.7pt" o:hrpct="865" o:hralign="center" o:hrstd="t" o:hr="t" fillcolor="#a0a0a0" stroked="f"/>
        </w:pict>
      </w:r>
    </w:p>
    <w:p w:rsidR="00534317" w:rsidRDefault="003D3F69">
      <w:pPr>
        <w:pStyle w:val="Heading1"/>
        <w:rPr>
          <w:noProof/>
        </w:rPr>
      </w:pPr>
      <w:r>
        <w:rPr>
          <w:noProof/>
        </w:rPr>
        <w:t xml:space="preserve">Organização e </w:t>
      </w:r>
      <w:r>
        <w:rPr>
          <w:noProof/>
        </w:rPr>
        <w:t>funcionamento</w:t>
      </w:r>
    </w:p>
    <w:p w:rsidR="00534317" w:rsidRDefault="003D3F69">
      <w:pPr>
        <w:spacing w:before="150" w:after="150"/>
        <w:ind w:right="975"/>
        <w:rPr>
          <w:b/>
          <w:smallCaps/>
          <w:noProof/>
          <w:szCs w:val="18"/>
        </w:rPr>
      </w:pPr>
      <w:r>
        <w:rPr>
          <w:b/>
          <w:i/>
          <w:noProof/>
          <w:sz w:val="20"/>
        </w:rPr>
        <w:t xml:space="preserve">[NB: </w:t>
      </w:r>
      <w:r>
        <w:rPr>
          <w:b/>
          <w:i/>
          <w:noProof/>
        </w:rPr>
        <w:t>as menções em carateres a negro da presente secção devem ser obrigatoriamente preenchidas]</w:t>
      </w:r>
    </w:p>
    <w:p w:rsidR="00534317" w:rsidRDefault="003D3F6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Local de reunião da comissão consultiva ou da comissão de resolução alternativa de litígios: 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Possibilidade de reuniões fora do local de reunião da comissão consultiva ou da comissão de resolução alternativa de litígios: _____________________________________________________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b/>
          <w:noProof/>
          <w:szCs w:val="18"/>
        </w:rPr>
        <w:lastRenderedPageBreak/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Serviços administrativos que podem ser necessários para que a comissão c</w:t>
      </w:r>
      <w:r>
        <w:rPr>
          <w:b/>
          <w:noProof/>
        </w:rPr>
        <w:t>onsultiva ou a comissão de resolução alternativa de litígios desempenhe as suas funções:</w:t>
      </w:r>
      <w:r>
        <w:rPr>
          <w:noProof/>
        </w:rPr>
        <w:t xml:space="preserve"> ___________________________________________________________________________</w:t>
      </w:r>
    </w:p>
    <w:p w:rsidR="00534317" w:rsidRDefault="003D3F6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Língua de trabalho comum para o processo de resolução do litígio: _______________________</w:t>
      </w:r>
      <w:r>
        <w:rPr>
          <w:b/>
          <w:noProof/>
        </w:rPr>
        <w:t>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Eventual necessidade de tradução de documentos (na totalidade ou em parte): 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Eventual necessidade de interpretação das apresentações orais: 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Encaminhamento de comunicações escritas entre as p</w:t>
      </w:r>
      <w:r>
        <w:rPr>
          <w:noProof/>
        </w:rPr>
        <w:t xml:space="preserve">artes (incluindo meios de transmissão de documentos por correio eletrónico, comunicação oral, </w:t>
      </w:r>
      <w:r>
        <w:rPr>
          <w:i/>
          <w:noProof/>
        </w:rPr>
        <w:t>audioconferência webex</w:t>
      </w:r>
      <w:r>
        <w:rPr>
          <w:noProof/>
        </w:rPr>
        <w:t>, ferramentas informáticas específicas, etc.): _________________________________________________________________________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Pormenores de ord</w:t>
      </w:r>
      <w:r>
        <w:rPr>
          <w:noProof/>
        </w:rPr>
        <w:t>em prática relativos às observações e aos elementos de prova escritos (por exemplo, modo de apresentação, cópias, numeração, referências): ___________________________________________________________________________</w:t>
      </w:r>
    </w:p>
    <w:p w:rsidR="00534317" w:rsidRDefault="003D3F6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Encaminhamento de comunicações escritas</w:t>
      </w:r>
      <w:r>
        <w:rPr>
          <w:b/>
          <w:noProof/>
        </w:rPr>
        <w:t xml:space="preserve"> entre as partes (incluindo meios de transmissão de documentos):</w:t>
      </w:r>
      <w:r>
        <w:rPr>
          <w:b/>
          <w:noProof/>
          <w:szCs w:val="18"/>
        </w:rPr>
        <w:br/>
      </w:r>
      <w:r>
        <w:rPr>
          <w:b/>
          <w:noProof/>
        </w:rPr>
        <w:t>___________________________________________________________________________</w:t>
      </w:r>
    </w:p>
    <w:p w:rsidR="00534317" w:rsidRDefault="003D3F6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Disposições relativas à troca de observações por escrito: ____________________________</w:t>
      </w:r>
    </w:p>
    <w:p w:rsidR="00534317" w:rsidRDefault="003D3F6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Disposições em matéria d</w:t>
      </w:r>
      <w:r>
        <w:rPr>
          <w:b/>
          <w:noProof/>
        </w:rPr>
        <w:t>e pedidos de informação por parte da comissão consultiva ou da comissão de resolução alternativa de litígios e subsequentes respostas enviadas pelo contribuinte e pelas autoridades competentes: ______________________________________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Pormenores práticos r</w:t>
      </w:r>
      <w:r>
        <w:rPr>
          <w:noProof/>
        </w:rPr>
        <w:t>elativos às observações e elementos de prova escritos (por exemplo, modo de apresentação, cópias, numeração, referências): ___________________________________________________________________________</w:t>
      </w:r>
    </w:p>
    <w:p w:rsidR="00534317" w:rsidRDefault="003D3F6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Apresentação, ou não, de elementos de prova documentais</w:t>
      </w:r>
      <w:r>
        <w:rPr>
          <w:b/>
          <w:noProof/>
        </w:rPr>
        <w:t xml:space="preserve"> pelas partes: 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Peritos (termos e condições de apresentação escrita e oral da posição): ___________________________________________________________________________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Devem as afirmações sobre a origem e a receção dos documentos e sobre </w:t>
      </w:r>
      <w:r>
        <w:rPr>
          <w:noProof/>
        </w:rPr>
        <w:t>a conformidade de fotocópias ser presumidas como exatas: _____________________________________________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Devem os elementos de prova documentais volumosos e complexos ser apresentados através de resumos, tabelas, gráficos, extratos ou amostras: ___________</w:t>
      </w:r>
      <w:r>
        <w:rPr>
          <w:noProof/>
        </w:rPr>
        <w:t>_______________________</w:t>
      </w:r>
    </w:p>
    <w:p w:rsidR="00534317" w:rsidRDefault="003D3F6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Decisão de realizar ou não audiências (e número de audiências): 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Deve ser organizado um único período de audiências ou períodos separados de audiências: 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lastRenderedPageBreak/>
        <w:sym w:font="Wingdings" w:char="F0A8"/>
      </w:r>
      <w:r>
        <w:rPr>
          <w:noProof/>
        </w:rPr>
        <w:t xml:space="preserve"> Deve existir ou não um limite para o período total de que cada uma das partes disporá para alegações orais e interrogar as testemunhas: _________________________________________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A ordem pela qual as partes apresentarão as suas alegações e elementos de p</w:t>
      </w:r>
      <w:r>
        <w:rPr>
          <w:noProof/>
        </w:rPr>
        <w:t>rova: 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Duração das audiências: ___________________________________________________________________________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Disposições relativas à manutenção de um registo das audições: ______________________________________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Eventuais requisitos em matéria de apresentação ou formulação da sua posição pelas personalidades independentes e pelos representantes das autoridades competentes: ___________________________________________________________________________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Eventuais req</w:t>
      </w:r>
      <w:r>
        <w:rPr>
          <w:noProof/>
        </w:rPr>
        <w:t>uisitos em matéria de apresentação ou emissão do parecer escrito: ___________________________________________________________________________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Outros </w:t>
      </w:r>
      <w:r>
        <w:rPr>
          <w:i/>
          <w:noProof/>
        </w:rPr>
        <w:t>(a especificar, incluindo outras disposições processuais, probatórias e logísticas que possam ser aplicáv</w:t>
      </w:r>
      <w:r>
        <w:rPr>
          <w:i/>
          <w:noProof/>
        </w:rPr>
        <w:t>eis)</w:t>
      </w:r>
      <w:r>
        <w:rPr>
          <w:noProof/>
        </w:rPr>
        <w:t>: ___________________________________________________________________________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</w:rPr>
        <w:t>___________________________________________________________________________</w:t>
      </w:r>
    </w:p>
    <w:p w:rsidR="00534317" w:rsidRDefault="003D3F69">
      <w:pPr>
        <w:jc w:val="left"/>
        <w:rPr>
          <w:noProof/>
          <w:szCs w:val="18"/>
        </w:rPr>
      </w:pPr>
      <w:r>
        <w:rPr>
          <w:noProof/>
        </w:rPr>
        <w:t>___________________________________________________________________________</w:t>
      </w:r>
    </w:p>
    <w:p w:rsidR="00534317" w:rsidRDefault="003D3F69">
      <w:pPr>
        <w:pStyle w:val="Heading1"/>
        <w:rPr>
          <w:noProof/>
        </w:rPr>
      </w:pPr>
      <w:r>
        <w:rPr>
          <w:noProof/>
        </w:rPr>
        <w:t>Outros</w:t>
      </w:r>
    </w:p>
    <w:p w:rsidR="00534317" w:rsidRDefault="003D3F69">
      <w:pPr>
        <w:rPr>
          <w:b/>
          <w:noProof/>
        </w:rPr>
      </w:pPr>
      <w:r>
        <w:rPr>
          <w:noProof/>
        </w:rPr>
        <w:t>[</w:t>
      </w:r>
      <w:r>
        <w:rPr>
          <w:i/>
          <w:noProof/>
        </w:rPr>
        <w:t>a completar</w:t>
      </w:r>
      <w:r>
        <w:rPr>
          <w:noProof/>
        </w:rPr>
        <w:t>]:</w:t>
      </w:r>
    </w:p>
    <w:p w:rsidR="00534317" w:rsidRDefault="003D3F69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14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15" style="width:0;height:1.5pt" o:hralign="center" o:hrstd="t" o:hr="t" fillcolor="#a0a0a0" stroked="f"/>
        </w:pict>
      </w:r>
    </w:p>
    <w:p w:rsidR="00534317" w:rsidRDefault="003D3F69">
      <w:pPr>
        <w:ind w:right="993"/>
        <w:rPr>
          <w:noProof/>
        </w:rPr>
      </w:pPr>
      <w:r>
        <w:rPr>
          <w:noProof/>
          <w:szCs w:val="18"/>
        </w:rPr>
        <w:pict>
          <v:rect id="_x0000_i1116" style="width:0;height:1.5pt" o:hralign="center" o:hrstd="t" o:hr="t" fillcolor="#a0a0a0" stroked="f"/>
        </w:pict>
      </w:r>
      <w:r>
        <w:rPr>
          <w:b/>
          <w:noProof/>
          <w:szCs w:val="18"/>
        </w:rPr>
        <w:pict>
          <v:rect id="_x0000_i1117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18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19" style="width:0;height:1.5pt" o:hralign="center" o:hrstd="t" o:hr="t" fillcolor="#a0a0a0" stroked="f"/>
        </w:pict>
      </w:r>
    </w:p>
    <w:p w:rsidR="00534317" w:rsidRDefault="003D3F69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20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21" style="width:0;height:1.5pt" o:hralign="center" o:hrstd="t" o:hr="t" fillcolor="#a0a0a0" stroked="f"/>
        </w:pict>
      </w:r>
    </w:p>
    <w:p w:rsidR="00534317" w:rsidRDefault="003D3F6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22" style="width:0;height:1.5pt" o:hralign="center" o:hrstd="t" o:hr="t" fillcolor="#a0a0a0" stroked="f"/>
        </w:pict>
      </w:r>
    </w:p>
    <w:p w:rsidR="00534317" w:rsidRDefault="00534317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534317" w:rsidRDefault="003D3F69">
      <w:pPr>
        <w:rPr>
          <w:b/>
          <w:noProof/>
        </w:rPr>
      </w:pPr>
      <w:r>
        <w:rPr>
          <w:b/>
          <w:noProof/>
        </w:rPr>
        <w:t>Data:</w:t>
      </w:r>
    </w:p>
    <w:p w:rsidR="00534317" w:rsidRDefault="00534317">
      <w:pPr>
        <w:rPr>
          <w:b/>
          <w:noProof/>
        </w:rPr>
      </w:pPr>
    </w:p>
    <w:p w:rsidR="00534317" w:rsidRDefault="003D3F69">
      <w:pPr>
        <w:rPr>
          <w:noProof/>
          <w:szCs w:val="18"/>
        </w:rPr>
      </w:pPr>
      <w:r>
        <w:rPr>
          <w:b/>
          <w:noProof/>
        </w:rPr>
        <w:t>Assinatura dos representantes das autoridades competentes dos Estados-Membros:</w:t>
      </w:r>
    </w:p>
    <w:p w:rsidR="00534317" w:rsidRDefault="00534317">
      <w:pPr>
        <w:rPr>
          <w:noProof/>
        </w:rPr>
      </w:pPr>
    </w:p>
    <w:p w:rsidR="00534317" w:rsidRPr="003D3F69" w:rsidRDefault="003D3F69">
      <w:pPr>
        <w:rPr>
          <w:noProof/>
        </w:rPr>
      </w:pPr>
      <w:r>
        <w:rPr>
          <w:noProof/>
        </w:rPr>
        <w:t>______________________________                  ___________________________</w:t>
      </w:r>
    </w:p>
    <w:sectPr w:rsidR="00534317" w:rsidRPr="003D3F69" w:rsidSect="003D3F69"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17" w:rsidRDefault="003D3F69">
      <w:pPr>
        <w:spacing w:before="0" w:after="0"/>
      </w:pPr>
      <w:r>
        <w:separator/>
      </w:r>
    </w:p>
  </w:endnote>
  <w:endnote w:type="continuationSeparator" w:id="0">
    <w:p w:rsidR="00534317" w:rsidRDefault="003D3F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69" w:rsidRPr="003D3F69" w:rsidRDefault="003D3F69" w:rsidP="003D3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17" w:rsidRPr="003D3F69" w:rsidRDefault="003D3F69" w:rsidP="003D3F69">
    <w:pPr>
      <w:pStyle w:val="Footer"/>
      <w:rPr>
        <w:rFonts w:ascii="Arial" w:hAnsi="Arial" w:cs="Arial"/>
        <w:b/>
        <w:sz w:val="48"/>
      </w:rPr>
    </w:pPr>
    <w:r w:rsidRPr="003D3F69">
      <w:rPr>
        <w:rFonts w:ascii="Arial" w:hAnsi="Arial" w:cs="Arial"/>
        <w:b/>
        <w:sz w:val="48"/>
      </w:rPr>
      <w:t>PT</w:t>
    </w:r>
    <w:r w:rsidRPr="003D3F69">
      <w:rPr>
        <w:rFonts w:ascii="Arial" w:hAnsi="Arial" w:cs="Arial"/>
        <w:b/>
        <w:sz w:val="48"/>
      </w:rPr>
      <w:tab/>
    </w:r>
    <w:r w:rsidRPr="003D3F69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3D3F69">
      <w:tab/>
    </w:r>
    <w:proofErr w:type="spellStart"/>
    <w:r w:rsidRPr="003D3F69">
      <w:rPr>
        <w:rFonts w:ascii="Arial" w:hAnsi="Arial" w:cs="Arial"/>
        <w:b/>
        <w:sz w:val="48"/>
      </w:rPr>
      <w:t>PT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69" w:rsidRPr="003D3F69" w:rsidRDefault="003D3F69" w:rsidP="003D3F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69" w:rsidRPr="003D3F69" w:rsidRDefault="003D3F69" w:rsidP="003D3F69">
    <w:pPr>
      <w:pStyle w:val="Footer"/>
      <w:rPr>
        <w:rFonts w:ascii="Arial" w:hAnsi="Arial" w:cs="Arial"/>
        <w:b/>
        <w:sz w:val="48"/>
      </w:rPr>
    </w:pPr>
    <w:r w:rsidRPr="003D3F69">
      <w:rPr>
        <w:rFonts w:ascii="Arial" w:hAnsi="Arial" w:cs="Arial"/>
        <w:b/>
        <w:sz w:val="48"/>
      </w:rPr>
      <w:t>PT</w:t>
    </w:r>
    <w:r w:rsidRPr="003D3F69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3D3F69">
      <w:tab/>
    </w:r>
    <w:r w:rsidRPr="003D3F69"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69" w:rsidRPr="003D3F69" w:rsidRDefault="003D3F69" w:rsidP="003D3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17" w:rsidRDefault="003D3F69">
      <w:pPr>
        <w:spacing w:before="0" w:after="0"/>
      </w:pPr>
      <w:r>
        <w:separator/>
      </w:r>
    </w:p>
  </w:footnote>
  <w:footnote w:type="continuationSeparator" w:id="0">
    <w:p w:rsidR="00534317" w:rsidRDefault="003D3F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69" w:rsidRPr="003D3F69" w:rsidRDefault="003D3F69" w:rsidP="003D3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69" w:rsidRPr="003D3F69" w:rsidRDefault="003D3F69" w:rsidP="003D3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69" w:rsidRPr="003D3F69" w:rsidRDefault="003D3F69" w:rsidP="003D3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F8625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BF659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6D659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90F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D22E4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D128E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9E0C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8347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0320E5"/>
    <w:multiLevelType w:val="hybridMultilevel"/>
    <w:tmpl w:val="72F4533A"/>
    <w:lvl w:ilvl="0" w:tplc="6D50ED16">
      <w:start w:val="1"/>
      <w:numFmt w:val="decimal"/>
      <w:pStyle w:val="Style2"/>
      <w:lvlText w:val="%1."/>
      <w:lvlJc w:val="left"/>
      <w:pPr>
        <w:ind w:left="1080" w:hanging="360"/>
      </w:pPr>
      <w:rPr>
        <w:rFonts w:hint="default"/>
      </w:rPr>
    </w:lvl>
    <w:lvl w:ilvl="1" w:tplc="2DCA1808">
      <w:start w:val="1"/>
      <w:numFmt w:val="lowerLetter"/>
      <w:lvlText w:val="(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 w:tplc="7D548FE2">
      <w:start w:val="1"/>
      <w:numFmt w:val="bullet"/>
      <w:lvlText w:val="-"/>
      <w:lvlJc w:val="left"/>
      <w:pPr>
        <w:ind w:left="2776" w:hanging="360"/>
      </w:pPr>
      <w:rPr>
        <w:rFonts w:ascii="Times New Roman" w:eastAsia="Times New Roman" w:hAnsi="Times New Roman" w:cs="Times New Roman" w:hint="default"/>
        <w:sz w:val="24"/>
      </w:rPr>
    </w:lvl>
    <w:lvl w:ilvl="3" w:tplc="2190EC54">
      <w:start w:val="3"/>
      <w:numFmt w:val="decimal"/>
      <w:lvlText w:val="(%4)"/>
      <w:lvlJc w:val="left"/>
      <w:pPr>
        <w:ind w:left="3316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9D74ED"/>
    <w:multiLevelType w:val="singleLevel"/>
    <w:tmpl w:val="C2E2F936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96D67A1"/>
    <w:multiLevelType w:val="singleLevel"/>
    <w:tmpl w:val="9AC8831A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48F59BA"/>
    <w:multiLevelType w:val="hybridMultilevel"/>
    <w:tmpl w:val="41CEFFB6"/>
    <w:lvl w:ilvl="0" w:tplc="83BC382C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8"/>
  </w:num>
  <w:num w:numId="6">
    <w:abstractNumId w:val="16"/>
  </w:num>
  <w:num w:numId="7">
    <w:abstractNumId w:val="24"/>
  </w:num>
  <w:num w:numId="8">
    <w:abstractNumId w:val="10"/>
    <w:lvlOverride w:ilvl="0">
      <w:lvl w:ilvl="0" w:tplc="6D50ED16">
        <w:start w:val="1"/>
        <w:numFmt w:val="decimal"/>
        <w:pStyle w:val="Style2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2DCA180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D548FE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190EC5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3"/>
  </w:num>
  <w:num w:numId="17">
    <w:abstractNumId w:val="12"/>
  </w:num>
  <w:num w:numId="18">
    <w:abstractNumId w:val="14"/>
  </w:num>
  <w:num w:numId="19">
    <w:abstractNumId w:val="9"/>
  </w:num>
  <w:num w:numId="20">
    <w:abstractNumId w:val="22"/>
  </w:num>
  <w:num w:numId="21">
    <w:abstractNumId w:val="8"/>
  </w:num>
  <w:num w:numId="22">
    <w:abstractNumId w:val="15"/>
  </w:num>
  <w:num w:numId="23">
    <w:abstractNumId w:val="19"/>
  </w:num>
  <w:num w:numId="24">
    <w:abstractNumId w:val="20"/>
  </w:num>
  <w:num w:numId="25">
    <w:abstractNumId w:val="11"/>
  </w:num>
  <w:num w:numId="26">
    <w:abstractNumId w:val="17"/>
  </w:num>
  <w:num w:numId="27">
    <w:abstractNumId w:val="25"/>
  </w:num>
  <w:num w:numId="28">
    <w:abstractNumId w:val="21"/>
  </w:num>
  <w:num w:numId="29">
    <w:abstractNumId w:val="13"/>
  </w:num>
  <w:num w:numId="30">
    <w:abstractNumId w:val="23"/>
  </w:num>
  <w:num w:numId="31">
    <w:abstractNumId w:val="12"/>
  </w:num>
  <w:num w:numId="32">
    <w:abstractNumId w:val="14"/>
  </w:num>
  <w:num w:numId="33">
    <w:abstractNumId w:val="9"/>
  </w:num>
  <w:num w:numId="34">
    <w:abstractNumId w:val="22"/>
  </w:num>
  <w:num w:numId="35">
    <w:abstractNumId w:val="8"/>
  </w:num>
  <w:num w:numId="36">
    <w:abstractNumId w:val="15"/>
  </w:num>
  <w:num w:numId="37">
    <w:abstractNumId w:val="19"/>
  </w:num>
  <w:num w:numId="38">
    <w:abstractNumId w:val="20"/>
  </w:num>
  <w:num w:numId="39">
    <w:abstractNumId w:val="11"/>
  </w:num>
  <w:num w:numId="40">
    <w:abstractNumId w:val="17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07 17:02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4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121"/>
    <w:docVar w:name="DQCStatus" w:val="Yellow"/>
    <w:docVar w:name="DQCVersion" w:val="3"/>
    <w:docVar w:name="DQCWithWarnings" w:val="0"/>
    <w:docVar w:name="LW_ACCOMPAGNANT.CP" w:val="da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378F55973CA24E5AB437D7FD7807D84D"/>
    <w:docVar w:name="LW_CROSSREFERENCE" w:val="{SWD(2016) 343 final}_x000b_{SWD(2016) 344 final}"/>
    <w:docVar w:name="LW_DocType" w:val="ANNEX"/>
    <w:docVar w:name="LW_EMISSION" w:val="25.10.2016"/>
    <w:docVar w:name="LW_EMISSION_ISODATE" w:val="2016-10-25"/>
    <w:docVar w:name="LW_EMISSION_LOCATION" w:val="STR"/>
    <w:docVar w:name="LW_EMISSION_PREFIX" w:val="Estrasburgo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.CP" w:val="relativa aos mecanismos de resolução de litígios em matéria de dupla tributação na União Europeia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686"/>
    <w:docVar w:name="LW_REF.INTERNE" w:val="&lt;UNUSED&gt;"/>
    <w:docVar w:name="LW_SUPERTITRE" w:val="&lt;UNUSED&gt;"/>
    <w:docVar w:name="LW_TITRE.OBJ.CP" w:val="&lt;UNUSED&gt;"/>
    <w:docVar w:name="LW_TYPE.DOC.CP" w:val="ANEXOS"/>
    <w:docVar w:name="LW_TYPEACTEPRINCIPAL.CP" w:val="Proposta de DIRETIVA DO CONSELHO "/>
  </w:docVars>
  <w:rsids>
    <w:rsidRoot w:val="00534317"/>
    <w:rsid w:val="003D3F69"/>
    <w:rsid w:val="005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customStyle="1" w:styleId="Style1">
    <w:name w:val="Style1"/>
    <w:basedOn w:val="ListParagraph"/>
    <w:qFormat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50" w:after="150"/>
      <w:ind w:left="567" w:right="975" w:hanging="567"/>
    </w:pPr>
    <w:rPr>
      <w:b/>
      <w:smallCaps/>
      <w:szCs w:val="18"/>
    </w:rPr>
  </w:style>
  <w:style w:type="paragraph" w:customStyle="1" w:styleId="Style2">
    <w:name w:val="Style2"/>
    <w:basedOn w:val="ListParagraph"/>
    <w:pPr>
      <w:numPr>
        <w:numId w:val="8"/>
      </w:numPr>
      <w:spacing w:before="150" w:after="150"/>
      <w:ind w:right="975" w:hanging="720"/>
    </w:pPr>
    <w:rPr>
      <w:b/>
      <w:noProof/>
    </w:rPr>
  </w:style>
  <w:style w:type="paragraph" w:customStyle="1" w:styleId="TableGridHeading1">
    <w:name w:val="Table Grid + Heading 1"/>
    <w:basedOn w:val="Normal"/>
    <w:pPr>
      <w:spacing w:before="150" w:after="150"/>
      <w:ind w:right="975"/>
    </w:pPr>
    <w:rPr>
      <w:szCs w:val="18"/>
    </w:rPr>
  </w:style>
  <w:style w:type="paragraph" w:customStyle="1" w:styleId="Heading10">
    <w:name w:val="Heading1"/>
    <w:basedOn w:val="Style1"/>
    <w:pPr>
      <w:ind w:left="1080" w:hanging="720"/>
    </w:pPr>
  </w:style>
  <w:style w:type="paragraph" w:customStyle="1" w:styleId="Heading20">
    <w:name w:val="Heading2"/>
    <w:basedOn w:val="Style2"/>
  </w:style>
  <w:style w:type="paragraph" w:styleId="Header">
    <w:name w:val="header"/>
    <w:basedOn w:val="Normal"/>
    <w:link w:val="HeaderChar"/>
    <w:uiPriority w:val="99"/>
    <w:unhideWhenUsed/>
    <w:rsid w:val="003D3F69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D3F6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D3F69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customStyle="1" w:styleId="Style1">
    <w:name w:val="Style1"/>
    <w:basedOn w:val="ListParagraph"/>
    <w:qFormat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50" w:after="150"/>
      <w:ind w:left="567" w:right="975" w:hanging="567"/>
    </w:pPr>
    <w:rPr>
      <w:b/>
      <w:smallCaps/>
      <w:szCs w:val="18"/>
    </w:rPr>
  </w:style>
  <w:style w:type="paragraph" w:customStyle="1" w:styleId="Style2">
    <w:name w:val="Style2"/>
    <w:basedOn w:val="ListParagraph"/>
    <w:pPr>
      <w:numPr>
        <w:numId w:val="8"/>
      </w:numPr>
      <w:spacing w:before="150" w:after="150"/>
      <w:ind w:right="975" w:hanging="720"/>
    </w:pPr>
    <w:rPr>
      <w:b/>
      <w:noProof/>
    </w:rPr>
  </w:style>
  <w:style w:type="paragraph" w:customStyle="1" w:styleId="TableGridHeading1">
    <w:name w:val="Table Grid + Heading 1"/>
    <w:basedOn w:val="Normal"/>
    <w:pPr>
      <w:spacing w:before="150" w:after="150"/>
      <w:ind w:right="975"/>
    </w:pPr>
    <w:rPr>
      <w:szCs w:val="18"/>
    </w:rPr>
  </w:style>
  <w:style w:type="paragraph" w:customStyle="1" w:styleId="Heading10">
    <w:name w:val="Heading1"/>
    <w:basedOn w:val="Style1"/>
    <w:pPr>
      <w:ind w:left="1080" w:hanging="720"/>
    </w:pPr>
  </w:style>
  <w:style w:type="paragraph" w:customStyle="1" w:styleId="Heading20">
    <w:name w:val="Heading2"/>
    <w:basedOn w:val="Style2"/>
  </w:style>
  <w:style w:type="paragraph" w:styleId="Header">
    <w:name w:val="header"/>
    <w:basedOn w:val="Normal"/>
    <w:link w:val="HeaderChar"/>
    <w:uiPriority w:val="99"/>
    <w:unhideWhenUsed/>
    <w:rsid w:val="003D3F69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D3F6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D3F69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A4D38037E8E064B9AB4DD92FD798682" ma:contentTypeVersion="1" ma:contentTypeDescription="Create a new document in this library." ma:contentTypeScope="" ma:versionID="26f6938dd2f9ef8cff9d10d04eaa8746">
  <xsd:schema xmlns:xsd="http://www.w3.org/2001/XMLSchema" xmlns:xs="http://www.w3.org/2001/XMLSchema" xmlns:p="http://schemas.microsoft.com/office/2006/metadata/properties" xmlns:ns3="2034c5a8-16c9-4395-aa5f-bdb6e7f52619" targetNamespace="http://schemas.microsoft.com/office/2006/metadata/properties" ma:root="true" ma:fieldsID="0c6857498ea97d15e40cdc43dd99db40" ns3:_="">
    <xsd:import namespace="2034c5a8-16c9-4395-aa5f-bdb6e7f52619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c5a8-16c9-4395-aa5f-bdb6e7f52619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034c5a8-16c9-4395-aa5f-bdb6e7f52619" xsi:nil="true"/>
    <EC_Collab_DocumentLanguage xmlns="2034c5a8-16c9-4395-aa5f-bdb6e7f52619">EN</EC_Collab_DocumentLanguage>
    <EC_Collab_Status xmlns="2034c5a8-16c9-4395-aa5f-bdb6e7f52619">Not Started</EC_Collab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C345-CA55-41A4-A1D4-3DCCDF878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4c5a8-16c9-4395-aa5f-bdb6e7f52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121D3-77D1-472D-AD64-27EEF1A31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68E0F-893F-453C-A50A-0315871D3379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2034c5a8-16c9-4395-aa5f-bdb6e7f52619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DBE7B6-7DD6-414B-8D4B-11B2EE38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11</Pages>
  <Words>1276</Words>
  <Characters>10975</Characters>
  <Application>Microsoft Office Word</Application>
  <DocSecurity>0</DocSecurity>
  <Lines>422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9</cp:revision>
  <cp:lastPrinted>2016-10-05T13:53:00Z</cp:lastPrinted>
  <dcterms:created xsi:type="dcterms:W3CDTF">2016-11-07T08:58:00Z</dcterms:created>
  <dcterms:modified xsi:type="dcterms:W3CDTF">2016-11-07T16:32:00Z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ContentTypeId">
    <vt:lpwstr>0x010100258AA79CEB83498886A3A08681123250009A4D38037E8E064B9AB4DD92FD798682</vt:lpwstr>
  </property>
  <property fmtid="{D5CDD505-2E9C-101B-9397-08002B2CF9AE}" pid="13" name="DQCStatus">
    <vt:lpwstr>Yellow (DQC version 03)</vt:lpwstr>
  </property>
</Properties>
</file>