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6" w:rsidRDefault="004656B3" w:rsidP="004656B3">
      <w:pPr>
        <w:pStyle w:val="Pagedecouverture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4" type="#_x0000_t75" alt="DFE5F50CEDD440DB972489EB0B7F506D" style="width:451.35pt;height:410.5pt">
            <v:imagedata r:id="rId12" o:title=""/>
          </v:shape>
        </w:pict>
      </w:r>
      <w:bookmarkEnd w:id="0"/>
    </w:p>
    <w:p w:rsidR="00A355F6" w:rsidRDefault="00A355F6">
      <w:pPr>
        <w:rPr>
          <w:noProof/>
        </w:rPr>
        <w:sectPr w:rsidR="00A355F6" w:rsidSect="004656B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A355F6" w:rsidRDefault="004656B3">
      <w:pPr>
        <w:pStyle w:val="Typedudocument"/>
        <w:rPr>
          <w:noProof/>
        </w:rPr>
      </w:pPr>
      <w:bookmarkStart w:id="1" w:name="_Toc285188014"/>
      <w:r>
        <w:rPr>
          <w:noProof/>
        </w:rPr>
        <w:lastRenderedPageBreak/>
        <w:t>PRILOZI</w:t>
      </w:r>
    </w:p>
    <w:p w:rsidR="00A355F6" w:rsidRDefault="004656B3">
      <w:pPr>
        <w:pStyle w:val="Accompagnant"/>
        <w:rPr>
          <w:noProof/>
        </w:rPr>
      </w:pPr>
      <w:r>
        <w:rPr>
          <w:noProof/>
        </w:rPr>
        <w:t xml:space="preserve"> </w:t>
      </w:r>
    </w:p>
    <w:p w:rsidR="00A355F6" w:rsidRDefault="004656B3">
      <w:pPr>
        <w:pStyle w:val="Typeacteprincipal"/>
        <w:rPr>
          <w:noProof/>
        </w:rPr>
      </w:pPr>
      <w:r>
        <w:rPr>
          <w:noProof/>
        </w:rPr>
        <w:t xml:space="preserve">Prijedlogu DIREKTIVE VIJEĆA </w:t>
      </w:r>
    </w:p>
    <w:p w:rsidR="00A355F6" w:rsidRDefault="004656B3">
      <w:pPr>
        <w:pStyle w:val="Objetacteprincipal"/>
        <w:rPr>
          <w:noProof/>
        </w:rPr>
      </w:pPr>
      <w:r>
        <w:rPr>
          <w:noProof/>
        </w:rPr>
        <w:t xml:space="preserve">o mehanizmima rješavanja sporova povezanih s dvostrukim </w:t>
      </w:r>
      <w:r>
        <w:rPr>
          <w:noProof/>
        </w:rPr>
        <w:t>oporezivanjem u Europskoj uniji</w:t>
      </w:r>
    </w:p>
    <w:p w:rsidR="00A355F6" w:rsidRDefault="004656B3">
      <w:pPr>
        <w:pStyle w:val="ManualHeading1"/>
        <w:spacing w:after="240"/>
        <w:rPr>
          <w:noProof/>
        </w:rPr>
      </w:pPr>
      <w:r>
        <w:rPr>
          <w:noProof/>
        </w:rPr>
        <w:t>PRILOG I.</w:t>
      </w:r>
      <w:bookmarkEnd w:id="1"/>
    </w:p>
    <w:p w:rsidR="00A355F6" w:rsidRDefault="004656B3">
      <w:pPr>
        <w:spacing w:after="0"/>
        <w:rPr>
          <w:b/>
          <w:noProof/>
        </w:rPr>
      </w:pPr>
      <w:r>
        <w:rPr>
          <w:b/>
          <w:noProof/>
          <w:snapToGrid w:val="0"/>
        </w:rPr>
        <w:t>Belgique/Belgien</w:t>
      </w:r>
    </w:p>
    <w:p w:rsidR="00A355F6" w:rsidRDefault="004656B3">
      <w:pPr>
        <w:rPr>
          <w:noProof/>
        </w:rPr>
      </w:pPr>
      <w:r>
        <w:rPr>
          <w:noProof/>
        </w:rPr>
        <w:t>impôt des personnes physiques/personenbelasting,</w:t>
      </w:r>
    </w:p>
    <w:p w:rsidR="00A355F6" w:rsidRDefault="004656B3">
      <w:pPr>
        <w:rPr>
          <w:noProof/>
        </w:rPr>
      </w:pPr>
      <w:r>
        <w:rPr>
          <w:noProof/>
        </w:rPr>
        <w:t>impôt des personnes morales/rechtspersonenbelasting,</w:t>
      </w:r>
    </w:p>
    <w:p w:rsidR="00A355F6" w:rsidRDefault="004656B3">
      <w:pPr>
        <w:rPr>
          <w:noProof/>
        </w:rPr>
      </w:pPr>
      <w:r>
        <w:rPr>
          <w:noProof/>
        </w:rPr>
        <w:t>impôt des non-résidents/belasting der niet-verblijfhouders</w:t>
      </w:r>
    </w:p>
    <w:p w:rsidR="00A355F6" w:rsidRDefault="004656B3">
      <w:pPr>
        <w:rPr>
          <w:noProof/>
        </w:rPr>
      </w:pPr>
      <w:r>
        <w:rPr>
          <w:noProof/>
        </w:rPr>
        <w:t>impôt des sociétés/vennootschapsbela</w:t>
      </w:r>
      <w:r>
        <w:rPr>
          <w:noProof/>
        </w:rPr>
        <w:t>sting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България</w:t>
      </w:r>
    </w:p>
    <w:p w:rsidR="00A355F6" w:rsidRDefault="004656B3">
      <w:pPr>
        <w:rPr>
          <w:noProof/>
        </w:rPr>
      </w:pPr>
      <w:r>
        <w:rPr>
          <w:noProof/>
        </w:rPr>
        <w:t>данък върху доходите на физическите лица</w:t>
      </w:r>
    </w:p>
    <w:p w:rsidR="00A355F6" w:rsidRDefault="004656B3">
      <w:pPr>
        <w:rPr>
          <w:noProof/>
        </w:rPr>
      </w:pPr>
      <w:r>
        <w:rPr>
          <w:noProof/>
        </w:rPr>
        <w:t>корпоративен данък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Česká republika</w:t>
      </w:r>
    </w:p>
    <w:p w:rsidR="00A355F6" w:rsidRDefault="004656B3">
      <w:pPr>
        <w:rPr>
          <w:noProof/>
        </w:rPr>
      </w:pPr>
      <w:r>
        <w:rPr>
          <w:noProof/>
        </w:rPr>
        <w:t>Daň z příjmů fyzických osob</w:t>
      </w:r>
    </w:p>
    <w:p w:rsidR="00A355F6" w:rsidRDefault="004656B3">
      <w:pPr>
        <w:rPr>
          <w:noProof/>
        </w:rPr>
      </w:pPr>
      <w:r>
        <w:rPr>
          <w:noProof/>
        </w:rPr>
        <w:t>Daň z příjmů právnických osob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Danmark</w:t>
      </w:r>
    </w:p>
    <w:p w:rsidR="00A355F6" w:rsidRDefault="004656B3">
      <w:pPr>
        <w:spacing w:after="0"/>
        <w:rPr>
          <w:noProof/>
        </w:rPr>
      </w:pPr>
      <w:r>
        <w:rPr>
          <w:noProof/>
        </w:rPr>
        <w:t>selskabsskat</w:t>
      </w:r>
    </w:p>
    <w:p w:rsidR="00A355F6" w:rsidRDefault="004656B3">
      <w:pPr>
        <w:spacing w:after="0"/>
        <w:rPr>
          <w:noProof/>
        </w:rPr>
      </w:pPr>
      <w:r>
        <w:rPr>
          <w:noProof/>
        </w:rPr>
        <w:t>indkomstskat til staten</w:t>
      </w:r>
    </w:p>
    <w:p w:rsidR="00A355F6" w:rsidRDefault="004656B3">
      <w:pPr>
        <w:spacing w:after="0"/>
        <w:rPr>
          <w:noProof/>
        </w:rPr>
      </w:pPr>
      <w:r>
        <w:rPr>
          <w:noProof/>
        </w:rPr>
        <w:t>kommunale indkomstskat</w:t>
      </w:r>
    </w:p>
    <w:p w:rsidR="00A355F6" w:rsidRDefault="004656B3">
      <w:pPr>
        <w:spacing w:after="0"/>
        <w:rPr>
          <w:noProof/>
        </w:rPr>
      </w:pPr>
      <w:r>
        <w:rPr>
          <w:noProof/>
        </w:rPr>
        <w:t>amtskommunal indkomstskat</w:t>
      </w:r>
    </w:p>
    <w:p w:rsidR="00A355F6" w:rsidRDefault="004656B3">
      <w:pPr>
        <w:rPr>
          <w:noProof/>
        </w:rPr>
      </w:pPr>
      <w:r>
        <w:rPr>
          <w:noProof/>
        </w:rPr>
        <w:t xml:space="preserve">saerlig </w:t>
      </w:r>
      <w:r>
        <w:rPr>
          <w:noProof/>
        </w:rPr>
        <w:t>indkomstskat</w:t>
      </w:r>
    </w:p>
    <w:p w:rsidR="00A355F6" w:rsidRDefault="004656B3">
      <w:pPr>
        <w:rPr>
          <w:noProof/>
        </w:rPr>
      </w:pPr>
      <w:r>
        <w:rPr>
          <w:noProof/>
        </w:rPr>
        <w:t>selskabsskat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Deutschland</w:t>
      </w:r>
    </w:p>
    <w:p w:rsidR="00A355F6" w:rsidRDefault="004656B3">
      <w:pPr>
        <w:rPr>
          <w:noProof/>
        </w:rPr>
      </w:pPr>
      <w:r>
        <w:rPr>
          <w:noProof/>
        </w:rPr>
        <w:t>Einkommensteuer</w:t>
      </w:r>
    </w:p>
    <w:p w:rsidR="00A355F6" w:rsidRDefault="004656B3">
      <w:pPr>
        <w:rPr>
          <w:noProof/>
        </w:rPr>
      </w:pPr>
      <w:r>
        <w:rPr>
          <w:noProof/>
        </w:rPr>
        <w:t>Körperschaftsteuer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Eesti</w:t>
      </w:r>
    </w:p>
    <w:p w:rsidR="00A355F6" w:rsidRDefault="004656B3">
      <w:pPr>
        <w:rPr>
          <w:noProof/>
        </w:rPr>
      </w:pPr>
      <w:r>
        <w:rPr>
          <w:noProof/>
        </w:rPr>
        <w:t>Tulumaks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Éire/Ireland</w:t>
      </w:r>
    </w:p>
    <w:p w:rsidR="00A355F6" w:rsidRDefault="004656B3">
      <w:pPr>
        <w:rPr>
          <w:noProof/>
        </w:rPr>
      </w:pPr>
      <w:r>
        <w:rPr>
          <w:noProof/>
        </w:rPr>
        <w:t>Income Tax</w:t>
      </w:r>
    </w:p>
    <w:p w:rsidR="00A355F6" w:rsidRDefault="004656B3">
      <w:pPr>
        <w:rPr>
          <w:noProof/>
        </w:rPr>
      </w:pPr>
      <w:r>
        <w:rPr>
          <w:noProof/>
        </w:rPr>
        <w:t>Corporation Tax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Ελλάδα</w:t>
      </w:r>
    </w:p>
    <w:p w:rsidR="00A355F6" w:rsidRDefault="004656B3">
      <w:pPr>
        <w:rPr>
          <w:noProof/>
        </w:rPr>
      </w:pPr>
      <w:r>
        <w:rPr>
          <w:noProof/>
        </w:rPr>
        <w:lastRenderedPageBreak/>
        <w:t>Φόρος εισοδήματος φυσικών προσώπων</w:t>
      </w:r>
    </w:p>
    <w:p w:rsidR="00A355F6" w:rsidRDefault="004656B3">
      <w:pPr>
        <w:rPr>
          <w:noProof/>
        </w:rPr>
      </w:pPr>
      <w:r>
        <w:rPr>
          <w:noProof/>
        </w:rPr>
        <w:t>Φόρος εισοδήματος νομικών προσώπων (κερδοσκοπικού χαρακτήρα)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España</w:t>
      </w:r>
    </w:p>
    <w:p w:rsidR="00A355F6" w:rsidRDefault="004656B3">
      <w:pPr>
        <w:rPr>
          <w:noProof/>
        </w:rPr>
      </w:pPr>
      <w:r>
        <w:rPr>
          <w:noProof/>
        </w:rPr>
        <w:t xml:space="preserve">Impuesto sobre la </w:t>
      </w:r>
      <w:r>
        <w:rPr>
          <w:noProof/>
        </w:rPr>
        <w:t>renta de las personas fisicas</w:t>
      </w:r>
    </w:p>
    <w:p w:rsidR="00A355F6" w:rsidRDefault="004656B3">
      <w:pPr>
        <w:rPr>
          <w:noProof/>
        </w:rPr>
      </w:pPr>
      <w:r>
        <w:rPr>
          <w:noProof/>
        </w:rPr>
        <w:t>Impuesto sobre sociedades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France</w:t>
      </w:r>
    </w:p>
    <w:p w:rsidR="00A355F6" w:rsidRDefault="004656B3">
      <w:pPr>
        <w:rPr>
          <w:noProof/>
        </w:rPr>
      </w:pPr>
      <w:r>
        <w:rPr>
          <w:noProof/>
        </w:rPr>
        <w:t>Impôt sur le revenu</w:t>
      </w:r>
    </w:p>
    <w:p w:rsidR="00A355F6" w:rsidRDefault="004656B3">
      <w:pPr>
        <w:rPr>
          <w:noProof/>
        </w:rPr>
      </w:pPr>
      <w:r>
        <w:rPr>
          <w:noProof/>
        </w:rPr>
        <w:t>Ιmpôt sur les sociétés</w:t>
      </w:r>
    </w:p>
    <w:p w:rsidR="00A355F6" w:rsidRDefault="004656B3">
      <w:pPr>
        <w:rPr>
          <w:b/>
          <w:noProof/>
        </w:rPr>
      </w:pPr>
      <w:r>
        <w:rPr>
          <w:rFonts w:ascii="Arial" w:hAnsi="Arial"/>
          <w:b/>
          <w:noProof/>
          <w:color w:val="252525"/>
          <w:sz w:val="21"/>
          <w:shd w:val="clear" w:color="auto" w:fill="FFFFFF"/>
        </w:rPr>
        <w:t>Republika Hrvatska</w:t>
      </w:r>
    </w:p>
    <w:p w:rsidR="00A355F6" w:rsidRDefault="004656B3">
      <w:pPr>
        <w:rPr>
          <w:noProof/>
        </w:rPr>
      </w:pPr>
      <w:r>
        <w:rPr>
          <w:noProof/>
        </w:rPr>
        <w:t>Porez na dohodak</w:t>
      </w:r>
    </w:p>
    <w:p w:rsidR="00A355F6" w:rsidRDefault="004656B3">
      <w:pPr>
        <w:rPr>
          <w:noProof/>
        </w:rPr>
      </w:pPr>
      <w:r>
        <w:rPr>
          <w:noProof/>
        </w:rPr>
        <w:t>Porez na dobit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Italia</w:t>
      </w:r>
    </w:p>
    <w:p w:rsidR="00A355F6" w:rsidRDefault="004656B3">
      <w:pPr>
        <w:rPr>
          <w:noProof/>
        </w:rPr>
      </w:pPr>
      <w:r>
        <w:rPr>
          <w:noProof/>
        </w:rPr>
        <w:t>Imposta sul reddito delle persone fisiche</w:t>
      </w:r>
    </w:p>
    <w:p w:rsidR="00A355F6" w:rsidRDefault="004656B3">
      <w:pPr>
        <w:rPr>
          <w:noProof/>
        </w:rPr>
      </w:pPr>
      <w:r>
        <w:rPr>
          <w:noProof/>
        </w:rPr>
        <w:t>Imposta sul reddito delle società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Κύπρος</w:t>
      </w:r>
    </w:p>
    <w:p w:rsidR="00A355F6" w:rsidRDefault="004656B3">
      <w:pPr>
        <w:rPr>
          <w:noProof/>
        </w:rPr>
      </w:pPr>
      <w:r>
        <w:rPr>
          <w:noProof/>
        </w:rPr>
        <w:t xml:space="preserve">Έκτακτη </w:t>
      </w:r>
      <w:r>
        <w:rPr>
          <w:noProof/>
        </w:rPr>
        <w:t>Εισφορά για την Άμυνα της Δημοκρατίας</w:t>
      </w:r>
    </w:p>
    <w:p w:rsidR="00A355F6" w:rsidRDefault="004656B3">
      <w:pPr>
        <w:rPr>
          <w:noProof/>
        </w:rPr>
      </w:pPr>
      <w:r>
        <w:rPr>
          <w:noProof/>
        </w:rPr>
        <w:t>Φόρος Εισοδήματος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Latvija</w:t>
      </w:r>
    </w:p>
    <w:p w:rsidR="00A355F6" w:rsidRDefault="004656B3">
      <w:pPr>
        <w:rPr>
          <w:noProof/>
        </w:rPr>
      </w:pPr>
      <w:r>
        <w:rPr>
          <w:noProof/>
        </w:rPr>
        <w:t>iedzīvotāju ienākuma nodoklis</w:t>
      </w:r>
    </w:p>
    <w:p w:rsidR="00A355F6" w:rsidRDefault="004656B3">
      <w:pPr>
        <w:rPr>
          <w:noProof/>
        </w:rPr>
      </w:pPr>
      <w:r>
        <w:rPr>
          <w:noProof/>
        </w:rPr>
        <w:t>uzņēmumu ienākuma nodoklis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Lietuva</w:t>
      </w:r>
    </w:p>
    <w:p w:rsidR="00A355F6" w:rsidRDefault="004656B3">
      <w:pPr>
        <w:rPr>
          <w:noProof/>
        </w:rPr>
      </w:pPr>
      <w:r>
        <w:rPr>
          <w:noProof/>
        </w:rPr>
        <w:t>Gyventojų pajamų mokestis</w:t>
      </w:r>
    </w:p>
    <w:p w:rsidR="00A355F6" w:rsidRDefault="004656B3">
      <w:pPr>
        <w:rPr>
          <w:noProof/>
        </w:rPr>
      </w:pPr>
      <w:r>
        <w:rPr>
          <w:noProof/>
        </w:rPr>
        <w:t>Pelno mokestis</w:t>
      </w:r>
    </w:p>
    <w:p w:rsidR="00A355F6" w:rsidRDefault="004656B3">
      <w:pPr>
        <w:spacing w:before="240" w:after="0"/>
        <w:rPr>
          <w:b/>
          <w:noProof/>
        </w:rPr>
      </w:pPr>
      <w:r>
        <w:rPr>
          <w:b/>
          <w:noProof/>
        </w:rPr>
        <w:t>Luxembourg</w:t>
      </w:r>
    </w:p>
    <w:p w:rsidR="00A355F6" w:rsidRDefault="004656B3">
      <w:pPr>
        <w:rPr>
          <w:noProof/>
        </w:rPr>
      </w:pPr>
      <w:r>
        <w:rPr>
          <w:noProof/>
        </w:rPr>
        <w:t>impôt sur le revenu des personnes physiques</w:t>
      </w:r>
    </w:p>
    <w:p w:rsidR="00A355F6" w:rsidRDefault="004656B3">
      <w:pPr>
        <w:rPr>
          <w:noProof/>
        </w:rPr>
      </w:pPr>
      <w:r>
        <w:rPr>
          <w:noProof/>
        </w:rPr>
        <w:t>impôt sur le revenu des collect</w:t>
      </w:r>
      <w:r>
        <w:rPr>
          <w:noProof/>
        </w:rPr>
        <w:t>ivités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Magyarország</w:t>
      </w:r>
    </w:p>
    <w:p w:rsidR="00A355F6" w:rsidRDefault="004656B3">
      <w:pPr>
        <w:rPr>
          <w:noProof/>
        </w:rPr>
      </w:pPr>
      <w:r>
        <w:rPr>
          <w:noProof/>
        </w:rPr>
        <w:t>személyi jövedelemadó</w:t>
      </w:r>
    </w:p>
    <w:p w:rsidR="00A355F6" w:rsidRDefault="004656B3">
      <w:pPr>
        <w:rPr>
          <w:noProof/>
        </w:rPr>
      </w:pPr>
      <w:r>
        <w:rPr>
          <w:noProof/>
        </w:rPr>
        <w:t>Társasági adó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Malta</w:t>
      </w:r>
    </w:p>
    <w:p w:rsidR="00A355F6" w:rsidRDefault="004656B3">
      <w:pPr>
        <w:rPr>
          <w:noProof/>
        </w:rPr>
      </w:pPr>
      <w:r>
        <w:rPr>
          <w:noProof/>
        </w:rPr>
        <w:t>Taxxa fuq l-income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Nederland</w:t>
      </w:r>
    </w:p>
    <w:p w:rsidR="00A355F6" w:rsidRDefault="004656B3">
      <w:pPr>
        <w:rPr>
          <w:noProof/>
        </w:rPr>
      </w:pPr>
      <w:r>
        <w:rPr>
          <w:noProof/>
        </w:rPr>
        <w:t>inkomstenbelasting</w:t>
      </w:r>
    </w:p>
    <w:p w:rsidR="00A355F6" w:rsidRDefault="004656B3">
      <w:pPr>
        <w:rPr>
          <w:noProof/>
        </w:rPr>
      </w:pPr>
      <w:r>
        <w:rPr>
          <w:noProof/>
        </w:rPr>
        <w:t>vennootschapsbelasting</w:t>
      </w:r>
    </w:p>
    <w:p w:rsidR="00A355F6" w:rsidRDefault="004656B3">
      <w:pPr>
        <w:spacing w:after="0"/>
        <w:rPr>
          <w:noProof/>
        </w:rPr>
      </w:pPr>
      <w:r>
        <w:rPr>
          <w:b/>
          <w:noProof/>
        </w:rPr>
        <w:t>Österreich</w:t>
      </w:r>
    </w:p>
    <w:p w:rsidR="00A355F6" w:rsidRDefault="004656B3">
      <w:pPr>
        <w:rPr>
          <w:noProof/>
        </w:rPr>
      </w:pPr>
      <w:r>
        <w:rPr>
          <w:noProof/>
        </w:rPr>
        <w:lastRenderedPageBreak/>
        <w:t>Einkommensteuer</w:t>
      </w:r>
    </w:p>
    <w:p w:rsidR="00A355F6" w:rsidRDefault="004656B3">
      <w:pPr>
        <w:rPr>
          <w:noProof/>
        </w:rPr>
      </w:pPr>
      <w:r>
        <w:rPr>
          <w:noProof/>
        </w:rPr>
        <w:t>Körperschaftsteuer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Polska</w:t>
      </w:r>
    </w:p>
    <w:p w:rsidR="00A355F6" w:rsidRDefault="004656B3">
      <w:pPr>
        <w:rPr>
          <w:noProof/>
        </w:rPr>
      </w:pPr>
      <w:r>
        <w:rPr>
          <w:noProof/>
        </w:rPr>
        <w:t>Podatek dochodowy od osób fizycznych</w:t>
      </w:r>
    </w:p>
    <w:p w:rsidR="00A355F6" w:rsidRDefault="004656B3">
      <w:pPr>
        <w:rPr>
          <w:noProof/>
        </w:rPr>
      </w:pPr>
      <w:r>
        <w:rPr>
          <w:noProof/>
        </w:rPr>
        <w:t xml:space="preserve">Podatek dochodowy od osób </w:t>
      </w:r>
      <w:r>
        <w:rPr>
          <w:noProof/>
        </w:rPr>
        <w:t>prawnych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Portugal</w:t>
      </w:r>
    </w:p>
    <w:p w:rsidR="00A355F6" w:rsidRDefault="004656B3">
      <w:pPr>
        <w:rPr>
          <w:noProof/>
        </w:rPr>
      </w:pPr>
      <w:r>
        <w:rPr>
          <w:noProof/>
        </w:rPr>
        <w:t>imposto sobre o rendimento das pessoas singulares</w:t>
      </w:r>
    </w:p>
    <w:p w:rsidR="00A355F6" w:rsidRDefault="004656B3">
      <w:pPr>
        <w:rPr>
          <w:noProof/>
        </w:rPr>
      </w:pPr>
      <w:r>
        <w:rPr>
          <w:noProof/>
        </w:rPr>
        <w:t>imposto sobre o rendimento das pessoas colectivas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România</w:t>
      </w:r>
    </w:p>
    <w:p w:rsidR="00A355F6" w:rsidRDefault="004656B3">
      <w:pPr>
        <w:rPr>
          <w:noProof/>
        </w:rPr>
      </w:pPr>
      <w:r>
        <w:rPr>
          <w:noProof/>
        </w:rPr>
        <w:t>impozitul pe venit</w:t>
      </w:r>
    </w:p>
    <w:p w:rsidR="00A355F6" w:rsidRDefault="004656B3">
      <w:pPr>
        <w:rPr>
          <w:noProof/>
        </w:rPr>
      </w:pPr>
      <w:r>
        <w:rPr>
          <w:noProof/>
        </w:rPr>
        <w:t>impozit pe profit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Slovenija</w:t>
      </w:r>
    </w:p>
    <w:p w:rsidR="00A355F6" w:rsidRDefault="004656B3">
      <w:pPr>
        <w:rPr>
          <w:noProof/>
        </w:rPr>
      </w:pPr>
      <w:r>
        <w:rPr>
          <w:noProof/>
        </w:rPr>
        <w:t>Dohodnina</w:t>
      </w:r>
    </w:p>
    <w:p w:rsidR="00A355F6" w:rsidRDefault="004656B3">
      <w:pPr>
        <w:rPr>
          <w:noProof/>
        </w:rPr>
      </w:pPr>
      <w:r>
        <w:rPr>
          <w:noProof/>
        </w:rPr>
        <w:t>Davek od dobička pravnih oseb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Slovensko</w:t>
      </w:r>
    </w:p>
    <w:p w:rsidR="00A355F6" w:rsidRDefault="004656B3">
      <w:pPr>
        <w:rPr>
          <w:noProof/>
        </w:rPr>
      </w:pPr>
      <w:r>
        <w:rPr>
          <w:noProof/>
        </w:rPr>
        <w:t>Daň z príjmov fyzických osôb</w:t>
      </w:r>
    </w:p>
    <w:p w:rsidR="00A355F6" w:rsidRDefault="004656B3">
      <w:pPr>
        <w:rPr>
          <w:noProof/>
        </w:rPr>
      </w:pPr>
      <w:r>
        <w:rPr>
          <w:noProof/>
        </w:rPr>
        <w:t xml:space="preserve">Daň </w:t>
      </w:r>
      <w:r>
        <w:rPr>
          <w:noProof/>
        </w:rPr>
        <w:t>z príjmov právnických osôb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Suomi/Finland</w:t>
      </w:r>
    </w:p>
    <w:p w:rsidR="00A355F6" w:rsidRDefault="004656B3">
      <w:pPr>
        <w:rPr>
          <w:noProof/>
        </w:rPr>
      </w:pPr>
      <w:r>
        <w:rPr>
          <w:noProof/>
        </w:rPr>
        <w:t>valtion tuloverot/de statliga inkomstskatterna</w:t>
      </w:r>
    </w:p>
    <w:p w:rsidR="00A355F6" w:rsidRDefault="004656B3">
      <w:pPr>
        <w:rPr>
          <w:noProof/>
        </w:rPr>
      </w:pPr>
      <w:r>
        <w:rPr>
          <w:noProof/>
        </w:rPr>
        <w:t>yhteisöjen tulovero/inkomstskatten för samfund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Sverige</w:t>
      </w:r>
    </w:p>
    <w:p w:rsidR="00A355F6" w:rsidRDefault="004656B3">
      <w:pPr>
        <w:rPr>
          <w:noProof/>
        </w:rPr>
      </w:pPr>
      <w:r>
        <w:rPr>
          <w:noProof/>
        </w:rPr>
        <w:t>statlig inkomstskatt</w:t>
      </w:r>
    </w:p>
    <w:p w:rsidR="00A355F6" w:rsidRDefault="004656B3">
      <w:pPr>
        <w:spacing w:after="0"/>
        <w:rPr>
          <w:b/>
          <w:noProof/>
        </w:rPr>
      </w:pPr>
      <w:r>
        <w:rPr>
          <w:b/>
          <w:noProof/>
        </w:rPr>
        <w:t>United Kingdom</w:t>
      </w:r>
    </w:p>
    <w:p w:rsidR="00A355F6" w:rsidRDefault="004656B3">
      <w:pPr>
        <w:rPr>
          <w:noProof/>
        </w:rPr>
      </w:pPr>
      <w:r>
        <w:rPr>
          <w:noProof/>
        </w:rPr>
        <w:t>Income Tax</w:t>
      </w:r>
    </w:p>
    <w:p w:rsidR="00A355F6" w:rsidRDefault="004656B3">
      <w:pPr>
        <w:rPr>
          <w:noProof/>
        </w:rPr>
      </w:pPr>
      <w:r>
        <w:rPr>
          <w:noProof/>
        </w:rPr>
        <w:t>Corporation Tax</w:t>
      </w:r>
    </w:p>
    <w:p w:rsidR="00A355F6" w:rsidRDefault="004656B3">
      <w:pPr>
        <w:spacing w:before="0" w:after="0"/>
        <w:jc w:val="left"/>
        <w:rPr>
          <w:noProof/>
        </w:rPr>
      </w:pPr>
      <w:r>
        <w:rPr>
          <w:noProof/>
        </w:rPr>
        <w:br w:type="page"/>
      </w:r>
    </w:p>
    <w:p w:rsidR="00A355F6" w:rsidRDefault="004656B3">
      <w:pPr>
        <w:pStyle w:val="ManualHeading1"/>
        <w:spacing w:after="240"/>
        <w:rPr>
          <w:noProof/>
        </w:rPr>
      </w:pPr>
      <w:r>
        <w:rPr>
          <w:noProof/>
        </w:rPr>
        <w:lastRenderedPageBreak/>
        <w:t>PRILOG II.</w:t>
      </w:r>
    </w:p>
    <w:p w:rsidR="00A355F6" w:rsidRDefault="004656B3">
      <w:pPr>
        <w:spacing w:before="150" w:after="150"/>
        <w:ind w:right="975"/>
        <w:jc w:val="center"/>
        <w:rPr>
          <w:b/>
          <w:smallCaps/>
          <w:noProof/>
          <w:szCs w:val="18"/>
        </w:rPr>
      </w:pPr>
      <w:r>
        <w:rPr>
          <w:b/>
          <w:smallCaps/>
          <w:noProof/>
        </w:rPr>
        <w:t xml:space="preserve">Pravila djelovanja savjetodavnog povjerenstva ili povjerenstva za alternativno rješavanje sporova </w:t>
      </w:r>
    </w:p>
    <w:p w:rsidR="00A355F6" w:rsidRDefault="00A355F6">
      <w:pPr>
        <w:spacing w:before="150" w:after="150"/>
        <w:ind w:right="975"/>
        <w:jc w:val="center"/>
        <w:rPr>
          <w:noProof/>
          <w:szCs w:val="18"/>
        </w:rPr>
      </w:pPr>
    </w:p>
    <w:p w:rsidR="00A355F6" w:rsidRDefault="004656B3">
      <w:pPr>
        <w:pStyle w:val="Heading1"/>
        <w:numPr>
          <w:ilvl w:val="0"/>
          <w:numId w:val="13"/>
        </w:numPr>
        <w:rPr>
          <w:noProof/>
        </w:rPr>
      </w:pPr>
      <w:r>
        <w:rPr>
          <w:noProof/>
        </w:rPr>
        <w:t xml:space="preserve"> Opće informacije</w: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 xml:space="preserve">Imena stranaka: </w:t>
      </w:r>
    </w:p>
    <w:p w:rsidR="00A355F6" w:rsidRDefault="00A355F6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Država članica boravišta ili poslovnog nastana:</w:t>
      </w:r>
    </w:p>
    <w:p w:rsidR="00A355F6" w:rsidRDefault="00A355F6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Puna adresa i podaci osobe za kontakt sa strankama (uključujući telefon</w:t>
      </w:r>
      <w:r>
        <w:rPr>
          <w:noProof/>
        </w:rPr>
        <w:t>ski broj i adresu elektroničke pošte):</w:t>
      </w:r>
    </w:p>
    <w:p w:rsidR="00A355F6" w:rsidRDefault="00A355F6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Imena i pojedinosti savjetodavnog tijela za stranke:</w:t>
      </w:r>
    </w:p>
    <w:p w:rsidR="00A355F6" w:rsidRDefault="004656B3">
      <w:pPr>
        <w:pStyle w:val="Heading1"/>
        <w:rPr>
          <w:noProof/>
        </w:rPr>
      </w:pPr>
      <w:r>
        <w:rPr>
          <w:noProof/>
        </w:rPr>
        <w:t>Sastav savjetodavnog povjerenstva ili povjerenstva za alternativno rješavanje sporova</w:t>
      </w:r>
    </w:p>
    <w:p w:rsidR="00A355F6" w:rsidRDefault="004656B3">
      <w:pPr>
        <w:pStyle w:val="Heading2"/>
        <w:rPr>
          <w:noProof/>
          <w:szCs w:val="18"/>
        </w:rPr>
      </w:pPr>
      <w:r>
        <w:rPr>
          <w:noProof/>
        </w:rPr>
        <w:t>Oblik:</w:t>
      </w:r>
    </w:p>
    <w:p w:rsidR="00A355F6" w:rsidRDefault="004656B3">
      <w:pPr>
        <w:ind w:left="850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Savjetodavno povjerenstvo</w:t>
      </w:r>
      <w:r>
        <w:rPr>
          <w:noProof/>
        </w:rPr>
        <w:t xml:space="preserve"> </w:t>
      </w:r>
    </w:p>
    <w:p w:rsidR="00A355F6" w:rsidRDefault="004656B3">
      <w:pPr>
        <w:ind w:left="850"/>
        <w:jc w:val="left"/>
        <w:rPr>
          <w:i/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Povjerenstvo za alternativno rješavanje</w:t>
      </w:r>
      <w:r>
        <w:rPr>
          <w:b/>
          <w:noProof/>
        </w:rPr>
        <w:t xml:space="preserve"> sporova</w:t>
      </w:r>
      <w:r>
        <w:rPr>
          <w:noProof/>
        </w:rPr>
        <w:t xml:space="preserve">, </w:t>
      </w:r>
      <w:r>
        <w:rPr>
          <w:i/>
          <w:noProof/>
        </w:rPr>
        <w:t>navesti (mirenje, posredovanje itd.): _________________</w:t>
      </w:r>
    </w:p>
    <w:p w:rsidR="00A355F6" w:rsidRDefault="00A355F6">
      <w:pPr>
        <w:ind w:left="850"/>
        <w:rPr>
          <w:i/>
          <w:noProof/>
        </w:rPr>
      </w:pPr>
    </w:p>
    <w:p w:rsidR="00A355F6" w:rsidRDefault="004656B3">
      <w:pPr>
        <w:ind w:left="850"/>
        <w:rPr>
          <w:b/>
          <w:noProof/>
        </w:rPr>
      </w:pPr>
      <w:r>
        <w:rPr>
          <w:b/>
          <w:noProof/>
        </w:rPr>
        <w:t>Broj članova:</w:t>
      </w:r>
    </w:p>
    <w:p w:rsidR="00A355F6" w:rsidRDefault="004656B3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Predsjedavajući</w:t>
      </w:r>
    </w:p>
    <w:p w:rsidR="00A355F6" w:rsidRDefault="004656B3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___ neovisne ugledne osobe / neovisnih uglednih osoba </w:t>
      </w:r>
      <w:r>
        <w:rPr>
          <w:i/>
          <w:noProof/>
          <w:sz w:val="20"/>
        </w:rPr>
        <w:t>(navodi se paran broj)</w:t>
      </w:r>
    </w:p>
    <w:p w:rsidR="00A355F6" w:rsidRDefault="004656B3">
      <w:pPr>
        <w:pStyle w:val="ListDash2"/>
        <w:numPr>
          <w:ilvl w:val="0"/>
          <w:numId w:val="6"/>
        </w:numPr>
        <w:spacing w:after="360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___ predstavnika nadležnih tijela </w:t>
      </w:r>
      <w:r>
        <w:rPr>
          <w:i/>
          <w:noProof/>
          <w:sz w:val="20"/>
        </w:rPr>
        <w:t>(najviše 4, tj. 2 predstavnika svakog nadl</w:t>
      </w:r>
      <w:r>
        <w:rPr>
          <w:i/>
          <w:noProof/>
          <w:sz w:val="20"/>
        </w:rPr>
        <w:t>ežnog tijela, što se može smanjiti na 2)</w:t>
      </w:r>
    </w:p>
    <w:p w:rsidR="00A355F6" w:rsidRDefault="004656B3">
      <w:pPr>
        <w:pStyle w:val="Heading2"/>
        <w:rPr>
          <w:noProof/>
        </w:rPr>
      </w:pPr>
      <w:r w:rsidRPr="004656B3">
        <w:rPr>
          <w:rStyle w:val="Heading2Char"/>
          <w:b/>
          <w:noProof/>
          <w:lang w:val="hr-HR"/>
        </w:rPr>
        <w:t>Potpuni podaci i informacije za kontakt s članovima</w:t>
      </w:r>
      <w:r>
        <w:rPr>
          <w:noProof/>
        </w:rPr>
        <w:t xml:space="preserve"> </w:t>
      </w:r>
      <w:r>
        <w:rPr>
          <w:i/>
          <w:noProof/>
          <w:sz w:val="20"/>
        </w:rPr>
        <w:t>(uključujući ime osobe za kontakt, punu poštansku adresu, adresu e-pošte i telefonski broj, životopise i preporuke neovisnih osoba, koji se prilažu ovim pravilima.</w:t>
      </w:r>
      <w:r>
        <w:rPr>
          <w:i/>
          <w:noProof/>
          <w:sz w:val="20"/>
        </w:rPr>
        <w:t xml:space="preserve"> U priloženim životopisima trebaju biti uvrštene posebne preporuke o neovisnosti i stručnosti)</w:t>
      </w:r>
      <w:r>
        <w:rPr>
          <w:noProof/>
        </w:rPr>
        <w:t>:</w:t>
      </w: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Predsjedavajući:</w:t>
      </w: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6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7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697" w:right="975" w:firstLine="153"/>
        <w:rPr>
          <w:i/>
          <w:noProof/>
          <w:sz w:val="20"/>
          <w:szCs w:val="18"/>
        </w:rPr>
      </w:pPr>
      <w:r>
        <w:rPr>
          <w:i/>
          <w:noProof/>
          <w:sz w:val="20"/>
        </w:rPr>
        <w:t>Državljanstvo: ______________________ Mjesto boravka: _______________________</w:t>
      </w:r>
    </w:p>
    <w:p w:rsidR="00A355F6" w:rsidRDefault="00A355F6">
      <w:pPr>
        <w:pStyle w:val="ListParagraph"/>
        <w:spacing w:before="150" w:after="150"/>
        <w:ind w:left="567" w:right="975"/>
        <w:rPr>
          <w:noProof/>
          <w:szCs w:val="18"/>
        </w:rPr>
      </w:pP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Neovisna osoba (koju je imenovao ___):</w:t>
      </w: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8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29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697" w:right="975" w:firstLine="153"/>
        <w:rPr>
          <w:i/>
          <w:noProof/>
          <w:sz w:val="20"/>
          <w:szCs w:val="18"/>
        </w:rPr>
      </w:pPr>
      <w:r>
        <w:rPr>
          <w:i/>
          <w:noProof/>
          <w:sz w:val="20"/>
        </w:rPr>
        <w:t xml:space="preserve">Državljanstvo: </w:t>
      </w:r>
      <w:r>
        <w:rPr>
          <w:i/>
          <w:noProof/>
          <w:sz w:val="20"/>
        </w:rPr>
        <w:t>______________________ Mjesto boravka: _______________________</w:t>
      </w:r>
    </w:p>
    <w:p w:rsidR="00A355F6" w:rsidRDefault="00A355F6">
      <w:pPr>
        <w:pStyle w:val="ListParagraph"/>
        <w:spacing w:before="150" w:after="150"/>
        <w:ind w:left="567" w:right="975"/>
        <w:rPr>
          <w:noProof/>
          <w:szCs w:val="18"/>
        </w:rPr>
      </w:pP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Neovisna osoba (koju je imenovalo ___):</w:t>
      </w: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0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lastRenderedPageBreak/>
        <w:pict>
          <v:rect id="_x0000_i1031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697" w:right="975" w:firstLine="153"/>
        <w:rPr>
          <w:i/>
          <w:noProof/>
          <w:sz w:val="20"/>
          <w:szCs w:val="18"/>
        </w:rPr>
      </w:pPr>
      <w:r>
        <w:rPr>
          <w:i/>
          <w:noProof/>
          <w:sz w:val="20"/>
        </w:rPr>
        <w:t>Državljanstvo: ______________________ Mjesto boravka: _______________________</w:t>
      </w:r>
    </w:p>
    <w:p w:rsidR="00A355F6" w:rsidRDefault="00A355F6">
      <w:pPr>
        <w:pStyle w:val="ListParagraph"/>
        <w:spacing w:before="150" w:after="150"/>
        <w:ind w:left="567" w:right="975"/>
        <w:rPr>
          <w:noProof/>
          <w:szCs w:val="18"/>
        </w:rPr>
      </w:pP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Nadležna tijela (predstavnik koji je imenovan za___)</w:t>
      </w: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2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3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Nadležna tij</w:t>
      </w:r>
      <w:r>
        <w:rPr>
          <w:noProof/>
        </w:rPr>
        <w:t>ela (predstavnik koji je imenovan za___)</w:t>
      </w: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4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5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Nadležna tijela (predstavnik koji je imenovan za___)</w:t>
      </w: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6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7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</w:rPr>
        <w:t>Nadležna tijela (predstavnik koji je imenovan za___)</w:t>
      </w: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8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697" w:right="975" w:firstLine="153"/>
        <w:rPr>
          <w:noProof/>
          <w:szCs w:val="18"/>
        </w:rPr>
      </w:pPr>
      <w:r>
        <w:rPr>
          <w:noProof/>
          <w:szCs w:val="18"/>
        </w:rPr>
        <w:pict>
          <v:rect id="_x0000_i1039" style="width:0;height:1.5pt" o:hralign="center" o:hrstd="t" o:hr="t" fillcolor="#a0a0a0" stroked="f"/>
        </w:pict>
      </w:r>
    </w:p>
    <w:p w:rsidR="00A355F6" w:rsidRDefault="004656B3">
      <w:pPr>
        <w:pStyle w:val="Heading1"/>
        <w:rPr>
          <w:noProof/>
        </w:rPr>
      </w:pPr>
      <w:r>
        <w:rPr>
          <w:noProof/>
        </w:rPr>
        <w:t>Opis i značajke slučaja</w:t>
      </w:r>
    </w:p>
    <w:p w:rsidR="00A355F6" w:rsidRDefault="004656B3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Opis predmeta:</w: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0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1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2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3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Porezno razdoblje / porezna razdoblja:</w: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4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5" style="width:0;height:1.5pt" o:hralign="center" o:hrstd="t" o:hr="t" fillcolor="#a0a0a0" stroked="f"/>
        </w:pict>
      </w:r>
    </w:p>
    <w:p w:rsidR="00A355F6" w:rsidRDefault="00A355F6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A355F6" w:rsidRDefault="004656B3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Sektor / gospodarska grana:</w: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6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7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48" style="width:0;height:1.5pt" o:hralign="center" o:hrstd="t" o:hr="t" fillcolor="#a0a0a0" stroked="f"/>
        </w:pict>
      </w:r>
    </w:p>
    <w:p w:rsidR="00A355F6" w:rsidRDefault="00A355F6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A355F6" w:rsidRDefault="004656B3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Upućivanja na pravne osnove (zakon/ugovor– međunarodna praksa):</w:t>
      </w:r>
    </w:p>
    <w:p w:rsidR="00A355F6" w:rsidRDefault="00A355F6">
      <w:pPr>
        <w:pStyle w:val="ListParagraph"/>
        <w:spacing w:before="150" w:after="150"/>
        <w:ind w:left="0" w:right="975"/>
        <w:rPr>
          <w:b/>
          <w:noProof/>
          <w:szCs w:val="18"/>
        </w:rPr>
      </w:pP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Odredbe nacionalnog prava</w:t>
      </w:r>
      <w:r>
        <w:rPr>
          <w:noProof/>
        </w:rPr>
        <w:t xml:space="preserve"> </w:t>
      </w:r>
      <w:r>
        <w:rPr>
          <w:i/>
          <w:noProof/>
          <w:sz w:val="20"/>
        </w:rPr>
        <w:t>(Dostavlja se detaljno upućivanje na odgovarajuće članke kojem se mogu priložiti potpune odredbe)</w:t>
      </w:r>
      <w:r>
        <w:rPr>
          <w:noProof/>
        </w:rPr>
        <w:t xml:space="preserve"> </w:t>
      </w:r>
      <w:r>
        <w:rPr>
          <w:noProof/>
          <w:szCs w:val="18"/>
        </w:rPr>
        <w:pict>
          <v:rect id="_x0000_i1049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0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1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Sporazum o izbjegavanj</w:t>
      </w:r>
      <w:r>
        <w:rPr>
          <w:b/>
          <w:noProof/>
        </w:rPr>
        <w:t>u dvostrukog oporezivanja</w:t>
      </w:r>
      <w:r>
        <w:rPr>
          <w:noProof/>
        </w:rPr>
        <w:t xml:space="preserve"> </w:t>
      </w:r>
      <w:r>
        <w:rPr>
          <w:i/>
          <w:noProof/>
          <w:sz w:val="20"/>
        </w:rPr>
        <w:t>(Dostavlja se detaljno upućivanje na odgovarajuće članke kojem se mogu priložiti potpune odredbe)</w:t>
      </w:r>
    </w:p>
    <w:p w:rsidR="00A355F6" w:rsidRDefault="00A355F6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</w:rPr>
        <w:t>Navedite je li:</w:t>
      </w:r>
    </w:p>
    <w:p w:rsidR="00A355F6" w:rsidRDefault="004656B3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potpisan sporazum o izbjegavanju dvostrukog oporezivanja između dvije države članice [ili više njih] (datum potpi</w:t>
      </w:r>
      <w:r>
        <w:rPr>
          <w:noProof/>
        </w:rPr>
        <w:t>sa: _________________ ),</w:t>
      </w:r>
    </w:p>
    <w:p w:rsidR="00A355F6" w:rsidRDefault="004656B3">
      <w:pPr>
        <w:pStyle w:val="Text1"/>
        <w:rPr>
          <w:noProof/>
        </w:rPr>
      </w:pPr>
      <w:r>
        <w:rPr>
          <w:noProof/>
        </w:rPr>
        <w:t>ako nije na snazi nijedan sporazum o izbjegavanju dvostrukog oporezivanja:</w:t>
      </w:r>
    </w:p>
    <w:p w:rsidR="00A355F6" w:rsidRDefault="004656B3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predložak poreznog ugovora OECD-a (datum: _________________ )</w:t>
      </w:r>
    </w:p>
    <w:p w:rsidR="00A355F6" w:rsidRDefault="004656B3">
      <w:pPr>
        <w:pStyle w:val="ListDash2"/>
        <w:numPr>
          <w:ilvl w:val="0"/>
          <w:numId w:val="6"/>
        </w:numPr>
        <w:spacing w:before="0" w:after="0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svako drugo upućivanje o kojem su se dogovorila nadležna tijela:</w:t>
      </w:r>
    </w:p>
    <w:p w:rsidR="00A355F6" w:rsidRDefault="004656B3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2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lastRenderedPageBreak/>
        <w:pict>
          <v:rect id="_x0000_i1053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4" style="width:0;height:1.5pt" o:hralign="center" o:hrstd="t" o:hr="t" fillcolor="#a0a0a0" stroked="f"/>
        </w:pict>
      </w:r>
      <w:r>
        <w:rPr>
          <w:noProof/>
          <w:szCs w:val="18"/>
        </w:rPr>
        <w:pict>
          <v:rect id="_x0000_i1055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0" w:after="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6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7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 xml:space="preserve">Procijenjeni izračun spornog dvostrukog poreza </w:t>
      </w:r>
      <w:r>
        <w:rPr>
          <w:i/>
          <w:noProof/>
          <w:sz w:val="20"/>
        </w:rPr>
        <w:t>(ukupni iznos glavnice i osnovne pojedinosti o njoj po fiskalnoj godini, kamate i kazne, primjenjive porezne stope i odgovarajuća porezna osnovica)</w:t>
      </w:r>
      <w:r>
        <w:rPr>
          <w:noProof/>
        </w:rPr>
        <w:t xml:space="preserve"> </w:t>
      </w:r>
      <w:r>
        <w:rPr>
          <w:noProof/>
          <w:szCs w:val="18"/>
        </w:rPr>
        <w:pict>
          <v:rect id="_x0000_i1058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59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0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1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2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3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64" style="width:0;height:1.5pt" o:hralign="center" o:hrstd="t" o:hr="t" fillcolor="#a0a0a0" stroked="f"/>
        </w:pict>
      </w:r>
    </w:p>
    <w:p w:rsidR="00A355F6" w:rsidRDefault="00A355F6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A355F6" w:rsidRDefault="004656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i/>
          <w:noProof/>
          <w:sz w:val="22"/>
          <w:szCs w:val="18"/>
        </w:rPr>
      </w:pPr>
      <w:r>
        <w:rPr>
          <w:b/>
          <w:i/>
          <w:noProof/>
          <w:sz w:val="22"/>
        </w:rPr>
        <w:t>Primjedbe poreznog obveznika na navedene infor</w:t>
      </w:r>
      <w:r>
        <w:rPr>
          <w:b/>
          <w:i/>
          <w:noProof/>
          <w:sz w:val="22"/>
        </w:rPr>
        <w:t>macije:</w:t>
      </w:r>
    </w:p>
    <w:p w:rsidR="00A355F6" w:rsidRDefault="004656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i/>
          <w:noProof/>
          <w:sz w:val="18"/>
        </w:rPr>
        <w:t>(U okviru postupka porezni obveznik ovdje može unijeti primjedbe.)</w:t>
      </w:r>
    </w:p>
    <w:p w:rsidR="00A355F6" w:rsidRDefault="004656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noProof/>
          <w:sz w:val="22"/>
          <w:szCs w:val="18"/>
        </w:rPr>
      </w:pPr>
      <w:r>
        <w:rPr>
          <w:b/>
          <w:noProof/>
          <w:sz w:val="22"/>
        </w:rPr>
        <w:t>Opis predmeta:</w:t>
      </w:r>
    </w:p>
    <w:p w:rsidR="00A355F6" w:rsidRDefault="004656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5" style="width:0;height:1.5pt" o:hralign="center" o:hrstd="t" o:hr="t" fillcolor="#a0a0a0" stroked="f"/>
        </w:pict>
      </w:r>
    </w:p>
    <w:p w:rsidR="00A355F6" w:rsidRDefault="004656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6" style="width:0;height:1.5pt" o:hralign="center" o:hrstd="t" o:hr="t" fillcolor="#a0a0a0" stroked="f"/>
        </w:pict>
      </w:r>
    </w:p>
    <w:p w:rsidR="00A355F6" w:rsidRDefault="004656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noProof/>
          <w:sz w:val="22"/>
          <w:szCs w:val="18"/>
        </w:rPr>
      </w:pPr>
      <w:r>
        <w:rPr>
          <w:b/>
          <w:noProof/>
          <w:sz w:val="22"/>
        </w:rPr>
        <w:t>Porezno razdoblje:</w:t>
      </w:r>
    </w:p>
    <w:p w:rsidR="00A355F6" w:rsidRDefault="004656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7" style="width:0;height:1.5pt" o:hralign="center" o:hrstd="t" o:hr="t" fillcolor="#a0a0a0" stroked="f"/>
        </w:pict>
      </w:r>
    </w:p>
    <w:p w:rsidR="00A355F6" w:rsidRDefault="004656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b/>
          <w:noProof/>
          <w:sz w:val="22"/>
          <w:szCs w:val="18"/>
        </w:rPr>
      </w:pPr>
      <w:r>
        <w:rPr>
          <w:b/>
          <w:noProof/>
          <w:sz w:val="22"/>
        </w:rPr>
        <w:t>Upućivanja na pravne osnove (uključeni zakon/ugovor / uključeni zakoni – međunarodna praksa):</w:t>
      </w:r>
    </w:p>
    <w:p w:rsidR="00A355F6" w:rsidRDefault="004656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68" style="width:0;height:1.5pt" o:hralign="center" o:hrstd="t" o:hr="t" fillcolor="#a0a0a0" stroked="f"/>
        </w:pict>
      </w:r>
    </w:p>
    <w:p w:rsidR="00A355F6" w:rsidRDefault="004656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b/>
          <w:noProof/>
          <w:sz w:val="22"/>
        </w:rPr>
        <w:t xml:space="preserve">Izračun spornog dvostrukog poreza </w:t>
      </w:r>
      <w:r>
        <w:rPr>
          <w:i/>
          <w:noProof/>
          <w:sz w:val="18"/>
        </w:rPr>
        <w:t xml:space="preserve">(ukupni </w:t>
      </w:r>
      <w:r>
        <w:rPr>
          <w:i/>
          <w:noProof/>
          <w:sz w:val="18"/>
        </w:rPr>
        <w:t>iznos i osnovne pojedinosti o porezu po fiskalnoj godini, kamate i kazne, primjenjive porezne stope i odgovarajuće porezne osnovice)</w:t>
      </w:r>
      <w:r>
        <w:rPr>
          <w:noProof/>
        </w:rPr>
        <w:t xml:space="preserve"> </w:t>
      </w:r>
      <w:r>
        <w:rPr>
          <w:noProof/>
          <w:sz w:val="22"/>
        </w:rPr>
        <w:t xml:space="preserve"> </w:t>
      </w:r>
      <w:r>
        <w:rPr>
          <w:noProof/>
          <w:sz w:val="22"/>
          <w:szCs w:val="18"/>
        </w:rPr>
        <w:pict>
          <v:rect id="_x0000_i1069" style="width:0;height:1.5pt" o:hralign="center" o:hrstd="t" o:hr="t" fillcolor="#a0a0a0" stroked="f"/>
        </w:pict>
      </w:r>
    </w:p>
    <w:p w:rsidR="00A355F6" w:rsidRDefault="004656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70" style="width:0;height:1.5pt" o:hralign="center" o:hrstd="t" o:hr="t" fillcolor="#a0a0a0" stroked="f"/>
        </w:pict>
      </w:r>
    </w:p>
    <w:p w:rsidR="00A355F6" w:rsidRDefault="004656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71" style="width:0;height:1.5pt" o:hralign="center" o:hrstd="t" o:hr="t" fillcolor="#a0a0a0" stroked="f"/>
        </w:pict>
      </w:r>
    </w:p>
    <w:p w:rsidR="00A355F6" w:rsidRDefault="004656B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/>
        <w:ind w:left="709" w:right="975"/>
        <w:rPr>
          <w:noProof/>
          <w:sz w:val="22"/>
          <w:szCs w:val="18"/>
        </w:rPr>
      </w:pPr>
      <w:r>
        <w:rPr>
          <w:noProof/>
          <w:sz w:val="22"/>
          <w:szCs w:val="18"/>
        </w:rPr>
        <w:pict>
          <v:rect id="_x0000_i1072" style="width:0;height:1.5pt" o:hralign="center" o:hrstd="t" o:hr="t" fillcolor="#a0a0a0" stroked="f"/>
        </w:pict>
      </w:r>
    </w:p>
    <w:p w:rsidR="00A355F6" w:rsidRDefault="004656B3">
      <w:pPr>
        <w:pStyle w:val="Heading1"/>
        <w:rPr>
          <w:noProof/>
        </w:rPr>
      </w:pPr>
      <w:r>
        <w:rPr>
          <w:noProof/>
        </w:rPr>
        <w:t>Nadležnosti o kojima su se dogovorila nadležna tijela:</w:t>
      </w:r>
    </w:p>
    <w:p w:rsidR="00A355F6" w:rsidRDefault="004656B3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 xml:space="preserve">Opis pravnih pitanja koje treba protumačiti u spornom </w:t>
      </w:r>
      <w:r>
        <w:rPr>
          <w:b/>
          <w:noProof/>
        </w:rPr>
        <w:t>slučaju dvostrukog oporezivanja:</w: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3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4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5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6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>Opis činjeničnih okolnosti koje treba razmotriti i činjenica</w:t>
      </w:r>
      <w:r>
        <w:rPr>
          <w:noProof/>
        </w:rPr>
        <w:t xml:space="preserve"> </w:t>
      </w:r>
      <w:r>
        <w:rPr>
          <w:b/>
          <w:noProof/>
        </w:rPr>
        <w:t>za koje nadležna tijela trebaju pojašnjenje i/ili tumačenje savjetodavnog povjerenstva ili povjerenstva za alternativno rješavanje sporova:</w:t>
      </w:r>
      <w:r>
        <w:rPr>
          <w:b/>
          <w:noProof/>
          <w:szCs w:val="18"/>
        </w:rPr>
        <w:pict>
          <v:rect id="_x0000_i1077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8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79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0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>Pitanja</w:t>
      </w:r>
      <w:r>
        <w:rPr>
          <w:b/>
          <w:noProof/>
        </w:rPr>
        <w:t xml:space="preserve"> koja savjetodavno povjerenstvo ili povjerenstvo za alternativno rješavanje sporova trebaju razmotriti u svojem mišljenju:</w:t>
      </w:r>
      <w:r>
        <w:rPr>
          <w:b/>
          <w:noProof/>
          <w:szCs w:val="18"/>
        </w:rPr>
        <w:pict>
          <v:rect id="_x0000_i1081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2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3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lastRenderedPageBreak/>
        <w:pict>
          <v:rect id="_x0000_i1084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5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6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7" style="width:0;height:1.5pt" o:hralign="center" o:hrstd="t" o:hr="t" fillcolor="#a0a0a0" stroked="f"/>
        </w:pict>
      </w:r>
    </w:p>
    <w:p w:rsidR="00A355F6" w:rsidRDefault="004656B3">
      <w:pPr>
        <w:pStyle w:val="Heading1"/>
        <w:rPr>
          <w:noProof/>
        </w:rPr>
      </w:pPr>
      <w:r>
        <w:rPr>
          <w:noProof/>
        </w:rPr>
        <w:t>Vremenski okvir i raspored postupka odlučivanja</w:t>
      </w:r>
    </w:p>
    <w:p w:rsidR="00A355F6" w:rsidRDefault="004656B3">
      <w:pPr>
        <w:pStyle w:val="ListParagraph"/>
        <w:spacing w:before="150" w:after="150"/>
        <w:ind w:left="0" w:right="975"/>
        <w:rPr>
          <w:b/>
          <w:noProof/>
          <w:szCs w:val="18"/>
        </w:rPr>
      </w:pPr>
      <w:r>
        <w:rPr>
          <w:b/>
          <w:noProof/>
        </w:rPr>
        <w:t>Očekivani datum za konačno mišljenje:</w: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8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89" style="width:0;height:1.5pt" o:hralign="center" o:hrstd="t" o:hr="t" fillcolor="#a0a0a0" stroked="f"/>
        </w:pict>
      </w:r>
    </w:p>
    <w:p w:rsidR="00A355F6" w:rsidRDefault="004656B3">
      <w:pPr>
        <w:rPr>
          <w:b/>
          <w:noProof/>
          <w:szCs w:val="18"/>
        </w:rPr>
      </w:pPr>
      <w:r>
        <w:rPr>
          <w:b/>
          <w:noProof/>
        </w:rPr>
        <w:t xml:space="preserve">Raspored pisanih podnesaka </w:t>
      </w:r>
      <w:r>
        <w:rPr>
          <w:b/>
          <w:noProof/>
        </w:rPr>
        <w:t>stranaka:</w: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0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1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</w:rPr>
        <w:t xml:space="preserve">Raspored uzastopnih ili istodobnih podnesaka </w:t>
      </w:r>
      <w:r>
        <w:rPr>
          <w:noProof/>
        </w:rPr>
        <w:t xml:space="preserve"> </w:t>
      </w:r>
      <w:r>
        <w:rPr>
          <w:i/>
          <w:noProof/>
          <w:sz w:val="20"/>
        </w:rPr>
        <w:t>(ako postoje)</w:t>
      </w:r>
      <w:r>
        <w:rPr>
          <w:b/>
          <w:noProof/>
        </w:rPr>
        <w:t>:</w:t>
      </w:r>
      <w:r>
        <w:rPr>
          <w:b/>
          <w:noProof/>
          <w:szCs w:val="18"/>
        </w:rPr>
        <w:pict>
          <v:rect id="_x0000_i1092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3" style="width:0;height:1.5pt" o:hralign="center" o:hrstd="t" o:hr="t" fillcolor="#a0a0a0" stroked="f"/>
        </w:pict>
      </w:r>
    </w:p>
    <w:p w:rsidR="00A355F6" w:rsidRDefault="004656B3">
      <w:pPr>
        <w:rPr>
          <w:b/>
          <w:noProof/>
          <w:szCs w:val="18"/>
        </w:rPr>
      </w:pPr>
      <w:r>
        <w:rPr>
          <w:b/>
          <w:noProof/>
        </w:rPr>
        <w:t>Raspored popratnih stajališta nadležnih tijela</w:t>
      </w:r>
      <w:r>
        <w:rPr>
          <w:noProof/>
        </w:rPr>
        <w:t xml:space="preserve"> </w:t>
      </w:r>
      <w:r>
        <w:rPr>
          <w:i/>
          <w:noProof/>
          <w:sz w:val="20"/>
        </w:rPr>
        <w:t>(ako postoje)</w:t>
      </w:r>
      <w:r>
        <w:rPr>
          <w:b/>
          <w:noProof/>
        </w:rPr>
        <w:t>:</w: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4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5" style="width:0;height:1.5pt" o:hralign="center" o:hrstd="t" o:hr="t" fillcolor="#a0a0a0" stroked="f"/>
        </w:pict>
      </w:r>
    </w:p>
    <w:p w:rsidR="00A355F6" w:rsidRDefault="004656B3">
      <w:pPr>
        <w:tabs>
          <w:tab w:val="left" w:pos="8222"/>
        </w:tabs>
        <w:ind w:right="993"/>
        <w:rPr>
          <w:noProof/>
        </w:rPr>
      </w:pPr>
      <w:r>
        <w:rPr>
          <w:b/>
          <w:noProof/>
        </w:rPr>
        <w:t xml:space="preserve">Rokovi za dostavljanje dokumentiranih dokaza stranaka; posljedice kašnjenja s dostavljanjem dokaza </w:t>
      </w:r>
      <w:r>
        <w:rPr>
          <w:i/>
          <w:noProof/>
          <w:sz w:val="20"/>
        </w:rPr>
        <w:t>(ako postoje)</w:t>
      </w:r>
      <w:r>
        <w:rPr>
          <w:b/>
          <w:noProof/>
        </w:rPr>
        <w:t>:</w:t>
      </w:r>
      <w:r>
        <w:rPr>
          <w:b/>
          <w:noProof/>
          <w:szCs w:val="18"/>
        </w:rPr>
        <w:pict>
          <v:rect id="_x0000_i1096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7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098" style="width:0;height:1.5pt" o:hralign="center" o:hrstd="t" o:hr="t" fillcolor="#a0a0a0" stroked="f"/>
        </w:pict>
      </w:r>
    </w:p>
    <w:p w:rsidR="00A355F6" w:rsidRDefault="004656B3">
      <w:pPr>
        <w:ind w:right="993"/>
        <w:rPr>
          <w:noProof/>
        </w:rPr>
      </w:pPr>
      <w:r>
        <w:rPr>
          <w:b/>
          <w:noProof/>
        </w:rPr>
        <w:t xml:space="preserve">Raspored dostavljanja jednog ili više mišljenja neovisnih osoba odnosno predstavnika nadležnih tijela </w:t>
      </w:r>
      <w:r>
        <w:rPr>
          <w:i/>
          <w:noProof/>
          <w:sz w:val="20"/>
        </w:rPr>
        <w:t>(ako postoje)</w:t>
      </w:r>
      <w:r>
        <w:rPr>
          <w:b/>
          <w:noProof/>
        </w:rPr>
        <w:t>:</w:t>
      </w:r>
      <w:r>
        <w:rPr>
          <w:b/>
          <w:noProof/>
          <w:szCs w:val="18"/>
        </w:rPr>
        <w:pict>
          <v:rect id="_x0000_i1099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00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01" style="width:0;height:1.5pt" o:hralign="center" o:hrstd="t" o:hr="t" fillcolor="#a0a0a0" stroked="f"/>
        </w:pict>
      </w:r>
    </w:p>
    <w:p w:rsidR="00A355F6" w:rsidRDefault="004656B3">
      <w:pPr>
        <w:rPr>
          <w:b/>
          <w:noProof/>
        </w:rPr>
      </w:pPr>
      <w:r>
        <w:rPr>
          <w:b/>
          <w:noProof/>
        </w:rPr>
        <w:t xml:space="preserve">Predviđeni datumi saslušanja (ako postoje) i mjesto saslušanja </w:t>
      </w:r>
      <w:r>
        <w:rPr>
          <w:i/>
          <w:noProof/>
          <w:sz w:val="20"/>
        </w:rPr>
        <w:t>(ako postoji)</w:t>
      </w:r>
      <w:r>
        <w:rPr>
          <w:b/>
          <w:noProof/>
        </w:rPr>
        <w:t>:</w:t>
      </w:r>
    </w:p>
    <w:p w:rsidR="00A355F6" w:rsidRDefault="004656B3">
      <w:pPr>
        <w:ind w:right="993"/>
        <w:rPr>
          <w:noProof/>
        </w:rPr>
      </w:pPr>
      <w:r>
        <w:rPr>
          <w:b/>
          <w:noProof/>
          <w:szCs w:val="18"/>
        </w:rPr>
        <w:pict>
          <v:rect id="_x0000_i1102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03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04" style="width:0;height:1.5pt" o:hralign="center" o:hrstd="t" o:hr="t" fillcolor="#a0a0a0" stroked="f"/>
        </w:pict>
      </w:r>
    </w:p>
    <w:p w:rsidR="00A355F6" w:rsidRDefault="004656B3">
      <w:pPr>
        <w:pStyle w:val="Heading1"/>
        <w:rPr>
          <w:noProof/>
        </w:rPr>
      </w:pPr>
      <w:r>
        <w:rPr>
          <w:noProof/>
        </w:rPr>
        <w:t>Vrsta rješavanja postupka</w:t>
      </w:r>
    </w:p>
    <w:p w:rsidR="00A355F6" w:rsidRDefault="004656B3">
      <w:pPr>
        <w:ind w:left="850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Postupak </w:t>
      </w:r>
      <w:r>
        <w:rPr>
          <w:b/>
          <w:noProof/>
        </w:rPr>
        <w:t>„neovisnog mišljenja”</w:t>
      </w:r>
    </w:p>
    <w:p w:rsidR="00A355F6" w:rsidRDefault="004656B3">
      <w:pPr>
        <w:ind w:left="850"/>
        <w:rPr>
          <w:i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Postupak</w:t>
      </w:r>
      <w:r>
        <w:rPr>
          <w:b/>
          <w:noProof/>
        </w:rPr>
        <w:t xml:space="preserve"> „zadnje konačne ponude” </w:t>
      </w:r>
    </w:p>
    <w:p w:rsidR="00A355F6" w:rsidRDefault="004656B3">
      <w:pPr>
        <w:ind w:left="850"/>
        <w:rPr>
          <w:i/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Ostalo</w:t>
      </w:r>
      <w:r>
        <w:rPr>
          <w:noProof/>
        </w:rPr>
        <w:t xml:space="preserve">, </w:t>
      </w:r>
      <w:r>
        <w:rPr>
          <w:i/>
          <w:noProof/>
        </w:rPr>
        <w:t>navedite: ______________________________________</w:t>
      </w:r>
    </w:p>
    <w:p w:rsidR="00A355F6" w:rsidRDefault="004656B3">
      <w:pPr>
        <w:pStyle w:val="Heading1"/>
        <w:rPr>
          <w:noProof/>
        </w:rPr>
      </w:pPr>
      <w:r>
        <w:rPr>
          <w:noProof/>
        </w:rPr>
        <w:lastRenderedPageBreak/>
        <w:t>Troškovi</w:t>
      </w:r>
    </w:p>
    <w:p w:rsidR="00A355F6" w:rsidRDefault="004656B3">
      <w:pPr>
        <w:ind w:right="993"/>
        <w:rPr>
          <w:noProof/>
        </w:rPr>
      </w:pPr>
      <w:r>
        <w:rPr>
          <w:b/>
          <w:noProof/>
        </w:rPr>
        <w:t>Pojedinosti troškova (priroda, očekivani iznosi) koji se dijele jednako među državama članicama:</w:t>
      </w:r>
      <w:r>
        <w:rPr>
          <w:b/>
          <w:noProof/>
          <w:szCs w:val="18"/>
        </w:rPr>
        <w:pict>
          <v:rect id="_x0000_i1105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06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07" style="width:0;height:1.5pt" o:hralign="center" o:hrstd="t" o:hr="t" fillcolor="#a0a0a0" stroked="f"/>
        </w:pict>
      </w:r>
    </w:p>
    <w:p w:rsidR="00A355F6" w:rsidRDefault="004656B3">
      <w:pPr>
        <w:spacing w:before="150" w:after="150"/>
        <w:ind w:right="975"/>
        <w:rPr>
          <w:noProof/>
          <w:szCs w:val="18"/>
        </w:rPr>
      </w:pPr>
      <w:r>
        <w:rPr>
          <w:noProof/>
        </w:rPr>
        <w:t>Uključujući, ako postoje:</w:t>
      </w:r>
    </w:p>
    <w:p w:rsidR="00A355F6" w:rsidRDefault="004656B3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naknade za neovisne osobe _______________________</w:t>
      </w:r>
    </w:p>
    <w:p w:rsidR="00A355F6" w:rsidRDefault="004656B3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ostali troškovi i dnevnice za neovisne osobe_________</w:t>
      </w:r>
    </w:p>
    <w:p w:rsidR="00A355F6" w:rsidRDefault="004656B3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troškovi pismenog prevođenja ________________________________________________</w:t>
      </w:r>
    </w:p>
    <w:p w:rsidR="00A355F6" w:rsidRDefault="004656B3">
      <w:pPr>
        <w:pStyle w:val="ListDash2"/>
        <w:numPr>
          <w:ilvl w:val="0"/>
          <w:numId w:val="6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troškovi usmenog prevođenja _______________________________________</w:t>
      </w:r>
      <w:r>
        <w:rPr>
          <w:noProof/>
        </w:rPr>
        <w:t>_______</w:t>
      </w:r>
    </w:p>
    <w:p w:rsidR="00A355F6" w:rsidRDefault="004656B3">
      <w:pPr>
        <w:pStyle w:val="ListDash2"/>
        <w:numPr>
          <w:ilvl w:val="0"/>
          <w:numId w:val="6"/>
        </w:numPr>
        <w:jc w:val="left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ostali administrativni troškovi (uključujući troškove tajništva) __________________________________________________________________</w:t>
      </w:r>
    </w:p>
    <w:p w:rsidR="00A355F6" w:rsidRDefault="004656B3">
      <w:pPr>
        <w:pStyle w:val="ListDash2"/>
        <w:rPr>
          <w:noProof/>
        </w:rPr>
      </w:pPr>
      <w:r>
        <w:rPr>
          <w:noProof/>
        </w:rPr>
        <w:t xml:space="preserve">Ostali dogovori i informacije u pogledu troškova </w:t>
      </w:r>
      <w:r>
        <w:rPr>
          <w:i/>
          <w:noProof/>
          <w:sz w:val="20"/>
        </w:rPr>
        <w:t>(navesti)</w:t>
      </w:r>
      <w:r>
        <w:rPr>
          <w:noProof/>
        </w:rPr>
        <w:t>:</w:t>
      </w:r>
    </w:p>
    <w:p w:rsidR="00A355F6" w:rsidRDefault="004656B3">
      <w:pPr>
        <w:pStyle w:val="ListDash2"/>
        <w:tabs>
          <w:tab w:val="left" w:pos="7938"/>
          <w:tab w:val="left" w:pos="8789"/>
        </w:tabs>
        <w:rPr>
          <w:noProof/>
        </w:rPr>
      </w:pPr>
      <w:r>
        <w:rPr>
          <w:noProof/>
        </w:rPr>
        <w:pict>
          <v:rect id="_x0000_i1108" style="width:375.9pt;height:1.7pt" o:hrpct="947" o:hralign="center" o:hrstd="t" o:hr="t" fillcolor="#a0a0a0" stroked="f"/>
        </w:pict>
      </w:r>
    </w:p>
    <w:p w:rsidR="00A355F6" w:rsidRDefault="004656B3">
      <w:pPr>
        <w:pStyle w:val="ListDash2"/>
        <w:tabs>
          <w:tab w:val="left" w:pos="8080"/>
        </w:tabs>
        <w:ind w:right="142"/>
        <w:rPr>
          <w:noProof/>
        </w:rPr>
      </w:pPr>
      <w:r>
        <w:rPr>
          <w:noProof/>
        </w:rPr>
        <w:pict>
          <v:rect id="_x0000_i1109" style="width:0;height:1.5pt" o:hralign="center" o:hrstd="t" o:hr="t" fillcolor="#a0a0a0" stroked="f"/>
        </w:pict>
      </w:r>
    </w:p>
    <w:p w:rsidR="00A355F6" w:rsidRDefault="004656B3">
      <w:pPr>
        <w:pStyle w:val="ListDash2"/>
        <w:tabs>
          <w:tab w:val="left" w:pos="8080"/>
        </w:tabs>
        <w:rPr>
          <w:noProof/>
        </w:rPr>
      </w:pPr>
      <w:r>
        <w:rPr>
          <w:noProof/>
        </w:rPr>
        <w:pict>
          <v:rect id="_x0000_i1110" style="width:0;height:1.5pt" o:hralign="center" o:hrstd="t" o:hr="t" fillcolor="#a0a0a0" stroked="f"/>
        </w:pict>
      </w:r>
    </w:p>
    <w:p w:rsidR="00A355F6" w:rsidRDefault="004656B3">
      <w:pPr>
        <w:pStyle w:val="ListDash2"/>
        <w:tabs>
          <w:tab w:val="left" w:pos="8931"/>
        </w:tabs>
        <w:rPr>
          <w:noProof/>
        </w:rPr>
      </w:pPr>
      <w:r>
        <w:rPr>
          <w:noProof/>
        </w:rPr>
        <w:pict>
          <v:rect id="_x0000_i1111" style="width:0;height:1.5pt" o:hralign="center" o:hrstd="t" o:hr="t" fillcolor="#a0a0a0" stroked="f"/>
        </w:pict>
      </w:r>
    </w:p>
    <w:p w:rsidR="00A355F6" w:rsidRDefault="004656B3">
      <w:pPr>
        <w:pStyle w:val="ListDash2"/>
        <w:rPr>
          <w:noProof/>
        </w:rPr>
      </w:pPr>
      <w:r>
        <w:rPr>
          <w:noProof/>
        </w:rPr>
        <w:pict>
          <v:rect id="_x0000_i1112" style="width:0;height:1.5pt" o:hralign="center" o:hrstd="t" o:hr="t" fillcolor="#a0a0a0" stroked="f"/>
        </w:pict>
      </w:r>
    </w:p>
    <w:p w:rsidR="00A355F6" w:rsidRDefault="004656B3">
      <w:pPr>
        <w:pStyle w:val="ListDash2"/>
        <w:rPr>
          <w:noProof/>
        </w:rPr>
      </w:pPr>
      <w:r>
        <w:rPr>
          <w:noProof/>
        </w:rPr>
        <w:pict>
          <v:rect id="_x0000_i1113" style="width:343.35pt;height:1.7pt" o:hrpct="865" o:hralign="center" o:hrstd="t" o:hr="t" fillcolor="#a0a0a0" stroked="f"/>
        </w:pict>
      </w:r>
    </w:p>
    <w:p w:rsidR="00A355F6" w:rsidRDefault="004656B3">
      <w:pPr>
        <w:pStyle w:val="Heading1"/>
        <w:rPr>
          <w:noProof/>
        </w:rPr>
      </w:pPr>
      <w:r>
        <w:rPr>
          <w:noProof/>
        </w:rPr>
        <w:t>Organizacija i funkcioniranje</w:t>
      </w:r>
    </w:p>
    <w:p w:rsidR="00A355F6" w:rsidRDefault="004656B3">
      <w:pPr>
        <w:spacing w:before="150" w:after="150"/>
        <w:ind w:right="975"/>
        <w:rPr>
          <w:b/>
          <w:smallCaps/>
          <w:noProof/>
          <w:szCs w:val="18"/>
        </w:rPr>
      </w:pPr>
      <w:r>
        <w:rPr>
          <w:i/>
          <w:noProof/>
          <w:sz w:val="20"/>
        </w:rPr>
        <w:t>[</w:t>
      </w:r>
      <w:r>
        <w:rPr>
          <w:b/>
          <w:i/>
          <w:noProof/>
          <w:sz w:val="20"/>
        </w:rPr>
        <w:t xml:space="preserve">NAPOMENA: </w:t>
      </w:r>
      <w:r>
        <w:rPr>
          <w:b/>
          <w:i/>
          <w:noProof/>
          <w:sz w:val="20"/>
        </w:rPr>
        <w:t>tekst označen podebljanim slovima u ovom odjeljku obvezno se ispunjuje</w:t>
      </w:r>
      <w:r>
        <w:rPr>
          <w:noProof/>
        </w:rPr>
        <w:t>]</w:t>
      </w:r>
    </w:p>
    <w:p w:rsidR="00A355F6" w:rsidRDefault="004656B3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>Mjesto sastajanja savjetodavnog povjerenstva ili povjerenstva za alternativno rješavanje sporova: __________________________</w:t>
      </w:r>
    </w:p>
    <w:p w:rsidR="00A355F6" w:rsidRDefault="004656B3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Mogućnosti sastajanja izvan savjetodavnog povjerenstva </w:t>
      </w:r>
      <w:r>
        <w:rPr>
          <w:noProof/>
        </w:rPr>
        <w:t>ili povjerenstva za alternativno rješavanje sporova: _____________________________________________________</w:t>
      </w:r>
    </w:p>
    <w:p w:rsidR="00A355F6" w:rsidRDefault="004656B3">
      <w:pPr>
        <w:jc w:val="left"/>
        <w:rPr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Moguće potrebe savjetodavnog povjerenstva ili povjerenstva za alternativno rješavanje sporova za administrativnim uslugama radi izvršavanja dužnost</w:t>
      </w:r>
      <w:r>
        <w:rPr>
          <w:b/>
          <w:noProof/>
        </w:rPr>
        <w:t>i:</w:t>
      </w:r>
      <w:r>
        <w:rPr>
          <w:noProof/>
        </w:rPr>
        <w:t xml:space="preserve"> ___________________________________________________________________________</w:t>
      </w:r>
    </w:p>
    <w:p w:rsidR="00A355F6" w:rsidRDefault="004656B3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Zajednički radni jezik za postupak rješavanja sporova: ____________________________</w:t>
      </w:r>
    </w:p>
    <w:p w:rsidR="00A355F6" w:rsidRDefault="004656B3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Moguća potreba za (potpunim ili djelomičnim) prevođenjem dokumenata: ____________________</w:t>
      </w:r>
      <w:r>
        <w:rPr>
          <w:noProof/>
        </w:rPr>
        <w:t>___</w:t>
      </w:r>
    </w:p>
    <w:p w:rsidR="00A355F6" w:rsidRDefault="004656B3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Moguća potreba za (potpunim ili djelomičnim) usmenim prevođenjem: ______________________________</w:t>
      </w:r>
    </w:p>
    <w:p w:rsidR="00A355F6" w:rsidRDefault="004656B3">
      <w:pPr>
        <w:jc w:val="left"/>
        <w:rPr>
          <w:noProof/>
          <w:szCs w:val="18"/>
        </w:rPr>
      </w:pPr>
      <w:r>
        <w:rPr>
          <w:noProof/>
          <w:szCs w:val="18"/>
        </w:rPr>
        <w:lastRenderedPageBreak/>
        <w:sym w:font="Wingdings" w:char="F0A8"/>
      </w:r>
      <w:r>
        <w:rPr>
          <w:noProof/>
        </w:rPr>
        <w:t xml:space="preserve"> Način razmjene dopisa među strankama (uključujući način slanja dokumenata e-poštom, usmenu komunikaciju, konferencijski poziv </w:t>
      </w:r>
      <w:r>
        <w:rPr>
          <w:i/>
          <w:noProof/>
        </w:rPr>
        <w:t>webex</w:t>
      </w:r>
      <w:r>
        <w:rPr>
          <w:noProof/>
        </w:rPr>
        <w:t>, posebne informatič</w:t>
      </w:r>
      <w:r>
        <w:rPr>
          <w:noProof/>
        </w:rPr>
        <w:t>ke alate itd.): _________________________________________________________________________</w:t>
      </w:r>
    </w:p>
    <w:p w:rsidR="00A355F6" w:rsidRDefault="004656B3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Praktične pojedinosti u pogledu pisanih podnesaka i dokaza (npr. način dostavljanja, preslici, brojčano označivanje, upućivanja): __________________________________</w:t>
      </w:r>
      <w:r>
        <w:rPr>
          <w:noProof/>
        </w:rPr>
        <w:t>_________________________________________</w:t>
      </w:r>
    </w:p>
    <w:p w:rsidR="00A355F6" w:rsidRDefault="004656B3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>Način razmjene dopisa među strankama (uključujući način slanja dokumenata e-poštom):</w:t>
      </w:r>
      <w:r>
        <w:rPr>
          <w:b/>
          <w:noProof/>
          <w:szCs w:val="18"/>
        </w:rPr>
        <w:br/>
      </w:r>
      <w:r>
        <w:rPr>
          <w:b/>
          <w:noProof/>
        </w:rPr>
        <w:t>___________________________________________________________________________</w:t>
      </w:r>
    </w:p>
    <w:p w:rsidR="00A355F6" w:rsidRDefault="004656B3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Dogovori o razmjeni pisanih podnesaka: ___________</w:t>
      </w:r>
      <w:r>
        <w:rPr>
          <w:b/>
          <w:noProof/>
        </w:rPr>
        <w:t>_________________</w:t>
      </w:r>
    </w:p>
    <w:p w:rsidR="00A355F6" w:rsidRDefault="004656B3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Dogovori o zahtjevima za informacije koje podnosi savjetodavno povjerenstvo ili povjerenstvo za alternativno rješavanje sporova i kasnijim odgovorima poreznog obveznika i nadležnih tijela: ______________________________________</w:t>
      </w:r>
    </w:p>
    <w:p w:rsidR="00A355F6" w:rsidRDefault="004656B3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Prakti</w:t>
      </w:r>
      <w:r>
        <w:rPr>
          <w:noProof/>
        </w:rPr>
        <w:t>čne pojedinosti u pogledu pisanih podnesaka i dokaza (npr. način dostavljanja, preslici, brojčano označivanje, upućivanja): ___________________________________________________________________________</w:t>
      </w:r>
    </w:p>
    <w:p w:rsidR="00A355F6" w:rsidRDefault="004656B3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Očekuje li se da stranka treba dostaviti dokumentirane</w:t>
      </w:r>
      <w:r>
        <w:rPr>
          <w:b/>
          <w:noProof/>
        </w:rPr>
        <w:t xml:space="preserve"> dokaze? __________________</w:t>
      </w:r>
    </w:p>
    <w:p w:rsidR="00A355F6" w:rsidRDefault="004656B3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Stručnjaci (uvjeti dostavljanja usmenog i pisanog stajališta): ___________________________________________________________________________</w:t>
      </w:r>
    </w:p>
    <w:p w:rsidR="00A355F6" w:rsidRDefault="004656B3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Trebaju li se tvrdnje o izvoru i zaprimanju dokumenata i o ispravnosti preslika smatr</w:t>
      </w:r>
      <w:r>
        <w:rPr>
          <w:noProof/>
        </w:rPr>
        <w:t>ati točnima? _____________________________________________</w:t>
      </w:r>
    </w:p>
    <w:p w:rsidR="00A355F6" w:rsidRDefault="004656B3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Trebaju li se opsežni i složeni dokumentirani dokazi iznijeti u obliku sažetaka, tablica, dijagrama, izvadaka ili uzoraka? __________________________________</w:t>
      </w:r>
    </w:p>
    <w:p w:rsidR="00A355F6" w:rsidRDefault="004656B3">
      <w:pPr>
        <w:jc w:val="left"/>
        <w:rPr>
          <w:b/>
          <w:noProof/>
          <w:szCs w:val="18"/>
        </w:rPr>
      </w:pPr>
      <w:r>
        <w:rPr>
          <w:b/>
          <w:noProof/>
          <w:szCs w:val="18"/>
        </w:rPr>
        <w:sym w:font="Wingdings" w:char="F0A8"/>
      </w:r>
      <w:r>
        <w:rPr>
          <w:b/>
          <w:noProof/>
        </w:rPr>
        <w:t xml:space="preserve"> Odluka o tome treba li održati sasl</w:t>
      </w:r>
      <w:r>
        <w:rPr>
          <w:b/>
          <w:noProof/>
        </w:rPr>
        <w:t>ušanja (i broj saslušanja): ______________________________</w:t>
      </w:r>
    </w:p>
    <w:p w:rsidR="00A355F6" w:rsidRDefault="004656B3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Trebaju li se saslušanja održati u jednom razdoblju ili u više zasebnih razdoblja? _________</w:t>
      </w:r>
    </w:p>
    <w:p w:rsidR="00A355F6" w:rsidRDefault="004656B3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Treba li ograničiti ukupno vrijeme koje će se svakoj stranci dodijeliti za iznošenje usmenih argumen</w:t>
      </w:r>
      <w:r>
        <w:rPr>
          <w:noProof/>
        </w:rPr>
        <w:t>ata i ispitivanje svjedoka? _________________________________________</w:t>
      </w:r>
    </w:p>
    <w:p w:rsidR="00A355F6" w:rsidRDefault="004656B3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Redoslijed prema kojem će stranke iznijeti svoje argumente i dokaze: ______________</w:t>
      </w:r>
    </w:p>
    <w:p w:rsidR="00A355F6" w:rsidRDefault="004656B3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Trajanje saslušanja: ___________________________________________________________________________</w:t>
      </w:r>
    </w:p>
    <w:p w:rsidR="00A355F6" w:rsidRDefault="004656B3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Dogovori o snimanju saslušanja: ______________________________________</w:t>
      </w:r>
    </w:p>
    <w:p w:rsidR="00A355F6" w:rsidRDefault="004656B3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Mogući zahtjevi u pogledu pohranjivanja ili dostavljanja stajališta koje obavljaju neovisne osobe odnosno predstavnici nadležnih tijela: _____________________________________________</w:t>
      </w:r>
      <w:r>
        <w:rPr>
          <w:noProof/>
        </w:rPr>
        <w:t>______________________________</w:t>
      </w:r>
    </w:p>
    <w:p w:rsidR="00A355F6" w:rsidRDefault="004656B3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Mogući zahtjevi u pogledu pohranjivanja ili dostavljanja pisanog mišljenja: ___________________________________________________________________________</w:t>
      </w:r>
    </w:p>
    <w:p w:rsidR="00A355F6" w:rsidRDefault="004656B3">
      <w:pPr>
        <w:jc w:val="left"/>
        <w:rPr>
          <w:noProof/>
          <w:szCs w:val="18"/>
        </w:rPr>
      </w:pPr>
      <w:r>
        <w:rPr>
          <w:noProof/>
          <w:szCs w:val="18"/>
        </w:rPr>
        <w:sym w:font="Wingdings" w:char="F0A8"/>
      </w:r>
      <w:r>
        <w:rPr>
          <w:noProof/>
        </w:rPr>
        <w:t xml:space="preserve"> Ostalo (</w:t>
      </w:r>
      <w:r>
        <w:rPr>
          <w:i/>
          <w:noProof/>
          <w:sz w:val="20"/>
        </w:rPr>
        <w:t>navesti, uključujući moguće ostale dogovore u pogledu postupa</w:t>
      </w:r>
      <w:r>
        <w:rPr>
          <w:i/>
          <w:noProof/>
          <w:sz w:val="20"/>
        </w:rPr>
        <w:t>ka, dokaza i logistike koji se primjenjuju</w:t>
      </w:r>
      <w:r>
        <w:rPr>
          <w:noProof/>
        </w:rPr>
        <w:t>): ___________________________________________________________________________</w:t>
      </w:r>
    </w:p>
    <w:p w:rsidR="00A355F6" w:rsidRDefault="004656B3">
      <w:pPr>
        <w:jc w:val="left"/>
        <w:rPr>
          <w:noProof/>
          <w:szCs w:val="18"/>
        </w:rPr>
      </w:pPr>
      <w:r>
        <w:rPr>
          <w:noProof/>
        </w:rPr>
        <w:t>___________________________________________________________________________</w:t>
      </w:r>
    </w:p>
    <w:p w:rsidR="00A355F6" w:rsidRDefault="004656B3">
      <w:pPr>
        <w:jc w:val="left"/>
        <w:rPr>
          <w:noProof/>
          <w:szCs w:val="18"/>
        </w:rPr>
      </w:pPr>
      <w:r>
        <w:rPr>
          <w:noProof/>
        </w:rPr>
        <w:lastRenderedPageBreak/>
        <w:t>___________________________________________________________________________</w:t>
      </w:r>
    </w:p>
    <w:p w:rsidR="00A355F6" w:rsidRDefault="004656B3">
      <w:pPr>
        <w:pStyle w:val="Heading1"/>
        <w:rPr>
          <w:noProof/>
        </w:rPr>
      </w:pPr>
      <w:r>
        <w:rPr>
          <w:noProof/>
        </w:rPr>
        <w:t>Ostalo</w:t>
      </w:r>
    </w:p>
    <w:p w:rsidR="00A355F6" w:rsidRDefault="004656B3">
      <w:pPr>
        <w:rPr>
          <w:b/>
          <w:noProof/>
        </w:rPr>
      </w:pPr>
      <w:r>
        <w:rPr>
          <w:noProof/>
        </w:rPr>
        <w:t>[</w:t>
      </w:r>
      <w:r>
        <w:rPr>
          <w:i/>
          <w:noProof/>
        </w:rPr>
        <w:t>ispuniti</w:t>
      </w:r>
      <w:r>
        <w:rPr>
          <w:noProof/>
        </w:rPr>
        <w:t>]:</w:t>
      </w:r>
    </w:p>
    <w:p w:rsidR="00A355F6" w:rsidRDefault="004656B3">
      <w:pPr>
        <w:ind w:right="993"/>
        <w:rPr>
          <w:noProof/>
        </w:rPr>
      </w:pPr>
      <w:r>
        <w:rPr>
          <w:b/>
          <w:noProof/>
          <w:szCs w:val="18"/>
        </w:rPr>
        <w:pict>
          <v:rect id="_x0000_i1114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15" style="width:0;height:1.5pt" o:hralign="center" o:hrstd="t" o:hr="t" fillcolor="#a0a0a0" stroked="f"/>
        </w:pict>
      </w:r>
    </w:p>
    <w:p w:rsidR="00A355F6" w:rsidRDefault="004656B3">
      <w:pPr>
        <w:ind w:right="993"/>
        <w:rPr>
          <w:noProof/>
        </w:rPr>
      </w:pPr>
      <w:r>
        <w:rPr>
          <w:noProof/>
          <w:szCs w:val="18"/>
        </w:rPr>
        <w:pict>
          <v:rect id="_x0000_i1116" style="width:0;height:1.5pt" o:hralign="center" o:hrstd="t" o:hr="t" fillcolor="#a0a0a0" stroked="f"/>
        </w:pict>
      </w:r>
      <w:r>
        <w:rPr>
          <w:b/>
          <w:noProof/>
          <w:szCs w:val="18"/>
        </w:rPr>
        <w:pict>
          <v:rect id="_x0000_i1117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18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19" style="width:0;height:1.5pt" o:hralign="center" o:hrstd="t" o:hr="t" fillcolor="#a0a0a0" stroked="f"/>
        </w:pict>
      </w:r>
    </w:p>
    <w:p w:rsidR="00A355F6" w:rsidRDefault="004656B3">
      <w:pPr>
        <w:ind w:right="993"/>
        <w:rPr>
          <w:noProof/>
        </w:rPr>
      </w:pPr>
      <w:r>
        <w:rPr>
          <w:b/>
          <w:noProof/>
          <w:szCs w:val="18"/>
        </w:rPr>
        <w:pict>
          <v:rect id="_x0000_i1120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b/>
          <w:noProof/>
          <w:szCs w:val="18"/>
        </w:rPr>
        <w:pict>
          <v:rect id="_x0000_i1121" style="width:0;height:1.5pt" o:hralign="center" o:hrstd="t" o:hr="t" fillcolor="#a0a0a0" stroked="f"/>
        </w:pict>
      </w:r>
    </w:p>
    <w:p w:rsidR="00A355F6" w:rsidRDefault="004656B3">
      <w:pPr>
        <w:pStyle w:val="ListParagraph"/>
        <w:spacing w:before="150" w:after="150"/>
        <w:ind w:left="0" w:right="975"/>
        <w:rPr>
          <w:noProof/>
          <w:szCs w:val="18"/>
        </w:rPr>
      </w:pPr>
      <w:r>
        <w:rPr>
          <w:noProof/>
          <w:szCs w:val="18"/>
        </w:rPr>
        <w:pict>
          <v:rect id="_x0000_i1122" style="width:0;height:1.5pt" o:hralign="center" o:hrstd="t" o:hr="t" fillcolor="#a0a0a0" stroked="f"/>
        </w:pict>
      </w:r>
    </w:p>
    <w:p w:rsidR="00A355F6" w:rsidRDefault="00A355F6">
      <w:pPr>
        <w:pStyle w:val="ListParagraph"/>
        <w:spacing w:before="150" w:after="150"/>
        <w:ind w:left="0" w:right="975"/>
        <w:rPr>
          <w:noProof/>
          <w:szCs w:val="18"/>
        </w:rPr>
      </w:pPr>
    </w:p>
    <w:p w:rsidR="00A355F6" w:rsidRDefault="004656B3">
      <w:pPr>
        <w:rPr>
          <w:b/>
          <w:noProof/>
        </w:rPr>
      </w:pPr>
      <w:r>
        <w:rPr>
          <w:b/>
          <w:noProof/>
        </w:rPr>
        <w:t>Datum:</w:t>
      </w:r>
    </w:p>
    <w:p w:rsidR="00A355F6" w:rsidRDefault="00A355F6">
      <w:pPr>
        <w:rPr>
          <w:b/>
          <w:noProof/>
        </w:rPr>
      </w:pPr>
    </w:p>
    <w:p w:rsidR="00A355F6" w:rsidRDefault="004656B3">
      <w:pPr>
        <w:rPr>
          <w:noProof/>
          <w:szCs w:val="18"/>
        </w:rPr>
      </w:pPr>
      <w:r>
        <w:rPr>
          <w:b/>
          <w:noProof/>
        </w:rPr>
        <w:t>Potpis predstavnika nadležnih tijela država članica:</w:t>
      </w:r>
    </w:p>
    <w:p w:rsidR="00A355F6" w:rsidRDefault="00A355F6">
      <w:pPr>
        <w:rPr>
          <w:noProof/>
        </w:rPr>
      </w:pPr>
    </w:p>
    <w:p w:rsidR="00A355F6" w:rsidRPr="004656B3" w:rsidRDefault="004656B3">
      <w:pPr>
        <w:rPr>
          <w:noProof/>
        </w:rPr>
      </w:pPr>
      <w:r>
        <w:rPr>
          <w:noProof/>
        </w:rPr>
        <w:t>______________________________                  ___________________________</w:t>
      </w:r>
    </w:p>
    <w:sectPr w:rsidR="00A355F6" w:rsidRPr="004656B3" w:rsidSect="004656B3">
      <w:footerReference w:type="default" r:id="rId19"/>
      <w:footerReference w:type="first" r:id="rId20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F6" w:rsidRDefault="004656B3">
      <w:pPr>
        <w:spacing w:before="0" w:after="0"/>
      </w:pPr>
      <w:r>
        <w:separator/>
      </w:r>
    </w:p>
  </w:endnote>
  <w:endnote w:type="continuationSeparator" w:id="0">
    <w:p w:rsidR="00A355F6" w:rsidRDefault="004656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B3" w:rsidRPr="004656B3" w:rsidRDefault="004656B3" w:rsidP="004656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F6" w:rsidRPr="004656B3" w:rsidRDefault="004656B3" w:rsidP="004656B3">
    <w:pPr>
      <w:pStyle w:val="Footer"/>
      <w:rPr>
        <w:rFonts w:ascii="Arial" w:hAnsi="Arial" w:cs="Arial"/>
        <w:b/>
        <w:sz w:val="48"/>
      </w:rPr>
    </w:pPr>
    <w:r w:rsidRPr="004656B3">
      <w:rPr>
        <w:rFonts w:ascii="Arial" w:hAnsi="Arial" w:cs="Arial"/>
        <w:b/>
        <w:sz w:val="48"/>
      </w:rPr>
      <w:t>HR</w:t>
    </w:r>
    <w:r w:rsidRPr="004656B3">
      <w:rPr>
        <w:rFonts w:ascii="Arial" w:hAnsi="Arial" w:cs="Arial"/>
        <w:b/>
        <w:sz w:val="48"/>
      </w:rPr>
      <w:tab/>
    </w:r>
    <w:r w:rsidRPr="004656B3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4656B3">
      <w:tab/>
    </w:r>
    <w:proofErr w:type="spellStart"/>
    <w:r w:rsidRPr="004656B3">
      <w:rPr>
        <w:rFonts w:ascii="Arial" w:hAnsi="Arial" w:cs="Arial"/>
        <w:b/>
        <w:sz w:val="48"/>
      </w:rPr>
      <w:t>HR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B3" w:rsidRPr="004656B3" w:rsidRDefault="004656B3" w:rsidP="004656B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B3" w:rsidRPr="004656B3" w:rsidRDefault="004656B3" w:rsidP="004656B3">
    <w:pPr>
      <w:pStyle w:val="Footer"/>
      <w:rPr>
        <w:rFonts w:ascii="Arial" w:hAnsi="Arial" w:cs="Arial"/>
        <w:b/>
        <w:sz w:val="48"/>
      </w:rPr>
    </w:pPr>
    <w:r w:rsidRPr="004656B3">
      <w:rPr>
        <w:rFonts w:ascii="Arial" w:hAnsi="Arial" w:cs="Arial"/>
        <w:b/>
        <w:sz w:val="48"/>
      </w:rPr>
      <w:t>HR</w:t>
    </w:r>
    <w:r w:rsidRPr="004656B3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4656B3">
      <w:tab/>
    </w:r>
    <w:r w:rsidRPr="004656B3"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B3" w:rsidRPr="004656B3" w:rsidRDefault="004656B3" w:rsidP="00465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F6" w:rsidRDefault="004656B3">
      <w:pPr>
        <w:spacing w:before="0" w:after="0"/>
      </w:pPr>
      <w:r>
        <w:separator/>
      </w:r>
    </w:p>
  </w:footnote>
  <w:footnote w:type="continuationSeparator" w:id="0">
    <w:p w:rsidR="00A355F6" w:rsidRDefault="004656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B3" w:rsidRPr="004656B3" w:rsidRDefault="004656B3" w:rsidP="004656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B3" w:rsidRPr="004656B3" w:rsidRDefault="004656B3" w:rsidP="004656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B3" w:rsidRPr="004656B3" w:rsidRDefault="004656B3" w:rsidP="00465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F8625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BF659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6D659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F90F5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D22E4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D128E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9E0CB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8347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0320E5"/>
    <w:multiLevelType w:val="hybridMultilevel"/>
    <w:tmpl w:val="72F4533A"/>
    <w:lvl w:ilvl="0" w:tplc="6D50ED16">
      <w:start w:val="1"/>
      <w:numFmt w:val="decimal"/>
      <w:pStyle w:val="Style2"/>
      <w:lvlText w:val="%1."/>
      <w:lvlJc w:val="left"/>
      <w:pPr>
        <w:ind w:left="1080" w:hanging="360"/>
      </w:pPr>
      <w:rPr>
        <w:rFonts w:hint="default"/>
      </w:rPr>
    </w:lvl>
    <w:lvl w:ilvl="1" w:tplc="2DCA1808">
      <w:start w:val="1"/>
      <w:numFmt w:val="lowerLetter"/>
      <w:lvlText w:val="(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 w:tplc="7D548FE2">
      <w:start w:val="1"/>
      <w:numFmt w:val="bullet"/>
      <w:lvlText w:val="-"/>
      <w:lvlJc w:val="left"/>
      <w:pPr>
        <w:ind w:left="2776" w:hanging="360"/>
      </w:pPr>
      <w:rPr>
        <w:rFonts w:ascii="Times New Roman" w:eastAsia="Times New Roman" w:hAnsi="Times New Roman" w:cs="Times New Roman" w:hint="default"/>
        <w:sz w:val="24"/>
      </w:rPr>
    </w:lvl>
    <w:lvl w:ilvl="3" w:tplc="2190EC54">
      <w:start w:val="3"/>
      <w:numFmt w:val="decimal"/>
      <w:lvlText w:val="(%4)"/>
      <w:lvlJc w:val="left"/>
      <w:pPr>
        <w:ind w:left="3316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89D74ED"/>
    <w:multiLevelType w:val="singleLevel"/>
    <w:tmpl w:val="C2E2F936"/>
    <w:lvl w:ilvl="0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96D67A1"/>
    <w:multiLevelType w:val="singleLevel"/>
    <w:tmpl w:val="9AC8831A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48F59BA"/>
    <w:multiLevelType w:val="hybridMultilevel"/>
    <w:tmpl w:val="41CEFFB6"/>
    <w:lvl w:ilvl="0" w:tplc="83BC382C">
      <w:start w:val="1"/>
      <w:numFmt w:val="upperRoman"/>
      <w:pStyle w:val="Style1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8"/>
  </w:num>
  <w:num w:numId="6">
    <w:abstractNumId w:val="16"/>
  </w:num>
  <w:num w:numId="7">
    <w:abstractNumId w:val="24"/>
  </w:num>
  <w:num w:numId="8">
    <w:abstractNumId w:val="10"/>
    <w:lvlOverride w:ilvl="0">
      <w:lvl w:ilvl="0" w:tplc="6D50ED16">
        <w:start w:val="1"/>
        <w:numFmt w:val="decimal"/>
        <w:pStyle w:val="Style2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2DCA180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D548FE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190EC5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23"/>
  </w:num>
  <w:num w:numId="17">
    <w:abstractNumId w:val="12"/>
  </w:num>
  <w:num w:numId="18">
    <w:abstractNumId w:val="14"/>
  </w:num>
  <w:num w:numId="19">
    <w:abstractNumId w:val="9"/>
  </w:num>
  <w:num w:numId="20">
    <w:abstractNumId w:val="22"/>
  </w:num>
  <w:num w:numId="21">
    <w:abstractNumId w:val="8"/>
  </w:num>
  <w:num w:numId="22">
    <w:abstractNumId w:val="15"/>
  </w:num>
  <w:num w:numId="23">
    <w:abstractNumId w:val="19"/>
  </w:num>
  <w:num w:numId="24">
    <w:abstractNumId w:val="20"/>
  </w:num>
  <w:num w:numId="25">
    <w:abstractNumId w:val="11"/>
  </w:num>
  <w:num w:numId="26">
    <w:abstractNumId w:val="17"/>
  </w:num>
  <w:num w:numId="27">
    <w:abstractNumId w:val="25"/>
  </w:num>
  <w:num w:numId="28">
    <w:abstractNumId w:val="21"/>
  </w:num>
  <w:num w:numId="29">
    <w:abstractNumId w:val="13"/>
  </w:num>
  <w:num w:numId="30">
    <w:abstractNumId w:val="23"/>
  </w:num>
  <w:num w:numId="31">
    <w:abstractNumId w:val="12"/>
  </w:num>
  <w:num w:numId="32">
    <w:abstractNumId w:val="14"/>
  </w:num>
  <w:num w:numId="33">
    <w:abstractNumId w:val="9"/>
  </w:num>
  <w:num w:numId="34">
    <w:abstractNumId w:val="22"/>
  </w:num>
  <w:num w:numId="35">
    <w:abstractNumId w:val="8"/>
  </w:num>
  <w:num w:numId="36">
    <w:abstractNumId w:val="15"/>
  </w:num>
  <w:num w:numId="37">
    <w:abstractNumId w:val="19"/>
  </w:num>
  <w:num w:numId="38">
    <w:abstractNumId w:val="20"/>
  </w:num>
  <w:num w:numId="39">
    <w:abstractNumId w:val="11"/>
  </w:num>
  <w:num w:numId="40">
    <w:abstractNumId w:val="17"/>
  </w:num>
  <w:num w:numId="41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1-07 17:02:5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4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1"/>
    <w:docVar w:name="DQCResult_UnknownFonts" w:val="0;0"/>
    <w:docVar w:name="DQCResult_UnknownStyles" w:val="0;121"/>
    <w:docVar w:name="DQCStatus" w:val="Yellow"/>
    <w:docVar w:name="DQCVersion" w:val="3"/>
    <w:docVar w:name="DQCWithWarnings" w:val="0"/>
    <w:docVar w:name="LW_ACCOMPAGNANT.CP" w:val=" 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DFE5F50CEDD440DB972489EB0B7F506D"/>
    <w:docVar w:name="LW_CROSSREFERENCE" w:val="{SWD(2016) 343 final}_x000b_{SWD(2016) 344 final}"/>
    <w:docVar w:name="LW_DocType" w:val="ANNEX"/>
    <w:docVar w:name="LW_EMISSION" w:val="25.10.2016"/>
    <w:docVar w:name="LW_EMISSION_ISODATE" w:val="2016-10-25"/>
    <w:docVar w:name="LW_EMISSION_LOCATION" w:val="STR"/>
    <w:docVar w:name="LW_EMISSION_PREFIX" w:val="Strasbourg, "/>
    <w:docVar w:name="LW_ID_DOCSTRUCTURE" w:val="COM/ANNEX"/>
    <w:docVar w:name="LW_ID_DOCTYPE" w:val="SG-017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.CP" w:val="o mehanizmima rje\u353?avanja sporova povezanih s dvostrukim oporezivanjem u Europskoj uniji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686"/>
    <w:docVar w:name="LW_REF.INTERNE" w:val="&lt;UNUSED&gt;"/>
    <w:docVar w:name="LW_SUPERTITRE" w:val="&lt;UNUSED&gt;"/>
    <w:docVar w:name="LW_TITRE.OBJ.CP" w:val="&lt;UNUSED&gt;"/>
    <w:docVar w:name="LW_TYPE.DOC.CP" w:val="PRILOZI"/>
    <w:docVar w:name="LW_TYPEACTEPRINCIPAL.CP" w:val="Prijedlogu DIREKTIVE VIJE\u262?A "/>
  </w:docVars>
  <w:rsids>
    <w:rsidRoot w:val="00A355F6"/>
    <w:rsid w:val="004656B3"/>
    <w:rsid w:val="00A3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customStyle="1" w:styleId="Style1">
    <w:name w:val="Style1"/>
    <w:basedOn w:val="ListParagraph"/>
    <w:qFormat/>
    <w:pPr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50" w:after="150"/>
      <w:ind w:left="567" w:right="975" w:hanging="567"/>
    </w:pPr>
    <w:rPr>
      <w:b/>
      <w:smallCaps/>
      <w:szCs w:val="18"/>
    </w:rPr>
  </w:style>
  <w:style w:type="paragraph" w:customStyle="1" w:styleId="Style2">
    <w:name w:val="Style2"/>
    <w:basedOn w:val="ListParagraph"/>
    <w:pPr>
      <w:numPr>
        <w:numId w:val="8"/>
      </w:numPr>
      <w:spacing w:before="150" w:after="150"/>
      <w:ind w:right="975" w:hanging="720"/>
    </w:pPr>
    <w:rPr>
      <w:b/>
      <w:noProof/>
    </w:rPr>
  </w:style>
  <w:style w:type="paragraph" w:customStyle="1" w:styleId="TableGridHeading1">
    <w:name w:val="Table Grid + Heading 1"/>
    <w:basedOn w:val="Normal"/>
    <w:pPr>
      <w:spacing w:before="150" w:after="150"/>
      <w:ind w:right="975"/>
    </w:pPr>
    <w:rPr>
      <w:szCs w:val="18"/>
    </w:rPr>
  </w:style>
  <w:style w:type="paragraph" w:customStyle="1" w:styleId="Heading10">
    <w:name w:val="Heading1"/>
    <w:basedOn w:val="Style1"/>
    <w:pPr>
      <w:ind w:left="1080" w:hanging="720"/>
    </w:pPr>
  </w:style>
  <w:style w:type="paragraph" w:customStyle="1" w:styleId="Heading20">
    <w:name w:val="Heading2"/>
    <w:basedOn w:val="Style2"/>
  </w:style>
  <w:style w:type="paragraph" w:styleId="Header">
    <w:name w:val="header"/>
    <w:basedOn w:val="Normal"/>
    <w:link w:val="HeaderChar"/>
    <w:uiPriority w:val="99"/>
    <w:unhideWhenUsed/>
    <w:rsid w:val="004656B3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656B3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656B3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customStyle="1" w:styleId="Style1">
    <w:name w:val="Style1"/>
    <w:basedOn w:val="ListParagraph"/>
    <w:qFormat/>
    <w:pPr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50" w:after="150"/>
      <w:ind w:left="567" w:right="975" w:hanging="567"/>
    </w:pPr>
    <w:rPr>
      <w:b/>
      <w:smallCaps/>
      <w:szCs w:val="18"/>
    </w:rPr>
  </w:style>
  <w:style w:type="paragraph" w:customStyle="1" w:styleId="Style2">
    <w:name w:val="Style2"/>
    <w:basedOn w:val="ListParagraph"/>
    <w:pPr>
      <w:numPr>
        <w:numId w:val="8"/>
      </w:numPr>
      <w:spacing w:before="150" w:after="150"/>
      <w:ind w:right="975" w:hanging="720"/>
    </w:pPr>
    <w:rPr>
      <w:b/>
      <w:noProof/>
    </w:rPr>
  </w:style>
  <w:style w:type="paragraph" w:customStyle="1" w:styleId="TableGridHeading1">
    <w:name w:val="Table Grid + Heading 1"/>
    <w:basedOn w:val="Normal"/>
    <w:pPr>
      <w:spacing w:before="150" w:after="150"/>
      <w:ind w:right="975"/>
    </w:pPr>
    <w:rPr>
      <w:szCs w:val="18"/>
    </w:rPr>
  </w:style>
  <w:style w:type="paragraph" w:customStyle="1" w:styleId="Heading10">
    <w:name w:val="Heading1"/>
    <w:basedOn w:val="Style1"/>
    <w:pPr>
      <w:ind w:left="1080" w:hanging="720"/>
    </w:pPr>
  </w:style>
  <w:style w:type="paragraph" w:customStyle="1" w:styleId="Heading20">
    <w:name w:val="Heading2"/>
    <w:basedOn w:val="Style2"/>
  </w:style>
  <w:style w:type="paragraph" w:styleId="Header">
    <w:name w:val="header"/>
    <w:basedOn w:val="Normal"/>
    <w:link w:val="HeaderChar"/>
    <w:uiPriority w:val="99"/>
    <w:unhideWhenUsed/>
    <w:rsid w:val="004656B3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656B3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4656B3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034c5a8-16c9-4395-aa5f-bdb6e7f52619" xsi:nil="true"/>
    <EC_Collab_DocumentLanguage xmlns="2034c5a8-16c9-4395-aa5f-bdb6e7f52619">EN</EC_Collab_DocumentLanguage>
    <EC_Collab_Status xmlns="2034c5a8-16c9-4395-aa5f-bdb6e7f52619">Not Started</EC_Collab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9A4D38037E8E064B9AB4DD92FD798682" ma:contentTypeVersion="1" ma:contentTypeDescription="Create a new document in this library." ma:contentTypeScope="" ma:versionID="26f6938dd2f9ef8cff9d10d04eaa8746">
  <xsd:schema xmlns:xsd="http://www.w3.org/2001/XMLSchema" xmlns:xs="http://www.w3.org/2001/XMLSchema" xmlns:p="http://schemas.microsoft.com/office/2006/metadata/properties" xmlns:ns3="2034c5a8-16c9-4395-aa5f-bdb6e7f52619" targetNamespace="http://schemas.microsoft.com/office/2006/metadata/properties" ma:root="true" ma:fieldsID="0c6857498ea97d15e40cdc43dd99db40" ns3:_="">
    <xsd:import namespace="2034c5a8-16c9-4395-aa5f-bdb6e7f52619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c5a8-16c9-4395-aa5f-bdb6e7f52619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8E0F-893F-453C-A50A-0315871D3379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2034c5a8-16c9-4395-aa5f-bdb6e7f52619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F121D3-77D1-472D-AD64-27EEF1A31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7C345-CA55-41A4-A1D4-3DCCDF878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4c5a8-16c9-4395-aa5f-bdb6e7f52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A2CA7D-F860-4FE1-9E02-284BD29B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11</Pages>
  <Words>1167</Words>
  <Characters>10038</Characters>
  <Application>Microsoft Office Word</Application>
  <DocSecurity>0</DocSecurity>
  <Lines>386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9</cp:revision>
  <cp:lastPrinted>2016-10-05T13:53:00Z</cp:lastPrinted>
  <dcterms:created xsi:type="dcterms:W3CDTF">2016-11-06T22:05:00Z</dcterms:created>
  <dcterms:modified xsi:type="dcterms:W3CDTF">2016-11-07T16:33:00Z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ContentTypeId">
    <vt:lpwstr>0x010100258AA79CEB83498886A3A08681123250009A4D38037E8E064B9AB4DD92FD798682</vt:lpwstr>
  </property>
  <property fmtid="{D5CDD505-2E9C-101B-9397-08002B2CF9AE}" pid="13" name="DQCStatus">
    <vt:lpwstr>Yellow (DQC version 03)</vt:lpwstr>
  </property>
</Properties>
</file>