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57" w:rsidRDefault="005D4F99" w:rsidP="005D4F9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BD9D34CBD914FE08BE3853EA4C2B8F2" style="width:450.75pt;height:406.5pt">
            <v:imagedata r:id="rId8" o:title=""/>
          </v:shape>
        </w:pict>
      </w:r>
    </w:p>
    <w:p w:rsidR="00B15957" w:rsidRDefault="00B15957">
      <w:pPr>
        <w:rPr>
          <w:noProof/>
        </w:rPr>
        <w:sectPr w:rsidR="00B15957" w:rsidSect="005D4F99">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B15957" w:rsidRDefault="005D4F99">
      <w:pPr>
        <w:pStyle w:val="Exposdesmotifstitre"/>
        <w:rPr>
          <w:noProof/>
        </w:rPr>
      </w:pPr>
      <w:bookmarkStart w:id="0" w:name="_GoBack"/>
      <w:bookmarkEnd w:id="0"/>
      <w:r>
        <w:rPr>
          <w:noProof/>
        </w:rPr>
        <w:lastRenderedPageBreak/>
        <w:t>PASKAIDROJUMA RAKSTS</w:t>
      </w:r>
    </w:p>
    <w:p w:rsidR="00B15957" w:rsidRDefault="005D4F99">
      <w:pPr>
        <w:pStyle w:val="ManualHeading1"/>
        <w:rPr>
          <w:noProof/>
        </w:rPr>
      </w:pPr>
      <w:r>
        <w:t>1.</w:t>
      </w:r>
      <w:r>
        <w:tab/>
      </w:r>
      <w:r>
        <w:rPr>
          <w:noProof/>
        </w:rPr>
        <w:t xml:space="preserve">PRIEKŠLIKUMA KONTEKSTS </w:t>
      </w:r>
    </w:p>
    <w:p w:rsidR="00B15957" w:rsidRDefault="005D4F99">
      <w:pPr>
        <w:rPr>
          <w:noProof/>
          <w:szCs w:val="24"/>
        </w:rPr>
      </w:pPr>
      <w:r>
        <w:rPr>
          <w:noProof/>
        </w:rPr>
        <w:t xml:space="preserve">Priekšlikums attiecas uz mērķtiecīgiem grozījumiem </w:t>
      </w:r>
      <w:r>
        <w:rPr>
          <w:noProof/>
        </w:rPr>
        <w:t>Regulā (ES) 2016/1036 par aizsardzību pret importu par dempinga cenām no valstīm, kas nav Eiropas Savienības dalībvalstis (antidempinga pamatregula), un Regulā (ES) 2016/1037 par aizsardzību pret subsidētu importu no valstīm, kas nav Eiropas Savienības dal</w:t>
      </w:r>
      <w:r>
        <w:rPr>
          <w:noProof/>
        </w:rPr>
        <w:t>ībvalstis (antisubsidēšanas pamatregula).</w:t>
      </w:r>
    </w:p>
    <w:p w:rsidR="00B15957" w:rsidRDefault="005D4F99">
      <w:pPr>
        <w:pStyle w:val="ManualHeading2"/>
        <w:rPr>
          <w:noProof/>
        </w:rPr>
      </w:pPr>
      <w:r>
        <w:t>1.1.</w:t>
      </w:r>
      <w:r>
        <w:tab/>
      </w:r>
      <w:r>
        <w:rPr>
          <w:noProof/>
        </w:rPr>
        <w:t>Grozījumi antidempinga pamatregulā</w:t>
      </w:r>
    </w:p>
    <w:p w:rsidR="00B15957" w:rsidRDefault="005D4F99">
      <w:pPr>
        <w:pStyle w:val="ManualHeading3"/>
        <w:rPr>
          <w:noProof/>
        </w:rPr>
      </w:pPr>
      <w:r>
        <w:t>1.1.1.</w:t>
      </w:r>
      <w:r>
        <w:tab/>
      </w:r>
      <w:r>
        <w:rPr>
          <w:noProof/>
        </w:rPr>
        <w:t>Normālās vērtības noteikšana tirgus kropļojumu gadījumos</w:t>
      </w:r>
    </w:p>
    <w:p w:rsidR="00B15957" w:rsidRDefault="005D4F99">
      <w:pPr>
        <w:rPr>
          <w:noProof/>
          <w:szCs w:val="24"/>
        </w:rPr>
      </w:pPr>
      <w:r>
        <w:rPr>
          <w:noProof/>
        </w:rPr>
        <w:t>Antidempinga pamatregulas 2. panta 1.–7. punkts nosaka pamatojumu normālās vērtības noteikšanai. Dominējošie a</w:t>
      </w:r>
      <w:r>
        <w:rPr>
          <w:noProof/>
        </w:rPr>
        <w:t>pstākļi dažās valstīs, kuras ir PTO dalībvalstis, un pieredze, kas uzkrāta saistībā ar judikatūru, ir atbilstošs pamatojums tam, lai grozītu metodiku, ko izmanto normālās vērtības un dempinga starpības noteikšanai attiecīgajām valstīm, it īpaši tām, uz kur</w:t>
      </w:r>
      <w:r>
        <w:rPr>
          <w:noProof/>
        </w:rPr>
        <w:t xml:space="preserve">ām pašlaik attiecas 2. panta 7. punkta b) un c) apakšpunkta noteikumi. </w:t>
      </w:r>
    </w:p>
    <w:p w:rsidR="00B15957" w:rsidRDefault="005D4F99">
      <w:pPr>
        <w:rPr>
          <w:noProof/>
          <w:szCs w:val="24"/>
        </w:rPr>
      </w:pPr>
      <w:r>
        <w:rPr>
          <w:noProof/>
        </w:rPr>
        <w:t xml:space="preserve">Tāpēc Komisija ierosina grozīt 2. panta 7. punktu un ieviest jaunu noteikumu, proti, 2. panta 6.a punktu attiecībā uz PTO dalībvalstīm. </w:t>
      </w:r>
    </w:p>
    <w:p w:rsidR="00B15957" w:rsidRDefault="005D4F99">
      <w:pPr>
        <w:pStyle w:val="Point1letter"/>
        <w:numPr>
          <w:ilvl w:val="3"/>
          <w:numId w:val="3"/>
        </w:numPr>
        <w:rPr>
          <w:noProof/>
        </w:rPr>
      </w:pPr>
      <w:r>
        <w:rPr>
          <w:noProof/>
        </w:rPr>
        <w:tab/>
        <w:t>Normālā vērtība PTO dalībvalstīm</w:t>
      </w:r>
    </w:p>
    <w:p w:rsidR="00B15957" w:rsidRDefault="005D4F99">
      <w:pPr>
        <w:rPr>
          <w:noProof/>
          <w:szCs w:val="24"/>
        </w:rPr>
      </w:pPr>
      <w:r>
        <w:rPr>
          <w:noProof/>
        </w:rPr>
        <w:t>PTO dalībvals</w:t>
      </w:r>
      <w:r>
        <w:rPr>
          <w:noProof/>
        </w:rPr>
        <w:t xml:space="preserve">tīm normālo vērtību parasti nosaka, pamatojoties uz līdzīgā izstrādājuma iekšzemes cenām vai pamatojoties uz salikto normālo vērtību. </w:t>
      </w:r>
    </w:p>
    <w:p w:rsidR="00B15957" w:rsidRDefault="005D4F99">
      <w:pPr>
        <w:rPr>
          <w:noProof/>
          <w:szCs w:val="24"/>
        </w:rPr>
      </w:pPr>
      <w:r>
        <w:rPr>
          <w:noProof/>
        </w:rPr>
        <w:t xml:space="preserve">Tomēr ir apstākļi, kuros iekšzemes cenas un izmaksas varētu nebūt pienācīgs pamats normālās vērtības noteikšanai. Tas tā </w:t>
      </w:r>
      <w:r>
        <w:rPr>
          <w:noProof/>
        </w:rPr>
        <w:t>varētu būt, piemēram, gadījumā, kad cenas vai izmaksas nav noteiktas brīvā tirgus spēku ietekmē, jo tās ietekmē valdības iejaukšanās. Būtiski apsvērumi šajā sakarā, piemēram, ir tādi, ka attiecīgajā tirgū lielā mērā darbojas uzņēmumi, par kuru veikto darbī</w:t>
      </w:r>
      <w:r>
        <w:rPr>
          <w:noProof/>
        </w:rPr>
        <w:t>bu atbild, sniedz norādes un to kontrolē vai politiski pārrauga eksportētājas valsts iestādes, valsts ir pārstāvēta uzņēmumos un tādējādi var iejaukties jautājumos par cenām vai izmaksām, ir spēkā diskriminējoša sabiedriskā politika vai pasākumi, kuros pri</w:t>
      </w:r>
      <w:r>
        <w:rPr>
          <w:noProof/>
        </w:rPr>
        <w:t xml:space="preserve">ekšroka tiek dota iekšzemes piegādātājiem vai kuri kaut kā citādi ietekmē brīvā tirgus spēkus, un piekļuve finansējumam, ko piešķir iestādes, kuras īsteno sabiedriskās politikas mērķus. </w:t>
      </w:r>
    </w:p>
    <w:p w:rsidR="00B15957" w:rsidRDefault="005D4F99">
      <w:pPr>
        <w:rPr>
          <w:noProof/>
          <w:szCs w:val="24"/>
        </w:rPr>
      </w:pPr>
      <w:r>
        <w:rPr>
          <w:noProof/>
        </w:rPr>
        <w:t>Šādos apstākļos būtu nepareizi izmantot iekšzemes tirgus cenas un izm</w:t>
      </w:r>
      <w:r>
        <w:rPr>
          <w:noProof/>
        </w:rPr>
        <w:t xml:space="preserve">aksas, lai noteiktu vērtību, kādai parasti vajadzētu būt līdzīgā izstrādājuma pārdošanas vērtībai (“normālā vērtība”), un jauns noteikums (2. panta 6.a punkts) paredz, ka normālā vērtība būtu jānosaka, pamatojoties uz ražošanas un pārdošanas izmaksām, kas </w:t>
      </w:r>
      <w:r>
        <w:rPr>
          <w:noProof/>
        </w:rPr>
        <w:t>atspoguļo neizkropļotas cenas vai etalonus. Šim nolūkam var izmantot avotus, kas varētu ietvert neizkropļotas starptautiskās cenas, izmaksas, etalonus vai atbilstošas ražošanas un pārdošanas izmaksas attiecīgā reprezentatīvā valstī ar līdzīgu ekonomiskās a</w:t>
      </w:r>
      <w:r>
        <w:rPr>
          <w:noProof/>
        </w:rPr>
        <w:t xml:space="preserve">ttīstības līmeni, kāds ir eksportētājā valstī. </w:t>
      </w:r>
    </w:p>
    <w:p w:rsidR="00B15957" w:rsidRDefault="005D4F99">
      <w:pPr>
        <w:rPr>
          <w:noProof/>
          <w:szCs w:val="24"/>
        </w:rPr>
      </w:pPr>
      <w:r>
        <w:rPr>
          <w:noProof/>
        </w:rPr>
        <w:t>Pateicoties šai metodikai, Komisija varēs noteikt un novērtēt tā dempinga faktisko apjomu, ko praktizē parastos tirgus apstākļos bez kropļojumiem.</w:t>
      </w:r>
    </w:p>
    <w:p w:rsidR="00B15957" w:rsidRDefault="005D4F99">
      <w:pPr>
        <w:rPr>
          <w:noProof/>
          <w:szCs w:val="24"/>
        </w:rPr>
      </w:pPr>
      <w:r>
        <w:rPr>
          <w:noProof/>
        </w:rPr>
        <w:t>Lai nodrošinātu pārredzamību un efektivitāti, Komisijas diene</w:t>
      </w:r>
      <w:r>
        <w:rPr>
          <w:noProof/>
        </w:rPr>
        <w:t>sti plāno izstrādāt publiskos ziņojumus, kuros būtu aprakstīta konkrētā situācija saistībā ar tirgus apstākļiem kādā noteiktā valstī vai nozarē. Ir svarīgi, lai ES ražošanas nozares pārstāvji varētu paļauties uz šajos ziņojumos ietverto informāciju un atsa</w:t>
      </w:r>
      <w:r>
        <w:rPr>
          <w:noProof/>
        </w:rPr>
        <w:t xml:space="preserve">ukties uz to gadījumos, kad sūdzībā vai pārskatīšanas pieprasījumā apgalvotu, ka iekšzemes cenas un izmaksas eksportētājā valstī, nav piemērotas normālās vērtības noteikšanai. Šādi ziņojumi un pierādījumi, uz kuriem tie ir balstīti, tiktu arī </w:t>
      </w:r>
      <w:r>
        <w:rPr>
          <w:noProof/>
        </w:rPr>
        <w:lastRenderedPageBreak/>
        <w:t>pievienoti ik</w:t>
      </w:r>
      <w:r>
        <w:rPr>
          <w:noProof/>
        </w:rPr>
        <w:t>vienai izmeklēšanas lietai attiecībā uz konkrēto valsti vai nozari, lai visas ieinteresētās puses varētu paust viedokli un sniegt piezīmes.</w:t>
      </w:r>
    </w:p>
    <w:p w:rsidR="00B15957" w:rsidRDefault="005D4F99">
      <w:pPr>
        <w:pStyle w:val="Point1letter"/>
        <w:numPr>
          <w:ilvl w:val="3"/>
          <w:numId w:val="13"/>
        </w:numPr>
        <w:rPr>
          <w:noProof/>
        </w:rPr>
      </w:pPr>
      <w:r>
        <w:rPr>
          <w:noProof/>
        </w:rPr>
        <w:t xml:space="preserve">Normālā vērtība valstīm, kuras nav PTO dalībvalstis </w:t>
      </w:r>
    </w:p>
    <w:p w:rsidR="00B15957" w:rsidRDefault="005D4F99">
      <w:pPr>
        <w:rPr>
          <w:noProof/>
          <w:szCs w:val="24"/>
        </w:rPr>
      </w:pPr>
      <w:r>
        <w:rPr>
          <w:noProof/>
        </w:rPr>
        <w:t>Valstīm, kuras procedūras sākšanas dienā nav PTO dalībvalstis u</w:t>
      </w:r>
      <w:r>
        <w:rPr>
          <w:noProof/>
        </w:rPr>
        <w:t xml:space="preserve">n ir minētas I pielikumā Regulai (ES) 2015/755 (2015. gada 29. aprīlis) par kopējiem noteikumiem importam no dažām trešām valstīm, normālo vērtību noteiks, pamatojoties uz analogās valsts metodiku, kā noteikts grozītajā 2. panta 7. punktā. </w:t>
      </w:r>
    </w:p>
    <w:p w:rsidR="00B15957" w:rsidRDefault="005D4F99">
      <w:pPr>
        <w:pStyle w:val="ManualHeading3"/>
        <w:rPr>
          <w:noProof/>
        </w:rPr>
      </w:pPr>
      <w:r>
        <w:t>1.1.2.</w:t>
      </w:r>
      <w:r>
        <w:tab/>
      </w:r>
      <w:r>
        <w:rPr>
          <w:noProof/>
        </w:rPr>
        <w:t xml:space="preserve">Pāreja </w:t>
      </w:r>
      <w:r>
        <w:rPr>
          <w:noProof/>
        </w:rPr>
        <w:t>no pašreizējās sistēmas uz jauno sistēmu</w:t>
      </w:r>
    </w:p>
    <w:p w:rsidR="00B15957" w:rsidRDefault="005D4F99">
      <w:pPr>
        <w:rPr>
          <w:noProof/>
          <w:szCs w:val="24"/>
        </w:rPr>
      </w:pPr>
      <w:r>
        <w:rPr>
          <w:noProof/>
        </w:rPr>
        <w:t>Ar priekšlikumu tiek ieviesta noteikta kārtība, kas nodrošinās, ka jaunā sistēma stājas spēkā sakārtotā un pārredzamā veidā un nerodas juridiskā nenoteiktība izskatāmajās lietās vai netiek nelabvēlīgi ietekmēti spēk</w:t>
      </w:r>
      <w:r>
        <w:rPr>
          <w:noProof/>
        </w:rPr>
        <w:t>ā esošie pasākumi.</w:t>
      </w:r>
    </w:p>
    <w:p w:rsidR="00B15957" w:rsidRDefault="005D4F99">
      <w:pPr>
        <w:rPr>
          <w:noProof/>
          <w:szCs w:val="24"/>
        </w:rPr>
      </w:pPr>
      <w:r>
        <w:rPr>
          <w:noProof/>
        </w:rPr>
        <w:t>Tādējādi ar priekšlikumu tiek precizēts, ka jaunā sistēma attiektos tikai uz lietām, kuras sāktas pēc tam, kad ir stājušies spēkā grozītie noteikumi. Visas antidempinga izmeklēšanas, kas notiek spēkā stāšanās brīdī, joprojām reglamentētu</w:t>
      </w:r>
      <w:r>
        <w:rPr>
          <w:noProof/>
        </w:rPr>
        <w:t xml:space="preserve"> saskaņā ar spēkā esošo kārtību. </w:t>
      </w:r>
    </w:p>
    <w:p w:rsidR="00B15957" w:rsidRDefault="005D4F99">
      <w:pPr>
        <w:rPr>
          <w:noProof/>
          <w:szCs w:val="24"/>
        </w:rPr>
      </w:pPr>
      <w:r>
        <w:rPr>
          <w:noProof/>
        </w:rPr>
        <w:t>Attiecībā uz spēkā esošajiem pasākumiem Komisija uzskata, ka tikai jaunas kārtības ieviešana vien nav pietiekams pamatojums šādu pasākumu pārskatīšanai antidempinga pamatregulas 11. panta 3. punkta nozīmē. Spēkā esošo pasā</w:t>
      </w:r>
      <w:r>
        <w:rPr>
          <w:noProof/>
        </w:rPr>
        <w:t xml:space="preserve">kumu pārskatīšana tiešām būtu jāveic tikai tad, ja attiecīgo eksportētāju faktiskie apstākļi pretstatā tiesiskajai kārtībai, kas uz tiem attiecas, ir mainījušies tik ļoti, ka ir pierādījies, ka spēkā esošo pasākumu līmenis vairs nav piemērots. Turklāt, ja </w:t>
      </w:r>
      <w:r>
        <w:rPr>
          <w:noProof/>
        </w:rPr>
        <w:t>pārskatīšana ir sākta tādēļ, ka objektīvi ir mainījušies eksportētāja apstākļi, pārskatīšanu joprojām var veikt, pamatojoties uz pašreizējo metodiku, ja nav mainījušies konkrētie apstākļi, kas noteica pašreizējās metodikas (arī metodikas, kas balstīta uz 2</w:t>
      </w:r>
      <w:r>
        <w:rPr>
          <w:noProof/>
        </w:rPr>
        <w:t>. panta 7. punkta a) un b) apakšpunktu) piemērošanu. Ja faktiskie apstākļi, kas pamato noteiktās metodikas piemērošanu, nav mainījušies, normālo vērtību un dempinga starpību noteiks, pamatojoties uz to pašu metodiku, saskaņā ar kuru tika noteikti pasākumi,</w:t>
      </w:r>
      <w:r>
        <w:rPr>
          <w:noProof/>
        </w:rPr>
        <w:t xml:space="preserve"> uz kuriem attiecas pārskatīšana. Tas ir precizēts antidempinga pamatregulas 11. panta 9. punktā un ir nepieciešams, lai izvairītos no situācijas, kad attiecībā uz būtībā tādiem pašiem apstākļiem ar laiku tiktu piemērotas divas dažādas metodikas.</w:t>
      </w:r>
    </w:p>
    <w:p w:rsidR="00B15957" w:rsidRDefault="005D4F99">
      <w:pPr>
        <w:rPr>
          <w:noProof/>
          <w:szCs w:val="24"/>
        </w:rPr>
      </w:pPr>
      <w:r>
        <w:rPr>
          <w:noProof/>
        </w:rPr>
        <w:t>Priekšlik</w:t>
      </w:r>
      <w:r>
        <w:rPr>
          <w:noProof/>
        </w:rPr>
        <w:t>umā ir arī paredzēts, ka gadījumā, ja notiek pāreja no normālās vērtības, kas aprēķināta saskaņā ar 2. panta 7. punkta a) vai b) apakšpunktu, uz normālo vērtību, kas aprēķināta saskaņā ar 2. panta 1.–6.a punktu, antidempinga pamatregulas 11. panta 3. punkt</w:t>
      </w:r>
      <w:r>
        <w:rPr>
          <w:noProof/>
        </w:rPr>
        <w:t>a pirmajā daļā paredzēto attiecīgo laikposmu uzskata par pagājušu dienā, kurā sākta pirmā termiņa beigu pārskatīšana pēc šīs pārejas.</w:t>
      </w:r>
    </w:p>
    <w:p w:rsidR="00B15957" w:rsidRDefault="005D4F99">
      <w:pPr>
        <w:rPr>
          <w:noProof/>
          <w:szCs w:val="24"/>
        </w:rPr>
      </w:pPr>
      <w:r>
        <w:rPr>
          <w:noProof/>
        </w:rPr>
        <w:t>Tāda pati pieeja būtu jāpiemēro attiecībā uz jaunām pārskatīšanām saskaņā ar antidempinga pamatregulas 11. panta 4. punktu</w:t>
      </w:r>
      <w:r>
        <w:rPr>
          <w:noProof/>
        </w:rPr>
        <w:t>.</w:t>
      </w:r>
    </w:p>
    <w:p w:rsidR="00B15957" w:rsidRDefault="005D4F99">
      <w:pPr>
        <w:pStyle w:val="ManualHeading2"/>
        <w:rPr>
          <w:noProof/>
        </w:rPr>
      </w:pPr>
      <w:r>
        <w:t>1.2.</w:t>
      </w:r>
      <w:r>
        <w:tab/>
      </w:r>
      <w:r>
        <w:rPr>
          <w:noProof/>
        </w:rPr>
        <w:t>Grozījums antisubsidēšanas pamatregulā</w:t>
      </w:r>
    </w:p>
    <w:p w:rsidR="00B15957" w:rsidRDefault="005D4F99">
      <w:pPr>
        <w:rPr>
          <w:noProof/>
          <w:szCs w:val="24"/>
        </w:rPr>
      </w:pPr>
      <w:r>
        <w:rPr>
          <w:noProof/>
        </w:rPr>
        <w:t xml:space="preserve">Komisija uzskata, ka ir arī svarīgi, lai antisubsidēšanas pamatregulu varētu izmantot pilnībā un efektīvi. Pieredze šajā sakarā liecina, ka, sākot antisubsidēšanas izmeklēšanu, ne vienmēr ir skaidrs faktiskais </w:t>
      </w:r>
      <w:r>
        <w:rPr>
          <w:noProof/>
        </w:rPr>
        <w:t>subsīdiju apjoms. Bieži tiek konstatēts, ka izmeklēšanā iesaistītie eksportētāji izmanto subsīdijas, par kurām nav bijis iespējams zināt pirms izmeklēšanas. Tomēr šādas subsīdijas nepārprotami nodrošina netaisnīgas priekšrocības attiecīgajiem eksportētājie</w:t>
      </w:r>
      <w:r>
        <w:rPr>
          <w:noProof/>
        </w:rPr>
        <w:t xml:space="preserve">m, kas tiem ļauj pārdot par cenām, kas kaitē ES tirgum. </w:t>
      </w:r>
    </w:p>
    <w:p w:rsidR="00B15957" w:rsidRDefault="005D4F99">
      <w:pPr>
        <w:rPr>
          <w:noProof/>
          <w:szCs w:val="24"/>
        </w:rPr>
      </w:pPr>
      <w:r>
        <w:rPr>
          <w:noProof/>
        </w:rPr>
        <w:t xml:space="preserve">Tādēļ ir svarīgi, lai šādas subsīdijas tiktu atbilstoši atspoguļotas galīgajā analīzē un noteiktā maksājuma līmenī. </w:t>
      </w:r>
    </w:p>
    <w:p w:rsidR="00B15957" w:rsidRDefault="005D4F99">
      <w:pPr>
        <w:rPr>
          <w:noProof/>
          <w:szCs w:val="24"/>
        </w:rPr>
      </w:pPr>
      <w:r>
        <w:rPr>
          <w:noProof/>
        </w:rPr>
        <w:lastRenderedPageBreak/>
        <w:t>Šajā nolūkā un lai nodrošinātu tiesību aktos paredzēto kārtību un pārredzamību, pr</w:t>
      </w:r>
      <w:r>
        <w:rPr>
          <w:noProof/>
        </w:rPr>
        <w:t>iekšlikumā ir precizēts, ka gadījumos, kad kādā noteiktā izmeklēšanā vai pārskatīšanā tiek konstatētas šādas subsīdijas, Komisija attiecīgajai izcelsmes valstij un/vai eksportētājai valstij piedāvās papildu apspriešanos attiecībā uz šādām izmeklēšanā konst</w:t>
      </w:r>
      <w:r>
        <w:rPr>
          <w:noProof/>
        </w:rPr>
        <w:t>atētām subsīdijām. Šādos gadījumos Komisija nosūtīs uz izcelsmes valsti un/vai eksportētāju valsti galveno elementu kopsavilkumu par minētajām citām subsīdijām, lai nodrošinātu konstruktīvu apspriešanos.</w:t>
      </w:r>
    </w:p>
    <w:p w:rsidR="00B15957" w:rsidRDefault="005D4F99">
      <w:pPr>
        <w:pStyle w:val="ManualHeading1"/>
        <w:rPr>
          <w:rFonts w:eastAsia="Times New Roman"/>
          <w:noProof/>
          <w:szCs w:val="24"/>
        </w:rPr>
      </w:pPr>
      <w:r>
        <w:t>2.</w:t>
      </w:r>
      <w:r>
        <w:tab/>
      </w:r>
      <w:r>
        <w:rPr>
          <w:rStyle w:val="Heading1Char"/>
          <w:noProof/>
          <w:lang w:val="lv-LV"/>
        </w:rPr>
        <w:t>APSPRIEŠANĀS AR IEINTERESĒTAJĀM PUSĒM UN</w:t>
      </w:r>
      <w:r>
        <w:rPr>
          <w:noProof/>
        </w:rPr>
        <w:t xml:space="preserve"> IETEKMES NOVĒRTĒJUMU REZULTĀTI</w:t>
      </w:r>
    </w:p>
    <w:p w:rsidR="00B15957" w:rsidRDefault="005D4F99">
      <w:pPr>
        <w:pStyle w:val="ManualHeading2"/>
        <w:rPr>
          <w:noProof/>
        </w:rPr>
      </w:pPr>
      <w:r>
        <w:t>2.1.</w:t>
      </w:r>
      <w:r>
        <w:tab/>
      </w:r>
      <w:r>
        <w:rPr>
          <w:noProof/>
        </w:rPr>
        <w:t>Apspriešanās ar ieinteresētajām pusēm</w:t>
      </w:r>
    </w:p>
    <w:p w:rsidR="00B15957" w:rsidRDefault="005D4F99">
      <w:pPr>
        <w:autoSpaceDE w:val="0"/>
        <w:autoSpaceDN w:val="0"/>
        <w:adjustRightInd w:val="0"/>
        <w:spacing w:after="0"/>
        <w:rPr>
          <w:noProof/>
          <w:szCs w:val="24"/>
        </w:rPr>
      </w:pPr>
      <w:r>
        <w:rPr>
          <w:noProof/>
        </w:rPr>
        <w:t>Ieinteresētajām pusēm, uz kurām attiecas šis priekšlikums, bija iespēja piedalīties sabiedriskajā apspriešanā, kas notika no 2016. gada februāra līdz aprīlim. Sabiedriskās apsprieša</w:t>
      </w:r>
      <w:r>
        <w:rPr>
          <w:noProof/>
        </w:rPr>
        <w:t>nas rezultātu kopsavilkumu publicēja kā daļu no ietekmes novērtējuma kopā ar šo tiesību akta priekšlikumu. Ietekmes novērtējums atrodams Tirdzniecības ģenerāldirektorāta tīmekļa vietnē.</w:t>
      </w:r>
    </w:p>
    <w:p w:rsidR="00B15957" w:rsidRDefault="005D4F99">
      <w:pPr>
        <w:pStyle w:val="ManualHeading2"/>
        <w:rPr>
          <w:noProof/>
        </w:rPr>
      </w:pPr>
      <w:r>
        <w:t>2.2.</w:t>
      </w:r>
      <w:r>
        <w:tab/>
      </w:r>
      <w:r>
        <w:rPr>
          <w:noProof/>
        </w:rPr>
        <w:t>Ekspertu atzinumu pieprasīšana un izmantošana</w:t>
      </w:r>
    </w:p>
    <w:p w:rsidR="00B15957" w:rsidRDefault="005D4F99">
      <w:pPr>
        <w:autoSpaceDE w:val="0"/>
        <w:autoSpaceDN w:val="0"/>
        <w:adjustRightInd w:val="0"/>
        <w:spacing w:after="0"/>
        <w:rPr>
          <w:noProof/>
          <w:szCs w:val="24"/>
        </w:rPr>
      </w:pPr>
      <w:r>
        <w:rPr>
          <w:noProof/>
        </w:rPr>
        <w:t>2016. gada maijā ti</w:t>
      </w:r>
      <w:r>
        <w:rPr>
          <w:noProof/>
        </w:rPr>
        <w:t>ka pabeigts neatkarīgs pētījums par ietekmi, ko izraisītu dažādi iespējamie varianti, kā risināt jautājumu par normālās vērtības aprēķināšanu importam no ārpustirgus ekonomikas valstīm, un šo pētījumu publicēja Tirdzniecības ĢD tīmekļa vietnē vienlaicīgi a</w:t>
      </w:r>
      <w:r>
        <w:rPr>
          <w:noProof/>
        </w:rPr>
        <w:t>r tiesību akta priekšlikuma iesniegšanu.</w:t>
      </w:r>
    </w:p>
    <w:p w:rsidR="00B15957" w:rsidRDefault="005D4F99">
      <w:pPr>
        <w:pStyle w:val="ManualHeading2"/>
        <w:rPr>
          <w:noProof/>
        </w:rPr>
      </w:pPr>
      <w:r>
        <w:t>2.3.</w:t>
      </w:r>
      <w:r>
        <w:tab/>
      </w:r>
      <w:r>
        <w:rPr>
          <w:noProof/>
        </w:rPr>
        <w:t>Ietekmes novērtējums</w:t>
      </w:r>
    </w:p>
    <w:p w:rsidR="00B15957" w:rsidRDefault="005D4F99">
      <w:pPr>
        <w:autoSpaceDE w:val="0"/>
        <w:autoSpaceDN w:val="0"/>
        <w:adjustRightInd w:val="0"/>
        <w:spacing w:after="0"/>
        <w:rPr>
          <w:noProof/>
          <w:szCs w:val="24"/>
        </w:rPr>
      </w:pPr>
      <w:r>
        <w:rPr>
          <w:noProof/>
        </w:rPr>
        <w:t>Ņemot vērā rezultātus, kas izriet no sabiedriskās apspriešanas un neatkarīgā pētījuma, un Komisijas bagātīgo pieredzi ar minēto instrumentu izmantošanu, 2016. gada pavasarī tika veikta iete</w:t>
      </w:r>
      <w:r>
        <w:rPr>
          <w:noProof/>
        </w:rPr>
        <w:t>kmes novērtēšana. Ietekmes novērtējumā analizēti dažādi iespējamie varianti. Ietekmes novērtējuma padome 2016. gada jūnijā izskatīja ziņojumu un sniedza labvēlīgu atzinumu, izvirzot nosacījumu, ka ziņojumā tiks veikti daži labojumi. Kopš minētā laika ziņoj</w:t>
      </w:r>
      <w:r>
        <w:rPr>
          <w:noProof/>
        </w:rPr>
        <w:t xml:space="preserve">ums ir pārskatīts un pabeigts. Vēlamie risinājumi ir šā priekšlikuma pamats. </w:t>
      </w:r>
    </w:p>
    <w:p w:rsidR="00B15957" w:rsidRDefault="005D4F99">
      <w:pPr>
        <w:pStyle w:val="ManualHeading1"/>
        <w:rPr>
          <w:rFonts w:eastAsia="Times New Roman"/>
          <w:noProof/>
        </w:rPr>
      </w:pPr>
      <w:r>
        <w:t>3.</w:t>
      </w:r>
      <w:r>
        <w:tab/>
      </w:r>
      <w:r>
        <w:rPr>
          <w:noProof/>
        </w:rPr>
        <w:t>PRIEKŠLIKUMA JURIDISKIE ASPEKTI</w:t>
      </w:r>
    </w:p>
    <w:p w:rsidR="00B15957" w:rsidRDefault="005D4F99">
      <w:pPr>
        <w:pStyle w:val="ManualHeading2"/>
        <w:rPr>
          <w:rFonts w:eastAsia="Times New Roman"/>
          <w:noProof/>
        </w:rPr>
      </w:pPr>
      <w:r>
        <w:t>3.1.</w:t>
      </w:r>
      <w:r>
        <w:tab/>
      </w:r>
      <w:r>
        <w:rPr>
          <w:noProof/>
        </w:rPr>
        <w:t>Juridiskais pamats</w:t>
      </w:r>
    </w:p>
    <w:p w:rsidR="00B15957" w:rsidRDefault="005D4F99">
      <w:pPr>
        <w:rPr>
          <w:rFonts w:eastAsia="Times New Roman"/>
          <w:noProof/>
          <w:szCs w:val="24"/>
        </w:rPr>
      </w:pPr>
      <w:r>
        <w:rPr>
          <w:noProof/>
        </w:rPr>
        <w:t>Šā priekšlikuma juridiskais pamats ir Līguma par Eiropas Savienības darbību 207. panta 2. punkts, kurā noteikts, ka Eir</w:t>
      </w:r>
      <w:r>
        <w:rPr>
          <w:noProof/>
        </w:rPr>
        <w:t xml:space="preserve">opas Parlaments un Padome, pieņemot regulas saskaņā ar parasto likumdošanas procedūru, paredz pasākumus, kas nosaka kopējās tirdzniecības politikas īstenošanu. </w:t>
      </w:r>
    </w:p>
    <w:p w:rsidR="00B15957" w:rsidRDefault="005D4F99">
      <w:pPr>
        <w:rPr>
          <w:rFonts w:eastAsia="Times New Roman"/>
          <w:noProof/>
          <w:szCs w:val="24"/>
        </w:rPr>
      </w:pPr>
      <w:r>
        <w:rPr>
          <w:noProof/>
        </w:rPr>
        <w:t xml:space="preserve">Ar šo priekšlikumu groza Regulu (ES) 2016/1036 un Regulu (ES) 2016/1037. </w:t>
      </w:r>
    </w:p>
    <w:p w:rsidR="00B15957" w:rsidRDefault="005D4F99">
      <w:pPr>
        <w:pStyle w:val="ManualHeading2"/>
        <w:rPr>
          <w:rFonts w:eastAsia="Times New Roman"/>
          <w:noProof/>
        </w:rPr>
      </w:pPr>
      <w:r>
        <w:t>3.2.</w:t>
      </w:r>
      <w:r>
        <w:tab/>
      </w:r>
      <w:r>
        <w:rPr>
          <w:noProof/>
        </w:rPr>
        <w:t xml:space="preserve">Subsidiaritātes </w:t>
      </w:r>
      <w:r>
        <w:rPr>
          <w:noProof/>
        </w:rPr>
        <w:t>princips</w:t>
      </w:r>
    </w:p>
    <w:p w:rsidR="00B15957" w:rsidRDefault="005D4F99">
      <w:pPr>
        <w:rPr>
          <w:rFonts w:eastAsia="Times New Roman"/>
          <w:noProof/>
          <w:szCs w:val="24"/>
        </w:rPr>
      </w:pPr>
      <w:r>
        <w:rPr>
          <w:noProof/>
        </w:rPr>
        <w:t>Šis priekšlikums saskaņā ar Līguma par Eiropas Savienības darbību 3. panta 1. punkta e) apakšpunktu ir Savienības ekskluzīvā kompetencē. Tāpēc subsidiaritātes principu nepiemēro.</w:t>
      </w:r>
    </w:p>
    <w:p w:rsidR="00B15957" w:rsidRDefault="005D4F99">
      <w:pPr>
        <w:pStyle w:val="ManualHeading2"/>
        <w:rPr>
          <w:rFonts w:eastAsia="Times New Roman"/>
          <w:noProof/>
        </w:rPr>
      </w:pPr>
      <w:r>
        <w:t>3.3.</w:t>
      </w:r>
      <w:r>
        <w:tab/>
      </w:r>
      <w:r>
        <w:rPr>
          <w:noProof/>
        </w:rPr>
        <w:t>Proporcionalitātes princips</w:t>
      </w:r>
    </w:p>
    <w:p w:rsidR="00B15957" w:rsidRDefault="005D4F99">
      <w:pPr>
        <w:rPr>
          <w:rFonts w:eastAsia="Times New Roman"/>
          <w:noProof/>
          <w:szCs w:val="24"/>
        </w:rPr>
      </w:pPr>
      <w:r>
        <w:rPr>
          <w:noProof/>
        </w:rPr>
        <w:t>Priekšlikums ir saskaņā ar proporci</w:t>
      </w:r>
      <w:r>
        <w:rPr>
          <w:noProof/>
        </w:rPr>
        <w:t>onalitātes principu.</w:t>
      </w:r>
    </w:p>
    <w:p w:rsidR="00B15957" w:rsidRDefault="005D4F99">
      <w:pPr>
        <w:pStyle w:val="ManualHeading2"/>
        <w:rPr>
          <w:rFonts w:eastAsia="Times New Roman"/>
          <w:noProof/>
        </w:rPr>
      </w:pPr>
      <w:r>
        <w:t>3.4.</w:t>
      </w:r>
      <w:r>
        <w:tab/>
      </w:r>
      <w:r>
        <w:rPr>
          <w:noProof/>
        </w:rPr>
        <w:t>Juridisko instrumentu izvēle</w:t>
      </w:r>
    </w:p>
    <w:p w:rsidR="00B15957" w:rsidRDefault="005D4F99">
      <w:pPr>
        <w:rPr>
          <w:rFonts w:eastAsia="Times New Roman"/>
          <w:noProof/>
          <w:szCs w:val="24"/>
        </w:rPr>
      </w:pPr>
      <w:r>
        <w:rPr>
          <w:noProof/>
        </w:rPr>
        <w:t>Ierosinātais juridiskais instruments: Eiropas Parlamenta un Padomes regula.</w:t>
      </w:r>
    </w:p>
    <w:p w:rsidR="00B15957" w:rsidRDefault="005D4F99">
      <w:pPr>
        <w:rPr>
          <w:rFonts w:eastAsia="Times New Roman"/>
          <w:noProof/>
          <w:szCs w:val="24"/>
        </w:rPr>
      </w:pPr>
      <w:r>
        <w:rPr>
          <w:noProof/>
        </w:rPr>
        <w:lastRenderedPageBreak/>
        <w:t>Citi instrumenti nebūtu piemēroti šāda iemesla dēļ: regula jāgroza ar regulu.</w:t>
      </w:r>
    </w:p>
    <w:p w:rsidR="00B15957" w:rsidRDefault="005D4F99">
      <w:pPr>
        <w:pStyle w:val="ManualHeading1"/>
        <w:rPr>
          <w:rFonts w:eastAsia="Times New Roman"/>
          <w:noProof/>
        </w:rPr>
      </w:pPr>
      <w:r>
        <w:t>4.</w:t>
      </w:r>
      <w:r>
        <w:tab/>
      </w:r>
      <w:r>
        <w:rPr>
          <w:noProof/>
        </w:rPr>
        <w:t xml:space="preserve">IETEKME UZ BUDŽETU </w:t>
      </w:r>
    </w:p>
    <w:p w:rsidR="00B15957" w:rsidRDefault="005D4F99">
      <w:pPr>
        <w:rPr>
          <w:rFonts w:eastAsia="Times New Roman"/>
          <w:noProof/>
          <w:szCs w:val="24"/>
        </w:rPr>
      </w:pPr>
      <w:r>
        <w:rPr>
          <w:noProof/>
        </w:rPr>
        <w:t>Neattiecas.</w:t>
      </w:r>
    </w:p>
    <w:p w:rsidR="00B15957" w:rsidRDefault="005D4F99">
      <w:pPr>
        <w:pStyle w:val="ManualHeading1"/>
        <w:rPr>
          <w:rFonts w:eastAsia="Times New Roman"/>
          <w:noProof/>
        </w:rPr>
      </w:pPr>
      <w:r>
        <w:t>5.</w:t>
      </w:r>
      <w:r>
        <w:tab/>
      </w:r>
      <w:r>
        <w:rPr>
          <w:noProof/>
        </w:rPr>
        <w:t xml:space="preserve">IZVĒLES ELEMENTI </w:t>
      </w:r>
    </w:p>
    <w:p w:rsidR="00B15957" w:rsidRDefault="005D4F99">
      <w:pPr>
        <w:rPr>
          <w:rFonts w:eastAsia="Times New Roman"/>
          <w:noProof/>
          <w:szCs w:val="24"/>
        </w:rPr>
      </w:pPr>
      <w:r>
        <w:rPr>
          <w:noProof/>
        </w:rPr>
        <w:t>Neattiecas.</w:t>
      </w:r>
    </w:p>
    <w:p w:rsidR="00B15957" w:rsidRDefault="00B15957">
      <w:pPr>
        <w:rPr>
          <w:noProof/>
        </w:rPr>
        <w:sectPr w:rsidR="00B15957" w:rsidSect="005D4F99">
          <w:footerReference w:type="default" r:id="rId15"/>
          <w:footerReference w:type="first" r:id="rId16"/>
          <w:pgSz w:w="11907" w:h="16839"/>
          <w:pgMar w:top="1134" w:right="1417" w:bottom="1134" w:left="1417" w:header="709" w:footer="709" w:gutter="0"/>
          <w:cols w:space="708"/>
          <w:docGrid w:linePitch="360"/>
        </w:sectPr>
      </w:pPr>
    </w:p>
    <w:p w:rsidR="00B15957" w:rsidRDefault="005D4F99" w:rsidP="005D4F99">
      <w:pPr>
        <w:pStyle w:val="Rfrenceinterinstitutionnelle"/>
        <w:rPr>
          <w:noProof/>
        </w:rPr>
      </w:pPr>
      <w:r w:rsidRPr="005D4F99">
        <w:t>2016/0351 (COD)</w:t>
      </w:r>
    </w:p>
    <w:p w:rsidR="00B15957" w:rsidRDefault="005D4F99" w:rsidP="005D4F99">
      <w:pPr>
        <w:pStyle w:val="Statut"/>
        <w:rPr>
          <w:noProof/>
        </w:rPr>
      </w:pPr>
      <w:r w:rsidRPr="005D4F99">
        <w:t>Priekšlikums</w:t>
      </w:r>
    </w:p>
    <w:p w:rsidR="00B15957" w:rsidRDefault="005D4F99" w:rsidP="005D4F99">
      <w:pPr>
        <w:pStyle w:val="Typedudocument"/>
        <w:rPr>
          <w:noProof/>
        </w:rPr>
      </w:pPr>
      <w:r w:rsidRPr="005D4F99">
        <w:t>EIROPAS PARLAMENTA UN PADOMES REGULA,</w:t>
      </w:r>
    </w:p>
    <w:p w:rsidR="00B15957" w:rsidRDefault="005D4F99" w:rsidP="005D4F99">
      <w:pPr>
        <w:pStyle w:val="Titreobjet"/>
        <w:rPr>
          <w:noProof/>
        </w:rPr>
      </w:pPr>
      <w:r w:rsidRPr="005D4F99">
        <w:t>ar ko groza Regulu (ES) 2016/1036 par aizsardzību pret importu par dempinga cenām no valstīm, kas nav Eiropas Savienības dalībvalstis, un Regulu (ES) 2016/1037 par aizsardzību pret subsidētu importu no valstīm, kas nav Eiropas Savienības dalībvalstis</w:t>
      </w:r>
    </w:p>
    <w:p w:rsidR="00B15957" w:rsidRDefault="005D4F99">
      <w:pPr>
        <w:pStyle w:val="Institutionquiagit"/>
        <w:rPr>
          <w:noProof/>
        </w:rPr>
      </w:pPr>
      <w:r>
        <w:rPr>
          <w:noProof/>
        </w:rPr>
        <w:t>EIROPAS PARLAMENTS UN EIROPAS SAVIENĪBAS PADOME,</w:t>
      </w:r>
    </w:p>
    <w:p w:rsidR="00B15957" w:rsidRDefault="005D4F99">
      <w:pPr>
        <w:spacing w:after="240"/>
        <w:rPr>
          <w:noProof/>
        </w:rPr>
      </w:pPr>
      <w:r>
        <w:rPr>
          <w:noProof/>
        </w:rPr>
        <w:t xml:space="preserve">ņemot vērā </w:t>
      </w:r>
      <w:r>
        <w:rPr>
          <w:noProof/>
        </w:rPr>
        <w:t xml:space="preserve">Līgumu par Eiropas Savienības darbību, un jo īpaši tā 207. panta 2. punktu, </w:t>
      </w:r>
    </w:p>
    <w:p w:rsidR="00B15957" w:rsidRDefault="005D4F99">
      <w:pPr>
        <w:spacing w:after="240"/>
        <w:rPr>
          <w:noProof/>
        </w:rPr>
      </w:pPr>
      <w:r>
        <w:rPr>
          <w:noProof/>
        </w:rPr>
        <w:t>ņemot vērā Komisijas priekšlikumu,</w:t>
      </w:r>
    </w:p>
    <w:p w:rsidR="00B15957" w:rsidRDefault="005D4F99">
      <w:pPr>
        <w:spacing w:after="240"/>
        <w:rPr>
          <w:noProof/>
        </w:rPr>
      </w:pPr>
      <w:r>
        <w:rPr>
          <w:noProof/>
        </w:rPr>
        <w:t>pēc leģislatīvā akta projekta nosūtīšanas valstu parlamentiem,</w:t>
      </w:r>
    </w:p>
    <w:p w:rsidR="00B15957" w:rsidRDefault="005D4F99">
      <w:pPr>
        <w:spacing w:after="240"/>
        <w:rPr>
          <w:noProof/>
        </w:rPr>
      </w:pPr>
      <w:r>
        <w:rPr>
          <w:noProof/>
        </w:rPr>
        <w:t>saskaņā ar parasto likumdošanas procedūru,</w:t>
      </w:r>
    </w:p>
    <w:p w:rsidR="00B15957" w:rsidRDefault="005D4F99">
      <w:pPr>
        <w:tabs>
          <w:tab w:val="left" w:pos="1336"/>
        </w:tabs>
        <w:spacing w:after="240"/>
        <w:rPr>
          <w:noProof/>
        </w:rPr>
      </w:pPr>
      <w:r>
        <w:rPr>
          <w:noProof/>
        </w:rPr>
        <w:t>tā kā:</w:t>
      </w:r>
      <w:r>
        <w:rPr>
          <w:noProof/>
        </w:rPr>
        <w:tab/>
      </w:r>
    </w:p>
    <w:p w:rsidR="00B15957" w:rsidRDefault="005D4F99">
      <w:pPr>
        <w:pStyle w:val="ManualConsidrant"/>
        <w:rPr>
          <w:noProof/>
        </w:rPr>
      </w:pPr>
      <w:r>
        <w:t>(1)</w:t>
      </w:r>
      <w:r>
        <w:tab/>
      </w:r>
      <w:r>
        <w:rPr>
          <w:noProof/>
        </w:rPr>
        <w:t>Padome un Eiropas Parlamen</w:t>
      </w:r>
      <w:r>
        <w:rPr>
          <w:noProof/>
        </w:rPr>
        <w:t>ts ar Regulu (ES) 2016/1036</w:t>
      </w:r>
      <w:r>
        <w:rPr>
          <w:rStyle w:val="FootnoteReference"/>
          <w:noProof/>
        </w:rPr>
        <w:footnoteReference w:id="1"/>
      </w:r>
      <w:r>
        <w:rPr>
          <w:noProof/>
        </w:rPr>
        <w:t xml:space="preserve"> pieņēma kopīgus noteikumus aizsardzībai pret importu par dempinga cenām no valstīm, kas nav Savienības dalībvalstis.</w:t>
      </w:r>
    </w:p>
    <w:p w:rsidR="00B15957" w:rsidRDefault="005D4F99">
      <w:pPr>
        <w:pStyle w:val="ManualConsidrant"/>
        <w:rPr>
          <w:noProof/>
        </w:rPr>
      </w:pPr>
      <w:r>
        <w:t>(2)</w:t>
      </w:r>
      <w:r>
        <w:tab/>
      </w:r>
      <w:r>
        <w:rPr>
          <w:noProof/>
        </w:rPr>
        <w:t>Regulas (ES) 2016/1036 2. panta 7. punkta a) un b) apakšpunktā ir paredzēts pamatojums tam, kā būtu jānosa</w:t>
      </w:r>
      <w:r>
        <w:rPr>
          <w:noProof/>
        </w:rPr>
        <w:t>ka normālā vērtība attiecībā uz importu no ārpustirgus ekonomikas valstīm. Ņemot vērā attīstību dažās valstīs, kuras ir PTO dalībvalstis, ir pareizi paredzēt, ka attiecībā uz šīm valstīm normālā vērtība būtu jānosaka, pamatojoties uz Regulas (ES) 2016/1036</w:t>
      </w:r>
      <w:r>
        <w:rPr>
          <w:noProof/>
        </w:rPr>
        <w:t xml:space="preserve"> 2. panta 1.– 6.a punktu, sākot no dienas, kad stājas spēkā šī regula, un saskaņā ar šīs regulas noteikumiem. Attiecībā uz valstīm, kuras procedūras sākšanas dienā nav PTO dalībvalstis un ir minētas Regulas (ES) 2015/755</w:t>
      </w:r>
      <w:r>
        <w:rPr>
          <w:rStyle w:val="FootnoteReference"/>
          <w:noProof/>
        </w:rPr>
        <w:footnoteReference w:id="2"/>
      </w:r>
      <w:r>
        <w:rPr>
          <w:noProof/>
        </w:rPr>
        <w:t xml:space="preserve"> I pielikumā, normālā vērtība būtu </w:t>
      </w:r>
      <w:r>
        <w:rPr>
          <w:noProof/>
        </w:rPr>
        <w:t xml:space="preserve">jānosaka, pamatojoties uz 2. panta 7. punktu Regulā (ES) 2016/1036, kas grozīta ar šo regulu. Šai regulai nebūtu jāskar tirgus ekonomikas valsts statusa noteikšana kādai no PTO dalībvalstīm. </w:t>
      </w:r>
    </w:p>
    <w:p w:rsidR="00B15957" w:rsidRDefault="005D4F99">
      <w:pPr>
        <w:pStyle w:val="ManualConsidrant"/>
        <w:rPr>
          <w:noProof/>
        </w:rPr>
      </w:pPr>
      <w:r>
        <w:t>(3)</w:t>
      </w:r>
      <w:r>
        <w:tab/>
      </w:r>
      <w:r>
        <w:rPr>
          <w:noProof/>
        </w:rPr>
        <w:t>Ņemot vērā iepriekšējās procedūrās gūto pieredzi, ir lietder</w:t>
      </w:r>
      <w:r>
        <w:rPr>
          <w:noProof/>
        </w:rPr>
        <w:t xml:space="preserve">īgi precizēt, kādos apstākļos var uzskatīt, ka ir nozīmīgi kropļojumi, kas lielā mērā ietekmē brīvā tirgus spēkus. Konkrēti, ir lietderīgi precizēt, ka var uzskatīt, ka ir šāda situācija, </w:t>
      </w:r>
      <w:r>
        <w:rPr>
          <w:i/>
          <w:noProof/>
        </w:rPr>
        <w:t>inter alia</w:t>
      </w:r>
      <w:r>
        <w:rPr>
          <w:noProof/>
        </w:rPr>
        <w:t>, ja paziņotās cenas vai izmaksas, arī izejvielu izmaksas,</w:t>
      </w:r>
      <w:r>
        <w:rPr>
          <w:noProof/>
        </w:rPr>
        <w:t xml:space="preserve"> nav noteiktas brīvā tirgus spēku ietekmē, jo tās ietekmē valdības iejaukšanās. Ir arī lietderīgi precizēt, ka, apsverot to, vai ir šāda situācija, var ņemt vērā, </w:t>
      </w:r>
      <w:r>
        <w:rPr>
          <w:i/>
          <w:noProof/>
        </w:rPr>
        <w:t>inter alia</w:t>
      </w:r>
      <w:r>
        <w:rPr>
          <w:noProof/>
        </w:rPr>
        <w:t>, šādu kritēriju iespējamo ietekmi: attiecīgajā tirgū lielā mērā darbojas uzņēmumi,</w:t>
      </w:r>
      <w:r>
        <w:rPr>
          <w:noProof/>
        </w:rPr>
        <w:t xml:space="preserve"> par kuru veikto darbību atbild, sniedz norādes un to kontrolē vai politiski pārrauga eksportētājas valsts iestādes; valsts ir pārstāvēta uzņēmumos un tādējādi var iejaukties jautājumos par cenām vai izmaksām; diskriminējoša sabiedriskā politika vai pasāku</w:t>
      </w:r>
      <w:r>
        <w:rPr>
          <w:noProof/>
        </w:rPr>
        <w:t>mi, kuros priekšroka tiek dota iekšzemes piegādātājiem vai kuri kaut kā citādi ietekmē brīvā tirgus spēkus; un piekļuve finansējumam, ko piešķir iestādes, kuras īsteno sabiedriskās politikas mērķus. Ir arī lietderīgi noteikt, ka Komisijas dienesti var izst</w:t>
      </w:r>
      <w:r>
        <w:rPr>
          <w:noProof/>
        </w:rPr>
        <w:t>rādāt ziņojumus, kuros aprakstīta konkrētā situācija saistībā ar minētajiem kritērijiem noteiktā valstī vai nozarē; ka šādi ziņojumi un pierādījumi, uz kuriem tie ir balstīti, var tikt pievienoti ikvienai izmeklēšanas lietai attiecībā uz konkrēto valsti va</w:t>
      </w:r>
      <w:r>
        <w:rPr>
          <w:noProof/>
        </w:rPr>
        <w:t>i nozari; un ka ieinteresētajām pusēm būtu jādod pietiekama iespēja izteikt piezīmes par ziņojumu un pierādījumiem, uz kuriem tas ir balstīts, ikvienā izmeklēšanā, kurā izmanto šādu ziņojumu vai pierādījumus.</w:t>
      </w:r>
    </w:p>
    <w:p w:rsidR="00B15957" w:rsidRDefault="005D4F99">
      <w:pPr>
        <w:pStyle w:val="ManualConsidrant"/>
        <w:rPr>
          <w:noProof/>
        </w:rPr>
      </w:pPr>
      <w:r>
        <w:t>(4)</w:t>
      </w:r>
      <w:r>
        <w:tab/>
      </w:r>
      <w:r>
        <w:rPr>
          <w:noProof/>
        </w:rPr>
        <w:t>Ir arī lietderīgi atcerēties, ka izmaksas p</w:t>
      </w:r>
      <w:r>
        <w:rPr>
          <w:noProof/>
        </w:rPr>
        <w:t>arasti būtu jāaprēķina, pamatojoties uz izmeklēšanā iesaistītā eksportētāja vai ražotāja dokumentāciju. Tomēr, ja eksportētājā valstī ir nozīmīgi kropļojumi, kuru dēļ izmaksas, kas atspoguļotas attiecīgās ieinteresētās personas dokumentācijā ir mākslīgi pa</w:t>
      </w:r>
      <w:r>
        <w:rPr>
          <w:noProof/>
        </w:rPr>
        <w:t>zeminātas, šādas izmaksas var koriģēt vai noteikt, izmantojot ikvienu pieņemamu pamatojumu, arī informāciju no citiem reprezentatīviem tirgiem, starptautiskām cenām vai etaloniem. Ņemot vērā iepriekšējās procedūrās gūto pieredzi, ir lietderīgi arī precizēt</w:t>
      </w:r>
      <w:r>
        <w:rPr>
          <w:noProof/>
        </w:rPr>
        <w:t>, ka, piemērojot ar šo regulu ieviestos noteikumus, būtu pienācīgi jāņem vērā visi būtiskie pierādījumi, arī attiecīgie novērtējuma ziņojumi par dominējošiem apstākļiem ražotāju eksportētāju iekšējā tirgū un pierādījumi, uz kuriem šie ziņojumi ir balstīti,</w:t>
      </w:r>
      <w:r>
        <w:rPr>
          <w:noProof/>
        </w:rPr>
        <w:t xml:space="preserve"> kas pievienoti lietas materiāliem un par ko ieinteresētajām pusēm ir bijusi iespēja izteikt piezīmes.</w:t>
      </w:r>
    </w:p>
    <w:p w:rsidR="00B15957" w:rsidRDefault="005D4F99">
      <w:pPr>
        <w:pStyle w:val="ManualConsidrant"/>
        <w:rPr>
          <w:noProof/>
        </w:rPr>
      </w:pPr>
      <w:r>
        <w:t>(5)</w:t>
      </w:r>
      <w:r>
        <w:tab/>
      </w:r>
      <w:r>
        <w:rPr>
          <w:noProof/>
        </w:rPr>
        <w:t>Ir arī lietderīgi atcerēties, ka attiecībā uz metodiku, kas izmantota sākotnējā izmeklēšanā un kas jāizmanto pārskatīšanas izmeklēšanā, piemēro Regul</w:t>
      </w:r>
      <w:r>
        <w:rPr>
          <w:noProof/>
        </w:rPr>
        <w:t>as (ES) 2016/1036 11. panta 9. punktu. Šajā kontekstā ir lietderīgi precizēt, ka, pārbaudot, vai ir norādes par to, ka apstākļi ir mainījušies, būtu pienācīgi jāņem vērā visi būtiskie pierādījumi, arī attiecīgie novērtējuma ziņojumi par dominējošiem apstāk</w:t>
      </w:r>
      <w:r>
        <w:rPr>
          <w:noProof/>
        </w:rPr>
        <w:t>ļiem ražotāju eksportētāju iekšējā tirgū un pierādījumi, uz kuriem šie ziņojumi ir balstīti, kas pievienoti lietas materiāliem un par ko ieinteresētajām pusēm ir bijusi iespēja izteikt piezīmes.</w:t>
      </w:r>
    </w:p>
    <w:p w:rsidR="00B15957" w:rsidRDefault="005D4F99">
      <w:pPr>
        <w:pStyle w:val="ManualConsidrant"/>
        <w:rPr>
          <w:noProof/>
        </w:rPr>
      </w:pPr>
      <w:r>
        <w:t>(6)</w:t>
      </w:r>
      <w:r>
        <w:tab/>
      </w:r>
      <w:r>
        <w:rPr>
          <w:noProof/>
        </w:rPr>
        <w:t>Ja vien attiecīgo lietu nereglamentē kādi citi konkrētu p</w:t>
      </w:r>
      <w:r>
        <w:rPr>
          <w:noProof/>
        </w:rPr>
        <w:t>ārejas noteikumi, ir lietderīgi paredzēt, ka šī regula ir piemērojama visiem lēmumiem par procedūras sākšanu un visām procedūrām, ieskaitot sākotnējo izmeklēšanu un pārskatīšanas izmeklēšanu, kas sākta dienā, kad stājas spēkā šī regula, vai pēc minētās die</w:t>
      </w:r>
      <w:r>
        <w:rPr>
          <w:noProof/>
        </w:rPr>
        <w:t>nas, ievērojot Regulas (ES) 2016/1036 11. panta 9. punktu. Turklāt ar konkrētu pārejas noteikumu un ņemot vērā to, ka šo jautājumu nereglamentē nekādi citi konkrēti pārejas noteikumi, ir lietderīgi paredzēt, ka gadījumā, ja notiek pāreja no normālās vērtīb</w:t>
      </w:r>
      <w:r>
        <w:rPr>
          <w:noProof/>
        </w:rPr>
        <w:t>as, kas aprēķināta saskaņā ar 2. panta 7. punkta a) vai b) apakšpunktu, uz normālo vērtību, kas aprēķināta saskaņā ar 2. panta 1.–6.a punktu, Regulas (ES) 2016/1036 11. panta 3. punkta pirmajā daļā paredzēto attiecīgo laikposmu vajadzētu uzskatīt par pagāj</w:t>
      </w:r>
      <w:r>
        <w:rPr>
          <w:noProof/>
        </w:rPr>
        <w:t>ušu dienā, kurā sākta pirmā termiņa beigu pārskatīšana pēc šīs pārejas. Lai samazinātu šīs regulas noteikumu apiešanas risku, tāda pati pieeja būtu jāpiemēro pārskatīšanām, ko veic saskaņā ar Regulas (ES) 2016/1036 11. panta 4. punktu. Ir arī lietderīgi at</w:t>
      </w:r>
      <w:r>
        <w:rPr>
          <w:noProof/>
        </w:rPr>
        <w:t>cerēties, ka pāreja no normālās vērtības, kas aprēķināta saskaņā ar 2. panta 7. punkta a) vai b) apakšpunktu, uz normālo vērtību, kas aprēķināta saskaņā ar 2. panta 1.–6.a punktu, nebūtu jāuzskata par pietiekamu pierādījumu Regulas (ES) 2016/1036 11. panta</w:t>
      </w:r>
      <w:r>
        <w:rPr>
          <w:noProof/>
        </w:rPr>
        <w:t xml:space="preserve"> 3. punkta nozīmē. Šādiem pārejas noteikumiem vajadzētu aizstāt trūkstošo regulējumu, jo pretējā gadījumā varētu rasties juridiskā nenoteiktība, un tiem arī vajadzētu nodrošināt ieinteresētajām pusēm pienācīgu iespēju pielāgoties tam, ka iepriekšējie notei</w:t>
      </w:r>
      <w:r>
        <w:rPr>
          <w:noProof/>
        </w:rPr>
        <w:t>kumi zaudē spēku un stājas spēkā jaunie noteikumi, un veicināt efektīvu, sakārtotu un objektīvu Regulas (ES) 2016/1036 pārvaldību.</w:t>
      </w:r>
    </w:p>
    <w:p w:rsidR="00B15957" w:rsidRDefault="005D4F99">
      <w:pPr>
        <w:pStyle w:val="ManualConsidrant"/>
        <w:rPr>
          <w:noProof/>
        </w:rPr>
      </w:pPr>
      <w:r>
        <w:t>(7)</w:t>
      </w:r>
      <w:r>
        <w:tab/>
      </w:r>
      <w:r>
        <w:rPr>
          <w:noProof/>
        </w:rPr>
        <w:t>Padome un Eiropas Parlaments ar Regulu (ES) 2016/1037</w:t>
      </w:r>
      <w:r>
        <w:rPr>
          <w:rStyle w:val="FootnoteReference"/>
          <w:noProof/>
        </w:rPr>
        <w:footnoteReference w:id="3"/>
      </w:r>
      <w:r>
        <w:rPr>
          <w:noProof/>
        </w:rPr>
        <w:t xml:space="preserve"> pieņēma kopīgus noteikumus aizsardzībai pret subsidētu importu no </w:t>
      </w:r>
      <w:r>
        <w:rPr>
          <w:noProof/>
        </w:rPr>
        <w:t xml:space="preserve">valstīm, kas nav Eiropas Savienības dalībvalstis. Pieredze liecina, ka faktiskais subsīdiju apjoms parasti tiek atklāts attiecīgajā izmeklēšanā. Bieži notiek tā, ka tiek konstatēts, ka izmeklēšanā iesaistītie eksportētāji izmanto subsīdijas, par kurām nav </w:t>
      </w:r>
      <w:r>
        <w:rPr>
          <w:noProof/>
        </w:rPr>
        <w:t>bijis iespējams zināt pirms izmeklēšanas. Ir lietderīgi precizēt, ka gadījumos, kad kādā noteiktā izmeklēšanā vai pārskatīšanā tiek konstatētas šādas subsīdijas, Komisijai būtu attiecīgajai izcelsmes valstij un/vai eksportētājai valstij jāpiedāvā papildu a</w:t>
      </w:r>
      <w:r>
        <w:rPr>
          <w:noProof/>
        </w:rPr>
        <w:t>pspriešanās attiecībā uz šādām izmeklēšanā konstatētām subsīdijām. Tā kā nav konkrētu pārejas noteikumu, kuri reglamentētu attiecīgo lietu, ir lietderīgi paredzēt, ka šī regula ir piemērojama visiem lēmumiem par procedūras sākšanu un visām procedūrām, iesk</w:t>
      </w:r>
      <w:r>
        <w:rPr>
          <w:noProof/>
        </w:rPr>
        <w:t>aitot sākotnējo izmeklēšanu un pārskatīšanas izmeklēšanu, kas sākta dienā, kad stājas spēkā šī regula, vai pēc minētās dienas.</w:t>
      </w:r>
    </w:p>
    <w:p w:rsidR="00B15957" w:rsidRDefault="005D4F99">
      <w:pPr>
        <w:pStyle w:val="ManualConsidrant"/>
        <w:rPr>
          <w:noProof/>
        </w:rPr>
      </w:pPr>
      <w:r>
        <w:t>(8)</w:t>
      </w:r>
      <w:r>
        <w:tab/>
      </w:r>
      <w:r>
        <w:rPr>
          <w:noProof/>
        </w:rPr>
        <w:t>Tāpēc būtu attiecīgi jāgroza Regula (ES) 2016/1036 un Regula (ES) 2016/1037,</w:t>
      </w:r>
    </w:p>
    <w:p w:rsidR="00B15957" w:rsidRDefault="005D4F99">
      <w:pPr>
        <w:pStyle w:val="Formuledadoption"/>
        <w:rPr>
          <w:noProof/>
        </w:rPr>
      </w:pPr>
      <w:r>
        <w:rPr>
          <w:noProof/>
        </w:rPr>
        <w:t>IR PIEŅĒMUŠI ŠO REGULU.</w:t>
      </w:r>
    </w:p>
    <w:p w:rsidR="00B15957" w:rsidRDefault="005D4F99">
      <w:pPr>
        <w:pStyle w:val="Titrearticle"/>
        <w:rPr>
          <w:noProof/>
        </w:rPr>
      </w:pPr>
      <w:r>
        <w:rPr>
          <w:noProof/>
        </w:rPr>
        <w:t>1. pants</w:t>
      </w:r>
    </w:p>
    <w:p w:rsidR="00B15957" w:rsidRDefault="005D4F99">
      <w:pPr>
        <w:spacing w:after="240"/>
        <w:rPr>
          <w:noProof/>
        </w:rPr>
      </w:pPr>
      <w:r>
        <w:rPr>
          <w:noProof/>
        </w:rPr>
        <w:t xml:space="preserve">Regulu (ES) </w:t>
      </w:r>
      <w:r>
        <w:rPr>
          <w:noProof/>
        </w:rPr>
        <w:t>2016/1036 groza šādi:</w:t>
      </w:r>
    </w:p>
    <w:p w:rsidR="00B15957" w:rsidRDefault="005D4F99">
      <w:pPr>
        <w:pStyle w:val="Point1number"/>
        <w:numPr>
          <w:ilvl w:val="2"/>
          <w:numId w:val="3"/>
        </w:numPr>
        <w:tabs>
          <w:tab w:val="clear" w:pos="1417"/>
          <w:tab w:val="num" w:pos="709"/>
        </w:tabs>
        <w:ind w:hanging="1417"/>
        <w:rPr>
          <w:noProof/>
        </w:rPr>
      </w:pPr>
      <w:r>
        <w:rPr>
          <w:noProof/>
        </w:rPr>
        <w:t>regulas 2. pantam pievieno šādu 6.a punktu:</w:t>
      </w:r>
    </w:p>
    <w:p w:rsidR="00B15957" w:rsidRDefault="005D4F99">
      <w:pPr>
        <w:ind w:left="720"/>
        <w:rPr>
          <w:noProof/>
        </w:rPr>
      </w:pPr>
      <w:r>
        <w:rPr>
          <w:noProof/>
        </w:rPr>
        <w:t>“6.a.</w:t>
      </w:r>
      <w:r>
        <w:rPr>
          <w:noProof/>
        </w:rPr>
        <w:tab/>
        <w:t>a) Ja, piemērojot šīs regulas šo vai kādu citu būtisku noteikumu, tiek konstatēts, ka nozīmīgu kropļojumu dēļ nav pareizi izmantot iekšzemes cenas un izmaksas eksportētājā valstī, norm</w:t>
      </w:r>
      <w:r>
        <w:rPr>
          <w:noProof/>
        </w:rPr>
        <w:t>ālo vērtību nosaka, pamatojoties uz ražošanas un pārdošanas izmaksām, kas atspoguļo neizkropļotas cenas vai etalonus. Šim nolūkam var izmantot avotus, kas ietver neizkropļotas starptautiskās cenas, izmaksas, etalonus vai atbilstošas ražošanas un pārdošanas</w:t>
      </w:r>
      <w:r>
        <w:rPr>
          <w:noProof/>
        </w:rPr>
        <w:t xml:space="preserve"> izmaksas attiecīgā reprezentatīvā valstī ar līdzīgu ekonomiskās attīstības līmeni, kāds ir eksportētājā valstī, ar nosacījumu, ka ir viegli pieejami attiecīgie dati par izmaksām. Saliktā normālā vērtība ietver samērīgas administratīvās, pārdošanas un visp</w:t>
      </w:r>
      <w:r>
        <w:rPr>
          <w:noProof/>
        </w:rPr>
        <w:t>ārējās izmaksas un peļņu;</w:t>
      </w:r>
    </w:p>
    <w:p w:rsidR="00B15957" w:rsidRDefault="005D4F99">
      <w:pPr>
        <w:ind w:left="720"/>
        <w:rPr>
          <w:noProof/>
        </w:rPr>
      </w:pPr>
      <w:r>
        <w:rPr>
          <w:noProof/>
        </w:rPr>
        <w:t xml:space="preserve">b) var uzskatīt, ka attiecībā uz attiecīgo izstrādājumu ir nozīmīgi kropļojumi a) apakšpunkta nozīmē, </w:t>
      </w:r>
      <w:r>
        <w:rPr>
          <w:i/>
          <w:noProof/>
        </w:rPr>
        <w:t>inter alia</w:t>
      </w:r>
      <w:r>
        <w:rPr>
          <w:noProof/>
        </w:rPr>
        <w:t>, ja paziņotās cenas vai izmaksas, arī izejvielu izmaksas, nav noteiktas brīvā tirgus spēku ietekmē, jo tās ietekmē va</w:t>
      </w:r>
      <w:r>
        <w:rPr>
          <w:noProof/>
        </w:rPr>
        <w:t xml:space="preserve">ldības iejaukšanās. Apsverot, vai ir nozīmīgi kropļojumi, var ņemt vērā, </w:t>
      </w:r>
      <w:r>
        <w:rPr>
          <w:i/>
          <w:noProof/>
        </w:rPr>
        <w:t>inter alia</w:t>
      </w:r>
      <w:r>
        <w:rPr>
          <w:noProof/>
        </w:rPr>
        <w:t>, šādu faktoru iespējamo ietekmi: attiecīgajā tirgū lielā mērā darbojas uzņēmumi, par kuru veikto darbību atbild, sniedz norādes un to kontrolē vai politiski pārrauga ekspor</w:t>
      </w:r>
      <w:r>
        <w:rPr>
          <w:noProof/>
        </w:rPr>
        <w:t>tētājas valsts iestādes; valsts ir pārstāvēta uzņēmumos un tādējādi var iejaukties jautājumos par cenām vai izmaksām; diskriminējoša sabiedriskā politika vai pasākumi, kuros priekšroka tiek dota iekšzemes piegādātājiem vai kuri kaut kā citādi ietekmē brīvā</w:t>
      </w:r>
      <w:r>
        <w:rPr>
          <w:noProof/>
        </w:rPr>
        <w:t xml:space="preserve"> tirgus spēkus; un piekļuve finansējumam, ko piešķir iestādes, kuras īsteno sabiedriskās politikas mērķus;</w:t>
      </w:r>
    </w:p>
    <w:p w:rsidR="00B15957" w:rsidRDefault="005D4F99">
      <w:pPr>
        <w:ind w:left="720"/>
        <w:rPr>
          <w:noProof/>
        </w:rPr>
      </w:pPr>
      <w:r>
        <w:rPr>
          <w:noProof/>
        </w:rPr>
        <w:t>c) attiecīgā gadījumā Komisijas dienesti var izstrādāt ziņojumu, kurā aprakstīta konkrētā situācija saistībā ar b) apakšpunktā minētajiem kritērijiem</w:t>
      </w:r>
      <w:r>
        <w:rPr>
          <w:noProof/>
        </w:rPr>
        <w:t xml:space="preserve"> noteiktā valstī vai nozarē. Šāds ziņojums un pierādījumi, uz kuriem tas ir balstīts, var tikt pievienots ikvienai izmeklēšanas lietai attiecībā uz konkrēto valsti vai nozari. Ieinteresētajām pusēm ir pietiekama iespēja papildināt, izteikt piezīmes un paļa</w:t>
      </w:r>
      <w:r>
        <w:rPr>
          <w:noProof/>
        </w:rPr>
        <w:t>uties uz ziņojumu un pierādījumiem, uz kuriem tas ir balstīts, ikvienā izmeklēšanā, kurā izmanto šādu ziņojumu vai pierādījumus. Izdarītajos konstatējumos ņem vērā visus attiecīgās lietas materiālos iekļautos pierādījumus;</w:t>
      </w:r>
    </w:p>
    <w:p w:rsidR="00B15957" w:rsidRDefault="005D4F99">
      <w:pPr>
        <w:ind w:left="720"/>
        <w:rPr>
          <w:noProof/>
        </w:rPr>
      </w:pPr>
      <w:r>
        <w:rPr>
          <w:noProof/>
        </w:rPr>
        <w:t>d) Savienības ražošanas nozare va</w:t>
      </w:r>
      <w:r>
        <w:rPr>
          <w:noProof/>
        </w:rPr>
        <w:t>r paļauties uz c) apakšpunktā minēto ziņojumu normālās vērtības aprēķināšanai, iesniedzot sūdzību saskaņā ar 5. pantu vai pārskatīšanas pieprasījumu saskaņā ar 11. pantu;</w:t>
      </w:r>
    </w:p>
    <w:p w:rsidR="00B15957" w:rsidRDefault="005D4F99">
      <w:pPr>
        <w:ind w:left="720"/>
        <w:rPr>
          <w:noProof/>
        </w:rPr>
      </w:pPr>
      <w:r>
        <w:rPr>
          <w:noProof/>
        </w:rPr>
        <w:t>e) tūlīt pēc izmeklēšanas sākšanas tajā iesaistītās puses tiek informētas par attiecī</w:t>
      </w:r>
      <w:r>
        <w:rPr>
          <w:noProof/>
        </w:rPr>
        <w:t>gajiem avotiem, ko Komisija plāno izmantot, piemērojot a) apakšpunktu, un tām atvēl 10 dienas piezīmju izteikšanai. Šim nolūkam ieinteresētajām pusēm piešķir piekļuvi lietas materiāliem, ieskaitot visus pierādījumus, uz kuriem paļaujas izmeklēšanas iestāde</w:t>
      </w:r>
      <w:r>
        <w:rPr>
          <w:noProof/>
        </w:rPr>
        <w:t>, neskarot 19. pantu.”;</w:t>
      </w:r>
    </w:p>
    <w:p w:rsidR="00B15957" w:rsidRDefault="005D4F99">
      <w:pPr>
        <w:pStyle w:val="Point1number"/>
        <w:numPr>
          <w:ilvl w:val="2"/>
          <w:numId w:val="13"/>
        </w:numPr>
        <w:tabs>
          <w:tab w:val="clear" w:pos="1417"/>
          <w:tab w:val="num" w:pos="709"/>
        </w:tabs>
        <w:ind w:hanging="1417"/>
        <w:rPr>
          <w:noProof/>
        </w:rPr>
      </w:pPr>
      <w:r>
        <w:rPr>
          <w:noProof/>
        </w:rPr>
        <w:t>regulas 2. panta 7. punktu aizstāj ar šādu punktu:</w:t>
      </w:r>
    </w:p>
    <w:p w:rsidR="00B15957" w:rsidRDefault="005D4F99">
      <w:pPr>
        <w:ind w:left="720"/>
        <w:rPr>
          <w:noProof/>
        </w:rPr>
      </w:pPr>
      <w:r>
        <w:rPr>
          <w:noProof/>
        </w:rPr>
        <w:t xml:space="preserve">“Attiecībā uz importu no valstīm, kuras procedūras sākšanas dienā nav PTO dalībvalstis un ir minētas Regulas (ES) 2015/755 I pielikumā, normālo vērtību nosaka, pamatojoties uz cenu </w:t>
      </w:r>
      <w:r>
        <w:rPr>
          <w:noProof/>
        </w:rPr>
        <w:t>vai salikto vērtību kādā trešā tirgus ekonomikas valstī vai pārdošanas cenu no šādas trešās valsts uz citām valstīm, tostarp Savienību, vai, ja tas nav iespējams, izmantojot jebkuru citu pieņemamu vērtību, tostarp cenu, kas faktiski samaksāta vai maksājama</w:t>
      </w:r>
      <w:r>
        <w:rPr>
          <w:noProof/>
        </w:rPr>
        <w:t xml:space="preserve"> Savienībā par līdzīgo izstrādājumu, vajadzības gadījumā to atbilstīgi koriģējot, lai ietvertu samērīgu peļņas procentu.</w:t>
      </w:r>
    </w:p>
    <w:p w:rsidR="00B15957" w:rsidRDefault="005D4F99">
      <w:pPr>
        <w:ind w:left="720"/>
        <w:rPr>
          <w:noProof/>
        </w:rPr>
      </w:pPr>
      <w:r>
        <w:rPr>
          <w:noProof/>
        </w:rPr>
        <w:t>Trešo tirgus ekonomikas valsti izvēlas pieņemamā veidā, pievēršot īpašu uzmanību jebkādai ticamai informācijai, kas ir pieejama izvēles</w:t>
      </w:r>
      <w:r>
        <w:rPr>
          <w:noProof/>
        </w:rPr>
        <w:t xml:space="preserve"> izdarīšanas laikā. Tāpat ņem vērā arī termiņus; un, ja nepieciešams, izmanto trešo tirgus ekonomikas valsti, kurā veic tādu pašu izmeklēšanu.</w:t>
      </w:r>
    </w:p>
    <w:p w:rsidR="00B15957" w:rsidRDefault="005D4F99">
      <w:pPr>
        <w:ind w:left="720"/>
        <w:rPr>
          <w:noProof/>
        </w:rPr>
      </w:pPr>
      <w:r>
        <w:rPr>
          <w:noProof/>
        </w:rPr>
        <w:t>Tūlīt pēc izmeklēšanas sākšanas tajā iesaistītās puses tiek informētas par izvēlēto trešo tirgus ekonomikas valst</w:t>
      </w:r>
      <w:r>
        <w:rPr>
          <w:noProof/>
        </w:rPr>
        <w:t>i, un tām atvēl 10 dienas piezīmju izteikšanai.”;</w:t>
      </w:r>
    </w:p>
    <w:p w:rsidR="00B15957" w:rsidRDefault="005D4F99">
      <w:pPr>
        <w:pStyle w:val="Point1number"/>
        <w:numPr>
          <w:ilvl w:val="2"/>
          <w:numId w:val="13"/>
        </w:numPr>
        <w:tabs>
          <w:tab w:val="clear" w:pos="1417"/>
          <w:tab w:val="num" w:pos="709"/>
        </w:tabs>
        <w:ind w:left="709" w:hanging="709"/>
        <w:rPr>
          <w:noProof/>
        </w:rPr>
      </w:pPr>
      <w:r>
        <w:rPr>
          <w:noProof/>
        </w:rPr>
        <w:t>regulas 11. panta 3. punkta pirmajai daļai pievieno šādu daļu:</w:t>
      </w:r>
    </w:p>
    <w:p w:rsidR="00B15957" w:rsidRDefault="005D4F99">
      <w:pPr>
        <w:spacing w:after="240"/>
        <w:ind w:left="720"/>
        <w:rPr>
          <w:noProof/>
        </w:rPr>
      </w:pPr>
      <w:r>
        <w:rPr>
          <w:noProof/>
        </w:rPr>
        <w:t>“Gadījumā, ja notiek pāreja no normālās vērtības, kas aprēķināta saskaņā ar agrāko 2. panta 7. punkta a) vai b) apakšpunktu, uz normālo vērtību</w:t>
      </w:r>
      <w:r>
        <w:rPr>
          <w:noProof/>
        </w:rPr>
        <w:t>, kas aprēķināta saskaņā ar 2. panta 1.–6.a punktu, attiecīgo laikposmu uzskata par pagājušu dienā, kurā sākta pirmā termiņa beigu pārskatīšana pēc šīs pārejas.”;</w:t>
      </w:r>
    </w:p>
    <w:p w:rsidR="00B15957" w:rsidRDefault="005D4F99">
      <w:pPr>
        <w:pStyle w:val="Point1number"/>
        <w:numPr>
          <w:ilvl w:val="2"/>
          <w:numId w:val="13"/>
        </w:numPr>
        <w:tabs>
          <w:tab w:val="clear" w:pos="1417"/>
          <w:tab w:val="num" w:pos="709"/>
        </w:tabs>
        <w:ind w:left="709" w:hanging="709"/>
        <w:rPr>
          <w:noProof/>
        </w:rPr>
      </w:pPr>
      <w:r>
        <w:rPr>
          <w:noProof/>
        </w:rPr>
        <w:t>regulas 11. panta 4. punktam pievieno šādu daļu:</w:t>
      </w:r>
    </w:p>
    <w:p w:rsidR="00B15957" w:rsidRDefault="005D4F99">
      <w:pPr>
        <w:spacing w:after="240"/>
        <w:ind w:left="720" w:hanging="720"/>
        <w:rPr>
          <w:noProof/>
        </w:rPr>
      </w:pPr>
      <w:r>
        <w:rPr>
          <w:noProof/>
        </w:rPr>
        <w:tab/>
        <w:t>“Gadījumā, ja notiek pāreja no normālās vēr</w:t>
      </w:r>
      <w:r>
        <w:rPr>
          <w:noProof/>
        </w:rPr>
        <w:t>tības, kas aprēķināta saskaņā ar agrāko 2. panta 7. punkta a) vai b) apakšpunktu, uz normālo vērtību, kas aprēķināta saskaņā ar 2. panta 1.–6.a punktu, ikvienu pārskatīšanu saskaņā ar šo pantu atliek līdz dienai, kurā sākta pirmā termiņa beigu pārskatīšana</w:t>
      </w:r>
      <w:r>
        <w:rPr>
          <w:noProof/>
        </w:rPr>
        <w:t xml:space="preserve"> pēc šīs pārejas.”;</w:t>
      </w:r>
    </w:p>
    <w:p w:rsidR="00B15957" w:rsidRDefault="005D4F99">
      <w:pPr>
        <w:pStyle w:val="Point1number"/>
        <w:numPr>
          <w:ilvl w:val="2"/>
          <w:numId w:val="13"/>
        </w:numPr>
        <w:tabs>
          <w:tab w:val="clear" w:pos="1417"/>
          <w:tab w:val="num" w:pos="709"/>
        </w:tabs>
        <w:ind w:left="709" w:hanging="709"/>
        <w:rPr>
          <w:noProof/>
        </w:rPr>
      </w:pPr>
      <w:r>
        <w:rPr>
          <w:noProof/>
        </w:rPr>
        <w:t>regulas 11. panta 9. punktam pievieno šādu daļu:</w:t>
      </w:r>
    </w:p>
    <w:p w:rsidR="00B15957" w:rsidRDefault="005D4F99">
      <w:pPr>
        <w:spacing w:after="240"/>
        <w:ind w:left="720" w:hanging="720"/>
        <w:rPr>
          <w:noProof/>
        </w:rPr>
      </w:pPr>
      <w:r>
        <w:rPr>
          <w:noProof/>
        </w:rPr>
        <w:tab/>
        <w:t>“Attiecībā uz apstākļiem, kuri ir būtiski normālās vērtības noteikšanai saskaņā ar 2. pantu, pienācīgi ņem vērā visus būtiskos pierādījumus, arī attiecīgos novērtējuma ziņojumus par domi</w:t>
      </w:r>
      <w:r>
        <w:rPr>
          <w:noProof/>
        </w:rPr>
        <w:t>nējošiem apstākļiem ražotāju eksportētāju iekšējā tirgū un pierādījumus, uz kuriem šie ziņojumi ir balstīti, kas pievienoti lietas materiāliem un par ko ieinteresētajām pusēm ir bijusi iespēja izteikt piezīmes.”</w:t>
      </w:r>
    </w:p>
    <w:p w:rsidR="00B15957" w:rsidRDefault="005D4F99">
      <w:pPr>
        <w:pStyle w:val="Titrearticle"/>
        <w:rPr>
          <w:noProof/>
        </w:rPr>
      </w:pPr>
      <w:r>
        <w:rPr>
          <w:noProof/>
        </w:rPr>
        <w:t>2. pants</w:t>
      </w:r>
    </w:p>
    <w:p w:rsidR="00B15957" w:rsidRDefault="005D4F99">
      <w:pPr>
        <w:spacing w:after="240"/>
        <w:rPr>
          <w:noProof/>
        </w:rPr>
      </w:pPr>
      <w:r>
        <w:rPr>
          <w:noProof/>
        </w:rPr>
        <w:t xml:space="preserve">Regulas (ES) 2016/1037 10. panta </w:t>
      </w:r>
      <w:r>
        <w:rPr>
          <w:noProof/>
        </w:rPr>
        <w:t>7. punktam pievieno šādu daļu:</w:t>
      </w:r>
    </w:p>
    <w:p w:rsidR="00B15957" w:rsidRDefault="005D4F99">
      <w:pPr>
        <w:spacing w:after="240"/>
        <w:rPr>
          <w:noProof/>
        </w:rPr>
      </w:pPr>
      <w:r>
        <w:rPr>
          <w:noProof/>
        </w:rPr>
        <w:t>“Komisija attiecīgajai izcelsmes valstij un/vai eksportētājai valstij arī piedāvā apspriešanos attiecībā uz citām izmeklēšanā konstatētām subsīdijām. Šādos gadījumos Komisija nosūta uz izcelsmes valsti un/vai eksportētāju val</w:t>
      </w:r>
      <w:r>
        <w:rPr>
          <w:noProof/>
        </w:rPr>
        <w:t>sti galveno elementu kopsavilkumu par citām šādām subsīdijām, it īpaši šā panta 2. punkta c) apakšpunktā minētajām subsīdijām. Ja papildu subsīdijas nav minētas paziņojumā par procedūras sākšanu, paziņojumā par procedūras sākšanu izdara grozījumus un grozī</w:t>
      </w:r>
      <w:r>
        <w:rPr>
          <w:noProof/>
        </w:rPr>
        <w:t xml:space="preserve">to versiju publicē </w:t>
      </w:r>
      <w:r>
        <w:rPr>
          <w:i/>
          <w:noProof/>
        </w:rPr>
        <w:t>Eiropas Savienības Oficiālajā Vēstnesī</w:t>
      </w:r>
      <w:r>
        <w:rPr>
          <w:noProof/>
        </w:rPr>
        <w:t>, uzaicinot visas ieinteresētās puses izteikt piezīmes.”</w:t>
      </w:r>
    </w:p>
    <w:p w:rsidR="00B15957" w:rsidRDefault="005D4F99">
      <w:pPr>
        <w:pStyle w:val="Titrearticle"/>
        <w:rPr>
          <w:noProof/>
        </w:rPr>
      </w:pPr>
      <w:r>
        <w:rPr>
          <w:noProof/>
        </w:rPr>
        <w:t>3. pants</w:t>
      </w:r>
    </w:p>
    <w:p w:rsidR="00B15957" w:rsidRDefault="005D4F99">
      <w:pPr>
        <w:spacing w:after="240"/>
        <w:rPr>
          <w:noProof/>
        </w:rPr>
      </w:pPr>
      <w:r>
        <w:rPr>
          <w:noProof/>
        </w:rPr>
        <w:t xml:space="preserve">Šī regula stājas spēkā nākamajā dienā pēc tās publicēšanas </w:t>
      </w:r>
      <w:r>
        <w:rPr>
          <w:i/>
          <w:noProof/>
        </w:rPr>
        <w:t>Eiropas Savienības Oficiālajā Vēstnesī</w:t>
      </w:r>
      <w:r>
        <w:rPr>
          <w:noProof/>
        </w:rPr>
        <w:t>.</w:t>
      </w:r>
    </w:p>
    <w:p w:rsidR="00B15957" w:rsidRDefault="005D4F99">
      <w:pPr>
        <w:pStyle w:val="Titrearticle"/>
        <w:rPr>
          <w:noProof/>
        </w:rPr>
      </w:pPr>
      <w:r>
        <w:rPr>
          <w:noProof/>
        </w:rPr>
        <w:t>4. pants</w:t>
      </w:r>
    </w:p>
    <w:p w:rsidR="00B15957" w:rsidRDefault="005D4F99">
      <w:pPr>
        <w:spacing w:after="240"/>
        <w:rPr>
          <w:noProof/>
        </w:rPr>
      </w:pPr>
      <w:r>
        <w:rPr>
          <w:noProof/>
        </w:rPr>
        <w:t xml:space="preserve">Šo regulu piemēro visiem </w:t>
      </w:r>
      <w:r>
        <w:rPr>
          <w:noProof/>
        </w:rPr>
        <w:t>lēmumiem par procedūras sākšanu un visām procedūrām, ieskaitot sākotnējo izmeklēšanu un pārskatīšanas izmeklēšanu, kas sākta dienā, kad stājas spēkā šī regula, vai pēc minētās dienas.</w:t>
      </w:r>
    </w:p>
    <w:p w:rsidR="00B15957" w:rsidRDefault="005D4F99">
      <w:pPr>
        <w:pStyle w:val="Applicationdirecte"/>
        <w:rPr>
          <w:noProof/>
        </w:rPr>
      </w:pPr>
      <w:r>
        <w:rPr>
          <w:noProof/>
        </w:rPr>
        <w:t>Šī regula uzliek saistības kopumā un ir tieši piemērojama visās dalībval</w:t>
      </w:r>
      <w:r>
        <w:rPr>
          <w:noProof/>
        </w:rPr>
        <w:t>stīs.</w:t>
      </w:r>
    </w:p>
    <w:p w:rsidR="00B15957" w:rsidRDefault="005D4F99" w:rsidP="005D4F99">
      <w:pPr>
        <w:pStyle w:val="Fait"/>
        <w:rPr>
          <w:noProof/>
        </w:rPr>
      </w:pPr>
      <w:r w:rsidRPr="005D4F99">
        <w:t>Briselē,</w:t>
      </w:r>
    </w:p>
    <w:p w:rsidR="00B15957" w:rsidRDefault="005D4F99">
      <w:pPr>
        <w:pStyle w:val="Institutionquisigne"/>
        <w:rPr>
          <w:noProof/>
        </w:rPr>
      </w:pPr>
      <w:r>
        <w:rPr>
          <w:noProof/>
        </w:rPr>
        <w:t>Eiropas Parlamenta vārdā –</w:t>
      </w:r>
      <w:r>
        <w:rPr>
          <w:noProof/>
        </w:rPr>
        <w:tab/>
      </w:r>
      <w:r>
        <w:rPr>
          <w:noProof/>
        </w:rPr>
        <w:tab/>
      </w:r>
      <w:r>
        <w:rPr>
          <w:noProof/>
        </w:rPr>
        <w:tab/>
      </w:r>
      <w:r>
        <w:rPr>
          <w:noProof/>
        </w:rPr>
        <w:tab/>
      </w:r>
      <w:r>
        <w:rPr>
          <w:noProof/>
        </w:rPr>
        <w:tab/>
        <w:t>Padomes vārdā –</w:t>
      </w:r>
    </w:p>
    <w:p w:rsidR="00B15957" w:rsidRDefault="005D4F99">
      <w:pPr>
        <w:pStyle w:val="Personnequisigne"/>
        <w:rPr>
          <w:noProof/>
        </w:rPr>
      </w:pPr>
      <w:r>
        <w:rPr>
          <w:noProof/>
        </w:rPr>
        <w:t>priekšsēdētājs</w:t>
      </w:r>
      <w:r>
        <w:rPr>
          <w:noProof/>
        </w:rPr>
        <w:tab/>
      </w:r>
      <w:r>
        <w:rPr>
          <w:noProof/>
        </w:rPr>
        <w:tab/>
      </w:r>
      <w:r>
        <w:rPr>
          <w:noProof/>
        </w:rPr>
        <w:tab/>
      </w:r>
      <w:r>
        <w:rPr>
          <w:noProof/>
        </w:rPr>
        <w:tab/>
      </w:r>
      <w:r>
        <w:rPr>
          <w:noProof/>
        </w:rPr>
        <w:tab/>
        <w:t>priekšsēdētājs</w:t>
      </w:r>
    </w:p>
    <w:sectPr w:rsidR="00B15957" w:rsidSect="005D4F9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957" w:rsidRDefault="005D4F99">
      <w:pPr>
        <w:spacing w:before="0" w:after="0"/>
      </w:pPr>
      <w:r>
        <w:separator/>
      </w:r>
    </w:p>
  </w:endnote>
  <w:endnote w:type="continuationSeparator" w:id="0">
    <w:p w:rsidR="00B15957" w:rsidRDefault="005D4F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99" w:rsidRPr="005D4F99" w:rsidRDefault="005D4F99" w:rsidP="005D4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99" w:rsidRPr="005D4F99" w:rsidRDefault="005D4F99" w:rsidP="005D4F99">
    <w:pPr>
      <w:pStyle w:val="Footer"/>
      <w:rPr>
        <w:rFonts w:ascii="Arial" w:hAnsi="Arial" w:cs="Arial"/>
        <w:b/>
        <w:sz w:val="48"/>
      </w:rPr>
    </w:pPr>
    <w:r w:rsidRPr="005D4F99">
      <w:rPr>
        <w:rFonts w:ascii="Arial" w:hAnsi="Arial" w:cs="Arial"/>
        <w:b/>
        <w:sz w:val="48"/>
      </w:rPr>
      <w:t>LV</w:t>
    </w:r>
    <w:r w:rsidRPr="005D4F99">
      <w:rPr>
        <w:rFonts w:ascii="Arial" w:hAnsi="Arial" w:cs="Arial"/>
        <w:b/>
        <w:sz w:val="48"/>
      </w:rPr>
      <w:tab/>
    </w:r>
    <w:r w:rsidRPr="005D4F99">
      <w:rPr>
        <w:rFonts w:ascii="Arial" w:hAnsi="Arial" w:cs="Arial"/>
        <w:b/>
        <w:sz w:val="48"/>
      </w:rPr>
      <w:tab/>
    </w:r>
    <w:fldSimple w:instr=" DOCVARIABLE &quot;LW_Confidence&quot; \* MERGEFORMAT ">
      <w:r>
        <w:t xml:space="preserve"> </w:t>
      </w:r>
    </w:fldSimple>
    <w:r w:rsidRPr="005D4F99">
      <w:tab/>
    </w:r>
    <w:r w:rsidRPr="005D4F99">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99" w:rsidRPr="005D4F99" w:rsidRDefault="005D4F99" w:rsidP="005D4F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99" w:rsidRPr="005D4F99" w:rsidRDefault="005D4F99" w:rsidP="005D4F99">
    <w:pPr>
      <w:pStyle w:val="Footer"/>
      <w:rPr>
        <w:rFonts w:ascii="Arial" w:hAnsi="Arial" w:cs="Arial"/>
        <w:b/>
        <w:sz w:val="48"/>
      </w:rPr>
    </w:pPr>
    <w:r w:rsidRPr="005D4F99">
      <w:rPr>
        <w:rFonts w:ascii="Arial" w:hAnsi="Arial" w:cs="Arial"/>
        <w:b/>
        <w:sz w:val="48"/>
      </w:rPr>
      <w:t>LV</w:t>
    </w:r>
    <w:r w:rsidRPr="005D4F99">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fldSimple w:instr=" DOCVARIABLE &quot;LW_Confidence&quot; \* MERGEFORMAT ">
      <w:r>
        <w:t xml:space="preserve"> </w:t>
      </w:r>
    </w:fldSimple>
    <w:r w:rsidRPr="005D4F99">
      <w:tab/>
    </w:r>
    <w:r w:rsidRPr="005D4F99">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99" w:rsidRPr="005D4F99" w:rsidRDefault="005D4F99" w:rsidP="005D4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957" w:rsidRDefault="005D4F99">
      <w:pPr>
        <w:spacing w:before="0" w:after="0"/>
      </w:pPr>
      <w:r>
        <w:separator/>
      </w:r>
    </w:p>
  </w:footnote>
  <w:footnote w:type="continuationSeparator" w:id="0">
    <w:p w:rsidR="00B15957" w:rsidRDefault="005D4F99">
      <w:pPr>
        <w:spacing w:before="0" w:after="0"/>
      </w:pPr>
      <w:r>
        <w:continuationSeparator/>
      </w:r>
    </w:p>
  </w:footnote>
  <w:footnote w:id="1">
    <w:p w:rsidR="00B15957" w:rsidRDefault="005D4F99">
      <w:pPr>
        <w:pStyle w:val="FootnoteText"/>
      </w:pPr>
      <w:r>
        <w:rPr>
          <w:rStyle w:val="FootnoteReference"/>
        </w:rPr>
        <w:footnoteRef/>
      </w:r>
      <w:r>
        <w:tab/>
        <w:t>Eiropas Parlamenta un Padomes Regula (ES) 2016/1036 (2016. gada 8. jūnijs) par aizsardzību pret importu par dempinga cenām no valstīm, kas nav Eiropas Sav</w:t>
      </w:r>
      <w:r>
        <w:t>ienības dalībvalstis (OV L 176, 30.6.2016., 21. </w:t>
      </w:r>
      <w:proofErr w:type="spellStart"/>
      <w:r>
        <w:t>lpp</w:t>
      </w:r>
      <w:proofErr w:type="spellEnd"/>
      <w:r>
        <w:t>.).</w:t>
      </w:r>
    </w:p>
  </w:footnote>
  <w:footnote w:id="2">
    <w:p w:rsidR="00B15957" w:rsidRDefault="005D4F99">
      <w:pPr>
        <w:pStyle w:val="FootnoteText"/>
      </w:pPr>
      <w:r>
        <w:rPr>
          <w:rStyle w:val="FootnoteReference"/>
        </w:rPr>
        <w:footnoteRef/>
      </w:r>
      <w:r>
        <w:tab/>
      </w:r>
      <w:r>
        <w:t xml:space="preserve">Eiropas Parlamenta un Padomes Regula (ES) 2015/755 (2015. gada 29. aprīlis) par kopējiem noteikumiem importam no dažām </w:t>
      </w:r>
      <w:proofErr w:type="spellStart"/>
      <w:r>
        <w:t>trešām</w:t>
      </w:r>
      <w:proofErr w:type="spellEnd"/>
      <w:r>
        <w:t xml:space="preserve"> valstīm (OV L 123, 19.5.2015., 33. </w:t>
      </w:r>
      <w:proofErr w:type="spellStart"/>
      <w:r>
        <w:t>lpp</w:t>
      </w:r>
      <w:proofErr w:type="spellEnd"/>
      <w:r>
        <w:t>.).</w:t>
      </w:r>
    </w:p>
  </w:footnote>
  <w:footnote w:id="3">
    <w:p w:rsidR="00B15957" w:rsidRDefault="005D4F99">
      <w:pPr>
        <w:pStyle w:val="FootnoteText"/>
      </w:pPr>
      <w:r>
        <w:rPr>
          <w:rStyle w:val="FootnoteReference"/>
        </w:rPr>
        <w:footnoteRef/>
      </w:r>
      <w:r>
        <w:tab/>
      </w:r>
      <w:r>
        <w:t>Eiropas Parlamenta un Padomes</w:t>
      </w:r>
      <w:r>
        <w:t xml:space="preserve"> Regula (ES) 2016/1037 (2016. gada 8. jūnijs) par aizsardzību pret subsidētu importu no valstīm, kas nav Eiropas Savienības dalībvalstis (OV L 176, 30.6.2016., 55. </w:t>
      </w:r>
      <w:proofErr w:type="spellStart"/>
      <w:r>
        <w:t>lpp</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99" w:rsidRPr="005D4F99" w:rsidRDefault="005D4F99" w:rsidP="005D4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99" w:rsidRPr="005D4F99" w:rsidRDefault="005D4F99" w:rsidP="005D4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99" w:rsidRPr="005D4F99" w:rsidRDefault="005D4F99" w:rsidP="005D4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E048B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7874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CEA2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64A74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80AC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4050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066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BB868F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5"/>
  </w:num>
  <w:num w:numId="7">
    <w:abstractNumId w:val="4"/>
  </w:num>
  <w:num w:numId="8">
    <w:abstractNumId w:val="6"/>
  </w:num>
  <w:num w:numId="9">
    <w:abstractNumId w:val="2"/>
  </w:num>
  <w:num w:numId="10">
    <w:abstractNumId w:val="1"/>
  </w:num>
  <w:num w:numId="11">
    <w:abstractNumId w:val="0"/>
  </w:num>
  <w:num w:numId="12">
    <w:abstractNumId w:val="19"/>
  </w:num>
  <w:num w:numId="13">
    <w:abstractNumId w:val="8"/>
  </w:num>
  <w:num w:numId="14">
    <w:abstractNumId w:val="21"/>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hideGrammaticalErrors/>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8 15:19: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ABD9D34CBD914FE08BE3853EA4C2B8F2"/>
    <w:docVar w:name="LW_CROSSREFERENCE" w:val="{SWD(2016) 370 final}_x000b_{SWD(2016) 371 final}_x000b_{SWD(2016) 372 final}"/>
    <w:docVar w:name="LW_DocType" w:val="COM"/>
    <w:docVar w:name="LW_EMISSION" w:val="9.11.2016"/>
    <w:docVar w:name="LW_EMISSION_ISODATE" w:val="2016-11-09"/>
    <w:docVar w:name="LW_EMISSION_LOCATION" w:val="BRX"/>
    <w:docVar w:name="LW_EMISSION_PREFIX" w:val="Brisel\u275?,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351"/>
    <w:docVar w:name="LW_REF.II.NEW.CP_YEAR" w:val="2016"/>
    <w:docVar w:name="LW_REF.INST.NEW" w:val="COM"/>
    <w:docVar w:name="LW_REF.INST.NEW_ADOPTED" w:val="final"/>
    <w:docVar w:name="LW_REF.INST.NEW_TEXT" w:val="(2016) 721"/>
    <w:docVar w:name="LW_REF.INTERNE" w:val="&lt;UNUSED&gt;"/>
    <w:docVar w:name="LW_SOUS.TITRE.OBJ.CP" w:val="&lt;UNUSED&gt;"/>
    <w:docVar w:name="LW_STATUT.CP" w:val="Priek\u353?likums"/>
    <w:docVar w:name="LW_SUPERTITRE" w:val="&lt;UNUSED&gt;"/>
    <w:docVar w:name="LW_TITRE.OBJ.CP" w:val="ar ko groza Regulu (ES) 2016/1036 par aizsardz\u299?bu pret importu par dempinga cen\u257?m no valst\u299?m, kas nav Eiropas Savien\u299?bas dal\u299?bvalstis, un Regulu (ES) 2016/1037 par aizsardz\u299?bu pret subsid\u275?tu importu no valst\u299?m, kas nav Eiropas Savien\u299?bas dal\u299?bvalstis"/>
    <w:docVar w:name="LW_TYPE.DOC.CP" w:val="EIROPAS PARLAMENTA UN PADOMES REGULA,"/>
  </w:docVars>
  <w:rsids>
    <w:rsidRoot w:val="00B15957"/>
    <w:rsid w:val="005D4F99"/>
    <w:rsid w:val="00B1595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5D4F99"/>
    <w:pPr>
      <w:tabs>
        <w:tab w:val="center" w:pos="4535"/>
        <w:tab w:val="right" w:pos="9071"/>
      </w:tabs>
      <w:spacing w:before="0"/>
    </w:pPr>
  </w:style>
  <w:style w:type="character" w:customStyle="1" w:styleId="HeaderChar">
    <w:name w:val="Header Char"/>
    <w:basedOn w:val="DefaultParagraphFont"/>
    <w:link w:val="Header"/>
    <w:uiPriority w:val="99"/>
    <w:rsid w:val="005D4F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D4F99"/>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5D4F99"/>
    <w:pPr>
      <w:tabs>
        <w:tab w:val="center" w:pos="4535"/>
        <w:tab w:val="right" w:pos="9071"/>
      </w:tabs>
      <w:spacing w:before="0"/>
    </w:pPr>
  </w:style>
  <w:style w:type="character" w:customStyle="1" w:styleId="HeaderChar">
    <w:name w:val="Header Char"/>
    <w:basedOn w:val="DefaultParagraphFont"/>
    <w:link w:val="Header"/>
    <w:uiPriority w:val="99"/>
    <w:rsid w:val="005D4F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D4F99"/>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10</Pages>
  <Words>3158</Words>
  <Characters>20465</Characters>
  <Application>Microsoft Office Word</Application>
  <DocSecurity>0</DocSecurity>
  <Lines>324</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dcterms:created xsi:type="dcterms:W3CDTF">2016-11-08T09:28:00Z</dcterms:created>
  <dcterms:modified xsi:type="dcterms:W3CDTF">2016-11-08T14:46:00Z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