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219E66761B645F48F06F0A8CA291B8F" style="width:450.7pt;height:423.1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UZASADNIENIE</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1.</w:t>
      </w:r>
      <w:r>
        <w:rPr>
          <w:noProof/>
        </w:rPr>
        <w:tab/>
        <w:t>KONTEKST WNIOSKU</w:t>
      </w:r>
    </w:p>
    <w:p>
      <w:pPr>
        <w:pStyle w:val="Text1"/>
        <w:rPr>
          <w:noProof/>
        </w:rPr>
      </w:pPr>
    </w:p>
    <w:p>
      <w:pPr>
        <w:pStyle w:val="ManualHeading2"/>
        <w:rPr>
          <w:rFonts w:eastAsia="Arial Unicode MS"/>
          <w:noProof/>
          <w:u w:color="000000"/>
          <w:bdr w:val="nil"/>
        </w:rPr>
      </w:pPr>
      <w:r>
        <w:rPr>
          <w:noProof/>
        </w:rPr>
        <w:t>Powody przedstawienia wniosku</w:t>
      </w:r>
    </w:p>
    <w:p>
      <w:pPr>
        <w:widowControl w:val="0"/>
        <w:shd w:val="clear" w:color="auto" w:fill="FFFFFF"/>
        <w:autoSpaceDE w:val="0"/>
        <w:autoSpaceDN w:val="0"/>
        <w:adjustRightInd w:val="0"/>
        <w:spacing w:before="230" w:after="0" w:line="269" w:lineRule="exact"/>
        <w:ind w:right="86"/>
        <w:rPr>
          <w:noProof/>
        </w:rPr>
      </w:pPr>
      <w:r>
        <w:rPr>
          <w:noProof/>
        </w:rPr>
        <w:t xml:space="preserve">Rozporządzenie (UE) nr 1286/2014 zostało przyjęte dnia 26 listopada 2014 r. w celu zwiększenia ochrony inwestorów indywidualnych inwestujących w detaliczne produkty zbiorowego inwestowania i ubezpieczeniowe produkty inwestycyjne (PRIIP). Jego celem jest również odbudowa zaufania konsumentów do sektora usług finansowych po kryzysie finansowym. </w:t>
      </w:r>
    </w:p>
    <w:p>
      <w:pPr>
        <w:widowControl w:val="0"/>
        <w:shd w:val="clear" w:color="auto" w:fill="FFFFFF"/>
        <w:autoSpaceDE w:val="0"/>
        <w:autoSpaceDN w:val="0"/>
        <w:adjustRightInd w:val="0"/>
        <w:spacing w:before="230" w:after="0" w:line="269" w:lineRule="exact"/>
        <w:ind w:right="86"/>
        <w:rPr>
          <w:noProof/>
        </w:rPr>
      </w:pPr>
      <w:r>
        <w:rPr>
          <w:noProof/>
        </w:rPr>
        <w:t>Dla osiągnięcia tych celów rozporządzenie (UE) nr 1286/2014 nakłada wymóg, aby twórcy PRIIP spełniali jednolity zbiór wymogów w zakresie ujawniania informacji o produkcie oraz aby inwestorzy indywidualni otrzymywali dokument zawierający kluczowe informacje na temat oferowanych PRIIP. Ujawnione informacje powinny umożliwić inwestorom indywidualnym lepsze zrozumienie gospodarczego charakteru danego produktu oraz związanego z nim ryzyka w celu porównania różnych ofert. Ponadto większa przejrzystość i harmonizacja przyniosą korzyści wewnętrznemu rynkowi usług finansowych poprzez zapewnienie równych warunków działania w przypadku różnych produktów i kanałów dystrybucji.</w:t>
      </w:r>
    </w:p>
    <w:p>
      <w:pPr>
        <w:rPr>
          <w:noProof/>
        </w:rPr>
      </w:pPr>
      <w:r>
        <w:rPr>
          <w:noProof/>
        </w:rPr>
        <w:t>Rozporządzenie (UE) nr 1286/2014 określa formę i treść dokumentu zawierającego kluczowe informacje. W celu dalszej standaryzacji różnych cech dokumentu zawierającego kluczowe informacje oraz celem uwzględnienia istotnych różnic między rodzajami PRIIP europejskie urzędy nadzoru (Europejskie Urzędy Nadzoru: Europejski Urząd Nadzoru Ubezpieczeń i Pracowniczych Programów Emerytalnych, Europejski Urząd Nadzoru Bankowego oraz Europejski Urząd Nadzoru Giełd i Papierów Wartościowych) mają za zadanie opracować regulacyjne standardy techniczne w odniesieniu do prezentacji i treści dokumentów zawierających kluczowe informacje, standardowego formatu dokumentów zawierających kluczowe informacje, metody prezentacji ryzyka i zysku oraz obliczania kosztów, a także warunków i minimalnej częstotliwości dokonywania przeglądu informacji zawartych w dokumentach zawierających kluczowe informacje oraz warunków spełniania wymogów dotyczących przekazywania inwestorom indywidualnym dokumentów zawierających kluczowe informacje.</w:t>
      </w:r>
    </w:p>
    <w:p>
      <w:pPr>
        <w:rPr>
          <w:noProof/>
        </w:rPr>
      </w:pPr>
      <w:r>
        <w:rPr>
          <w:noProof/>
        </w:rPr>
        <w:t>Dnia 6 kwietnia 2016 r. Europejskie Urzędy Nadzoru wspólnie przedstawiły Komisji projekt regulacyjnych standardów technicznych dotyczących dokumentów zawierających kluczowe informacje dla PRIIP. Projekt regulacyjnych standardów technicznych został zatwierdzony przez Komisję dnia 30 czerwca 2016 r. poprzez przyjęcie rozporządzenia delegowanego w sprawie dokumentów zawierających kluczowe informacje</w:t>
      </w:r>
      <w:r>
        <w:rPr>
          <w:rStyle w:val="FootnoteReference"/>
          <w:noProof/>
        </w:rPr>
        <w:footnoteReference w:id="1"/>
      </w:r>
      <w:r>
        <w:rPr>
          <w:noProof/>
        </w:rPr>
        <w:t>.</w:t>
      </w:r>
    </w:p>
    <w:p>
      <w:pPr>
        <w:rPr>
          <w:noProof/>
        </w:rPr>
      </w:pPr>
      <w:r>
        <w:rPr>
          <w:noProof/>
        </w:rPr>
        <w:t>W okresie kontroli Rada nie zgłosiła żadnych zastrzeżeń do rozporządzenia delegowanego Komisji. Jednak dnia 14 września 2016 r. rozporządzenie odrzucił Parlament Europejski</w:t>
      </w:r>
      <w:r>
        <w:rPr>
          <w:rStyle w:val="FootnoteReference"/>
          <w:noProof/>
        </w:rPr>
        <w:footnoteReference w:id="2"/>
      </w:r>
      <w:r>
        <w:rPr>
          <w:noProof/>
        </w:rPr>
        <w:t xml:space="preserve">. Parlament Europejski wezwał Komisję do dokonania przeglądu przepisów dotyczących PRIIP o większej liczbie opcji, scenariuszy wyników oraz ostrzeżenia przed błędnym zrozumieniem. Ponadto Parlament Europejski i zdecydowana większość państw członkowskich zwrócili się do Komisji o odroczenie daty rozpoczęcia stosowania rozporządzenia (UE) nr 1286/2014, argumentując, że brak standardów technicznych mógłby utrudnić sprawne stosowanie tego rozporządzenia. </w:t>
      </w:r>
    </w:p>
    <w:p>
      <w:pPr>
        <w:rPr>
          <w:noProof/>
        </w:rPr>
      </w:pPr>
      <w:r>
        <w:rPr>
          <w:noProof/>
        </w:rPr>
        <w:t>Rozporządzenie (UE) nr 1286/2014 jest bezpośrednio stosowane od dnia 31 grudnia 2016 r. i nie wiąże sporządzania dokumentów zawierających kluczowe informacje z przyjęciem aktu delegowanego. Podczas gdy przepisy rozporządzenia mogłyby być stosowane przez twórców PRIIP i egzekwowane przez właściwe organy bez przyjęcia rozporządzenia delegowanego, wskazane jest wprowadzenie możliwie jak największej przejrzystości do standardów technicznych określających treść pewnych przepisów.</w:t>
      </w:r>
    </w:p>
    <w:p>
      <w:pPr>
        <w:rPr>
          <w:noProof/>
        </w:rPr>
      </w:pPr>
      <w:r>
        <w:rPr>
          <w:noProof/>
        </w:rPr>
        <w:t xml:space="preserve">Biorąc pod uwagę nadzwyczajne okoliczności, które doprowadziły do opóźnień w przyjęciu rozporządzenia delegowanego, Komisja proponuje odroczenie daty rozpoczęcia stosowania rozporządzenia (UE) nr 1286/2014 o 12 miesięcy, aby zmniejszyć brak pewności prawa i dać twórcom PRIIP więcej czasu na przygotowanie się do stosowania nowych przepisów. </w:t>
      </w:r>
    </w:p>
    <w:p>
      <w:pPr>
        <w:rPr>
          <w:noProof/>
        </w:rPr>
      </w:pPr>
    </w:p>
    <w:p>
      <w:pPr>
        <w:pStyle w:val="ManualHeading2"/>
        <w:rPr>
          <w:rFonts w:eastAsia="Arial Unicode MS"/>
          <w:noProof/>
          <w:u w:color="000000"/>
          <w:bdr w:val="nil"/>
        </w:rPr>
      </w:pPr>
      <w:r>
        <w:rPr>
          <w:noProof/>
        </w:rPr>
        <w:t>Długość okresu odroczenia</w:t>
      </w:r>
    </w:p>
    <w:p>
      <w:pPr>
        <w:widowControl w:val="0"/>
        <w:shd w:val="clear" w:color="auto" w:fill="FFFFFF"/>
        <w:autoSpaceDE w:val="0"/>
        <w:autoSpaceDN w:val="0"/>
        <w:adjustRightInd w:val="0"/>
        <w:spacing w:before="230" w:after="0" w:line="269" w:lineRule="exact"/>
        <w:ind w:right="86"/>
        <w:rPr>
          <w:noProof/>
        </w:rPr>
      </w:pPr>
      <w:r>
        <w:rPr>
          <w:noProof/>
        </w:rPr>
        <w:t>Dwunastomiesięczny okres odroczenia powinien zapewnić właściwym organom i twórcom PRIIP wystarczającą ilość czasu na przyjęcie nowych przepisów.</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Podstawa prawna</w:t>
      </w:r>
    </w:p>
    <w:p>
      <w:pPr>
        <w:widowControl w:val="0"/>
        <w:shd w:val="clear" w:color="auto" w:fill="FFFFFF"/>
        <w:autoSpaceDE w:val="0"/>
        <w:autoSpaceDN w:val="0"/>
        <w:adjustRightInd w:val="0"/>
        <w:spacing w:before="230" w:after="0" w:line="269" w:lineRule="exact"/>
        <w:ind w:right="86"/>
        <w:rPr>
          <w:noProof/>
        </w:rPr>
      </w:pPr>
      <w:r>
        <w:rPr>
          <w:noProof/>
        </w:rPr>
        <w:t xml:space="preserve">Niniejszy wniosek oparty jest na art. 114 TFUE, tak jak rozporządzenie (UE) nr 1286/2014, które niniejszy wniosek ma na celu zmienić. </w:t>
      </w:r>
    </w:p>
    <w:p>
      <w:pPr>
        <w:widowControl w:val="0"/>
        <w:shd w:val="clear" w:color="auto" w:fill="FFFFFF"/>
        <w:autoSpaceDE w:val="0"/>
        <w:autoSpaceDN w:val="0"/>
        <w:adjustRightInd w:val="0"/>
        <w:spacing w:before="230" w:after="0" w:line="269" w:lineRule="exact"/>
        <w:ind w:right="86"/>
        <w:rPr>
          <w:noProof/>
        </w:rPr>
      </w:pPr>
    </w:p>
    <w:p>
      <w:pPr>
        <w:pStyle w:val="ManualHeading2"/>
        <w:rPr>
          <w:rFonts w:eastAsia="Arial Unicode MS"/>
          <w:noProof/>
          <w:u w:color="000000"/>
          <w:bdr w:val="nil"/>
        </w:rPr>
      </w:pPr>
      <w:r>
        <w:rPr>
          <w:noProof/>
        </w:rPr>
        <w:t xml:space="preserve">Pomocniczość (w przypadku kompetencji niewyłącznych) </w:t>
      </w:r>
    </w:p>
    <w:p>
      <w:pPr>
        <w:widowControl w:val="0"/>
        <w:shd w:val="clear" w:color="auto" w:fill="FFFFFF"/>
        <w:autoSpaceDE w:val="0"/>
        <w:autoSpaceDN w:val="0"/>
        <w:adjustRightInd w:val="0"/>
        <w:spacing w:before="230" w:after="0" w:line="269" w:lineRule="exact"/>
        <w:ind w:right="86"/>
        <w:rPr>
          <w:noProof/>
        </w:rPr>
      </w:pPr>
      <w:r>
        <w:rPr>
          <w:noProof/>
        </w:rPr>
        <w:t>Zgodnie z zasadą pomocniczości działanie na szczeblu UE można podjąć tylko wtedy, gdy cele zamierzonego działania nie mogą zostać osiągnięte przez państwa członkowskie działające indywidualnie. Interwencja Unii, polegająca na wprowadzeniu jednolitego podejścia do ujawniania informacji związanych z PRIIP, jest potrzebna w celu usunięcia barier na rynku wewnętrznym usług i produktów finansowych. W tym zakresie zmieniane przepisy są przyjmowane w pełnej zgodności z zasadą pomocniczości, a wszelkie zmiany tych przepisów muszą być dokonywane w drodze wniosku Komisji.</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Proporcjonalność</w:t>
      </w:r>
    </w:p>
    <w:p>
      <w:pPr>
        <w:widowControl w:val="0"/>
        <w:shd w:val="clear" w:color="auto" w:fill="FFFFFF"/>
        <w:autoSpaceDE w:val="0"/>
        <w:autoSpaceDN w:val="0"/>
        <w:adjustRightInd w:val="0"/>
        <w:spacing w:before="230" w:after="0" w:line="269" w:lineRule="exact"/>
        <w:ind w:right="86"/>
        <w:rPr>
          <w:noProof/>
        </w:rPr>
      </w:pPr>
      <w:r>
        <w:rPr>
          <w:noProof/>
        </w:rPr>
        <w:t xml:space="preserve">Działanie na poziomie UE jest niezbędne do osiągnięcia celu, jakim jest efektywne stosowanie przepisów dotyczących PRIIP przez właściwe organy i twórców PRIIP. Niniejszy wniosek zapewni zatem osiągnięcie celów przewidzianych w rozporządzeniu (UE) nr 1286/2014 na całym rynku wewnętrznym, zapewniając przy tym wysoki poziom przejrzystości rynkowej i ochrony inwestorów indywidualnych. </w:t>
      </w:r>
    </w:p>
    <w:p>
      <w:pPr>
        <w:widowControl w:val="0"/>
        <w:shd w:val="clear" w:color="auto" w:fill="FFFFFF"/>
        <w:autoSpaceDE w:val="0"/>
        <w:autoSpaceDN w:val="0"/>
        <w:adjustRightInd w:val="0"/>
        <w:spacing w:before="230" w:after="0" w:line="269" w:lineRule="exact"/>
        <w:ind w:right="86"/>
        <w:rPr>
          <w:noProof/>
        </w:rPr>
      </w:pPr>
    </w:p>
    <w:p>
      <w:pPr>
        <w:pStyle w:val="ManualHeading1"/>
        <w:rPr>
          <w:noProof/>
        </w:rPr>
      </w:pPr>
      <w:r>
        <w:rPr>
          <w:noProof/>
        </w:rPr>
        <w:t>3.</w:t>
      </w:r>
      <w:r>
        <w:rPr>
          <w:noProof/>
        </w:rPr>
        <w:tab/>
        <w:t>WYNIKI OCEN EX POST, KONSULTACJI Z ZAINTERESOWANYMI STRONAMI I OCEN SKUTKÓW</w:t>
      </w:r>
    </w:p>
    <w:p>
      <w:pPr>
        <w:pStyle w:val="Text1"/>
        <w:rPr>
          <w:noProof/>
        </w:rPr>
      </w:pPr>
    </w:p>
    <w:p>
      <w:pPr>
        <w:widowControl w:val="0"/>
        <w:shd w:val="clear" w:color="auto" w:fill="FFFFFF"/>
        <w:autoSpaceDE w:val="0"/>
        <w:autoSpaceDN w:val="0"/>
        <w:adjustRightInd w:val="0"/>
        <w:spacing w:before="230" w:after="0" w:line="269" w:lineRule="exact"/>
        <w:ind w:right="86"/>
        <w:rPr>
          <w:noProof/>
        </w:rPr>
      </w:pPr>
      <w:r>
        <w:rPr>
          <w:noProof/>
        </w:rPr>
        <w:t>Niniejszemu wnioskowi nie towarzyszy oddzielna ocena skutków, gdyż przeprowadzono już ocenę skutków w odniesieniu do rozporządzenia (UE) nr 1286/2014. Niniejszy wniosek nie zmienia treści rozporządzenia i nie tworzy nowych obowiązków dla uczestników rynku objętych zakresem jego zastosowania. Dotyczy on wyłącznie przesunięcia daty rozpoczęcia stosowania rozporządzenia (UE) nr 1286/2014 o 12 miesięcy w celu zapewnienia pewności prawa w branży, a także umożliwienia branży i właściwym organom przygotowania się do stosowania nowych przepisów.</w:t>
      </w:r>
    </w:p>
    <w:p>
      <w:pPr>
        <w:pBdr>
          <w:top w:val="nil"/>
          <w:left w:val="nil"/>
          <w:bottom w:val="nil"/>
          <w:right w:val="nil"/>
          <w:between w:val="nil"/>
          <w:bar w:val="nil"/>
        </w:pBdr>
        <w:spacing w:before="0" w:after="240"/>
        <w:rPr>
          <w:rFonts w:eastAsia="Arial Unicode MS"/>
          <w:noProof/>
          <w:u w:color="000000"/>
          <w:bdr w:val="nil"/>
        </w:rPr>
      </w:pPr>
      <w:r>
        <w:rPr>
          <w:noProof/>
        </w:rPr>
        <w:t xml:space="preserve"> </w:t>
      </w:r>
    </w:p>
    <w:p>
      <w:pPr>
        <w:pStyle w:val="ManualHeading1"/>
        <w:rPr>
          <w:noProof/>
        </w:rPr>
      </w:pPr>
      <w:r>
        <w:rPr>
          <w:noProof/>
        </w:rPr>
        <w:t>4.</w:t>
      </w:r>
      <w:r>
        <w:rPr>
          <w:noProof/>
        </w:rPr>
        <w:tab/>
        <w:t>WPŁYW NA BUDŻET</w:t>
      </w:r>
    </w:p>
    <w:p>
      <w:pPr>
        <w:widowControl w:val="0"/>
        <w:shd w:val="clear" w:color="auto" w:fill="FFFFFF"/>
        <w:autoSpaceDE w:val="0"/>
        <w:autoSpaceDN w:val="0"/>
        <w:adjustRightInd w:val="0"/>
        <w:spacing w:before="230" w:after="0" w:line="269" w:lineRule="exact"/>
        <w:ind w:right="86"/>
        <w:rPr>
          <w:noProof/>
        </w:rPr>
      </w:pPr>
      <w:r>
        <w:rPr>
          <w:noProof/>
        </w:rPr>
        <w:t>Wniosek nie ma wpływu na budżet Komisji.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2016/0355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zmieniające rozporządzenie Parlamentu Europejskiego i Rady (UE) nr 1286/2014 w sprawie dokumentów zawierających kluczowe informacje, dotyczących detalicznych produktów zbiorowego inwestowania i ubezpieczeniowych produktów inwestycyjnych w odniesieniu do daty rozpoczęcia jego stosowania</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Banku Centralnego,</w:t>
      </w:r>
    </w:p>
    <w:p>
      <w:pPr>
        <w:rPr>
          <w:noProof/>
        </w:rPr>
      </w:pPr>
      <w:r>
        <w:rPr>
          <w:noProof/>
        </w:rPr>
        <w:t>uwzględniając opinię Europejskiego Komitetu Ekonomiczno-Społecznego,</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Rozporządzenie Parlamentu Europejskiego i Rady (UE) 1286/2014</w:t>
      </w:r>
      <w:r>
        <w:rPr>
          <w:rStyle w:val="FootnoteReference"/>
          <w:noProof/>
        </w:rPr>
        <w:footnoteReference w:id="3"/>
      </w:r>
      <w:r>
        <w:rPr>
          <w:noProof/>
        </w:rPr>
        <w:t xml:space="preserve"> wprowadziło szereg środków mających na celu zwiększenie ochrony inwestorów i odbudowę zaufania konsumentów do sektora usług finansowych poprzez zwiększenie przejrzystości na detalicznym rynku inwestycyjnym. Zobowiązuje ono twórców detalicznych produktów zbiorowego inwestowania i ubezpieczeniowych produktów inwestycyjnych (PRIIP) do sporządzania dokumentu zawierającego kluczowe informacje.</w:t>
      </w:r>
    </w:p>
    <w:p>
      <w:pPr>
        <w:pStyle w:val="ManualConsidrant"/>
        <w:rPr>
          <w:noProof/>
        </w:rPr>
      </w:pPr>
      <w:r>
        <w:t>(2)</w:t>
      </w:r>
      <w:r>
        <w:tab/>
      </w:r>
      <w:r>
        <w:rPr>
          <w:noProof/>
        </w:rPr>
        <w:t>Rozporządzenie (UE) nr 1286/2014 upoważnia europejskie organy nadzorcze do sporządzenia regulacyjnych standardów technicznych określających elementy dokumentu zawierającego kluczowe informacje.</w:t>
      </w:r>
    </w:p>
    <w:p>
      <w:pPr>
        <w:pStyle w:val="ManualConsidrant"/>
        <w:rPr>
          <w:noProof/>
        </w:rPr>
      </w:pPr>
      <w:r>
        <w:t>(3)</w:t>
      </w:r>
      <w:r>
        <w:tab/>
      </w:r>
      <w:r>
        <w:rPr>
          <w:noProof/>
        </w:rPr>
        <w:t>Dnia 30 czerwca 2016 r. Komisja przyjęła rozporządzenie delegowane</w:t>
      </w:r>
      <w:r>
        <w:rPr>
          <w:rStyle w:val="FootnoteReference"/>
          <w:noProof/>
        </w:rPr>
        <w:footnoteReference w:id="4"/>
      </w:r>
      <w:r>
        <w:rPr>
          <w:noProof/>
        </w:rPr>
        <w:t>, które określa szczegóły w odniesieniu do prezentacji i treści dokumentu zawierającego kluczowe informacje, standardowego formatu dokumentów zawierających kluczowe informacje, metody prezentacji ryzyka i zysku oraz obliczania kosztów, a także warunków i minimalnej częstotliwości dokonywania przeglądu informacji zawartych w dokumentach zawierających kluczowe informacje oraz warunków spełniania wymogów dotyczących przekazywania inwestorom indywidualnym dokumentów zawierających kluczowe informacje.</w:t>
      </w:r>
    </w:p>
    <w:p>
      <w:pPr>
        <w:pStyle w:val="ManualConsidrant"/>
        <w:rPr>
          <w:noProof/>
        </w:rPr>
      </w:pPr>
      <w:r>
        <w:t>(4)</w:t>
      </w:r>
      <w:r>
        <w:tab/>
      </w:r>
      <w:r>
        <w:rPr>
          <w:noProof/>
        </w:rPr>
        <w:t xml:space="preserve">Parlament Europejski wyraził sprzeciw wobec rozporządzenia delegowanego przyjętego przez Komisję dnia 30 czerwca 2016 r. i zwrócił się, wraz ze zdecydowaną większością państw członkowskich, o odroczenie daty rozpoczęcia stosowania rozporządzenia (UE) nr 1286/2014. </w:t>
      </w:r>
    </w:p>
    <w:p>
      <w:pPr>
        <w:pStyle w:val="ManualConsidrant"/>
        <w:rPr>
          <w:noProof/>
        </w:rPr>
      </w:pPr>
      <w:r>
        <w:t>(5)</w:t>
      </w:r>
      <w:r>
        <w:tab/>
      </w:r>
      <w:r>
        <w:rPr>
          <w:noProof/>
        </w:rPr>
        <w:t>Odroczenie o 12 miesięcy da zainteresowanym dodatkowy czas na dostosowanie się do nowych wymogów. W związku z tymi wyjątkowymi okolicznościami rozporządzenie (UE) nr 1286/2014 zostaje odpowiednio zmienione, co jest celowe i uzasadnione.</w:t>
      </w:r>
    </w:p>
    <w:p>
      <w:pPr>
        <w:pStyle w:val="ManualConsidrant"/>
        <w:rPr>
          <w:noProof/>
        </w:rPr>
      </w:pPr>
      <w:r>
        <w:t>(6)</w:t>
      </w:r>
      <w:r>
        <w:tab/>
      </w:r>
      <w:r>
        <w:rPr>
          <w:noProof/>
        </w:rPr>
        <w:t xml:space="preserve">Ze względu na bardzo krótki okres, jaki pozostał do rozpoczęcia stosowania przepisów rozporządzenia (UE) nr 1286/2014, niniejsze rozporządzenie powinno wejść w życie niezwłocznie. </w:t>
      </w:r>
    </w:p>
    <w:p>
      <w:pPr>
        <w:pStyle w:val="ManualConsidrant"/>
        <w:rPr>
          <w:noProof/>
        </w:rPr>
      </w:pPr>
      <w:r>
        <w:t>(7)</w:t>
      </w:r>
      <w:r>
        <w:tab/>
      </w:r>
      <w:r>
        <w:rPr>
          <w:noProof/>
        </w:rPr>
        <w:t>Dlatego w tym przypadku uzasadnione jest również zastosowanie wyjątku dla pilnych przypadków przewidzianego w art. 4 Protokołu (nr 1) w sprawie roli parlamentów narodowych w Unii Europejskiej,</w:t>
      </w:r>
    </w:p>
    <w:p>
      <w:pPr>
        <w:pStyle w:val="Formuledadoption"/>
        <w:rPr>
          <w:noProof/>
        </w:rPr>
      </w:pPr>
      <w:r>
        <w:rPr>
          <w:noProof/>
        </w:rPr>
        <w:t>PRZYJMUJĄ NINIEJSZE ROZPORZĄDZENIE:</w:t>
      </w:r>
    </w:p>
    <w:p>
      <w:pPr>
        <w:pStyle w:val="Titrearticle"/>
        <w:rPr>
          <w:noProof/>
        </w:rPr>
      </w:pPr>
      <w:r>
        <w:rPr>
          <w:noProof/>
        </w:rPr>
        <w:t>Artykuł 1</w:t>
      </w:r>
    </w:p>
    <w:p>
      <w:pPr>
        <w:rPr>
          <w:noProof/>
        </w:rPr>
      </w:pPr>
      <w:r>
        <w:rPr>
          <w:noProof/>
        </w:rPr>
        <w:t>W rozporządzeniu (UE) nr 1286/2014 drugi akapit art. 34 otrzymuje brzmienie:</w:t>
      </w:r>
    </w:p>
    <w:p>
      <w:pPr>
        <w:ind w:firstLine="720"/>
        <w:rPr>
          <w:noProof/>
        </w:rPr>
      </w:pPr>
      <w:r>
        <w:rPr>
          <w:noProof/>
        </w:rPr>
        <w:t>„Niniejsze rozporządzenie stosuje się od dnia 1 stycznia 2018 r.”.</w:t>
      </w:r>
    </w:p>
    <w:p>
      <w:pPr>
        <w:pStyle w:val="Titrearticle"/>
        <w:rPr>
          <w:noProof/>
        </w:rPr>
      </w:pPr>
      <w:r>
        <w:rPr>
          <w:noProof/>
        </w:rPr>
        <w:t>Artykuł 2</w:t>
      </w:r>
    </w:p>
    <w:p>
      <w:pPr>
        <w:rPr>
          <w:noProof/>
        </w:rPr>
      </w:pPr>
      <w:r>
        <w:rPr>
          <w:noProof/>
        </w:rPr>
        <w:t xml:space="preserve">Niniejsze rozporządzenie wchodzi w życie następnego dnia po jego opublikowaniu w </w:t>
      </w:r>
      <w:r>
        <w:rPr>
          <w:i/>
          <w:noProof/>
        </w:rPr>
        <w:t>Dzienniku Urzędowym Unii Europejskiej</w:t>
      </w:r>
      <w:r>
        <w:rPr>
          <w:noProof/>
        </w:rPr>
        <w:t>.</w:t>
      </w:r>
    </w:p>
    <w:p>
      <w:pPr>
        <w:pStyle w:val="Applicationdirecte"/>
        <w:rPr>
          <w:noProof/>
        </w:rPr>
      </w:pPr>
      <w:r>
        <w:rPr>
          <w:noProof/>
        </w:rPr>
        <w:t>Niniejsze rozporządzenie wiąże w całości i jest bezpośrednio stosowane we wszystkich państwach członkowskich.</w:t>
      </w: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keepNext/>
        <w:rPr>
          <w:noProof/>
        </w:rPr>
      </w:pPr>
      <w:r>
        <w:rPr>
          <w:noProof/>
        </w:rPr>
        <w:t>Przewodniczący</w:t>
      </w:r>
      <w:r>
        <w:rPr>
          <w:noProof/>
        </w:rPr>
        <w:tab/>
        <w:t>Przewodniczący</w:t>
      </w:r>
    </w:p>
    <w:p>
      <w:pPr>
        <w:pStyle w:val="Personnequisigne"/>
        <w:rPr>
          <w:noProof/>
        </w:rPr>
      </w:pPr>
      <w:r>
        <w:rPr>
          <w:noProof/>
        </w:rPr>
        <w:t>Martin Schulz</w:t>
      </w:r>
      <w:r>
        <w:rPr>
          <w:noProof/>
        </w:rPr>
        <w:tab/>
      </w:r>
      <w:bookmarkStart w:id="1" w:name="_InMacro_"/>
      <w:bookmarkEnd w:id="1"/>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C(2016) 3999 final.</w:t>
      </w:r>
    </w:p>
  </w:footnote>
  <w:footnote w:id="2">
    <w:p>
      <w:pPr>
        <w:pStyle w:val="FootnoteText"/>
      </w:pPr>
      <w:r>
        <w:rPr>
          <w:rStyle w:val="FootnoteReference"/>
        </w:rPr>
        <w:footnoteRef/>
      </w:r>
      <w:r>
        <w:tab/>
        <w:t>Rezolucja Parlamentu Europejskiego z dnia 14 września 2016 r. w sprawie rozporządzenia delegowanego Komisji z dnia 30 czerwca 2016 r. uzupełniającego rozporządzenie Parlamentu Europejskiego i Rady (UE) nr 1286/2014 w sprawie dokumentów zawierających kluczowe informacje, dotyczących detalicznych produktów zbiorowego inwestowania i ubezpieczeniowych produktów inwestycyjnych (PRIIP), przez ustanowienie regulacyjnych standardów technicznych w zakresie prezentacji, treści, przeglądu i zmiany dokumentów zawierających kluczowe informacje oraz warunków spełnienia wymogu przekazania takich dokumentów (C(2016)03999 – 2016/2816(DEA)).</w:t>
      </w:r>
    </w:p>
  </w:footnote>
  <w:footnote w:id="3">
    <w:p>
      <w:pPr>
        <w:pStyle w:val="FootnoteText"/>
      </w:pPr>
      <w:r>
        <w:rPr>
          <w:rStyle w:val="FootnoteReference"/>
        </w:rPr>
        <w:footnoteRef/>
      </w:r>
      <w:r>
        <w:tab/>
        <w:t>Rozporządzenie Parlamentu Europejskiego i Rady (UE) nr 1286/2014 z dnia 26 listopada 2014 r. w sprawie dokumentów zawierających kluczowe informacje, dotyczących detalicznych produktów zbiorowego inwestowania i ubezpieczeniowych produktów inwestycyjnych (PRIIP) (Dz.U. L 352 z 9.12.2014, s. 1).</w:t>
      </w:r>
    </w:p>
  </w:footnote>
  <w:footnote w:id="4">
    <w:p>
      <w:pPr>
        <w:pStyle w:val="FootnoteText"/>
      </w:pPr>
      <w:r>
        <w:rPr>
          <w:rStyle w:val="FootnoteReference"/>
        </w:rPr>
        <w:footnoteRef/>
      </w:r>
      <w:r>
        <w:tab/>
        <w:t>C(2016) 3999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F458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CA035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6AB618"/>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A02A7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B85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810A2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ABA9B58"/>
    <w:lvl w:ilvl="0">
      <w:start w:val="1"/>
      <w:numFmt w:val="decimal"/>
      <w:pStyle w:val="ListNumber"/>
      <w:lvlText w:val="%1."/>
      <w:lvlJc w:val="left"/>
      <w:pPr>
        <w:tabs>
          <w:tab w:val="num" w:pos="360"/>
        </w:tabs>
        <w:ind w:left="360" w:hanging="360"/>
      </w:pPr>
    </w:lvl>
  </w:abstractNum>
  <w:abstractNum w:abstractNumId="7">
    <w:nsid w:val="FFFFFF89"/>
    <w:multiLevelType w:val="singleLevel"/>
    <w:tmpl w:val="7B82CD2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11 16:28: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219E66761B645F48F06F0A8CA291B8F"/>
    <w:docVar w:name="LW_CROSSREFERENCE" w:val="&lt;UNUSED&gt;"/>
    <w:docVar w:name="LW_DocType" w:val="COM"/>
    <w:docVar w:name="LW_EMISSION" w:val="9.11.2016"/>
    <w:docVar w:name="LW_EMISSION_ISODATE" w:val="2016-11-09"/>
    <w:docVar w:name="LW_EMISSION_LOCATION" w:val="BRX"/>
    <w:docVar w:name="LW_EMISSION_PREFIX" w:val="Bruksela, dnia "/>
    <w:docVar w:name="LW_EMISSION_SUFFIX" w:val=" r."/>
    <w:docVar w:name="LW_ID_DOCMODEL" w:val="SJ-023"/>
    <w:docVar w:name="LW_ID_DOCSIGNATURE" w:val="SJ-023"/>
    <w:docVar w:name="LW_ID_DOCSTRUCTURE" w:val="COM/PL/ORG"/>
    <w:docVar w:name="LW_ID_DOCTYPE" w:val="SJ-023"/>
    <w:docVar w:name="LW_ID_STATUT" w:val="SJ-023"/>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355"/>
    <w:docVar w:name="LW_REF.II.NEW.CP_YEAR" w:val="2016"/>
    <w:docVar w:name="LW_REF.INST.NEW" w:val="COM"/>
    <w:docVar w:name="LW_REF.INST.NEW_ADOPTED" w:val="final"/>
    <w:docVar w:name="LW_REF.INST.NEW_TEXT" w:val="(2016) 709"/>
    <w:docVar w:name="LW_REF.INTERNE" w:val="&lt;UNUSED&gt;"/>
    <w:docVar w:name="LW_SOUS.TITRE.OBJ.CP" w:val="&lt;UNUSED&gt;"/>
    <w:docVar w:name="LW_STATUT.CP" w:val="Wniosek"/>
    <w:docVar w:name="LW_SUPERTITRE" w:val="&lt;UNUSED&gt;"/>
    <w:docVar w:name="LW_TITRE.OBJ.CP" w:val="zmieniaj\u261?ce rozporz\u261?dzenie Parlamentu Europejskiego i Rady (UE) nr 1286/2014 w sprawie dokumentów zawieraj\u261?cych kluczowe informacje, dotycz\u261?cych detalicznych produktów zbiorowego inwestowania i ubezpieczeniowych produktów inwestycyjnych w odniesieniu do daty rozpocz\u281?cia jego stosowania"/>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40"/>
      <w:ind w:left="720"/>
      <w:contextualSpacing/>
    </w:pPr>
    <w:rPr>
      <w:rFonts w:eastAsia="Times New Roman"/>
      <w:szCs w:val="20"/>
    </w:rPr>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first-name">
    <w:name w:val="first-name"/>
    <w:basedOn w:val="DefaultParagraphFont"/>
  </w:style>
  <w:style w:type="character" w:customStyle="1" w:styleId="last-name">
    <w:name w:val="last-nam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0" w:after="240"/>
      <w:ind w:left="720"/>
      <w:contextualSpacing/>
    </w:pPr>
    <w:rPr>
      <w:rFonts w:eastAsia="Times New Roman"/>
      <w:szCs w:val="20"/>
    </w:rPr>
  </w:style>
  <w:style w:type="character" w:customStyle="1" w:styleId="ListParagraphChar">
    <w:name w:val="List Paragraph Char"/>
    <w:link w:val="ListParagraph"/>
    <w:uiPriority w:val="34"/>
    <w:locked/>
    <w:rPr>
      <w:rFonts w:ascii="Times New Roman" w:eastAsia="Times New Roman" w:hAnsi="Times New Roman" w:cs="Times New Roman"/>
      <w:sz w:val="24"/>
      <w:szCs w:val="20"/>
      <w:lang w:val="pl-P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first-name">
    <w:name w:val="first-name"/>
    <w:basedOn w:val="DefaultParagraphFont"/>
  </w:style>
  <w:style w:type="character" w:customStyle="1" w:styleId="last-name">
    <w:name w:val="last-nam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0086-08CF-404D-8431-4D5F3A6F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1165</Words>
  <Characters>8418</Characters>
  <Application>Microsoft Office Word</Application>
  <DocSecurity>0</DocSecurity>
  <Lines>161</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2016-10-21T09:38:00Z</cp:lastPrinted>
  <dcterms:created xsi:type="dcterms:W3CDTF">2016-11-09T11:20:00Z</dcterms:created>
  <dcterms:modified xsi:type="dcterms:W3CDTF">2016-11-11T15:28:00Z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