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9EB88AC2DD49CBACCAFC129AC4E348" style="width:450.7pt;height:423.1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PERUSTELUT</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1.</w:t>
      </w:r>
      <w:r>
        <w:rPr>
          <w:noProof/>
        </w:rPr>
        <w:tab/>
        <w:t>EHDOTUKSEN TAUSTA</w:t>
      </w:r>
    </w:p>
    <w:p>
      <w:pPr>
        <w:pStyle w:val="Text1"/>
        <w:rPr>
          <w:noProof/>
        </w:rPr>
      </w:pPr>
    </w:p>
    <w:p>
      <w:pPr>
        <w:pStyle w:val="ManualHeading2"/>
        <w:rPr>
          <w:rFonts w:eastAsia="Arial Unicode MS"/>
          <w:noProof/>
          <w:u w:color="000000"/>
          <w:bdr w:val="nil"/>
        </w:rPr>
      </w:pPr>
      <w:r>
        <w:rPr>
          <w:noProof/>
        </w:rPr>
        <w:t>Ehdotuksen perustelut</w:t>
      </w:r>
    </w:p>
    <w:p>
      <w:pPr>
        <w:widowControl w:val="0"/>
        <w:shd w:val="clear" w:color="auto" w:fill="FFFFFF"/>
        <w:autoSpaceDE w:val="0"/>
        <w:autoSpaceDN w:val="0"/>
        <w:adjustRightInd w:val="0"/>
        <w:spacing w:before="230" w:after="0" w:line="269" w:lineRule="exact"/>
        <w:ind w:right="86"/>
        <w:rPr>
          <w:noProof/>
        </w:rPr>
      </w:pPr>
      <w:r>
        <w:rPr>
          <w:noProof/>
        </w:rPr>
        <w:t xml:space="preserve">Euroopan parlamentin ja neuvoston asetus (EU) N:o 1286/2014 annettiin 26 päivänä marraskuuta 2014. Sen tavoitteena on suojata yksityissijoittajia, jotka sijoittavat vähittäismarkkinoille tarkoitettuihin paketoituihin ja vakuutusmuotoisiin sijoitustuotteisiin (PRIIP-tuotteisiin), sekä palauttaa kuluttajien luottamus rahoituspalvelualaan finanssikriisin jälkeen. </w:t>
      </w:r>
    </w:p>
    <w:p>
      <w:pPr>
        <w:widowControl w:val="0"/>
        <w:shd w:val="clear" w:color="auto" w:fill="FFFFFF"/>
        <w:autoSpaceDE w:val="0"/>
        <w:autoSpaceDN w:val="0"/>
        <w:adjustRightInd w:val="0"/>
        <w:spacing w:before="230" w:after="0" w:line="269" w:lineRule="exact"/>
        <w:ind w:right="86"/>
        <w:rPr>
          <w:noProof/>
        </w:rPr>
      </w:pPr>
      <w:r>
        <w:rPr>
          <w:noProof/>
        </w:rPr>
        <w:t xml:space="preserve">Asetuksessa (EU) N:o 1286/2014 edellytetään näiden tavoitteiden saavuttamiseksi, että PRIIP-tuotteiden kehittäjät noudattavat tuotteita koskevien tietojen antamista koskevia yhtenäisiä edellytyksiä ja että yksityissijoittajat saavat tarjotuista PRIIP-tuotteista avaintietoasiakirjat. Yksityissijoittajan pitäisi kyetä annettujen tietojen ansiosta ymmärtämään paremmin tietyn tuotteen taloudellista luonnetta ja riskejä sekä vertailemaan tarjottuja tuotteita. Lisäksi rahoituspalvelujen sisämarkkinoille luodaan paremman läpinäkyvyyden ja yhdenmukaistamisen ansiosta eri tuotteille ja jakelukanaville tasapuoliset toimintaedellytykset. </w:t>
      </w:r>
    </w:p>
    <w:p>
      <w:pPr>
        <w:rPr>
          <w:noProof/>
        </w:rPr>
      </w:pPr>
      <w:r>
        <w:rPr>
          <w:noProof/>
        </w:rPr>
        <w:t>Asetuksessa (EU) N:o 1286/2014 vahvistetaan avaintietoasiakirjojen muoto ja sisältö. Jotta voitaisiin vakioida avaintietoasiakirjojen eri osatekijöitä edelleen ja ottaa huomioon erityyppisten PRIIP-tuotteiden väliset merkittävät erot, Euroopan valvontaviranomaisten (Euroopan vakuutus- ja lisäeläkeviranomaisen, Euroopan pankkiviranomaisen ja Euroopan arvopaperimarkkinaviranomaisen) tehtäväksi on annettu valmistella tekniset sääntelystandardit, jotka koskevat avaintietoasiakirjan esitystapaa ja sisältöä sekä vakiomuotoa, riskien ja tuottojen esittämisessä ja  kulujen laskemisessa käytettävää menetelmää, avaintietoasiakirjassa olevien tietojen uudelleentarkastelun edellytyksiä ja vähimmäistiheyttä sekä edellytyksiä, jotka täyttävät vaatimuksen avaintietoasiakirjan toimittamisesta yksityissijoittajille.</w:t>
      </w:r>
    </w:p>
    <w:p>
      <w:pPr>
        <w:rPr>
          <w:noProof/>
        </w:rPr>
      </w:pPr>
      <w:r>
        <w:rPr>
          <w:noProof/>
        </w:rPr>
        <w:t>Euroopan valvontaviranomaiset toimittivat yhdessä 6. huhtikuuta 2016 komissiolle PRIIP-tuotteiden avaintietoasiakirjoja koskevat alustavat tekniset sääntelystandardit. Komissio vahvisti teknisten sääntelystandardien luonnoksen 30. kesäkuuta 2016 antamalla avaintietoasiakirjoja koskevan delegoidun asetuksen</w:t>
      </w:r>
      <w:r>
        <w:rPr>
          <w:rStyle w:val="FootnoteReference"/>
          <w:noProof/>
        </w:rPr>
        <w:footnoteReference w:id="1"/>
      </w:r>
      <w:r>
        <w:rPr>
          <w:noProof/>
        </w:rPr>
        <w:t>.</w:t>
      </w:r>
    </w:p>
    <w:p>
      <w:pPr>
        <w:rPr>
          <w:noProof/>
        </w:rPr>
      </w:pPr>
      <w:r>
        <w:rPr>
          <w:noProof/>
        </w:rPr>
        <w:t>Neuvosto ei vastustanut komission delegoitua asetusta tarkasteluaikana. Euroopan parlamentti kuitenkin hylkäsi sen 14. syyskuuta 2016.</w:t>
      </w:r>
      <w:r>
        <w:rPr>
          <w:rStyle w:val="FootnoteReference"/>
          <w:noProof/>
        </w:rPr>
        <w:footnoteReference w:id="2"/>
      </w:r>
      <w:r>
        <w:rPr>
          <w:noProof/>
        </w:rPr>
        <w:t xml:space="preserve"> Euroopan parlamentti kehotti komissiota tarkastelemaan uudelleen säännöksiä, jotka koskevat usean vaihtoehdon mukaisia PRIIP-tuotteita, tuottonäkymiä ja ymmärrettävyyttä koskevaa varoitusta. Lisäksi Euroopan parlamentti ja jäsenvaltioiden merkittävä enemmistö pyysivät komissiota lykkäämään asetuksen (EU) N:o 1286/2014 soveltamisen aloittamista, sillä teknisten standardien puute haittaisi asetuksen asianmukaista soveltamista.</w:t>
      </w:r>
    </w:p>
    <w:p>
      <w:pPr>
        <w:rPr>
          <w:noProof/>
        </w:rPr>
      </w:pPr>
      <w:r>
        <w:rPr>
          <w:noProof/>
        </w:rPr>
        <w:t>Asetusta (EU) N:o 1286/2014 sovelletaan sellaisenaan 31. joulukuuta 2016 alkaen, eikä siinä luoda yhteyttä avaintietoasiakirjan tuottamisen ja delegoidun säädöksen antamisen välille. Vaikka PRIIP-tuotteiden kehittäjät voisivat soveltaa asetuksen säännöksiä ja toimivaltaiset viranomaiset voisivat valvoa niitä ilman delegoidun asetuksen antamista, on suotavaa selkiyttää mahdollisimman paljon teknisiä standardeja, jotka koskevat tiettyjen sääntöjen sisältöä.</w:t>
      </w:r>
    </w:p>
    <w:p>
      <w:pPr>
        <w:rPr>
          <w:noProof/>
        </w:rPr>
      </w:pPr>
      <w:r>
        <w:rPr>
          <w:noProof/>
        </w:rPr>
        <w:t xml:space="preserve">Koska poikeukselliset olosuhteet ovat johtaneet delegoidun asetuksen antamisen viivästymiseen, komissio ehdottaa, että asetuksen (EU) N:o 1286/2014 soveltamisen aloittamista lykätään 12 kuukaudella, jotta voidaan vähentää oikeudellista epävarmuutta ja antaa PRIIP-tuotteiden kehittäjille enemmän aikaa valmistautua uusien sääntöjen soveltamiseen. </w:t>
      </w:r>
    </w:p>
    <w:p>
      <w:pPr>
        <w:rPr>
          <w:noProof/>
        </w:rPr>
      </w:pPr>
    </w:p>
    <w:p>
      <w:pPr>
        <w:pStyle w:val="ManualHeading2"/>
        <w:rPr>
          <w:rFonts w:eastAsia="Arial Unicode MS"/>
          <w:noProof/>
          <w:u w:color="000000"/>
          <w:bdr w:val="nil"/>
        </w:rPr>
      </w:pPr>
      <w:r>
        <w:rPr>
          <w:noProof/>
        </w:rPr>
        <w:t>Lykkäyksen kesto</w:t>
      </w:r>
    </w:p>
    <w:p>
      <w:pPr>
        <w:widowControl w:val="0"/>
        <w:shd w:val="clear" w:color="auto" w:fill="FFFFFF"/>
        <w:autoSpaceDE w:val="0"/>
        <w:autoSpaceDN w:val="0"/>
        <w:adjustRightInd w:val="0"/>
        <w:spacing w:before="230" w:after="0" w:line="269" w:lineRule="exact"/>
        <w:ind w:right="86"/>
        <w:rPr>
          <w:noProof/>
        </w:rPr>
      </w:pPr>
      <w:r>
        <w:rPr>
          <w:noProof/>
        </w:rPr>
        <w:t xml:space="preserve">Kahdentoista kuukauden lykkäyksen pitäisi antaa toimivaltaisille viranomaisille ja PRIIP-tuotteiden kehittäjille riittävästi aikaa mukautua uusiin sääntöihin. </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Oikeusperusta</w:t>
      </w:r>
    </w:p>
    <w:p>
      <w:pPr>
        <w:widowControl w:val="0"/>
        <w:shd w:val="clear" w:color="auto" w:fill="FFFFFF"/>
        <w:autoSpaceDE w:val="0"/>
        <w:autoSpaceDN w:val="0"/>
        <w:adjustRightInd w:val="0"/>
        <w:spacing w:before="230" w:after="0" w:line="269" w:lineRule="exact"/>
        <w:ind w:right="86"/>
        <w:rPr>
          <w:noProof/>
        </w:rPr>
      </w:pPr>
      <w:r>
        <w:rPr>
          <w:noProof/>
        </w:rPr>
        <w:t xml:space="preserve">Tämän ehdotuksen oikeusperusta on Euroopan unionin toiminnasta tehdyn sopimuksen 114 artikla. Sama artikla on oikeusperustana myös asetukselle (EU) N:o 1286/2014, jota tällä ehdotuksella muutetaan.  </w:t>
      </w:r>
    </w:p>
    <w:p>
      <w:pPr>
        <w:widowControl w:val="0"/>
        <w:shd w:val="clear" w:color="auto" w:fill="FFFFFF"/>
        <w:autoSpaceDE w:val="0"/>
        <w:autoSpaceDN w:val="0"/>
        <w:adjustRightInd w:val="0"/>
        <w:spacing w:before="230" w:after="0" w:line="269" w:lineRule="exact"/>
        <w:ind w:right="86"/>
        <w:rPr>
          <w:noProof/>
        </w:rPr>
      </w:pPr>
    </w:p>
    <w:p>
      <w:pPr>
        <w:pStyle w:val="ManualHeading2"/>
        <w:rPr>
          <w:rFonts w:eastAsia="Arial Unicode MS"/>
          <w:noProof/>
          <w:u w:color="000000"/>
          <w:bdr w:val="nil"/>
        </w:rPr>
      </w:pPr>
      <w:r>
        <w:rPr>
          <w:noProof/>
        </w:rPr>
        <w:t xml:space="preserve">Toissijaisuusperiaate (jaetun toimivallan osalta) </w:t>
      </w:r>
    </w:p>
    <w:p>
      <w:pPr>
        <w:widowControl w:val="0"/>
        <w:shd w:val="clear" w:color="auto" w:fill="FFFFFF"/>
        <w:autoSpaceDE w:val="0"/>
        <w:autoSpaceDN w:val="0"/>
        <w:adjustRightInd w:val="0"/>
        <w:spacing w:before="230" w:after="0" w:line="269" w:lineRule="exact"/>
        <w:ind w:right="86"/>
        <w:rPr>
          <w:noProof/>
        </w:rPr>
      </w:pPr>
      <w:r>
        <w:rPr>
          <w:noProof/>
        </w:rPr>
        <w:t>Toissijaisuusperiaatteen mukaan unionin toimia voidaan toteuttaa vain, jos jäsenvaltiot eivät voi yksin saavuttaa asetettuja tavoitteita. Unionin toimia tarvitaan, jotta rahoituspalvelujen ja -tuotteiden sisämarkkinoilta voidaan poistaa esteitä ottamalla PRIIP-tuotteita koskevien tietojen antamisessa käyttöön yhtenäinen lähestymistapa. Tässä yhteydessä muutettava lainsäädäntö hyväksytään noudattaen täysimääräisesti toissijaisuusperiaatetta, ja sen mahdolliset muutokset on tehtävä komission ehdotuksesta.</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Suhteellisuusperiaate</w:t>
      </w:r>
    </w:p>
    <w:p>
      <w:pPr>
        <w:widowControl w:val="0"/>
        <w:shd w:val="clear" w:color="auto" w:fill="FFFFFF"/>
        <w:autoSpaceDE w:val="0"/>
        <w:autoSpaceDN w:val="0"/>
        <w:adjustRightInd w:val="0"/>
        <w:spacing w:before="230" w:after="0" w:line="269" w:lineRule="exact"/>
        <w:ind w:right="86"/>
        <w:rPr>
          <w:noProof/>
        </w:rPr>
      </w:pPr>
      <w:r>
        <w:rPr>
          <w:noProof/>
        </w:rPr>
        <w:t>Tämä unionin toimi on tarpeen, jotta voidaan saavuttaa tavoite, eli toimivaltaiset viranomaiset ja PRIIP-tuotteiden kehittäjät voivat soveltaa PRIIP-tuotteita koskevia sääntöjä tehokkaasti. Tällä ehdotuksella varmistetaan näin ollen, että asetuksen (EU) N:o 1286/2014 tavoitteet saavutetaan koko sisämarkkinoilla, jolloin varmistetaan markkinoiden avoimuuden ja yksityissijoittajien suojan korkea taso.</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3.</w:t>
      </w:r>
      <w:r>
        <w:rPr>
          <w:noProof/>
        </w:rPr>
        <w:tab/>
        <w:t>JÄLKIARVIOINTIEN, SIDOSRYHMIEN KUULEMISTEN JA VAIKUTUSTENARVIOINTIEN TULOKSET</w:t>
      </w:r>
    </w:p>
    <w:p>
      <w:pPr>
        <w:pStyle w:val="Text1"/>
        <w:rPr>
          <w:noProof/>
        </w:rPr>
      </w:pPr>
    </w:p>
    <w:p>
      <w:pPr>
        <w:widowControl w:val="0"/>
        <w:shd w:val="clear" w:color="auto" w:fill="FFFFFF"/>
        <w:autoSpaceDE w:val="0"/>
        <w:autoSpaceDN w:val="0"/>
        <w:adjustRightInd w:val="0"/>
        <w:spacing w:before="230" w:after="0" w:line="269" w:lineRule="exact"/>
        <w:ind w:right="86"/>
        <w:rPr>
          <w:noProof/>
        </w:rPr>
      </w:pPr>
      <w:r>
        <w:rPr>
          <w:noProof/>
        </w:rPr>
        <w:t>Tähän ehdotukseen ei liity erillistä vaikutustenarviointia, sillä asetuksesta (EU) N:o 1286/2014 on jo tehty vaikutustenarviointi. Ehdotuksella ei muuteta asetuksen asiasisältöä eikä luoda sen soveltamisalaan kuuluville markkinatoimijoille uusia velvoitteita. Kyseessä on ainoastaan asetuksen (EU) N:o 1286/2014 soveltamisen aloittamisen lykkääminen 12 kuukaudella, jotta toimialalle voidaan taata oikeusvarmuus ja jotta toimiala ja toimivaltaiset viranomaiset voivat valmistautua uusiin sääntöihin.</w:t>
      </w:r>
    </w:p>
    <w:p>
      <w:pPr>
        <w:pBdr>
          <w:top w:val="nil"/>
          <w:left w:val="nil"/>
          <w:bottom w:val="nil"/>
          <w:right w:val="nil"/>
          <w:between w:val="nil"/>
          <w:bar w:val="nil"/>
        </w:pBdr>
        <w:spacing w:before="0" w:after="240"/>
        <w:rPr>
          <w:rFonts w:eastAsia="Arial Unicode MS"/>
          <w:noProof/>
          <w:u w:color="000000"/>
          <w:bdr w:val="nil"/>
        </w:rPr>
      </w:pPr>
      <w:r>
        <w:rPr>
          <w:noProof/>
        </w:rPr>
        <w:t xml:space="preserve"> </w:t>
      </w:r>
    </w:p>
    <w:p>
      <w:pPr>
        <w:pStyle w:val="ManualHeading1"/>
        <w:rPr>
          <w:noProof/>
        </w:rPr>
      </w:pPr>
      <w:r>
        <w:rPr>
          <w:noProof/>
        </w:rPr>
        <w:t>4.</w:t>
      </w:r>
      <w:r>
        <w:rPr>
          <w:noProof/>
        </w:rPr>
        <w:tab/>
        <w:t>TALOUSARVIOVAIKUTUKSET</w:t>
      </w:r>
    </w:p>
    <w:p>
      <w:pPr>
        <w:widowControl w:val="0"/>
        <w:shd w:val="clear" w:color="auto" w:fill="FFFFFF"/>
        <w:autoSpaceDE w:val="0"/>
        <w:autoSpaceDN w:val="0"/>
        <w:adjustRightInd w:val="0"/>
        <w:spacing w:before="230" w:after="0" w:line="269" w:lineRule="exact"/>
        <w:ind w:right="86"/>
        <w:rPr>
          <w:noProof/>
        </w:rPr>
      </w:pPr>
      <w:r>
        <w:rPr>
          <w:noProof/>
        </w:rPr>
        <w:t>Ehdotuksella ei ole talousarviovaikutuksia Euroopan komission osalta.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2016/0355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vähittäismarkkinoille tarkoitettuja paketoituja ja vakuutusmuotoisia sijoitustuotteita (PRIIP-tuotteita) koskevista avaintietoasiakirjoista annetun Euroopan parlamentin ja neuvoston asetuksen (EU) N:o 1286/2014 muuttamisesta sen soveltamisen alkaamispäivän osalta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keskuspankin lausunnon,</w:t>
      </w:r>
    </w:p>
    <w:p>
      <w:pPr>
        <w:rPr>
          <w:noProof/>
        </w:rPr>
      </w:pPr>
      <w:r>
        <w:rPr>
          <w:noProof/>
        </w:rPr>
        <w:t>ottavat huomioon Euroopan talous- ja sosiaalikomitean lausunnon,</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asetuksella (EU) N:o 1286/2014</w:t>
      </w:r>
      <w:r>
        <w:rPr>
          <w:rStyle w:val="FootnoteReference"/>
          <w:noProof/>
        </w:rPr>
        <w:footnoteReference w:id="3"/>
      </w:r>
      <w:r>
        <w:rPr>
          <w:noProof/>
        </w:rPr>
        <w:t xml:space="preserve"> otettiin käyttöön useita toimenpiteitä, joilla pyritään parantamaan sijoittajien suojaa ja palauttamaan kuluttajien luottamus rahoituspalvelualaan lisäämällä läpinäkyvyyttä vähittäissijoitusmarkkinoilla. Siinä edellytetään, että vähittäismarkkinoille tarkoitettujen paketoitujen ja vakuutusmuotoisten sijoitustuotteiden, jäljempänä ’PRIIP-tuotteet’, kehittäjät tuottavat avaintietoasiakirjan.</w:t>
      </w:r>
    </w:p>
    <w:p>
      <w:pPr>
        <w:pStyle w:val="ManualConsidrant"/>
        <w:rPr>
          <w:noProof/>
        </w:rPr>
      </w:pPr>
      <w:r>
        <w:t>(2)</w:t>
      </w:r>
      <w:r>
        <w:tab/>
      </w:r>
      <w:r>
        <w:rPr>
          <w:noProof/>
        </w:rPr>
        <w:t>Asetuksessa (EU) N:o 1286/2014 annetaan Euroopan valvontaviranomaisille tehtäväksi valmistella tekniset sääntelystandardit, jotka koskevat avaintietoasiakirjan osatekijöitä.</w:t>
      </w:r>
    </w:p>
    <w:p>
      <w:pPr>
        <w:pStyle w:val="ManualConsidrant"/>
        <w:rPr>
          <w:noProof/>
        </w:rPr>
      </w:pPr>
      <w:r>
        <w:t>(3)</w:t>
      </w:r>
      <w:r>
        <w:tab/>
      </w:r>
      <w:r>
        <w:rPr>
          <w:noProof/>
        </w:rPr>
        <w:t>Komissio hyväksyi 30 päivänä kesäkuuta 2016 delegoidun asetuksen</w:t>
      </w:r>
      <w:r>
        <w:rPr>
          <w:rStyle w:val="FootnoteReference"/>
          <w:noProof/>
        </w:rPr>
        <w:footnoteReference w:id="4"/>
      </w:r>
      <w:r>
        <w:rPr>
          <w:noProof/>
        </w:rPr>
        <w:t>, jossa vahvistetaan avaintietoasiakirjan esitystapa ja sisältö sekä vakiomuoto, riskien ja tuottojen esittämisessä ja kulujen laskemisessa käytettävä menetelmä, avaintietoasiakirjassa olevien tietojen uudelleentarkastelun edellytykset ja vähimmäistiheys sekä edellytykset, jotka täyttävät vaatimuksen avaintietoasiakirjan toimittamisesta yksityissijoittajille.</w:t>
      </w:r>
    </w:p>
    <w:p>
      <w:pPr>
        <w:pStyle w:val="ManualConsidrant"/>
        <w:rPr>
          <w:noProof/>
        </w:rPr>
      </w:pPr>
      <w:r>
        <w:t>(4)</w:t>
      </w:r>
      <w:r>
        <w:tab/>
      </w:r>
      <w:r>
        <w:rPr>
          <w:noProof/>
        </w:rPr>
        <w:t xml:space="preserve">Euroopan parlamentti vastusti komission 30 päivänä kesäkuuta 2016 antamaa delegoitua asetusta ja kehotti yhdessä jäsenvaltioiden merkittävän enemmistön kanssa komissiota lykkäämään asetuksen (EU) N:o 1286/2014 soveltamisen aloittamista. </w:t>
      </w:r>
    </w:p>
    <w:p>
      <w:pPr>
        <w:pStyle w:val="ManualConsidrant"/>
        <w:rPr>
          <w:noProof/>
        </w:rPr>
      </w:pPr>
      <w:r>
        <w:t>(5)</w:t>
      </w:r>
      <w:r>
        <w:tab/>
      </w:r>
      <w:r>
        <w:rPr>
          <w:noProof/>
        </w:rPr>
        <w:t xml:space="preserve">Kahdentoista kuukauden lykkääminen antaa asianosaisille lisäaikaa mukautua uusiin vaatimuksiin. Näissä poikkeuksellisissa olosuhteissa on asianmukaista ja perusteltua muuttaa asetusta (EU) N:o 1286/2014. </w:t>
      </w:r>
    </w:p>
    <w:p>
      <w:pPr>
        <w:pStyle w:val="ManualConsidrant"/>
        <w:rPr>
          <w:noProof/>
        </w:rPr>
      </w:pPr>
      <w:r>
        <w:t>(6)</w:t>
      </w:r>
      <w:r>
        <w:tab/>
      </w:r>
      <w:r>
        <w:rPr>
          <w:noProof/>
        </w:rPr>
        <w:t xml:space="preserve">Koska asetuksessa (EU) N:o 1286/2014 vahvistettujen säännösten soveltamisen on määrä alkaa hyvin pian, tämän asetuksen olisi tultava voimaan viipymättä. </w:t>
      </w:r>
    </w:p>
    <w:p>
      <w:pPr>
        <w:pStyle w:val="ManualConsidrant"/>
        <w:rPr>
          <w:noProof/>
        </w:rPr>
      </w:pPr>
      <w:r>
        <w:t>(7)</w:t>
      </w:r>
      <w:r>
        <w:tab/>
      </w:r>
      <w:r>
        <w:rPr>
          <w:noProof/>
        </w:rPr>
        <w:t>Näin ollen tässä tapauksessa on myös perusteltua soveltaa kansallisten kansanedustuslaitosten asemaa Euroopan unionissa koskevan pöytäkirjan (N:o 1) 4 artiklassa määrättyä kiireellisissä tapauksissa sovellettavaa poikkeusta,</w:t>
      </w: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Korvataan asetuksen (EU) N:o 1286/2014 34 artiklan toinen kohta seuraavasti:</w:t>
      </w:r>
    </w:p>
    <w:p>
      <w:pPr>
        <w:ind w:firstLine="720"/>
        <w:rPr>
          <w:noProof/>
        </w:rPr>
      </w:pPr>
      <w:r>
        <w:rPr>
          <w:noProof/>
        </w:rPr>
        <w:t>”Sitä sovelletaan 1 päivästä tammikuuta 2018.”.</w:t>
      </w:r>
    </w:p>
    <w:p>
      <w:pPr>
        <w:pStyle w:val="Titrearticle"/>
        <w:rPr>
          <w:noProof/>
        </w:rPr>
      </w:pPr>
      <w:r>
        <w:rPr>
          <w:noProof/>
        </w:rPr>
        <w:t>2 artikla</w:t>
      </w:r>
    </w:p>
    <w:p>
      <w:pPr>
        <w:rPr>
          <w:noProof/>
        </w:rPr>
      </w:pPr>
      <w:r>
        <w:rPr>
          <w:noProof/>
        </w:rPr>
        <w:t xml:space="preserve">Tämä asetus tulee voimaan sitä päivää seuraavana päivänä, jona se julkaistaan </w:t>
      </w:r>
      <w:r>
        <w:rPr>
          <w:i/>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rPr>
          <w:noProof/>
        </w:rPr>
        <w:t>Tehty Brysselissä</w:t>
      </w:r>
    </w:p>
    <w:p>
      <w:pPr>
        <w:pStyle w:val="Institutionquisigne"/>
        <w:rPr>
          <w:noProof/>
        </w:rPr>
      </w:pPr>
      <w:r>
        <w:rPr>
          <w:noProof/>
        </w:rPr>
        <w:t>Euroopan parlamentin puolesta</w:t>
      </w:r>
      <w:r>
        <w:rPr>
          <w:noProof/>
        </w:rPr>
        <w:tab/>
        <w:t>Neuvoston puolesta</w:t>
      </w:r>
    </w:p>
    <w:p>
      <w:pPr>
        <w:pStyle w:val="Personnequisigne"/>
        <w:keepNext/>
        <w:rPr>
          <w:noProof/>
        </w:rPr>
      </w:pPr>
      <w:r>
        <w:rPr>
          <w:noProof/>
        </w:rPr>
        <w:t>Puhemies</w:t>
      </w:r>
      <w:r>
        <w:rPr>
          <w:noProof/>
        </w:rPr>
        <w:tab/>
        <w:t>Puheenjohtaja</w:t>
      </w:r>
    </w:p>
    <w:p>
      <w:pPr>
        <w:pStyle w:val="Personnequisigne"/>
        <w:rPr>
          <w:noProof/>
        </w:rPr>
      </w:pPr>
      <w:r>
        <w:rPr>
          <w:noProof/>
        </w:rPr>
        <w:t>Martin Schulz</w:t>
      </w:r>
      <w:r>
        <w:rPr>
          <w:noProof/>
        </w:rPr>
        <w:tab/>
      </w:r>
      <w:bookmarkStart w:id="1" w:name="_InMacro_"/>
      <w:bookmarkEnd w:id="1"/>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C(2016) 3999 final.</w:t>
      </w:r>
    </w:p>
  </w:footnote>
  <w:footnote w:id="2">
    <w:p>
      <w:pPr>
        <w:pStyle w:val="FootnoteText"/>
      </w:pPr>
      <w:r>
        <w:rPr>
          <w:rStyle w:val="FootnoteReference"/>
        </w:rPr>
        <w:footnoteRef/>
      </w:r>
      <w:r>
        <w:tab/>
        <w:t>Euroopan parlamentin päätöslauselma 14. syyskuuta 2016 komission delegoidusta asetuksesta, annettu 30 päivänä kesäkuuta 2016, vähittäismarkkinoille tarkoitettuja paketoituja ja vakuutusmuotoisia sijoitustuotteita (PRIIP-tuotteita) koskevista avaintietoasiakirjoista annetun Euroopan parlamentin ja neuvoston asetuksen (EU) N:o 1286/2014 täydentämisestä vahvistamalla teknisiä sääntelystandardeja avaintietoasiakirjojen esittämisestä, sisällöstä, uudelleentarkastelusta ja tarkistamisesta sekä tällaisten asiakirjojen toimittamisvaatimuksen noudattamiseen liittyvien ehtojen täyttämisestä (C(2016)03999 – 2016/2816(DEA)).</w:t>
      </w:r>
    </w:p>
  </w:footnote>
  <w:footnote w:id="3">
    <w:p>
      <w:pPr>
        <w:pStyle w:val="FootnoteText"/>
      </w:pPr>
      <w:r>
        <w:rPr>
          <w:rStyle w:val="FootnoteReference"/>
        </w:rPr>
        <w:footnoteRef/>
      </w:r>
      <w:r>
        <w:tab/>
        <w:t>Euroopan parlamentin ja neuvoston asetus (EU) N:o 1286/2014, annettu 26 päivänä marraskuuta 2014, vähittäismarkkinoille tarkoitettuja paketoituja ja vakuutusmuotoisia sijoitustuotteita (PRIIP-tuotteita) koskevista avaintietoasiakirjoista (EUVL L 352, 9.12.2014, s. 1).</w:t>
      </w:r>
    </w:p>
  </w:footnote>
  <w:footnote w:id="4">
    <w:p>
      <w:pPr>
        <w:pStyle w:val="FootnoteText"/>
      </w:pPr>
      <w:r>
        <w:rPr>
          <w:rStyle w:val="FootnoteReference"/>
        </w:rPr>
        <w:footnoteRef/>
      </w:r>
      <w:r>
        <w:tab/>
        <w:t>C(2016) 3999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F458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A03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6AB6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A02A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B85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10A2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BA9B58"/>
    <w:lvl w:ilvl="0">
      <w:start w:val="1"/>
      <w:numFmt w:val="decimal"/>
      <w:pStyle w:val="ListNumber"/>
      <w:lvlText w:val="%1."/>
      <w:lvlJc w:val="left"/>
      <w:pPr>
        <w:tabs>
          <w:tab w:val="num" w:pos="360"/>
        </w:tabs>
        <w:ind w:left="360" w:hanging="360"/>
      </w:pPr>
    </w:lvl>
  </w:abstractNum>
  <w:abstractNum w:abstractNumId="7">
    <w:nsid w:val="FFFFFF89"/>
    <w:multiLevelType w:val="singleLevel"/>
    <w:tmpl w:val="7B82C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1 16:28: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69EB88AC2DD49CBACCAFC129AC4E348"/>
    <w:docVar w:name="LW_CROSSREFERENCE" w:val="&lt;UNUSED&gt;"/>
    <w:docVar w:name="LW_DocType" w:val="COM"/>
    <w:docVar w:name="LW_EMISSION" w:val="9.11.2016"/>
    <w:docVar w:name="LW_EMISSION_ISODATE" w:val="2016-11-09"/>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STATUT" w:val="SJ-023"/>
    <w:docVar w:name="LW_INTERETEEE.CP" w:val="(ETA:n kannalta merkityksellinen teksti)"/>
    <w:docVar w:name="LW_LANGUE" w:val="FI"/>
    <w:docVar w:name="LW_MARKING" w:val="&lt;UNUSED&gt;"/>
    <w:docVar w:name="LW_NOM.INST" w:val="EUROOPAN KOMISSIO"/>
    <w:docVar w:name="LW_NOM.INST_JOINTDOC" w:val="&lt;EMPTY&gt;"/>
    <w:docVar w:name="LW_PART_NBR" w:val="1"/>
    <w:docVar w:name="LW_PART_NBR_TOTAL" w:val="1"/>
    <w:docVar w:name="LW_REF.II.NEW.CP" w:val="COD"/>
    <w:docVar w:name="LW_REF.II.NEW.CP_NUMBER" w:val="0355"/>
    <w:docVar w:name="LW_REF.II.NEW.CP_YEAR" w:val="2016"/>
    <w:docVar w:name="LW_REF.INST.NEW" w:val="COM"/>
    <w:docVar w:name="LW_REF.INST.NEW_ADOPTED" w:val="final"/>
    <w:docVar w:name="LW_REF.INST.NEW_TEXT" w:val="(2016) 709"/>
    <w:docVar w:name="LW_REF.INTERNE" w:val="&lt;UNUSED&gt;"/>
    <w:docVar w:name="LW_SOUS.TITRE.OBJ.CP" w:val="&lt;UNUSED&gt;"/>
    <w:docVar w:name="LW_STATUT.CP" w:val="Ehdotus"/>
    <w:docVar w:name="LW_SUPERTITRE" w:val="&lt;UNUSED&gt;"/>
    <w:docVar w:name="LW_TITRE.OBJ.CP" w:val="vähittäismarkkinoille tarkoitettuja paketoituja ja vakuutusmuotoisia sijoitustuotteita (PRIIP-tuotteita) koskevista avaintietoasiakirjoista annetun Euroopan parlamentin ja neuvoston asetuksen (EU) N:o 1286/2014 muuttamisesta sen soveltamisen alkaamispäivän osal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F49B-D0CB-47F3-B1CD-2E46A436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905</Words>
  <Characters>8075</Characters>
  <Application>Microsoft Office Word</Application>
  <DocSecurity>0</DocSecurity>
  <Lines>152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2016-10-21T09:38:00Z</cp:lastPrinted>
  <dcterms:created xsi:type="dcterms:W3CDTF">2016-11-11T10:34:00Z</dcterms:created>
  <dcterms:modified xsi:type="dcterms:W3CDTF">2016-11-11T15:28:00Z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