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358E549D43254B45B21520DFE3E456C9" style="width:450pt;height:293.25pt">
            <v:imagedata r:id="rId9" o:title=""/>
          </v:shape>
        </w:pict>
      </w:r>
    </w:p>
    <w:bookmarkEnd w:id="0"/>
    <w:p>
      <w:pPr>
        <w:pStyle w:val="Pagedecouverture"/>
        <w:rPr>
          <w:noProof/>
          <w:sz w:val="22"/>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jc w:val="center"/>
              <w:rPr>
                <w:rFonts w:ascii="Times New Roman" w:hAnsi="Times New Roman"/>
                <w:b/>
                <w:i/>
                <w:noProof/>
                <w:u w:val="single"/>
              </w:rPr>
            </w:pPr>
            <w:bookmarkStart w:id="1" w:name="_GoBack"/>
            <w:bookmarkEnd w:id="1"/>
            <w:r>
              <w:rPr>
                <w:rFonts w:ascii="Times New Roman" w:hAnsi="Times New Roman"/>
                <w:b/>
                <w:i/>
                <w:noProof/>
                <w:u w:val="single"/>
              </w:rPr>
              <w:lastRenderedPageBreak/>
              <w:t>Kommenteeritud kokkuvõte</w:t>
            </w:r>
          </w:p>
          <w:p>
            <w:pPr>
              <w:spacing w:line="240" w:lineRule="auto"/>
              <w:jc w:val="both"/>
              <w:rPr>
                <w:rFonts w:ascii="Times New Roman" w:hAnsi="Times New Roman"/>
                <w:noProof/>
              </w:rPr>
            </w:pPr>
            <w:r>
              <w:rPr>
                <w:rFonts w:ascii="Times New Roman" w:hAnsi="Times New Roman"/>
                <w:noProof/>
              </w:rPr>
              <w:t>Käesolevas teatises võetakse kokku komisjoni hinnang 2017. aasta eelarvekavadele, mille esitasid kaheksateist euroala liikmesriiki, kelle suhtes ei kohaldata makromajanduslikku kohandamisprogrammi, sealhulgas need eelarvekavad, mis põhinevad eeldusel, et poliitikat ei muudeta, ja mille esitasid Leedu ja Hispaania, kuna kavade esitamise ajal oli nimetatud riikides vahevalitsus. Komisjon hindas vastavalt määrusele (EL) nr 473/2013 neid kavu ning euroala kui terviku üldist eelarveseisundit ja eelarvepoliitikat.</w:t>
            </w:r>
          </w:p>
          <w:p>
            <w:pPr>
              <w:spacing w:before="120" w:after="120" w:line="240" w:lineRule="auto"/>
              <w:jc w:val="both"/>
              <w:rPr>
                <w:rFonts w:ascii="Times New Roman" w:hAnsi="Times New Roman"/>
                <w:noProof/>
              </w:rPr>
            </w:pPr>
            <w:r>
              <w:rPr>
                <w:rFonts w:ascii="Times New Roman" w:hAnsi="Times New Roman"/>
                <w:noProof/>
              </w:rPr>
              <w:t>2017. aasta eelarvekavadele antud üldise hinnangu ja eelarvepoliitika võib kokku võtta järgmiselt.</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Liikmesriikide kavad hõlmavad euroala valitsemissektori nominaalse eelarvepuudujäägi jätkuvat vähendamist majanduse ebakindla elavnemise ja kehvade väljavaadete kontekstis. Eelarvepuudujääk vähenes käesoleval aastal 2015. aasta 2,0 %-lt SKPst 1,8 %-le SKPst, 2017. aastal peaks kogupuudujääk prognoosi kohaselt vähenema 1,5 %-le SKPst. Pärast seda, kui valitsemissektori võla suhe SKPsse jõudis 2014. aastal haripunkti, peaks see käesolevaks aastaks prognoositud natuke üle 90 %-lt 2017. aastal veidi vähenema (89 %-le SKPst). See vastab 2016. aastal struktuurse eelarvepositsiooni halvenemisele (0,2 % SKPst), jäädes 2017. aastal suuresti samaks.</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2016. aasta kevade stabiilsusprogrammides esitatud keskpika perioodi kavadega võrreldes korrigeeriti 2017. aasta eelarvepuudujäägi kavandatud vähendamist euroalal 0,2 protsendipunkti võrra allapoole, kuigi eelarvepuudujääk oli 2016. aastal veidi väiksem kui 2016. aasta kevadel prognoositud.</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Komisjoni 2016. aasta sügisprognoos kinnitab üldiselt eelarvekavade põhjal kujunenud makromajanduslikku pilti. SKP reaalkasv väheneb 2017. aastal prognooside kohaselt käesoleva aasta 1,7 %-lt 1,5 %-le, samas kui negatiivne SKP lõhe peaks eeldatavasti vähenema 0,5 %ni potentsiaalsest SKPst. Komisjon prognoosib 2017. aastaks ka eelarvekavadele vastavat valitsemissektori nominaalse eelarvepuudujäägi vähenemist (0,3 protsendipunkti), jõudes oma prognoosis samale nominaalse eelarvepositsiooni tasemele (–1,5 % SKPst). Komisjoni prognoosi kohaselt väheneb koguvõla suhe SKPsse 2016. aastal teist aastat järjest (90 %ni) ja jätkab 2017. aastal vähenemist, jõudes 89 %ni, mis on kooskõlas eelarvekavadega.</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Sarnaselt 2015. aastaga toetab liikmesriikide eelarvepositsioone laenukasutuse kulutuste oluline vähenemine. Väiksematest intressimaksetest saadud ajutisi sääste saab kasutada sõltuvalt liikmesriigi eelarvepositsioonist: neid võib kasutada eelarvepuudujäägi vähendamiseks suure eelarvelise tasakaalustamatusega riikides või nendega võib eelarvepoliitilise manööverdamisruumi korral veelgi suurendada tulevikku suunatud kulutusi.</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Koondtasandil osutatakse eelarvekavades ja komisjoni prognoosis neutraalse eelarvepoliitika jätkumisele euroalal ajavahemikul 2014–2017. Eelarve konsolideerimine on alates 2013. aastast peatunud. Täpsemalt muutus eelarvepoliitika üldiselt neutraalseks ajavahemikul 2014–2015 ja pisut ekspansiivsemaks 2016. aastal, kui majandus hakkas elavnema. 2017. aastal peaks eelarvepoliitika olema liikmesriikide eelarvekavade ja komisjoni prognooside kohaselt taas neutraalne. Seda tuleks hinnata kahe eesmärgi põhjal, milleks on lühiajaline makromajanduslik stabiliseerimine ja riigi rahanduse pikaajaline jätkusuutlikkus.</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Nagu üksikasjalikult kirjeldatud komisjoni teatises</w:t>
            </w:r>
            <w:r>
              <w:rPr>
                <w:rFonts w:ascii="Times New Roman" w:hAnsi="Times New Roman"/>
                <w:i/>
                <w:noProof/>
              </w:rPr>
              <w:t xml:space="preserve"> </w:t>
            </w:r>
            <w:r>
              <w:rPr>
                <w:rFonts w:ascii="Times New Roman" w:hAnsi="Times New Roman"/>
                <w:noProof/>
              </w:rPr>
              <w:t>„Euroala positiivse eelarvepoliitika poole“, on praegu euroalal tervikuna tingimused mõõdukalt ekspansiivse eelarvepoliitika jaoks, kui võtta arvesse aeglast taastumist ja makromajandusliku keskkonna riske</w:t>
            </w:r>
            <w:r>
              <w:rPr>
                <w:rStyle w:val="FootnoteReference"/>
                <w:rFonts w:ascii="Times New Roman" w:hAnsi="Times New Roman"/>
                <w:noProof/>
              </w:rPr>
              <w:footnoteReference w:id="2"/>
            </w:r>
            <w:r>
              <w:rPr>
                <w:rFonts w:ascii="Times New Roman" w:hAnsi="Times New Roman"/>
                <w:noProof/>
              </w:rPr>
              <w:t>.</w:t>
            </w:r>
          </w:p>
          <w:p>
            <w:pPr>
              <w:pStyle w:val="ListParagraph"/>
              <w:spacing w:before="120" w:after="120" w:line="240" w:lineRule="auto"/>
              <w:ind w:left="425"/>
              <w:contextualSpacing w:val="0"/>
              <w:jc w:val="both"/>
              <w:rPr>
                <w:rFonts w:ascii="Times New Roman" w:hAnsi="Times New Roman"/>
                <w:noProof/>
              </w:rPr>
            </w:pPr>
            <w:r>
              <w:rPr>
                <w:rFonts w:ascii="Times New Roman" w:hAnsi="Times New Roman"/>
                <w:noProof/>
              </w:rPr>
              <w:t>Euroala otstarbeka eelarvepoliitika kujundamine on liikmesriikide individuaalne ja kollektiivne kohustus. See lähenemisviis peegeldub ka kavandatud soovituses, mis käsitleb euroala majanduspoliitikat aastatel 2017–2018</w:t>
            </w:r>
            <w:r>
              <w:rPr>
                <w:rStyle w:val="FootnoteReference"/>
                <w:rFonts w:ascii="Times New Roman" w:hAnsi="Times New Roman"/>
                <w:noProof/>
              </w:rPr>
              <w:footnoteReference w:id="3"/>
            </w:r>
            <w:r>
              <w:rPr>
                <w:rFonts w:ascii="Times New Roman" w:hAnsi="Times New Roman"/>
                <w:noProof/>
              </w:rPr>
              <w:t>.</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Euroala eelarvepoliitika otstarbekuse analüüs ei ole ainult eelarve tasakaalu ennustamise ja ulatuse küsimus, vaid see on tihedalt seotud ka selle aluseks oleva riigi rahanduse kvaliteedi ja komponentidega. Üldiselt ei ole kavas maksutulu struktuuri oluliselt muuta, sest ka kulude struktuur on muutunud natuke rohkem majanduskasvu soodustavaks ja kapitalikulud ei ole veel saavutanud endist taset SKPst. Liikmesriikide eelarvejuhtimise paranemine ja tulemuslik kulude läbivaatamise korraldamine võiksid toetada majanduskasvu soodustavaid valitsussektori kulutusi.</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Komisjoni hinnangu üksikute liikmesriikide kavadele võib kokku võtta järgmiselt.</w:t>
            </w:r>
          </w:p>
          <w:p>
            <w:pPr>
              <w:pStyle w:val="Default"/>
              <w:spacing w:before="120" w:after="120"/>
              <w:ind w:left="425"/>
              <w:jc w:val="both"/>
              <w:rPr>
                <w:noProof/>
                <w:sz w:val="22"/>
                <w:szCs w:val="22"/>
              </w:rPr>
            </w:pPr>
            <w:r>
              <w:rPr>
                <w:noProof/>
                <w:sz w:val="22"/>
                <w:szCs w:val="22"/>
              </w:rPr>
              <w:t>Ükski 2017. aasta eelarvekava ei ole olulises vastuolus stabiilsuse ja kasvu pakti nõuetega. Mitmel juhul leiab komisjon siiski, et eelarve kavandatud kohandamine on väiksem kui stabiilsuse ja kasvu paktis nõutud või esineb selline oht.</w:t>
            </w:r>
          </w:p>
          <w:p>
            <w:pPr>
              <w:pStyle w:val="Default"/>
              <w:spacing w:before="120" w:after="120"/>
              <w:ind w:left="425"/>
              <w:jc w:val="both"/>
              <w:rPr>
                <w:noProof/>
                <w:sz w:val="22"/>
                <w:szCs w:val="22"/>
              </w:rPr>
            </w:pPr>
            <w:r>
              <w:rPr>
                <w:noProof/>
                <w:sz w:val="22"/>
                <w:szCs w:val="22"/>
              </w:rPr>
              <w:t>Täpsemalt:</w:t>
            </w:r>
          </w:p>
          <w:p>
            <w:pPr>
              <w:pStyle w:val="Default"/>
              <w:spacing w:before="120" w:after="120"/>
              <w:ind w:left="425"/>
              <w:jc w:val="both"/>
              <w:rPr>
                <w:noProof/>
                <w:sz w:val="22"/>
                <w:szCs w:val="22"/>
              </w:rPr>
            </w:pPr>
            <w:r>
              <w:rPr>
                <w:b/>
                <w:noProof/>
                <w:sz w:val="22"/>
                <w:szCs w:val="22"/>
              </w:rPr>
              <w:t xml:space="preserve">15 liikmesriiki, kelle suhtes kohaldatakse stabiilsuse ja kasvu pakti </w:t>
            </w:r>
            <w:r>
              <w:rPr>
                <w:b/>
                <w:noProof/>
                <w:sz w:val="22"/>
                <w:szCs w:val="22"/>
                <w:u w:val="single"/>
              </w:rPr>
              <w:t>ennetuslikku osa</w:t>
            </w:r>
            <w:r>
              <w:rPr>
                <w:b/>
                <w:noProof/>
                <w:sz w:val="22"/>
                <w:szCs w:val="22"/>
              </w:rPr>
              <w:t>:</w:t>
            </w:r>
          </w:p>
          <w:p>
            <w:pPr>
              <w:pStyle w:val="Default"/>
              <w:spacing w:before="120" w:after="120"/>
              <w:ind w:left="425"/>
              <w:jc w:val="both"/>
              <w:rPr>
                <w:noProof/>
                <w:sz w:val="22"/>
                <w:szCs w:val="22"/>
              </w:rPr>
            </w:pPr>
            <w:r>
              <w:rPr>
                <w:noProof/>
                <w:sz w:val="22"/>
                <w:szCs w:val="22"/>
              </w:rPr>
              <w:t>– viie liikmesriigi (</w:t>
            </w:r>
            <w:r>
              <w:rPr>
                <w:b/>
                <w:noProof/>
                <w:sz w:val="22"/>
                <w:szCs w:val="22"/>
              </w:rPr>
              <w:t>Saksamaa, Eesti, Luksemburg, Slovakkia ja Madalmaad</w:t>
            </w:r>
            <w:r>
              <w:rPr>
                <w:noProof/>
                <w:sz w:val="22"/>
                <w:szCs w:val="22"/>
              </w:rPr>
              <w:t xml:space="preserve">) eelarvekavad on </w:t>
            </w:r>
            <w:r>
              <w:rPr>
                <w:b/>
                <w:noProof/>
                <w:sz w:val="22"/>
                <w:szCs w:val="22"/>
              </w:rPr>
              <w:t xml:space="preserve">kooskõlas </w:t>
            </w:r>
            <w:r>
              <w:rPr>
                <w:noProof/>
                <w:sz w:val="22"/>
                <w:szCs w:val="22"/>
              </w:rPr>
              <w:t>stabiilsuse ja kasvu pakti nõuetega 2017. aastaks;</w:t>
            </w:r>
          </w:p>
          <w:p>
            <w:pPr>
              <w:pStyle w:val="Default"/>
              <w:spacing w:before="120" w:after="120"/>
              <w:ind w:left="425"/>
              <w:jc w:val="both"/>
              <w:rPr>
                <w:noProof/>
                <w:sz w:val="22"/>
                <w:szCs w:val="22"/>
              </w:rPr>
            </w:pPr>
            <w:r>
              <w:rPr>
                <w:noProof/>
                <w:sz w:val="22"/>
                <w:szCs w:val="22"/>
              </w:rPr>
              <w:t>– nelja liikmesriigi (</w:t>
            </w:r>
            <w:r>
              <w:rPr>
                <w:b/>
                <w:noProof/>
                <w:sz w:val="22"/>
                <w:szCs w:val="22"/>
              </w:rPr>
              <w:t>Iirimaa, Läti, Malta ja Austria</w:t>
            </w:r>
            <w:r>
              <w:rPr>
                <w:noProof/>
                <w:sz w:val="22"/>
                <w:szCs w:val="22"/>
              </w:rPr>
              <w:t xml:space="preserve">) eelarvekavad on </w:t>
            </w:r>
            <w:r>
              <w:rPr>
                <w:b/>
                <w:noProof/>
                <w:sz w:val="22"/>
                <w:szCs w:val="22"/>
              </w:rPr>
              <w:t>üldiselt kooskõlas</w:t>
            </w:r>
            <w:r>
              <w:rPr>
                <w:noProof/>
                <w:sz w:val="22"/>
                <w:szCs w:val="22"/>
              </w:rPr>
              <w:t xml:space="preserve"> stabiilsuse ja kasvu pakti nõuetega 2017. aastaks. Kõnealuste riikide kavade elluviimisel võidakse mõnevõrra kõrvale kalduda keskpika perioodi eelarve-eesmärkide saavutamiseks nõutavast kohandamiskavast;</w:t>
            </w:r>
          </w:p>
          <w:p>
            <w:pPr>
              <w:pStyle w:val="Default"/>
              <w:spacing w:before="120" w:after="120"/>
              <w:ind w:left="425"/>
              <w:jc w:val="both"/>
              <w:rPr>
                <w:noProof/>
                <w:sz w:val="22"/>
                <w:szCs w:val="22"/>
              </w:rPr>
            </w:pPr>
            <w:r>
              <w:rPr>
                <w:noProof/>
                <w:sz w:val="22"/>
                <w:szCs w:val="22"/>
              </w:rPr>
              <w:t>– kuue liikmesriigi (</w:t>
            </w:r>
            <w:r>
              <w:rPr>
                <w:b/>
                <w:noProof/>
                <w:sz w:val="22"/>
                <w:szCs w:val="22"/>
              </w:rPr>
              <w:t>Belgia, Itaalia, Küpros, Leedu, Sloveenia, Soome</w:t>
            </w:r>
            <w:r>
              <w:rPr>
                <w:noProof/>
                <w:sz w:val="22"/>
                <w:szCs w:val="22"/>
              </w:rPr>
              <w:t xml:space="preserve">) eelarvekavade puhul on </w:t>
            </w:r>
            <w:r>
              <w:rPr>
                <w:b/>
                <w:noProof/>
                <w:sz w:val="22"/>
                <w:szCs w:val="22"/>
              </w:rPr>
              <w:t>oht</w:t>
            </w:r>
            <w:r>
              <w:rPr>
                <w:noProof/>
                <w:sz w:val="22"/>
                <w:szCs w:val="22"/>
              </w:rPr>
              <w:t xml:space="preserve">, et stabiilsuse ja kasvu pakti nõuded 2017. aastaks </w:t>
            </w:r>
            <w:r>
              <w:rPr>
                <w:b/>
                <w:noProof/>
                <w:sz w:val="22"/>
                <w:szCs w:val="22"/>
              </w:rPr>
              <w:t>jäävad täitmata</w:t>
            </w:r>
            <w:r>
              <w:rPr>
                <w:noProof/>
                <w:sz w:val="22"/>
                <w:szCs w:val="22"/>
              </w:rPr>
              <w:t xml:space="preserve">. Kõnealuste liikmesriikide eelarvekavad võivad viia märkimisväärse kõrvalekaldumiseni kohandamiskavaga ettenähtud keskpika perioodi eelarve-eesmärkidest. </w:t>
            </w:r>
            <w:r>
              <w:rPr>
                <w:b/>
                <w:noProof/>
                <w:sz w:val="22"/>
                <w:szCs w:val="22"/>
              </w:rPr>
              <w:t>Soome</w:t>
            </w:r>
            <w:r>
              <w:rPr>
                <w:noProof/>
                <w:sz w:val="22"/>
                <w:szCs w:val="22"/>
              </w:rPr>
              <w:t xml:space="preserve"> on esitanud taotluse struktuurireformi klausli ja investeerimisklausli kasutamiseks. Komisjon võtab arvesse SKP lõhe hinnangute ebakindlust, kui ta kaalub, kas Soome vastab klausli kohaldamise tingimustele. Kui seda tehakse, võib see omakorda mõjutada nõuetele vastavuse hindamist. </w:t>
            </w:r>
            <w:r>
              <w:rPr>
                <w:b/>
                <w:noProof/>
                <w:sz w:val="22"/>
                <w:szCs w:val="22"/>
              </w:rPr>
              <w:t>Leedu</w:t>
            </w:r>
            <w:r>
              <w:rPr>
                <w:noProof/>
                <w:sz w:val="22"/>
                <w:szCs w:val="22"/>
              </w:rPr>
              <w:t xml:space="preserve"> eelarvekava, mis põhineb eeldusel, et poliitikat ei muudeta, sisaldab taotlust kasutada struktuurireformi klauslit. Täielik hinnang sellele, kas Soome ja Leedu vastavad paindlikkuse saamise tingimustele, antakse tavapärase Euroopa poolaasta tsükli käigus seoses 2017. aasta stabiilsusprogrammide hindamisega.</w:t>
            </w:r>
          </w:p>
          <w:p>
            <w:pPr>
              <w:pStyle w:val="Default"/>
              <w:spacing w:before="120" w:after="120"/>
              <w:ind w:left="425"/>
              <w:jc w:val="both"/>
              <w:rPr>
                <w:b/>
                <w:noProof/>
                <w:sz w:val="22"/>
                <w:szCs w:val="22"/>
              </w:rPr>
            </w:pPr>
            <w:r>
              <w:rPr>
                <w:b/>
                <w:noProof/>
                <w:sz w:val="22"/>
                <w:szCs w:val="22"/>
              </w:rPr>
              <w:t xml:space="preserve">Kolme riigi puhul, kelle suhtes kohaldatakse praegu stabiilsuse ja kasvu pakti </w:t>
            </w:r>
            <w:r>
              <w:rPr>
                <w:b/>
                <w:noProof/>
                <w:sz w:val="22"/>
                <w:szCs w:val="22"/>
                <w:u w:val="single"/>
              </w:rPr>
              <w:t>paranduslikku osa</w:t>
            </w:r>
            <w:r>
              <w:rPr>
                <w:b/>
                <w:noProof/>
                <w:sz w:val="22"/>
                <w:szCs w:val="22"/>
              </w:rPr>
              <w:t xml:space="preserve"> (st ülemäärase eelarvepuudujäägi menetlust), on võetud järgmine seisukoht:</w:t>
            </w:r>
          </w:p>
          <w:p>
            <w:pPr>
              <w:pStyle w:val="Default"/>
              <w:spacing w:before="120" w:after="120"/>
              <w:ind w:left="425"/>
              <w:jc w:val="both"/>
              <w:rPr>
                <w:noProof/>
                <w:sz w:val="22"/>
                <w:szCs w:val="22"/>
              </w:rPr>
            </w:pPr>
            <w:r>
              <w:rPr>
                <w:noProof/>
                <w:sz w:val="22"/>
                <w:szCs w:val="22"/>
              </w:rPr>
              <w:t xml:space="preserve">– </w:t>
            </w:r>
            <w:r>
              <w:rPr>
                <w:b/>
                <w:noProof/>
                <w:sz w:val="22"/>
                <w:szCs w:val="22"/>
              </w:rPr>
              <w:t>Prantsusmaa</w:t>
            </w:r>
            <w:r>
              <w:rPr>
                <w:noProof/>
                <w:sz w:val="22"/>
                <w:szCs w:val="22"/>
              </w:rPr>
              <w:t xml:space="preserve"> puhul leiti, et eelarvekava on </w:t>
            </w:r>
            <w:r>
              <w:rPr>
                <w:b/>
                <w:noProof/>
                <w:sz w:val="22"/>
                <w:szCs w:val="22"/>
              </w:rPr>
              <w:t>üldiselt kooskõlas</w:t>
            </w:r>
            <w:r>
              <w:rPr>
                <w:noProof/>
                <w:sz w:val="22"/>
                <w:szCs w:val="22"/>
              </w:rPr>
              <w:t xml:space="preserve"> stabiilsuse ja kasvu pakti kohaselt 2017. aastaks esitatud nõuetega: komisjoni 2016. aasta sügisprognoosi kohaselt peaks valitsemissektori nominaalne eelarvepuudujääk jääma 2017. aastal veidi allapoole aluslepingus sätestatud kontrollväärtust (3 % SKPst), kuigi eelarve kohandamine ei vasta kaugeltki soovitatud tasemele ja kui poliitikat ei muudeta, ei oleks korrigeerimine 2018. aastal püsiv;</w:t>
            </w:r>
          </w:p>
          <w:p>
            <w:pPr>
              <w:pStyle w:val="Default"/>
              <w:spacing w:before="120" w:after="120"/>
              <w:ind w:left="425"/>
              <w:jc w:val="both"/>
              <w:rPr>
                <w:noProof/>
                <w:sz w:val="22"/>
                <w:szCs w:val="22"/>
              </w:rPr>
            </w:pPr>
            <w:r>
              <w:rPr>
                <w:b/>
                <w:noProof/>
                <w:sz w:val="22"/>
                <w:szCs w:val="22"/>
              </w:rPr>
              <w:t>– Hispaania</w:t>
            </w:r>
            <w:r>
              <w:rPr>
                <w:noProof/>
                <w:sz w:val="22"/>
                <w:szCs w:val="22"/>
              </w:rPr>
              <w:t xml:space="preserve"> eelarvekava puhul leiti, et on </w:t>
            </w:r>
            <w:r>
              <w:rPr>
                <w:b/>
                <w:noProof/>
                <w:sz w:val="22"/>
                <w:szCs w:val="22"/>
              </w:rPr>
              <w:t>oht</w:t>
            </w:r>
            <w:r>
              <w:rPr>
                <w:noProof/>
                <w:sz w:val="22"/>
                <w:szCs w:val="22"/>
              </w:rPr>
              <w:t>, et stabiilsuse ja kasvu pakti kohaselt 2017. aastaks esitatud nõuded</w:t>
            </w:r>
            <w:r>
              <w:rPr>
                <w:b/>
                <w:noProof/>
                <w:sz w:val="22"/>
                <w:szCs w:val="22"/>
              </w:rPr>
              <w:t xml:space="preserve"> jäävad täitmata</w:t>
            </w:r>
            <w:r>
              <w:rPr>
                <w:noProof/>
                <w:sz w:val="22"/>
                <w:szCs w:val="22"/>
              </w:rPr>
              <w:t>. Tunnistades, et nendes prognoosides on lähtutud poliitika samaks jäämisest, prognoosib komisjon, et 2017. aastal ei saavutata ei valitsemissektori nominaalse eelarvepuudujäägi vahe-eesmärki ega eelarve soovitatud kohandamist;</w:t>
            </w:r>
          </w:p>
          <w:p>
            <w:pPr>
              <w:pStyle w:val="Default"/>
              <w:spacing w:before="120" w:after="120"/>
              <w:ind w:left="425"/>
              <w:jc w:val="both"/>
              <w:rPr>
                <w:noProof/>
                <w:sz w:val="22"/>
                <w:szCs w:val="22"/>
              </w:rPr>
            </w:pPr>
            <w:r>
              <w:rPr>
                <w:noProof/>
                <w:sz w:val="22"/>
                <w:szCs w:val="22"/>
              </w:rPr>
              <w:t xml:space="preserve">– </w:t>
            </w:r>
            <w:r>
              <w:rPr>
                <w:b/>
                <w:noProof/>
                <w:sz w:val="22"/>
                <w:szCs w:val="22"/>
              </w:rPr>
              <w:t>Portugali</w:t>
            </w:r>
            <w:r>
              <w:rPr>
                <w:noProof/>
                <w:sz w:val="22"/>
                <w:szCs w:val="22"/>
              </w:rPr>
              <w:t xml:space="preserve"> eelarvekava puhul leiti, et on oht, et stabiilsuse ja kasvu pakti kohaselt 2017. aastaks esitatud nõuded jäävad täitmata, kuigi prognoositud kõrvalekaldumine on märkimisväärse kõrvalekaldumise künnisväärtusest ainult väga vähe suurem. Kui võetakse vajalikud fiskaalmeetmed, näivad ohud olevat kontrolli all. Portugal, kelle suhtes praegu kohaldatakse pakti paranduslikku osa, peaks sel aastal prognoosi kohaselt kinni pidama aluslepingus sätestatud kontrollväärtusest (3 % SKPst). Portugali suhtes võidakse alates 2017. aastast hakata kohaldama pakti ennetuslikku osa, kui ülemäärane eelarvepuudujääk suudetakse õigeaegselt ja kestlikult kõrvaldada.</w:t>
            </w:r>
          </w:p>
          <w:p>
            <w:pPr>
              <w:spacing w:before="120" w:after="120" w:line="240" w:lineRule="auto"/>
              <w:ind w:left="426"/>
              <w:jc w:val="both"/>
              <w:rPr>
                <w:rFonts w:ascii="Times New Roman" w:hAnsi="Times New Roman"/>
                <w:noProof/>
              </w:rPr>
            </w:pPr>
            <w:r>
              <w:rPr>
                <w:rFonts w:ascii="Times New Roman" w:hAnsi="Times New Roman"/>
                <w:b/>
                <w:noProof/>
              </w:rPr>
              <w:t>Portugal</w:t>
            </w:r>
            <w:r>
              <w:rPr>
                <w:rFonts w:ascii="Times New Roman" w:hAnsi="Times New Roman"/>
                <w:noProof/>
              </w:rPr>
              <w:t xml:space="preserve"> ja </w:t>
            </w:r>
            <w:r>
              <w:rPr>
                <w:rFonts w:ascii="Times New Roman" w:hAnsi="Times New Roman"/>
                <w:b/>
                <w:noProof/>
              </w:rPr>
              <w:t>Hispaania</w:t>
            </w:r>
            <w:r>
              <w:rPr>
                <w:rFonts w:ascii="Times New Roman" w:hAnsi="Times New Roman"/>
                <w:noProof/>
              </w:rPr>
              <w:t xml:space="preserve"> esitasid oktoobri keskpaigaks oma eelarvekavad ja aruanded meetmete kohta, mis on võetud vastusena aluslepingu artikli 126 lõike 9 kohaselt esitatud ja 8. augustil 2016 vastuvõetud nõukogu teadetele.</w:t>
            </w:r>
            <w:r>
              <w:rPr>
                <w:rFonts w:ascii="Times New Roman" w:hAnsi="Times New Roman"/>
                <w:noProof/>
                <w:color w:val="000000"/>
              </w:rPr>
              <w:t xml:space="preserve"> Komisjon on andnud neile dokumentidele oma hinnangu ja alustanud Euroopa Parlamendiga struktureeritud dialoogi. Komisjon on jõudnud järeldusele, et mõlema liikmesriigi ülemäärase eelarvepuudujäägi menetlus tuleks peatada. Seega ei eksisteeri enam asjaolusid, millest ajendatuna tegi komisjon ettepaneku peatada Euroopa struktuuri- ja investeerimisfondidest vahendite eraldamine, ning seetõttu sellist ettepanekut ei tehta.</w:t>
            </w:r>
          </w:p>
        </w:tc>
      </w:tr>
    </w:tbl>
    <w:p>
      <w:pPr>
        <w:pStyle w:val="TOCHeading1"/>
        <w:rPr>
          <w:rFonts w:asciiTheme="majorHAnsi" w:hAnsiTheme="majorHAnsi"/>
          <w:noProof/>
        </w:rPr>
      </w:pPr>
      <w:r>
        <w:rPr>
          <w:rFonts w:ascii="Times New Roman" w:hAnsi="Times New Roman"/>
          <w:noProof/>
          <w:sz w:val="22"/>
          <w:szCs w:val="22"/>
        </w:rPr>
        <w:br w:type="page"/>
      </w:r>
      <w:r>
        <w:rPr>
          <w:rFonts w:asciiTheme="majorHAnsi" w:hAnsiTheme="majorHAnsi"/>
          <w:noProof/>
        </w:rPr>
        <w:t>Sisukord</w:t>
      </w:r>
    </w:p>
    <w:p>
      <w:pPr>
        <w:rPr>
          <w:noProof/>
          <w:lang w:val="en-US" w:eastAsia="ja-JP"/>
        </w:rPr>
      </w:pPr>
    </w:p>
    <w:p>
      <w:pPr>
        <w:pStyle w:val="TOC1"/>
        <w:tabs>
          <w:tab w:val="right" w:leader="dot" w:pos="9016"/>
        </w:tabs>
        <w:rPr>
          <w:rFonts w:eastAsia="Times New Roman"/>
          <w:noProof/>
          <w:lang w:val="en-GB" w:eastAsia="en-GB" w:bidi="ar-SA"/>
        </w:rPr>
      </w:pPr>
      <w:r>
        <w:rPr>
          <w:rFonts w:ascii="Cambria" w:hAnsi="Cambria" w:cs="Calibri"/>
          <w:noProof/>
        </w:rPr>
        <w:fldChar w:fldCharType="begin"/>
      </w:r>
      <w:r>
        <w:rPr>
          <w:rFonts w:ascii="Cambria" w:hAnsi="Cambria" w:cs="Calibri"/>
          <w:noProof/>
        </w:rPr>
        <w:instrText xml:space="preserve"> TOC \o "1-3" \h \z \u </w:instrText>
      </w:r>
      <w:r>
        <w:rPr>
          <w:rFonts w:ascii="Cambria" w:hAnsi="Cambria" w:cs="Calibri"/>
          <w:noProof/>
        </w:rPr>
        <w:fldChar w:fldCharType="separate"/>
      </w:r>
      <w:hyperlink w:anchor="_Toc467153537" w:history="1">
        <w:r>
          <w:rPr>
            <w:rStyle w:val="Hyperlink"/>
            <w:rFonts w:ascii="Times New Roman" w:hAnsi="Times New Roman"/>
            <w:noProof/>
          </w:rPr>
          <w:t>I. Sissejuhatus</w:t>
        </w:r>
        <w:r>
          <w:rPr>
            <w:noProof/>
            <w:webHidden/>
          </w:rPr>
          <w:tab/>
        </w:r>
        <w:r>
          <w:rPr>
            <w:noProof/>
            <w:webHidden/>
          </w:rPr>
          <w:fldChar w:fldCharType="begin"/>
        </w:r>
        <w:r>
          <w:rPr>
            <w:noProof/>
            <w:webHidden/>
          </w:rPr>
          <w:instrText xml:space="preserve"> PAGEREF _Toc467153537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016"/>
        </w:tabs>
        <w:rPr>
          <w:rFonts w:eastAsia="Times New Roman"/>
          <w:noProof/>
          <w:lang w:val="en-GB" w:eastAsia="en-GB" w:bidi="ar-SA"/>
        </w:rPr>
      </w:pPr>
      <w:hyperlink w:anchor="_Toc467153538" w:history="1">
        <w:r>
          <w:rPr>
            <w:rStyle w:val="Hyperlink"/>
            <w:rFonts w:ascii="Times New Roman" w:hAnsi="Times New Roman"/>
            <w:noProof/>
          </w:rPr>
          <w:t>II. Peamised järeldused euroala kohta</w:t>
        </w:r>
        <w:r>
          <w:rPr>
            <w:noProof/>
            <w:webHidden/>
          </w:rPr>
          <w:tab/>
        </w:r>
        <w:r>
          <w:rPr>
            <w:noProof/>
            <w:webHidden/>
          </w:rPr>
          <w:fldChar w:fldCharType="begin"/>
        </w:r>
        <w:r>
          <w:rPr>
            <w:noProof/>
            <w:webHidden/>
          </w:rPr>
          <w:instrText xml:space="preserve"> PAGEREF _Toc467153538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016"/>
        </w:tabs>
        <w:rPr>
          <w:rStyle w:val="Hyperlink"/>
          <w:noProof/>
          <w:color w:val="auto"/>
        </w:rPr>
      </w:pPr>
      <w:hyperlink w:anchor="_Toc467153539" w:history="1">
        <w:r>
          <w:rPr>
            <w:rStyle w:val="Hyperlink"/>
            <w:rFonts w:ascii="Times New Roman" w:hAnsi="Times New Roman"/>
            <w:noProof/>
          </w:rPr>
          <w:t>III. Eelarvekavade ülevaade</w:t>
        </w:r>
        <w:r>
          <w:rPr>
            <w:noProof/>
            <w:webHidden/>
          </w:rPr>
          <w:tab/>
        </w:r>
        <w:r>
          <w:rPr>
            <w:noProof/>
            <w:webHidden/>
          </w:rPr>
          <w:fldChar w:fldCharType="begin"/>
        </w:r>
        <w:r>
          <w:rPr>
            <w:noProof/>
            <w:webHidden/>
          </w:rPr>
          <w:instrText xml:space="preserve"> PAGEREF _Toc467153539 \h </w:instrText>
        </w:r>
        <w:r>
          <w:rPr>
            <w:noProof/>
            <w:webHidden/>
          </w:rPr>
        </w:r>
        <w:r>
          <w:rPr>
            <w:noProof/>
            <w:webHidden/>
          </w:rPr>
          <w:fldChar w:fldCharType="separate"/>
        </w:r>
        <w:r>
          <w:rPr>
            <w:noProof/>
            <w:webHidden/>
          </w:rPr>
          <w:t>19</w:t>
        </w:r>
        <w:r>
          <w:rPr>
            <w:noProof/>
            <w:webHidden/>
          </w:rPr>
          <w:fldChar w:fldCharType="end"/>
        </w:r>
      </w:hyperlink>
    </w:p>
    <w:p>
      <w:pPr>
        <w:pStyle w:val="TOC3"/>
        <w:rPr>
          <w:rFonts w:ascii="Times New Roman" w:eastAsia="SimSun" w:hAnsi="Times New Roman"/>
          <w:b w:val="0"/>
          <w:bCs w:val="0"/>
          <w:lang w:eastAsia="en-GB"/>
        </w:rPr>
      </w:pPr>
      <w:hyperlink w:anchor="_Toc466401779" w:history="1">
        <w:r>
          <w:rPr>
            <w:rStyle w:val="Hyperlink"/>
            <w:rFonts w:ascii="Times New Roman" w:hAnsi="Times New Roman"/>
            <w:b w:val="0"/>
          </w:rPr>
          <w:t xml:space="preserve">I LISA: Eelarvekavade riigipõhised hinnangud </w:t>
        </w:r>
        <w:r>
          <w:rPr>
            <w:rFonts w:ascii="Times New Roman" w:hAnsi="Times New Roman"/>
            <w:b w:val="0"/>
            <w:webHidden/>
          </w:rPr>
          <w:tab/>
        </w:r>
      </w:hyperlink>
    </w:p>
    <w:p>
      <w:pPr>
        <w:pStyle w:val="TOC3"/>
        <w:rPr>
          <w:rFonts w:ascii="Times New Roman" w:eastAsia="SimSun" w:hAnsi="Times New Roman"/>
          <w:b w:val="0"/>
          <w:bCs w:val="0"/>
          <w:lang w:eastAsia="en-GB"/>
        </w:rPr>
      </w:pPr>
      <w:hyperlink w:anchor="_Toc466401780" w:history="1">
        <w:r>
          <w:rPr>
            <w:rStyle w:val="Hyperlink"/>
            <w:rFonts w:ascii="Times New Roman" w:hAnsi="Times New Roman"/>
            <w:b w:val="0"/>
          </w:rPr>
          <w:t>II LISA: Komisjoni 2016. aasta sügisprognoosi aluseks olevad eeldused ja metoodika</w:t>
        </w:r>
        <w:r>
          <w:rPr>
            <w:rFonts w:ascii="Times New Roman" w:hAnsi="Times New Roman"/>
            <w:b w:val="0"/>
            <w:webHidden/>
          </w:rPr>
          <w:tab/>
        </w:r>
      </w:hyperlink>
    </w:p>
    <w:p>
      <w:pPr>
        <w:pStyle w:val="TOC3"/>
        <w:rPr>
          <w:rFonts w:ascii="Times New Roman" w:eastAsia="SimSun" w:hAnsi="Times New Roman"/>
          <w:b w:val="0"/>
          <w:bCs w:val="0"/>
          <w:lang w:eastAsia="en-GB"/>
        </w:rPr>
      </w:pPr>
      <w:hyperlink w:anchor="_Toc466401781" w:history="1">
        <w:r>
          <w:rPr>
            <w:rStyle w:val="Hyperlink"/>
            <w:rFonts w:ascii="Times New Roman" w:hAnsi="Times New Roman"/>
            <w:b w:val="0"/>
          </w:rPr>
          <w:t>III LISA Tundlikkusanalüüs</w:t>
        </w:r>
        <w:r>
          <w:rPr>
            <w:rFonts w:ascii="Times New Roman" w:hAnsi="Times New Roman"/>
            <w:b w:val="0"/>
            <w:webHidden/>
          </w:rPr>
          <w:tab/>
        </w:r>
      </w:hyperlink>
    </w:p>
    <w:p>
      <w:pPr>
        <w:pStyle w:val="TOC3"/>
        <w:rPr>
          <w:rFonts w:ascii="Calibri" w:eastAsia="SimSun" w:hAnsi="Calibri"/>
          <w:b w:val="0"/>
        </w:rPr>
      </w:pPr>
      <w:hyperlink w:anchor="_Toc466401782" w:history="1">
        <w:r>
          <w:rPr>
            <w:rStyle w:val="Hyperlink"/>
            <w:rFonts w:ascii="Times New Roman" w:hAnsi="Times New Roman"/>
            <w:b w:val="0"/>
          </w:rPr>
          <w:t>IV LISA. Joonised ja tabelid</w:t>
        </w:r>
        <w:r>
          <w:rPr>
            <w:rFonts w:ascii="Times New Roman" w:hAnsi="Times New Roman"/>
            <w:b w:val="0"/>
            <w:webHidden/>
          </w:rPr>
          <w:tab/>
        </w:r>
      </w:hyperlink>
    </w:p>
    <w:p>
      <w:pPr>
        <w:pStyle w:val="Heading1"/>
        <w:spacing w:before="0"/>
        <w:rPr>
          <w:rFonts w:ascii="Times New Roman" w:hAnsi="Times New Roman"/>
          <w:noProof/>
        </w:rPr>
      </w:pPr>
      <w:r>
        <w:rPr>
          <w:rFonts w:cs="Calibri"/>
          <w:bCs w:val="0"/>
          <w:noProof/>
        </w:rPr>
        <w:fldChar w:fldCharType="end"/>
      </w:r>
      <w:r>
        <w:rPr>
          <w:rFonts w:ascii="Times New Roman" w:hAnsi="Times New Roman"/>
          <w:noProof/>
          <w:sz w:val="22"/>
          <w:szCs w:val="22"/>
        </w:rPr>
        <w:br w:type="page"/>
      </w:r>
      <w:bookmarkStart w:id="2" w:name="_Toc393881331"/>
      <w:bookmarkStart w:id="3" w:name="_Toc467153537"/>
      <w:r>
        <w:rPr>
          <w:rFonts w:ascii="Times New Roman" w:hAnsi="Times New Roman"/>
          <w:noProof/>
        </w:rPr>
        <w:t>I. Sissejuhatus</w:t>
      </w:r>
      <w:bookmarkEnd w:id="2"/>
      <w:bookmarkEnd w:id="3"/>
    </w:p>
    <w:p>
      <w:pPr>
        <w:spacing w:before="120" w:after="120" w:line="240" w:lineRule="auto"/>
        <w:jc w:val="both"/>
        <w:rPr>
          <w:rFonts w:ascii="Times New Roman" w:hAnsi="Times New Roman"/>
          <w:noProof/>
          <w:sz w:val="24"/>
          <w:szCs w:val="24"/>
        </w:rPr>
      </w:pPr>
      <w:bookmarkStart w:id="4" w:name="_Toc393881332"/>
      <w:r>
        <w:rPr>
          <w:rFonts w:ascii="Times New Roman" w:hAnsi="Times New Roman"/>
          <w:noProof/>
          <w:sz w:val="24"/>
          <w:szCs w:val="24"/>
        </w:rPr>
        <w:t>ELi õigusaktidega nähakse ette, et euroala liikmesriigid esitavad 15. oktoobriks komisjonile järgmise aasta eelarvekavad, et tõhustada majandus- ja rahaliidu riikide eelarvepoliitika koordineerimist</w:t>
      </w:r>
      <w:r>
        <w:rPr>
          <w:rStyle w:val="FootnoteReference"/>
          <w:rFonts w:ascii="Times New Roman" w:hAnsi="Times New Roman"/>
          <w:noProof/>
          <w:sz w:val="24"/>
          <w:szCs w:val="24"/>
        </w:rPr>
        <w:footnoteReference w:id="4"/>
      </w:r>
      <w:r>
        <w:rPr>
          <w:rFonts w:ascii="Times New Roman" w:hAnsi="Times New Roman"/>
          <w:noProof/>
          <w:sz w:val="24"/>
          <w:szCs w:val="24"/>
        </w:rPr>
        <w:t>.</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Nendes kavades kajastatakse kokkuvõtlikult valitsuste poolt riikide parlamentidele esitatud eelarveprojekte. Komisjon esitab iga eelarvekava kohta arvamuse, hinnates eelarvekava kooskõla stabiilsuse ja kasvu paktil põhinevate liikmesriigi kohustustega.</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Samuti peab komisjon esitama üldise hinnangu euroala kui terviku eelarveseisundi ja -väljavaadete kohta. Hinnang esitatakse käesolevas teatises ja komisjoni teatises „Euroala positiivse eelarvepoliitika poole“</w:t>
      </w:r>
      <w:r>
        <w:rPr>
          <w:rStyle w:val="FootnoteReference"/>
          <w:rFonts w:ascii="Times New Roman" w:hAnsi="Times New Roman"/>
          <w:noProof/>
          <w:sz w:val="24"/>
          <w:szCs w:val="24"/>
        </w:rPr>
        <w:footnoteReference w:id="5"/>
      </w:r>
      <w:r>
        <w:rPr>
          <w:rFonts w:ascii="Times New Roman" w:hAnsi="Times New Roman"/>
          <w:noProof/>
          <w:sz w:val="24"/>
          <w:szCs w:val="24"/>
        </w:rPr>
        <w:t>.</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Vastavalt teisele majanduse juhtimise paketile pidid kaheksateist euroala liikmesriiki saatma komisjonile 17. oktoobriks oma 2017. aasta eelarvekavad</w:t>
      </w:r>
      <w:r>
        <w:rPr>
          <w:rStyle w:val="FootnoteReference"/>
          <w:rFonts w:ascii="Times New Roman" w:hAnsi="Times New Roman"/>
          <w:noProof/>
          <w:sz w:val="24"/>
          <w:szCs w:val="24"/>
        </w:rPr>
        <w:footnoteReference w:id="6"/>
      </w:r>
      <w:r>
        <w:rPr>
          <w:rFonts w:ascii="Times New Roman" w:hAnsi="Times New Roman"/>
          <w:noProof/>
          <w:sz w:val="24"/>
          <w:szCs w:val="24"/>
        </w:rPr>
        <w:t>. Euroala liikmesriik Kreeka, kelle suhtes kohaldatakse makromajanduslikku kohandamisprogrammi, ei pea eelarvekava esitama, kuna programmiga on eelarve põhjalik seire juba ette nähtud.</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Kooskõlas teise majanduse juhtimise paketi tegevusjuhistega</w:t>
      </w:r>
      <w:r>
        <w:rPr>
          <w:rStyle w:val="FootnoteReference"/>
          <w:rFonts w:ascii="Times New Roman" w:hAnsi="Times New Roman"/>
          <w:noProof/>
          <w:sz w:val="24"/>
          <w:szCs w:val="24"/>
        </w:rPr>
        <w:footnoteReference w:id="7"/>
      </w:r>
      <w:r>
        <w:rPr>
          <w:rFonts w:ascii="Times New Roman" w:hAnsi="Times New Roman"/>
          <w:noProof/>
          <w:sz w:val="24"/>
          <w:szCs w:val="24"/>
        </w:rPr>
        <w:t xml:space="preserve"> esitasid Leedu ja Hispaania eelarvekavad, mis põhinevad eeldusel, et poliitikat ei muudeta, kuna kavade esitamise ajal oli nimetatud riikides vahevalitsus. Kui uus valitsus on ametisse asunud, eeldatakse, et ta esitab täieliku eelarvekava.</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Austades liikmesriikide eelarvepädevust, antakse komisjoni arvamustes objektiivset poliitilist nõu eelkõige liikmesriikide valitsustele ja parlamentidele, et aidata neil paremini hinnata eelarveprojektide vastavust ELi eelarve-eeskirjadele. Teise majanduse juhtimise paketiga on ette nähtud mitmesugused vahendid majandus- ja eelarvepoliitika kui ühise huvi küsimuse kujundamiseks euroalal vastavalt aluslepingule.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Lisaks kutsus nõukogu 2015. aasta juulis eurorühma üles jälgima ja koordineerima euroala liikmesriikide eelarvepoliitikat ja euroala üldist eelarvepoliitilist hoiakut, et tagada majanduskasvu soodustav ja diferentseeritud eelarvepoliitika</w:t>
      </w:r>
      <w:r>
        <w:rPr>
          <w:rFonts w:ascii="Times New Roman" w:hAnsi="Times New Roman"/>
          <w:noProof/>
          <w:sz w:val="24"/>
          <w:szCs w:val="24"/>
          <w:vertAlign w:val="superscript"/>
        </w:rPr>
        <w:footnoteReference w:id="8"/>
      </w:r>
      <w:r>
        <w:rPr>
          <w:rFonts w:ascii="Times New Roman" w:hAnsi="Times New Roman"/>
          <w:noProof/>
          <w:sz w:val="24"/>
          <w:szCs w:val="24"/>
        </w:rPr>
        <w:t>. Nõukogu soovitas, et ilma et see piiraks stabiilsuse ja kasvu pakti nõuete täitmist, on euroala liikmesriikidel vaja „koordineerida eelarvepoliitikat, et tagada kogu euroala eelarvepoliitika kooskõla jätkusuutlikkuse riskiga ja tsükliliste tingimustega“.</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Novembris 2015 tegi komisjon ettepaneku võtta vastu ajakohastatud soovitus, mis käsitleb euroala majanduspoliitikat. Seda arutati nõukogus ja ELi juhid kinnitasid selle 18.–19. veebruaril 2016 toimunud Euroopa Ülemkogu kohtumisel</w:t>
      </w:r>
      <w:r>
        <w:rPr>
          <w:rStyle w:val="FootnoteReference"/>
          <w:rFonts w:ascii="Times New Roman" w:hAnsi="Times New Roman"/>
          <w:noProof/>
          <w:sz w:val="24"/>
          <w:szCs w:val="24"/>
        </w:rPr>
        <w:footnoteReference w:id="9"/>
      </w:r>
      <w:r>
        <w:rPr>
          <w:rFonts w:ascii="Times New Roman" w:hAnsi="Times New Roman"/>
          <w:noProof/>
          <w:sz w:val="24"/>
          <w:szCs w:val="24"/>
        </w:rPr>
        <w:t>.</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Kõnealune soovitus on ka komisjoni hinnangu alus. Euroopa poolaasta iga-aastase tsükli osana esitab komisjon lisaks käesolevale paketile uue soovituse, mis käsitleb euroala majanduspoliitikat aastatel 2017–2018</w:t>
      </w:r>
      <w:r>
        <w:rPr>
          <w:rStyle w:val="FootnoteReference"/>
          <w:rFonts w:ascii="Times New Roman" w:hAnsi="Times New Roman"/>
          <w:noProof/>
          <w:sz w:val="24"/>
          <w:szCs w:val="24"/>
        </w:rPr>
        <w:footnoteReference w:id="10"/>
      </w:r>
      <w:r>
        <w:rPr>
          <w:rFonts w:ascii="Times New Roman" w:hAnsi="Times New Roman"/>
          <w:noProof/>
          <w:sz w:val="24"/>
          <w:szCs w:val="24"/>
        </w:rPr>
        <w:t>.</w:t>
      </w:r>
    </w:p>
    <w:p>
      <w:pPr>
        <w:spacing w:before="120" w:after="120" w:line="240" w:lineRule="auto"/>
        <w:jc w:val="both"/>
        <w:rPr>
          <w:rFonts w:ascii="Times New Roman" w:hAnsi="Times New Roman"/>
          <w:b/>
          <w:noProof/>
          <w:kern w:val="32"/>
          <w:sz w:val="24"/>
          <w:szCs w:val="24"/>
        </w:rPr>
      </w:pPr>
      <w:r>
        <w:rPr>
          <w:rFonts w:ascii="Times New Roman" w:hAnsi="Times New Roman"/>
          <w:noProof/>
          <w:sz w:val="24"/>
          <w:szCs w:val="24"/>
        </w:rPr>
        <w:t>Käesoleval teatisel on kaks eesmärki. Esiteks luuakse sellega eelarvekavade horisontaalsele hindamisele tuginedes eelarvepoliitikast euroala tasandi koondpilt. See vastab stabiilsusprogrammide kevadisele horisontaalsele hindamisele, kuid selle raames keskendutakse eelseisvale aastale, mitte keskpika perioodi eelarvekavadele. Teiseks antakse eelarvekavadest ülevaade liikmesriikide tasandil, selgitades komisjoni poolt nende hindamisel (eriti selle hindamisel, kas kavad vastavad stabiilsuse ja kasvu pakti nõuetele) kasutatud lähenemisviisi. Hinnang sõltub sellest, kas liikmesriigi suhtes kohaldatakse stabiilsuse ja kasvu pakti ennetuslikku või paranduslikku osa, samuti võetakse arvesse pakti nõudeid seoses valitsemissektori võla taseme ja suundumustega.</w:t>
      </w:r>
    </w:p>
    <w:p>
      <w:pPr>
        <w:pStyle w:val="Heading1"/>
        <w:rPr>
          <w:rFonts w:ascii="Times New Roman" w:hAnsi="Times New Roman"/>
          <w:noProof/>
        </w:rPr>
      </w:pPr>
      <w:r>
        <w:rPr>
          <w:rFonts w:ascii="Times New Roman" w:hAnsi="Times New Roman"/>
          <w:noProof/>
          <w:sz w:val="22"/>
          <w:szCs w:val="22"/>
        </w:rPr>
        <w:br w:type="page"/>
      </w:r>
      <w:bookmarkStart w:id="5" w:name="_Toc467153538"/>
      <w:r>
        <w:rPr>
          <w:rFonts w:ascii="Times New Roman" w:hAnsi="Times New Roman"/>
          <w:noProof/>
        </w:rPr>
        <w:t>II. Peamised järeldused euroala kohta</w:t>
      </w:r>
      <w:bookmarkEnd w:id="5"/>
    </w:p>
    <w:p>
      <w:pPr>
        <w:spacing w:after="0" w:line="240" w:lineRule="auto"/>
        <w:ind w:left="720" w:hanging="720"/>
        <w:jc w:val="center"/>
        <w:rPr>
          <w:rFonts w:ascii="Times New Roman" w:hAnsi="Times New Roman"/>
          <w:noProof/>
        </w:rPr>
      </w:pPr>
    </w:p>
    <w:p>
      <w:pPr>
        <w:spacing w:after="120" w:line="240" w:lineRule="auto"/>
        <w:jc w:val="both"/>
        <w:rPr>
          <w:rFonts w:ascii="Times New Roman" w:hAnsi="Times New Roman"/>
          <w:b/>
          <w:noProof/>
          <w:sz w:val="24"/>
          <w:szCs w:val="24"/>
          <w:u w:val="single"/>
        </w:rPr>
      </w:pPr>
      <w:r>
        <w:rPr>
          <w:rFonts w:ascii="Times New Roman" w:hAnsi="Times New Roman"/>
          <w:b/>
          <w:noProof/>
          <w:sz w:val="24"/>
          <w:szCs w:val="24"/>
          <w:u w:val="single"/>
        </w:rPr>
        <w:t>Eelarvekavades ja komisjoni 2016. aasta sügisprognoosis esitatud majandusväljavaated</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Valitsuste arvates on majandus- ja finantskriisist toibumine stabiilne, kuid selle tempo euroalal ei kiirene.</w:t>
      </w:r>
      <w:r>
        <w:rPr>
          <w:rFonts w:ascii="Times New Roman" w:hAnsi="Times New Roman"/>
          <w:noProof/>
          <w:sz w:val="24"/>
          <w:szCs w:val="24"/>
        </w:rPr>
        <w:t xml:space="preserve"> Eelarvekavades esitatud makromajanduslike eelduste põhjal kasvab 18 euroala liikmesriigi SKP 2016. aastal 1,7 %, mis on veidi vähem kui stabiilsusprogrammide vastuvõtmise ajal 2016. aasta aprillis prognoositud 1,8 % (tabel 1). 2017. aasta kasvuväljavaated järgivad sama mudelit, SKP kasvuprognoos on 18 euroala liikmesriigis 1,6 % võrrelduna stabiilsusprogrammides kavandatud 1,7 %ga. Kui majanduse elavnemine jätkub, kuid ei kiirene, väheneb erinevus SKP tegeliku ja potentsiaalse kasvu vahel. Eelarvekavade kohaselt prognoositakse 18 euroala liikmesriigis SKP lõhe suuruseks 2016. aastal –0,8 % potentsiaalsest SKPst ja see peaks 2017. aastal vähenema –0,5 %ni (2014. aastal oli see näitaja koguni –2 %). See on ilmne suundumus enamikus liikmesriikides, kuigi riikide vahel on erinevusi. Inflatsiooniprognoos jääb tagasihoidlikuks, 2016. aastaks prognoositud THHI inflatsiooni tase langeb märkimisväärselt, kui võrrelda seda kevadel stabiilsusprogrammides esitatud prognoosidega. Eelarvekavade kohaselt on inflatsioonimäär 2016. aastal 0,4 %, kuid prognooside kohaselt tõuseb see 2017. aastal 1,2 %ni (jäädes natuke allapoole kui 2017. aastaks stabiilsusprogrammides prognoositud 1,4 %). 17 liikmesriiki täidab määruse (EL) nr 473/2013 nõuet, mille kohaselt peavad eelarvekava aluseks olema sõltumatult koostatud või kinnitatud makromajanduslikud prognoosid</w:t>
      </w:r>
      <w:r>
        <w:rPr>
          <w:rStyle w:val="FootnoteReference"/>
          <w:rFonts w:ascii="Times New Roman" w:hAnsi="Times New Roman"/>
          <w:noProof/>
          <w:sz w:val="24"/>
          <w:szCs w:val="24"/>
        </w:rPr>
        <w:footnoteReference w:id="11"/>
      </w:r>
      <w:r>
        <w:rPr>
          <w:rFonts w:ascii="Times New Roman" w:hAnsi="Times New Roman"/>
          <w:noProof/>
          <w:sz w:val="24"/>
          <w:szCs w:val="24"/>
        </w:rPr>
        <w:t>.</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18 eelarvekava põhjal kujunenud pilt leiab komisjoni sügisprognoosis üldiselt kinnitust.</w:t>
      </w:r>
      <w:r>
        <w:rPr>
          <w:rFonts w:ascii="Times New Roman" w:hAnsi="Times New Roman"/>
          <w:noProof/>
          <w:sz w:val="24"/>
          <w:szCs w:val="24"/>
        </w:rPr>
        <w:t xml:space="preserve"> See osutab samuti jätkuvale, kuigi aeglasele majanduse elavnemisele keerulises üleilmses olukorras. Komisjon prognoosib, et SKP reaalkasv väheneb natuke (2016. aastal 1,7 %-lt 2017. aastal 1,5 %-le). Sisenõudlust toetavad praegu madalad naftahinnad, endiselt üsna madala euro vahetuskursi mõju ja leebe rahapoliitika. Samal ajal on sisenõudluse dünaamika endiselt aeglane. Üleilmsed majandustingimused muutuvad üha ebakindlamaks, eelkõige pärast Ühendkuningriigis ELi liikmesuse küsimuses korraldatud rahvahääletust ja muid geopoliitilisi muudatusi. Samuti on vähenenud maailmakaubandus. See kõik osutab vajadusele tugevdada euroalasiseseid majanduskasvu allikaid. Lisaks võivad mitmed suundumused, nagu maailmakaubanduse jätkuv nõrgenemine, tuua kaasa komisjoni prognoositust väiksema majanduskasvu. Majanduse tagasihoidlikku, kuid püsivat elavnemist peegeldab ka järjest vähenev erinevus SKP tegeliku ja potentsiaalse kasvu vahel komisjoni prognoosis. Negatiivne SKP lõhe, mis oli 2014. aastal 2,2 % potentsiaalsest SKPst, peaks käesoleval aastal vähenema 0,8 %ni ja 2017. aastal 0,5 %ni. Arvestades mõnes liikmesriigis püsivat ebakindlust SKP lõhe mõõtmise suhtes, on komisjon uurinud meetodite täiustamise ja nende kohaldamise parandamise võimalikke vahendeid, tagades samas kooskõla liikmesriikidele kehtestatavate eelarvenõuete põhimõtetega (vt tekstikast nr 1).</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Püsiv, kuid aeglane kasv ei peegeldu hindade muutumises, kuna inflatsiooniprognoos jääb koondtasandil tagasihoidlikuks.</w:t>
      </w:r>
      <w:r>
        <w:rPr>
          <w:rFonts w:ascii="Times New Roman" w:hAnsi="Times New Roman"/>
          <w:noProof/>
          <w:sz w:val="24"/>
          <w:szCs w:val="24"/>
        </w:rPr>
        <w:t xml:space="preserve"> Komisjoni prognoosi kohaselt on THHI inflatsioon käesoleval aastal üksnes 0,3 % ja peaks eelduste kohaselt kasvama 2017. aastal 1,4 %ni, mis osutab vähenevale SKP lõhele ja väga toetavale eelarvepoliitilisele hoiakule. Vaatamata liikmesriikide erinevustele püsivad intressimäärad 2017. aastal eelduste kohaselt rekordiliselt madalad. Samal ajal prognoositakse, et 2017. aastal jätkub tugev suundumus raha pigem säästa kui investeerida, ning et euroala välistasakaalu ülejääk on 3,5 % SKPst, mis on üksnes veidi vähem kui 2016. aastal (3,7 % SKPst).</w:t>
      </w: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szCs w:val="24"/>
          <w:u w:val="single"/>
        </w:rPr>
        <w:t>Eelarvekavades ja komisjoni 2016. aasta sügisprognoosis esitatud eelarveväljavaated</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Valitsemissektori üldine nominaalne eelarvepuudujääk väheneb eelarvekavade kohaselt ka käesoleval ja järgmisel aastal.</w:t>
      </w:r>
      <w:r>
        <w:rPr>
          <w:rFonts w:ascii="Times New Roman" w:hAnsi="Times New Roman"/>
          <w:noProof/>
          <w:sz w:val="24"/>
          <w:szCs w:val="24"/>
        </w:rPr>
        <w:t xml:space="preserve"> Euroala 18 riigis on puudujääk prognooside kohaselt 2016. aastal 1,8 % SKPst, mis on vähem kui eelmise aasta 2,0 %</w:t>
      </w:r>
      <w:r>
        <w:rPr>
          <w:rStyle w:val="FootnoteReference"/>
          <w:rFonts w:ascii="Times New Roman" w:hAnsi="Times New Roman"/>
          <w:noProof/>
          <w:sz w:val="24"/>
          <w:szCs w:val="24"/>
        </w:rPr>
        <w:footnoteReference w:id="12"/>
      </w:r>
      <w:r>
        <w:rPr>
          <w:rFonts w:ascii="Times New Roman" w:hAnsi="Times New Roman"/>
          <w:noProof/>
          <w:sz w:val="24"/>
          <w:szCs w:val="24"/>
        </w:rPr>
        <w:t>. 2017. aastal väheneb üldine nominaalne eelarvepuudujääk prognooside kohaselt 1,5 %ni SKPst. See kohandus on väiksem kui stabiilsusprogrammides 2017. aastaks kavandatud 0,5 protsendipunkti suurune vähenemine, kuigi eelarvepuudujääk oli 2016. aastal veidi väiksem kui kevadel prognoositud. Võttes arvesse pisut ajakohastatud makromajanduslikku väljavaadet, võib eelarvepuudujäägi väiksem vähendamine olla tingitud eelarve tagasihoidlikumast kohandamisest (vt allpool). Mõnes liikmesriigis peaks kulude muutusi põhjustama pagulaskriisi ja julgeolekumeetmetega seotud kulude kasv.</w:t>
      </w:r>
    </w:p>
    <w:p>
      <w:pPr>
        <w:rPr>
          <w:rFonts w:ascii="Times New Roman" w:hAnsi="Times New Roman"/>
          <w:b/>
          <w:noProof/>
          <w:sz w:val="24"/>
          <w:szCs w:val="24"/>
        </w:rPr>
      </w:pPr>
      <w:r>
        <w:rPr>
          <w:rFonts w:ascii="Times New Roman" w:hAnsi="Times New Roman"/>
          <w:b/>
          <w:noProof/>
          <w:sz w:val="24"/>
          <w:szCs w:val="24"/>
        </w:rPr>
        <w:t>Tabel 1: ülevaade euroala 18 liikmesriigi 2016.–2017. aasta majanduslikest ja eelarvelistest koondnäitajatest</w:t>
      </w:r>
    </w:p>
    <w:tbl>
      <w:tblPr>
        <w:tblW w:w="0" w:type="auto"/>
        <w:tblInd w:w="108" w:type="dxa"/>
        <w:tblLook w:val="04A0" w:firstRow="1" w:lastRow="0" w:firstColumn="1" w:lastColumn="0" w:noHBand="0" w:noVBand="1"/>
      </w:tblPr>
      <w:tblGrid>
        <w:gridCol w:w="1385"/>
        <w:gridCol w:w="1637"/>
        <w:gridCol w:w="1106"/>
        <w:gridCol w:w="1132"/>
        <w:gridCol w:w="1636"/>
        <w:gridCol w:w="1106"/>
        <w:gridCol w:w="1132"/>
      </w:tblGrid>
      <w:tr>
        <w:trPr>
          <w:trHeight w:val="255"/>
        </w:trPr>
        <w:tc>
          <w:tcPr>
            <w:tcW w:w="13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 </w:t>
            </w:r>
          </w:p>
        </w:tc>
        <w:tc>
          <w:tcPr>
            <w:tcW w:w="3911" w:type="dxa"/>
            <w:gridSpan w:val="3"/>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2016</w:t>
            </w:r>
          </w:p>
        </w:tc>
        <w:tc>
          <w:tcPr>
            <w:tcW w:w="3910" w:type="dxa"/>
            <w:gridSpan w:val="3"/>
            <w:tcBorders>
              <w:top w:val="single" w:sz="8" w:space="0" w:color="auto"/>
              <w:left w:val="nil"/>
              <w:bottom w:val="single" w:sz="4" w:space="0" w:color="auto"/>
              <w:right w:val="single" w:sz="8" w:space="0" w:color="000000"/>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2017</w:t>
            </w:r>
          </w:p>
        </w:tc>
      </w:tr>
      <w:tr>
        <w:trPr>
          <w:trHeight w:val="1035"/>
        </w:trPr>
        <w:tc>
          <w:tcPr>
            <w:tcW w:w="1313"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Times New Roman" w:eastAsia="Times New Roman" w:hAnsi="Times New Roman"/>
                <w:noProof/>
                <w:color w:val="000000"/>
                <w:sz w:val="20"/>
                <w:szCs w:val="20"/>
              </w:rPr>
            </w:pPr>
          </w:p>
        </w:tc>
        <w:tc>
          <w:tcPr>
            <w:tcW w:w="1313"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szCs w:val="20"/>
              </w:rPr>
              <w:t>2016. aasta stabiilsusprogrammid (aprill)</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szCs w:val="20"/>
              </w:rPr>
              <w:t>Eelarvekavad (oktoober)</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szCs w:val="20"/>
              </w:rPr>
              <w:t>Komisjoni 2016. a. sügisprognoos (november)</w:t>
            </w:r>
          </w:p>
        </w:tc>
        <w:tc>
          <w:tcPr>
            <w:tcW w:w="1312"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szCs w:val="20"/>
              </w:rPr>
              <w:t>2016. aasta stabiilsusprogrammid (aprill)</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szCs w:val="20"/>
              </w:rPr>
              <w:t>Eelarvekavad (oktoober)</w:t>
            </w:r>
          </w:p>
        </w:tc>
        <w:tc>
          <w:tcPr>
            <w:tcW w:w="1299" w:type="dxa"/>
            <w:tcBorders>
              <w:top w:val="nil"/>
              <w:left w:val="nil"/>
              <w:bottom w:val="single" w:sz="8" w:space="0" w:color="auto"/>
              <w:right w:val="single" w:sz="8"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szCs w:val="20"/>
              </w:rPr>
              <w:t>Komisjoni 2016. a. sügisprognoos (november)</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szCs w:val="20"/>
              </w:rPr>
              <w:t xml:space="preserve">SKP reaalkasv </w:t>
            </w:r>
            <w:r>
              <w:rPr>
                <w:rFonts w:ascii="Times New Roman" w:hAnsi="Times New Roman"/>
                <w:noProof/>
                <w:color w:val="000000"/>
                <w:sz w:val="20"/>
                <w:szCs w:val="20"/>
              </w:rPr>
              <w:t>(muutuse %)</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1,7</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1,6</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szCs w:val="20"/>
              </w:rPr>
              <w:t>THHI inflatsioon</w:t>
            </w:r>
          </w:p>
          <w:p>
            <w:pPr>
              <w:spacing w:after="0" w:line="240" w:lineRule="auto"/>
              <w:jc w:val="center"/>
              <w:rPr>
                <w:rFonts w:ascii="Times New Roman" w:eastAsia="Times New Roman" w:hAnsi="Times New Roman"/>
                <w:bCs/>
                <w:noProof/>
                <w:color w:val="000000"/>
                <w:sz w:val="20"/>
                <w:szCs w:val="20"/>
              </w:rPr>
            </w:pPr>
            <w:r>
              <w:rPr>
                <w:rFonts w:ascii="Times New Roman" w:hAnsi="Times New Roman"/>
                <w:noProof/>
                <w:color w:val="000000"/>
                <w:sz w:val="20"/>
                <w:szCs w:val="20"/>
              </w:rPr>
              <w:t>(muutuse %)</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0,3</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1,4</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szCs w:val="20"/>
              </w:rPr>
              <w:t>Valitsemissektori nominaalne eelarvepuudujääk</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szCs w:val="20"/>
              </w:rPr>
              <w:t>(% SKPst)</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–1,8</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–1,5</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szCs w:val="20"/>
              </w:rPr>
              <w:t xml:space="preserve">Struktuurse eelarvepositsiooni muutus </w:t>
            </w:r>
            <w:r>
              <w:rPr>
                <w:rFonts w:ascii="Times New Roman" w:eastAsia="Times New Roman" w:hAnsi="Times New Roman"/>
                <w:b/>
                <w:bCs/>
                <w:noProof/>
                <w:color w:val="000000"/>
                <w:sz w:val="20"/>
                <w:szCs w:val="20"/>
              </w:rPr>
              <w:br/>
            </w:r>
            <w:r>
              <w:rPr>
                <w:rFonts w:ascii="Times New Roman" w:hAnsi="Times New Roman"/>
                <w:noProof/>
                <w:color w:val="000000"/>
                <w:sz w:val="20"/>
                <w:szCs w:val="20"/>
              </w:rPr>
              <w:t>(protsendipunkti SKPst)</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–0,2</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0,1</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0,0</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szCs w:val="20"/>
              </w:rPr>
              <w:t>Võlg</w:t>
            </w:r>
            <w:r>
              <w:rPr>
                <w:rFonts w:ascii="Times New Roman" w:hAnsi="Times New Roman"/>
                <w:noProof/>
                <w:color w:val="000000"/>
                <w:sz w:val="20"/>
                <w:szCs w:val="20"/>
              </w:rPr>
              <w:t xml:space="preserve"> (% SKPst)</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90,3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90,1</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90,1</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89,0</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89,0</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89,1</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szCs w:val="20"/>
              </w:rPr>
              <w:t xml:space="preserve">Tsükliliselt kohandatud kulude suhe </w:t>
            </w:r>
            <w:r>
              <w:rPr>
                <w:rFonts w:ascii="Times New Roman" w:hAnsi="Times New Roman"/>
                <w:noProof/>
                <w:color w:val="000000"/>
                <w:sz w:val="20"/>
                <w:szCs w:val="20"/>
              </w:rPr>
              <w:t>(% potentsiaalsest SKPst)</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47,3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47,4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47,5</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46,9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47,2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47,3</w:t>
            </w:r>
          </w:p>
        </w:tc>
      </w:tr>
      <w:tr>
        <w:trPr>
          <w:trHeight w:val="624"/>
        </w:trPr>
        <w:tc>
          <w:tcPr>
            <w:tcW w:w="1313"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szCs w:val="20"/>
              </w:rPr>
              <w:t xml:space="preserve">Tsükliliselt kohandatud tulude suhe </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szCs w:val="20"/>
              </w:rPr>
              <w:t>(% potentsiaalsest SKPst)</w:t>
            </w:r>
          </w:p>
        </w:tc>
        <w:tc>
          <w:tcPr>
            <w:tcW w:w="1313"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46,0</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46,1</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46,2</w:t>
            </w:r>
          </w:p>
        </w:tc>
        <w:tc>
          <w:tcPr>
            <w:tcW w:w="1312"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45,9</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46,0</w:t>
            </w:r>
          </w:p>
        </w:tc>
        <w:tc>
          <w:tcPr>
            <w:tcW w:w="1299" w:type="dxa"/>
            <w:tcBorders>
              <w:top w:val="nil"/>
              <w:left w:val="nil"/>
              <w:bottom w:val="single" w:sz="8"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szCs w:val="20"/>
              </w:rPr>
              <w:t>46,1</w:t>
            </w:r>
          </w:p>
        </w:tc>
      </w:tr>
    </w:tbl>
    <w:p>
      <w:pPr>
        <w:spacing w:after="120"/>
        <w:jc w:val="both"/>
        <w:rPr>
          <w:rFonts w:ascii="Times New Roman" w:hAnsi="Times New Roman"/>
          <w:noProof/>
        </w:rPr>
      </w:pPr>
    </w:p>
    <w:p>
      <w:pPr>
        <w:spacing w:before="120" w:after="120" w:line="240" w:lineRule="auto"/>
        <w:jc w:val="both"/>
        <w:rPr>
          <w:rFonts w:ascii="Times New Roman" w:hAnsi="Times New Roman"/>
          <w:b/>
          <w:noProof/>
          <w:sz w:val="24"/>
          <w:szCs w:val="24"/>
        </w:rPr>
      </w:pPr>
      <w:r>
        <w:rPr>
          <w:rFonts w:ascii="Times New Roman" w:hAnsi="Times New Roman"/>
          <w:b/>
          <w:noProof/>
          <w:sz w:val="24"/>
          <w:szCs w:val="24"/>
        </w:rPr>
        <w:t>Üldise struktuurse eelarvepositsiooni muutusena mõõdetud eelarvepositsioon jääb eelarvekavade kohaselt 2016.–2017. aastal laias laastus stabiilseks.</w:t>
      </w:r>
      <w:r>
        <w:rPr>
          <w:rFonts w:ascii="Times New Roman" w:hAnsi="Times New Roman"/>
          <w:noProof/>
          <w:sz w:val="24"/>
          <w:szCs w:val="24"/>
        </w:rPr>
        <w:t xml:space="preserve"> Struktuurne eelarvepositsioon peaks kava kohaselt 2016. aastal natuke halvenema (0,2 % SKPst), kuid sellele järgneb paranemine 0,1 % SKPst järgmisel aastal. Struktuurse eelarvepositsiooni suundumust koondtasandil kinnitab üldjoontes eelarve vabatahtliku konsolideerimise alternatiivne mõõtmine, millest nähtub, et eelarvekavade kohaselt on kohandamine negatiivne nii 2016. aastal (0,4 %) kui ka 2017. aastal (0,2 %). (4. lisa joonis A4.1)</w:t>
      </w:r>
      <w:r>
        <w:rPr>
          <w:rFonts w:ascii="Times New Roman" w:hAnsi="Times New Roman"/>
          <w:noProof/>
          <w:sz w:val="24"/>
          <w:szCs w:val="24"/>
          <w:vertAlign w:val="superscript"/>
        </w:rPr>
        <w:footnoteReference w:id="13"/>
      </w:r>
      <w:r>
        <w:rPr>
          <w:rFonts w:ascii="Times New Roman" w:hAnsi="Times New Roman"/>
          <w:noProof/>
          <w:sz w:val="24"/>
          <w:szCs w:val="24"/>
        </w:rPr>
        <w:t>. Arvestades SKP lõhe hinnangute erinevust, ei tohiks 2016. aasta muudatusi üle hinnata. Need muudatused on üldjoontes kooskõlas kevadistes stabiilsusprogrammides 2016.–2017. aastaks esitatud prognoosidega. Eelarve konsolideerimine on peatunud järk-järgult paranevate, kuid ikka veel habraste majanduslike väljavaadete ja SKP lõhe vähenemise tingimustes. Kuna üksnes viis liikmesriiki (ja ainult üks suurematest majandusjõududest) kavatseb 2017. aasta lõpuks oma keskpika perioodi eelarve-eesmärgid täita või need ületada,</w:t>
      </w:r>
      <w:r>
        <w:rPr>
          <w:rStyle w:val="FootnoteReference"/>
          <w:rFonts w:ascii="Times New Roman" w:hAnsi="Times New Roman"/>
          <w:noProof/>
          <w:sz w:val="24"/>
          <w:szCs w:val="24"/>
        </w:rPr>
        <w:footnoteReference w:id="14"/>
      </w:r>
      <w:r>
        <w:rPr>
          <w:rFonts w:ascii="Times New Roman" w:hAnsi="Times New Roman"/>
          <w:noProof/>
          <w:sz w:val="24"/>
          <w:szCs w:val="24"/>
        </w:rPr>
        <w:t xml:space="preserve"> näib 2017. aastaks kavandatud puudulik struktuurne kohandamine osutavat, et stabiilsuse ja kasvu pakti nõudeid ei täideta. Siiski tuleks struktuurse kohanduse koondnäitajat selles kontekstis käsitada üksnes illustreerivana, kuna see ei kajasta komisjoni riigipõhistes hinnangutes käsitletud liikmesriikidevahelisi suuri erinevusi stabiilsuse ja kasvu pakti nõuete täitmisel.</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Komisjoni 2016. aasta sügisprognoosi kohaselt peaks valitsemissektori nominaalne eelarvepuudujääk vähenema 2017. aastal 2016. aasta 1,8 %-lt SKPst 1,5 %-le SKPst</w:t>
      </w:r>
      <w:r>
        <w:rPr>
          <w:rFonts w:ascii="Times New Roman" w:hAnsi="Times New Roman"/>
          <w:noProof/>
          <w:sz w:val="24"/>
          <w:szCs w:val="24"/>
        </w:rPr>
        <w:t>, struktuurne eelarvepositsioon peaks kaheaastasel ajavahemikul jääma üldiselt stabiilseks. Aastateks 2016–2017 komisjoni prognoositud struktuurse eelarvepositsiooni stabiilsus hõlmab intressikulude vähenemist 0,2 % SKPst 2016. aastal ja 0,1 % SKPst 2017. aastal. Koondtasandil peaks struktuurne esmane eelarvepositsioon seega 2016. aastal komisjoni prognoosi kohaselt nõrgenema 0,4 % SKPst ja 2017. aastal 0,2 % SKPst. Seda kinnitab eelarve vabatahtlik konsolideerimine, mille kohaselt kohandamine on negatiivne nii 2016. aastal (0,5 %) kui ka 2017. aastal (0,3 %). Valitsemissektori võla enneolematult madalatest intressimääradest saadavat tulu ei kasutata seetõttu enamasti puudujäägi vähendamiseks. Eurorühm on andnud nõu kasutada seda tulu, et konsolideerida riigi rahandust ja sõltuvalt liikmesriigi olukorrast investeerida kas taristusse või struktuurireformidesse</w:t>
      </w:r>
      <w:r>
        <w:rPr>
          <w:rStyle w:val="FootnoteReference"/>
          <w:rFonts w:ascii="Times New Roman" w:hAnsi="Times New Roman"/>
          <w:noProof/>
          <w:sz w:val="24"/>
          <w:szCs w:val="24"/>
        </w:rPr>
        <w:footnoteReference w:id="15"/>
      </w:r>
      <w:r>
        <w:rPr>
          <w:rFonts w:ascii="Times New Roman" w:hAnsi="Times New Roman"/>
          <w:noProof/>
          <w:sz w:val="24"/>
          <w:szCs w:val="24"/>
        </w:rPr>
        <w:t>.</w:t>
      </w:r>
      <w:bookmarkEnd w:id="4"/>
    </w:p>
    <w:p>
      <w:pPr>
        <w:spacing w:before="120" w:after="120" w:line="240" w:lineRule="auto"/>
        <w:jc w:val="both"/>
        <w:rPr>
          <w:rFonts w:ascii="Times New Roman" w:hAnsi="Times New Roman"/>
          <w:noProof/>
          <w:sz w:val="24"/>
        </w:rPr>
      </w:pPr>
      <w:r>
        <w:rPr>
          <w:rFonts w:ascii="Times New Roman" w:hAnsi="Times New Roman"/>
          <w:b/>
          <w:noProof/>
          <w:sz w:val="24"/>
        </w:rPr>
        <w:t xml:space="preserve">Euroala eelarvepuudujäägi koondpilt langeb eelarvekavades ja komisjoni prognoosis üldiselt kokku. </w:t>
      </w:r>
      <w:r>
        <w:rPr>
          <w:rFonts w:ascii="Times New Roman" w:hAnsi="Times New Roman"/>
          <w:noProof/>
          <w:sz w:val="24"/>
        </w:rPr>
        <w:t>Liikmesriikide tasandil võivad erinevused individuaalsetes eelarvekavades ja komisjoni prognoosides esitatud valitsemissektori nominaalse eelarvepuudujäägi näitajate vahel olla suhteliselt suured, kusjuures selle põhjused on liikmesriigiti erinevad</w:t>
      </w:r>
      <w:r>
        <w:rPr>
          <w:rFonts w:ascii="Times New Roman" w:hAnsi="Times New Roman"/>
          <w:noProof/>
          <w:sz w:val="24"/>
          <w:szCs w:val="24"/>
        </w:rPr>
        <w:t xml:space="preserve">. Enamikus riikides prognoosib komisjon vastavates eelarvekavades esitatust suuremat puudujääki. Suurimad erinevused on Sloveenias, Portugalis, Belgias ja Leedus (4. lisa tabel A4.1 ja joonis A4.4). </w:t>
      </w:r>
      <w:r>
        <w:rPr>
          <w:rFonts w:ascii="Times New Roman" w:hAnsi="Times New Roman"/>
          <w:noProof/>
          <w:sz w:val="24"/>
        </w:rPr>
        <w:t>Ülejäänud soodsad prognoosid erinevad kõik 0,3 protsendipunkti vahemikus, samas kui komisjon prognoosib väiksemat puudujäägi näitajat Saksamaale, Küprosele, Eestile, Lätile, Madalmaadele ja Soomele.</w:t>
      </w:r>
    </w:p>
    <w:p>
      <w:pPr>
        <w:spacing w:before="120" w:after="120" w:line="240" w:lineRule="auto"/>
        <w:jc w:val="both"/>
        <w:rPr>
          <w:rFonts w:ascii="Times New Roman" w:hAnsi="Times New Roman"/>
          <w:noProof/>
          <w:sz w:val="24"/>
        </w:rPr>
      </w:pPr>
      <w:r>
        <w:rPr>
          <w:rFonts w:ascii="Times New Roman" w:hAnsi="Times New Roman"/>
          <w:b/>
          <w:noProof/>
          <w:sz w:val="24"/>
        </w:rPr>
        <w:t>Üldise struktuurse eelarvepositsiooni muutus liikmesriikides ei peegelda seda, kuidas liikmesriigid on täitnud stabiilsuse ja kasvu pakti nõudeid ja kas neil on eelarvepoliitilist manööverdamisruumi.</w:t>
      </w:r>
      <w:r>
        <w:rPr>
          <w:rFonts w:ascii="Times New Roman" w:hAnsi="Times New Roman"/>
          <w:noProof/>
          <w:sz w:val="24"/>
        </w:rPr>
        <w:t xml:space="preserve"> Prognoositakse, et mõned liikmesriigid, nagu Hispaania, Prantsusmaa ja Itaalia, kes jäävad keskpika perioodi eelarve-eesmärkide täitmisest suhteliselt kaugele, jätkavad ekspansiivse eelarvepoliitika rakendamist või kohandavad eelarvet üksnes väga vähesel määral. Samas eeldatakse, et mõned liikmesriigid, eelkõige Saksamaa, kes on oma keskpika perioodi eelarve-eesmärgid juba varuga täitnud, kasutavad oma eelarvepoliitilist manööverdamisruumi vähe.</w:t>
      </w:r>
    </w:p>
    <w:p>
      <w:pPr>
        <w:spacing w:before="120" w:after="120" w:line="240" w:lineRule="auto"/>
        <w:jc w:val="both"/>
        <w:rPr>
          <w:rFonts w:ascii="Times New Roman" w:hAnsi="Times New Roman"/>
          <w:noProof/>
          <w:sz w:val="24"/>
        </w:rPr>
      </w:pPr>
      <w:r>
        <w:rPr>
          <w:rFonts w:ascii="Times New Roman" w:hAnsi="Times New Roman"/>
          <w:b/>
          <w:noProof/>
          <w:sz w:val="24"/>
          <w:szCs w:val="24"/>
        </w:rPr>
        <w:t>Pärast tipptaseme (93 % SKPst) saavutamist 2014. aastal peaks üldine võlasuhe eelarvekavade kohaselt nii 2016. kui ka 2017. aastal jätkuvalt vähenema,</w:t>
      </w:r>
      <w:r>
        <w:rPr>
          <w:rFonts w:ascii="Times New Roman" w:hAnsi="Times New Roman"/>
          <w:noProof/>
          <w:sz w:val="24"/>
          <w:szCs w:val="24"/>
        </w:rPr>
        <w:t xml:space="preserve"> mis on üldjoontes kooskõlas stabiilsusprogrammide aluseks olevate eeldustega. See on tingitud positiivsest esmasest eelarvepositsioonist ja soodsast võlakoormuse muutusest</w:t>
      </w:r>
      <w:r>
        <w:rPr>
          <w:rStyle w:val="FootnoteReference"/>
          <w:noProof/>
          <w:szCs w:val="24"/>
        </w:rPr>
        <w:footnoteReference w:id="16"/>
      </w:r>
      <w:r>
        <w:rPr>
          <w:rFonts w:ascii="Times New Roman" w:hAnsi="Times New Roman"/>
          <w:noProof/>
          <w:sz w:val="24"/>
          <w:szCs w:val="24"/>
        </w:rPr>
        <w:t>.</w:t>
      </w:r>
      <w:r>
        <w:rPr>
          <w:rFonts w:ascii="Times New Roman" w:hAnsi="Times New Roman"/>
          <w:noProof/>
          <w:sz w:val="24"/>
        </w:rPr>
        <w:t xml:space="preserve"> Üldine võlasuhe (89 % SKPst 2017. aastal) varjab suuri erinevusi liikmesriikide näitajate vahel. Võla suhe eri liikmesriikides varieerub alates 133 %st SKPst Itaalias kuni pisut alla 10 %ni SKPst Eestis. Arvesse ei ole võetud andmeid Kreeka kohta, kus võlakoormus on eriti kõrge.</w:t>
      </w:r>
    </w:p>
    <w:p>
      <w:pPr>
        <w:spacing w:before="120" w:after="120" w:line="240" w:lineRule="auto"/>
        <w:jc w:val="both"/>
        <w:rPr>
          <w:rFonts w:ascii="Times New Roman" w:hAnsi="Times New Roman"/>
          <w:noProof/>
          <w:sz w:val="24"/>
          <w:szCs w:val="24"/>
        </w:rPr>
      </w:pPr>
      <w:r>
        <w:rPr>
          <w:rFonts w:ascii="Times New Roman" w:hAnsi="Times New Roman"/>
          <w:b/>
          <w:noProof/>
          <w:sz w:val="24"/>
        </w:rPr>
        <w:t>Komisjoni ja liikmesriikide koguvõlaprognoosid langevad kokku.</w:t>
      </w:r>
      <w:r>
        <w:rPr>
          <w:rFonts w:ascii="Times New Roman" w:hAnsi="Times New Roman"/>
          <w:noProof/>
          <w:sz w:val="24"/>
        </w:rPr>
        <w:t xml:space="preserve"> Kuigi üldine võlasuhe püsib väga kõrgel tasemel, eeldab komisjon selle vähenemist nii käesoleval kui ka järgmisel aastal ning selle jõudmist 89,1 %ni SKPst 2017. aastal. Selle taga on samad tegurid kui valitsuse kavades (võlaintresside vähenemine ja nn lumepalliefekti äralangemine, mis varem suurendas koguvõlga). Siiski tuleb tunnistada, et Saksamaal on euroala võla vähendamisel väga oluline roll. Kui jätta Saksamaa arvestusest välja, siis väheneb komisjoni prognoosi kohaselt üldine võlasuhe 2016. ja 2017. aastal üksnes 0,2 protsentipunkti; Saksamaa kaasamise korral oleks vähenemine mõlemal aastal aga 1 protsendipunkt. Ka üldine võlatase on Saksamaa arvestusest välja jätmise korral märkimisväärselt suurem, st 99 % SKPst. Ka siin võivad erinevused eelarvekavades ja komisjoni prognoosis esitatud näitajate vahel olla liikmesriikide tasandil suuremad, kusjuures selle põhjused on liikmesriigiti erinevad. Positiivsed erinevused on seotud Portugali ja Prantsusmaaga, kuid esineb ka negatiivseid erinevusi, kus komisjoni võlaprognoosid jäävad liikmesriikide omadest allapoole (4. lisa tabel A4.3 ja joonis A4.5). Koondtasandil prognoosivad liikmeriigid 2017. aastaks koguvõla suuremat muutust kui komisjon, mis peegeldab peamiselt võlakoormuse muutust.</w:t>
      </w:r>
    </w:p>
    <w:p>
      <w:pPr>
        <w:spacing w:before="120" w:after="120" w:line="240" w:lineRule="auto"/>
        <w:jc w:val="both"/>
        <w:rPr>
          <w:rFonts w:ascii="Times New Roman" w:hAnsi="Times New Roman"/>
          <w:noProof/>
          <w:sz w:val="24"/>
          <w:szCs w:val="24"/>
          <w:highlight w:val="yellow"/>
        </w:rPr>
      </w:pPr>
      <w:r>
        <w:rPr>
          <w:rFonts w:ascii="Times New Roman" w:hAnsi="Times New Roman"/>
          <w:noProof/>
          <w:sz w:val="24"/>
        </w:rPr>
        <w:t>Euroala valitsemissektori võla suhet SKPsse ei saa hinnata selle järgi, kas see vastab stabiilsuse ja kasvu pakti võlanõuetele, kuna euroala liikmesriikidel on kõnealuses paktis eri staatus</w:t>
      </w:r>
      <w:r>
        <w:rPr>
          <w:rStyle w:val="FootnoteReference"/>
          <w:noProof/>
        </w:rPr>
        <w:footnoteReference w:id="17"/>
      </w:r>
      <w:r>
        <w:rPr>
          <w:rFonts w:ascii="Times New Roman" w:hAnsi="Times New Roman"/>
          <w:noProof/>
          <w:sz w:val="24"/>
        </w:rPr>
        <w:t>. Eelarvekava esitanud kümne euroala liikmesriigi suhtes kohaldatakse siiski riigivõla vähendamise sihttaset. Komisjoni prognoosi kohaselt eeldatakse, et kümnest liikmesriigist seitse suudab nimetatud sihttasemest (või vajaduse korral võlareegliga seotud üleminekukorrast) kinni pidada.</w:t>
      </w: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Stabiilsuse ja kasvu pakti kohaldamine</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Stabiilsuse ja kasvu pakti paindlikkus võimaldab võtta arvesse valitsuse kontrolli alt välja jäävate ebatavaliste sündmustega seotud erakorralisi kulusid, mis mõjutavad tugevalt riigi rahandust</w:t>
      </w:r>
      <w:r>
        <w:rPr>
          <w:rFonts w:ascii="Times New Roman" w:hAnsi="Times New Roman"/>
          <w:noProof/>
          <w:sz w:val="24"/>
          <w:szCs w:val="24"/>
        </w:rPr>
        <w:t>, nii pakti ennetusliku kui ka parandusliku osa raames. Nagu juba 2015. aastal, märgivad mitmed liikmesriigid (Austria, Belgia, Itaalia, Sloveenia ja Soome) oma eelarvekavades pagulaste erakorralise sissevoolu mõju eelarvele.</w:t>
      </w:r>
      <w:r>
        <w:rPr>
          <w:rFonts w:ascii="Times New Roman" w:hAnsi="Times New Roman"/>
          <w:noProof/>
          <w:sz w:val="24"/>
        </w:rPr>
        <w:t xml:space="preserve"> Sarnaselt on Belgia, Itaalia ja Austria oma eelarvekavades märkinud, et neil on olnud lisakulusid seoses terrorismiohuga. Samuti on Itaalia esitanud taotluse erikohtlemiseks seoses hiljutiste maavärinate põhjustatud kuludega. Soome on esitanud taotluse struktuurireformi klausli ja investeerimisklausli kasutamiseks 2017. aastal. Leedu on samuti teatanud kavatsusest taotleda struktuurireformi klausli kasutamist, kuigi siseriiklike valimiste tõttu esitati eelarvekava, mille puhul poliitikat ei muudeta.</w:t>
      </w:r>
    </w:p>
    <w:p>
      <w:pPr>
        <w:spacing w:before="120" w:line="240" w:lineRule="auto"/>
        <w:jc w:val="both"/>
        <w:rPr>
          <w:rFonts w:ascii="Times New Roman" w:hAnsi="Times New Roman"/>
          <w:noProof/>
          <w:sz w:val="24"/>
          <w:szCs w:val="24"/>
        </w:rPr>
      </w:pPr>
      <w:r>
        <w:rPr>
          <w:rFonts w:ascii="Times New Roman" w:hAnsi="Times New Roman"/>
          <w:b/>
          <w:noProof/>
          <w:sz w:val="24"/>
          <w:szCs w:val="24"/>
        </w:rPr>
        <w:t>Nii stabiilsuse ja kasvu pakti ennetusliku kui ka parandusliku osa raames esitatud kohandusnõuded on kehtestatud seoses struktuurse eelarvepositsiooni muutusega.</w:t>
      </w:r>
      <w:r>
        <w:rPr>
          <w:rFonts w:ascii="Times New Roman" w:hAnsi="Times New Roman"/>
          <w:noProof/>
          <w:sz w:val="24"/>
        </w:rPr>
        <w:t xml:space="preserve"> Komisjon hindab (tagantjärele ja iga juhtumi puhul eraldi) ajutisi kõrvalekaldeid 2016. ja 2017. aastaks kehtestatud nõuetest kummalgi aastal tekkivate lisakulude tõttu, mis tulenevad eelneva aastaga võrreldes kantud erakorralistest kuludest. Kui see on asjakohane, hõlmavad komisjoni arvamused eelarvekavade kohta faktilisi andmeid selle kohta, kuidas mõjutaksid nõuetele vastavuse hindamist korrigeerimised selliste ebatavaliste sündmuste nagu pagulaste sissevoolu ja terrorismiohuga seotud kulude arvesse võtmiseks.</w:t>
      </w: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Tekstikast nr 1. Nn piiratud hinnangupõhise lähenemisviisi rakendamine</w:t>
      </w:r>
      <w:r>
        <w:rPr>
          <w:noProof/>
        </w:rPr>
        <w:br/>
      </w:r>
      <w:r>
        <w:rPr>
          <w:rFonts w:ascii="Times New Roman" w:hAnsi="Times New Roman"/>
          <w:b/>
          <w:noProof/>
          <w:sz w:val="24"/>
        </w:rPr>
        <w:t>2016. aasta sügise eelarvejärelevalve raames</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Kokkulepe kontrollida SKP lõhe hinnangute usutavust</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Aprillis 2016 Amsterdamis toimunud majandus- ja rahandusküsimuste nõukogu mitteametlikul kohtumisel tehti ettepanek, et potentsiaalse kasvu ja SKP lõhe hindamiseks kasutatavat üldiselt kokkulepitud metoodikat tuleks tõhustada. Nõukogu ettepaneku täitmiseks lepiti 2016. aasta oktoobris liikmesriikidega kokku kahes konkreetses meetmes.</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Esiteks lepiti kokku, et üldiselt kokkulepitud metoodikasse integreeritakse tasakaalulise tööpuuduse määra hindamise läbivaadatud metoodika. Seda muudatust on komisjoni 2016. aasta sügisprognoosis juba arvesse võetud. Teiseks lepiti kokku uue nn usutavusvahendi kasutamises juhtudel, kui kokkulepitud metoodika alusel saadud tulemusi saab tõlgendada majanduslikult ebaloogilistena.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Usutavusvahendi puhul on tegemist konkreetse aasta (praegusel juhul 2016. aasta) SKP lõhe alternatiivse riigipõhise hinnanguga, mis põhineb SKP lõhe töörühmas arutatud statistilise hindamise metoodikal. Kui alternatiivse hinnangu ja üldise meetodi alusel saadud hinnangu vahe ületab teatava taseme, viitab see sellele, et üldise meetodi alusel arvutatud SKP lõhe võib olla ebaloogiline.</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Usutavusvahendi tulemused</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Kui liikmesriigi SKP lõhe on ebaloogiline, käsitletakse üldise meetodi ja alternatiivse hinnangu alusel arvutatud SKP lõhe erinevust usutavusvahemikuna, mille raames saab komisjon välja selgitada SKP lõhe usutava taseme ja seda eelarvejärelevalves kasutada (vt allpool).</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Usutavuse analüüsi ei saa koostada tulevasteks aastateks. Et usutavusvahendit saaks kasutada eelarvejärelevalve raames 2017. aastal, tuleb usutavusvahemikku alates 2016. aastast ekstrapoleerida, et töötada välja SKP lõhe alternatiivne hinnang 2017. aastaks. Usutavusvahemiku ekstrapoleerimine ajavahemikuks 2016–2017 tähendab seda, et erinevus üldise meetodi alusel arvutatud SKP lõhe ja 2016. aasta alternatiivse hinnangu vahel kantakse edasi ja seda kohaldatakse otse üldise meetodi põhjal arvutatud SKP lõhe suhtes 2017. aastal. Seega puudub mõju SKP lõhe muutustele aasta-aastalt.</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Oluline on märkida, et usutavusvahendi tulemused ei mõjuta komisjoni 2016. aasta sügisprognoosi, sest selles kasutatud SKP lõhe ja struktuurse eelarvepositsiooni hinnangud põhinevad üldisel meetodil. Usutavusvahendi tulemusi kasutatakse täiendava kvalitatiivse tegurina, mida võetakse arvesse komisjoni eelarvehinnangutes.</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Usutavusvahendite tulemuste kasutamine eelarvejärelevalves: „külmutamispõhimõtted“ liikmesriikide nõuete kindlaksmääramiseks</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Oma arvamustes eelarvekavade kohta hindab komisjon 2016. ja 2017. aasta eelarvenõuete täitmist, mille nõukogu esitab 2016. aasta riigipõhistes soovitustes. Ennetusliku osa kohaselt järgitakse eelarvenõuete puhul nõuete maatriksit, mis tuleneb ühiselt kokku lepitud seisukohast, mis käsitleb stabiilsuse ja kasvu pakti kehtivate nõuete paindlikumat kasutamist, mille kohaselt sõltub eelarvekohanduste nõutav tase majandustsüklist</w:t>
      </w:r>
      <w:r>
        <w:rPr>
          <w:rStyle w:val="FootnoteReference"/>
          <w:noProof/>
        </w:rPr>
        <w:footnoteReference w:id="18"/>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2017. aasta eelarvenõue määrati kindlaks 2016. aastal, võttes arvesse SKP lõhe prognoosi 2017. aastaks. Kui eelarvenõuded on kindlaks määratud, loetakse need külmutatuks. Kui liikmesriigi tsüklilise olukorra kohta selgub uut teavet, toimub nõudest vabastamine vaid väga piiratud juhtudel:</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t>i)</w:t>
      </w:r>
      <w:r>
        <w:rPr>
          <w:rFonts w:ascii="Times New Roman" w:hAnsi="Times New Roman"/>
          <w:noProof/>
          <w:sz w:val="24"/>
        </w:rPr>
        <w:tab/>
        <w:t>Kui hindamise käigus leitakse, et liikmesriik on majanduslikult halvas või erakordselt halvas seisus, st SKP lõhe jääb alla -3 % taset potentsiaalsest kasvust.</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t>ii)</w:t>
      </w:r>
      <w:r>
        <w:rPr>
          <w:rFonts w:ascii="Times New Roman" w:hAnsi="Times New Roman"/>
          <w:noProof/>
          <w:sz w:val="24"/>
        </w:rPr>
        <w:tab/>
        <w:t>Kui liikmesriigi struktuurset eelarvepositsiooni on muudetud ja esialgse eelarvenõude täitmine tähendaks liikmesriigi keskpika perioodi eelarve-eesmärgi saavutamist varuga.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Kokkulepitud külmutamispõhimõtteid kohaldatakse ka liikmesriikide nõudeid käsitlevate usutavusvahendi tulemuste suhtes, võttes eriti arvesse maatriksist tuletatud nõuete mõju. Seepärast ei uurita praktikas juhtumeid, mille puhul üldise meetodi alusel arvutatud SKP lõhe on liiga negatiivne, sest väiksema eelarvenõude kehtestamine ei ole võimalik.</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Siinkohal tuleb taas kinnitada, et selle protsessi tulemusena ei muudeta riigipõhistes soovitustes esitatud ametlikku eelarvenõuet. Analüüsi tulemust käsitletakse pigem kvalitatiivse tegurina nõuetele vastavuse üldise hindamise raames.</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Samuti võib alternatiivse hinnangu alusel arvutatud SKP lõhe tasememuutus mõjutada mõne liikmesriigi vastavust struktuurireformi- ja investeerimisklausli kasutamise tingimustele.</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Kuna vahend ei anna teavet SKP lõhe muutuse kohta, mis mõjutab eelarve konsolideerimise mõõtmist struktuurse eelarvepositsiooni kaudu, puudub sellel mõju eelarve konsolideerimise mõõtmisele 2017. aastal.</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Mõju liikmesriikide eelarvekavade hinnangutele</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Komisjoni 2016. aasta sügisprognoosis on märgitud, et kuue euroala riigi SKP lõhe võib usutavusvahendi kohaselt olla negatiivsem kui üldise meetodi alusel arvutatud hinnang. Need riigid on Austria, Soome, Itaalia, Luksemburg, Läti ja Sloveenia. Kõigis nendes riikides peale Soome näitas üksikasjalik analüüs seda, et usutavusvahendi tulemused ei mõjuta komisjoni hinnangut selle kohta, kas riik täidab stabiilsuse ja kasvu pakti. Soome puhul näitas analüüs, et SKP lõhe on suurem kui üldise meetodi alusel prognoositud, mille tulemusena tuleb riigil eeskätt kinni pidada aluslepingus sätestatud kontrollväärtusest, st 3 % SKPst, mis on ühtlasi ka struktuurireformi ja investeerimisklausli kasutamise eeltingimus.</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Komisjon jätkab lähikuudel liikmesriikidega koostööd, et uurida edasisi võimalusi SKP lõhe arvutamise metoodika ja selle kohaldamise tõhustamiseks.</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16"/>
          <w:szCs w:val="24"/>
        </w:rPr>
      </w:pP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Eelarve kohandamise komponendid</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Aastatel 2016–2017 nähakse eelarvekavadega kogu euroalal ette üksnes väga piiratud muutused riigi rahanduse struktuuris</w:t>
      </w:r>
      <w:r>
        <w:rPr>
          <w:rFonts w:ascii="Times New Roman" w:hAnsi="Times New Roman"/>
          <w:noProof/>
          <w:sz w:val="24"/>
          <w:szCs w:val="24"/>
        </w:rPr>
        <w:t xml:space="preserve"> (4. lisa tabel A4.5 ja joonised A4.2a–b).</w:t>
      </w:r>
      <w:r>
        <w:rPr>
          <w:rFonts w:ascii="Times New Roman" w:hAnsi="Times New Roman"/>
          <w:noProof/>
          <w:sz w:val="24"/>
        </w:rPr>
        <w:t xml:space="preserve"> Valitsemissektori kulude suhe SKPsse peaks kava kohaselt 2017. aastal 0,4 protsendipunkti võrra langema. Sellest 0,1 protsendipunkti on seotud madalatest intressikuludest saadud säästudega. Ülejäänud näiliselt suur langus on peamiselt tingitud tsüklilistest tingimustest. Tegelikult väheneb esmane kulude suhe, millest on välja jäetud majandustsükli mõju, üksnes 0,1 protsendipunkti. Kõnealune vähenemine tasakaalustatakse osaliselt kavandatavate maksukärbetega, nagu nähtub tsükliliselt kohandatud tulude suhte väikesest langusest (0,1 protsendipunkti 2017. aastal). Sellega seoses on liikmesriikide kavad vähendada kulusid osana potentsiaalsest SKP kasvust kokkuvõttes viimastel aastatel suuremalt jaolt läbi kukkunud. Seda kinnitab ka komisjoni 2016. aasta sügisprognoos. Nii eelarvekavades kui ka komisjoni prognoosis osutatud üldiselt ühtsest maksuelastsusest nähtub, et tulude vähenemist tingivad valitsemissektori meetmed (4. lisa tabel A4.6).</w:t>
      </w:r>
    </w:p>
    <w:p>
      <w:pPr>
        <w:spacing w:before="120" w:after="120" w:line="240" w:lineRule="auto"/>
        <w:jc w:val="both"/>
        <w:rPr>
          <w:rFonts w:ascii="Times New Roman" w:hAnsi="Times New Roman"/>
          <w:noProof/>
          <w:sz w:val="24"/>
          <w:szCs w:val="24"/>
        </w:rPr>
      </w:pPr>
      <w:r>
        <w:rPr>
          <w:rFonts w:ascii="Times New Roman" w:hAnsi="Times New Roman"/>
          <w:b/>
          <w:noProof/>
          <w:sz w:val="24"/>
        </w:rPr>
        <w:t xml:space="preserve">Kavandatud kohandamine ei tohiks eeldatavasti kahjustada keskpika perioodi kasvuväljavaateid, kuigi kulutuste vähendamiseks võiks olla veelgi enam majanduskasvu soodustavaid võimalusi. </w:t>
      </w:r>
      <w:r>
        <w:rPr>
          <w:rFonts w:ascii="Times New Roman" w:hAnsi="Times New Roman"/>
          <w:noProof/>
          <w:sz w:val="24"/>
        </w:rPr>
        <w:t>Enamiku kulukategooriate osakaal SKPs peaks prognooside kohaselt langema, kuigi nagu märgitud, on kulude üldine väike vähenemine tingitud tsüklilistest teguritest. Ulatuslikum langus mõjutab töötajate hüvitisi ja intressikulusid, mille kokkuhoiust saavad liikmesriigid märkimisväärset kasu (nagu kirjeldatakse üksikasjalikumalt järgmises punktis). Kuna kõige tootlikumatele kulutustele peamiselt mõju ei avaldata, ei peaks kavandatud kohandamine eeldatavasti kahjustama keskpika perioodi kasvuväljavaateid, kuigi majanduskasvu soodustavateks võimalusteks võiks veelgi enam ruumi olla. Eelkõige ei kavandata kapitalikulude suurenemist, kuigi praegused tasemed varasemate aastatega võrreldes on madalad. Liikmesriikide eelarvejuhtimise paranemine ja tulemuslik kulude läbivaatamise korraldamine võiksid toetada majanduskasvu soodustavaid valitsussektori kulutusi. Vt tekstikast nr 2 juhtpõhimõtete kohta kulude läbivaatamiseks vastavalt eurorühmas kokkulepitule. Komisjoni prognoos on üldiselt eelarvekavadega kooskõlas. Selles kinnitatakse, et suurim vähenemine toimub intressimaksetes ja avaliku sektori töötasude kuludes, kuigi komisjon prognoosib eelarvekavadega võrreldes mõnevõrra väiksemat vähenemist.</w:t>
      </w:r>
    </w:p>
    <w:p>
      <w:pPr>
        <w:spacing w:before="120" w:after="120" w:line="240" w:lineRule="auto"/>
        <w:jc w:val="both"/>
        <w:rPr>
          <w:rFonts w:ascii="Times New Roman" w:hAnsi="Times New Roman"/>
          <w:b/>
          <w:noProof/>
          <w:sz w:val="24"/>
          <w:szCs w:val="24"/>
        </w:rPr>
      </w:pPr>
      <w:r>
        <w:rPr>
          <w:rFonts w:ascii="Times New Roman" w:hAnsi="Times New Roman"/>
          <w:b/>
          <w:noProof/>
          <w:sz w:val="24"/>
        </w:rPr>
        <w:t xml:space="preserve">Intressikulud peaksid 2017. aastal veelgi vähenema, vabastades vahendeid konsolideerimiseks ja tulevaste kulutuste suurendamiseks, kui selleks on eelarvepoliitilist manööverdamisruumi. </w:t>
      </w:r>
      <w:r>
        <w:rPr>
          <w:rFonts w:ascii="Times New Roman" w:hAnsi="Times New Roman"/>
          <w:noProof/>
          <w:sz w:val="24"/>
        </w:rPr>
        <w:t>Euroala riigivõlakirjade tootlus jääb senisele madalale tasemele. Euroala nelja suurima liikmesriigi 10aastase tähtajaga võlakirjade tootluse määr on praegu 0 %–1¾ %. Selle tulemusena on valitsemissektori intressimaksete osakaal SKPst pidevalt vähenenud. Eelarvekavas esitatud teabe kohaselt peaksid intressikulud euroalal tervikuna vähenema 2,4 %-lt SKPst 2015. aastal 2,1 %-ni SKPst 2016. aastal ning 2,0 %-ni SKPst järgmisel aastal, mis on oluliselt väiksem kui 3,0 % 2012. aastal, mil oli euroala võlakriisi haripunkt. Liikmesriikide eelarvekavade põhjal kujunenud pilt leiab komisjoni sügisprognoosis üldiselt kinnitust. Kuigi võla teenindamise kulud jäävad euroalal ka järgnevatel aastatel tõenäoliselt rekordiliselt madalaks, võivad väiksematest intressimaksetest saadud säästud kujutada riski, kui neid kasutatakse püsivalt valitsemissektori kulutuste suurendamiseks või maksude vähendamiseks, sest sellised säästud ei ole püsivat laadi.</w:t>
      </w:r>
    </w:p>
    <w:p>
      <w:pPr>
        <w:spacing w:before="120" w:after="120" w:line="240" w:lineRule="auto"/>
        <w:jc w:val="both"/>
        <w:rPr>
          <w:rFonts w:ascii="Times New Roman" w:hAnsi="Times New Roman"/>
          <w:noProof/>
          <w:sz w:val="24"/>
          <w:szCs w:val="24"/>
        </w:rPr>
      </w:pPr>
      <w:r>
        <w:rPr>
          <w:rFonts w:ascii="Times New Roman" w:hAnsi="Times New Roman"/>
          <w:b/>
          <w:noProof/>
          <w:sz w:val="24"/>
        </w:rPr>
        <w:t>Eelarvekavades esitatud meetmetel oleks EA 18 riikides maksustamiskomponentidele 2017. aastal üksnes väga väike mõju.</w:t>
      </w:r>
      <w:r>
        <w:rPr>
          <w:rFonts w:ascii="Times New Roman" w:hAnsi="Times New Roman"/>
          <w:noProof/>
          <w:sz w:val="24"/>
        </w:rPr>
        <w:t xml:space="preserve"> Kui võtta arvesse majandustsüklit, väheneb tulude suhe ligikaudu 0,1 % SKPst. Kolme peamise tulukategooria lõikes peaks sotsiaalmaksete ja kaudsete maksude osakaal SKPs eelduste kohaselt langema, kuid otseste maksude osakaal suurenema. Enamasti on tegu tähtsusetute muutustega, mis ei muuda siiski märkimisväärselt nende suhtelist osakaalu. Tulude poolel on komisjoni prognoosid ja eelarvekavad kooskõlas (4. lisa joonis A4.3b).</w:t>
      </w:r>
    </w:p>
    <w:p>
      <w:pPr>
        <w:spacing w:after="0" w:line="240" w:lineRule="auto"/>
        <w:rPr>
          <w:rFonts w:ascii="Times New Roman" w:hAnsi="Times New Roman"/>
          <w:noProof/>
        </w:rPr>
      </w:pP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Tekstikast nr 2. Juhtpõhimõtted kulude läbivaatamiseks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Olukorras, kus valitsemissektori võlatase on kõrge ja majanduskasv aeglane, on varasemast suurem vajadus tagada maksumaksjate raha tõhus kasutamine. Kahjuks on aga sageli nii, et varasematest otsustest pärit kuluread suurenevad aastate jooksul poolautomaatselt. Rohkem kui pooltes euroala liikmesriikides on kulude läbivaatamine käimas või välja kuulutatud. Läbivaaamise ulatus ja ajakavad on väga erinevad. Eurorühm analüüsis riikide kogemusi ja kiitis oma 2016. aasta septembri koosolekul heaks terve rea põhimõtteid, mida tuleb järgida, kui soovitakse, et kulude läbivaatamine mõjutaks optimaalselt riigi kulude kvaliteeti</w:t>
      </w:r>
      <w:r>
        <w:rPr>
          <w:noProof/>
          <w:vertAlign w:val="superscript"/>
        </w:rPr>
        <w:footnoteReference w:id="19"/>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Kulude läbivaatamise eesmärk on seostada taas rahastamisotsused ja poliitika prioriteedid </w:t>
      </w:r>
      <w:r>
        <w:rPr>
          <w:rFonts w:ascii="Times New Roman" w:hAnsi="Times New Roman"/>
          <w:i/>
          <w:noProof/>
          <w:sz w:val="24"/>
        </w:rPr>
        <w:t>(kas seda poliitikat rahastatakse avalikest vahenditest</w:t>
      </w:r>
      <w:r>
        <w:rPr>
          <w:rFonts w:ascii="Times New Roman" w:hAnsi="Times New Roman"/>
          <w:i/>
          <w:noProof/>
          <w:sz w:val="24"/>
          <w:szCs w:val="24"/>
        </w:rPr>
        <w:t xml:space="preserve">?) </w:t>
      </w:r>
      <w:r>
        <w:rPr>
          <w:rFonts w:ascii="Times New Roman" w:hAnsi="Times New Roman"/>
          <w:noProof/>
          <w:sz w:val="24"/>
          <w:szCs w:val="24"/>
        </w:rPr>
        <w:t>ning kulutuste tase ja kodanikele või asjaomastele äriühingutele kaasnev kasu</w:t>
      </w:r>
      <w:r>
        <w:rPr>
          <w:noProof/>
        </w:rPr>
        <w:t xml:space="preserve"> </w:t>
      </w:r>
      <w:r>
        <w:rPr>
          <w:i/>
          <w:noProof/>
        </w:rPr>
        <w:t>(</w:t>
      </w:r>
      <w:r>
        <w:rPr>
          <w:rFonts w:ascii="Times New Roman" w:hAnsi="Times New Roman"/>
          <w:i/>
          <w:noProof/>
          <w:sz w:val="24"/>
          <w:szCs w:val="24"/>
        </w:rPr>
        <w:t>milline on avalike vahendite väärtus?).</w:t>
      </w:r>
      <w:r>
        <w:rPr>
          <w:rFonts w:ascii="Times New Roman" w:hAnsi="Times New Roman"/>
          <w:i/>
          <w:noProof/>
          <w:sz w:val="24"/>
        </w:rPr>
        <w:t xml:space="preserve"> </w:t>
      </w:r>
      <w:r>
        <w:rPr>
          <w:rFonts w:ascii="Times New Roman" w:hAnsi="Times New Roman"/>
          <w:noProof/>
          <w:sz w:val="24"/>
        </w:rPr>
        <w:t>Läbivaatamine koosneb olemasolevate individuaalsete baaskulude analüüsist, et välja selgitada:</w:t>
      </w:r>
    </w:p>
    <w:p>
      <w:pPr>
        <w:numPr>
          <w:ilvl w:val="0"/>
          <w:numId w:val="33"/>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võimalused mitteprioriteetse poliitika rahastamise peatamiseks, aga ka sellise rahastamise peatamiseks, millel puudub poliitikaeesmärgi saavutamiseks täheldatav mõju,</w:t>
      </w:r>
    </w:p>
    <w:p>
      <w:pPr>
        <w:numPr>
          <w:ilvl w:val="0"/>
          <w:numId w:val="33"/>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tõhususe suurendamine – avalike hüvede ja teenuste soodsam osutamine või nende parem kvaliteet sama hinna eest.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Üldjuhul hõlmab see avalikest vahenditest rahastatud sekkumiste ulatuse, avalike teenuste korraldamise, alusprotsesside ja avalikus halduses inimressursi juhtimise reforme.</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Tulemuseks peaks olema kulude parem jagunemine kokkuhoidu tekitavate valdkondade vahel (sealhulgas vahendite eraldamine majanduskasvu soodustavatesse valdkondadesse) ja/või avaliku teenuse parem kvaliteet.</w:t>
      </w:r>
    </w:p>
    <w:p>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Hinnang eelarvepoliitika suundumuste kohta euroalal</w:t>
      </w:r>
    </w:p>
    <w:p>
      <w:pPr>
        <w:spacing w:before="120" w:after="120" w:line="240" w:lineRule="auto"/>
        <w:jc w:val="both"/>
        <w:rPr>
          <w:rFonts w:ascii="Times New Roman" w:hAnsi="Times New Roman"/>
          <w:noProof/>
          <w:sz w:val="24"/>
        </w:rPr>
      </w:pPr>
      <w:r>
        <w:rPr>
          <w:rFonts w:ascii="Times New Roman" w:hAnsi="Times New Roman"/>
          <w:b/>
          <w:noProof/>
          <w:sz w:val="24"/>
        </w:rPr>
        <w:t>Pärast eelarve märkimisväärset konsolideerimist ajavahemikul 2011–2013 prognoositakse euroalal ajavahemikuks 2014–2017 neutraalse eelarvepoliitika jätkumist.</w:t>
      </w:r>
      <w:r>
        <w:rPr>
          <w:rFonts w:ascii="Times New Roman" w:hAnsi="Times New Roman"/>
          <w:noProof/>
          <w:sz w:val="24"/>
        </w:rPr>
        <w:t xml:space="preserve"> Ajavahemikul 2014–2015 oli eelarvepoliitika üldiselt neutraalne ja 2016. aastal pisut ekspansiivsem, arvestades majanduse elavnemist. 2017. aastal peaks see liikmesriikide eelarvekavade ja komisjoni prognooside kohaselt olema taas neutraalne.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4"/>
      </w:tblGrid>
      <w:tr>
        <w:tc>
          <w:tcPr>
            <w:tcW w:w="9072" w:type="dxa"/>
            <w:shd w:val="clear" w:color="auto" w:fill="auto"/>
          </w:tcPr>
          <w:p>
            <w:pPr>
              <w:spacing w:before="120" w:after="120" w:line="240" w:lineRule="auto"/>
              <w:jc w:val="center"/>
              <w:rPr>
                <w:rFonts w:ascii="Times New Roman" w:hAnsi="Times New Roman"/>
                <w:b/>
                <w:noProof/>
                <w:sz w:val="24"/>
                <w:szCs w:val="24"/>
              </w:rPr>
            </w:pPr>
            <w:r>
              <w:rPr>
                <w:rFonts w:ascii="Times New Roman" w:hAnsi="Times New Roman"/>
                <w:b/>
                <w:noProof/>
                <w:sz w:val="24"/>
              </w:rPr>
              <w:t>Tekstikast nr 3. Eelarvepoliitilise hoiaku analüüs</w:t>
            </w:r>
          </w:p>
          <w:p>
            <w:pPr>
              <w:spacing w:before="120" w:after="120" w:line="240" w:lineRule="auto"/>
              <w:jc w:val="both"/>
              <w:rPr>
                <w:rFonts w:ascii="Times New Roman" w:hAnsi="Times New Roman"/>
                <w:noProof/>
                <w:sz w:val="24"/>
                <w:szCs w:val="24"/>
              </w:rPr>
            </w:pPr>
            <w:r>
              <w:rPr>
                <w:rFonts w:ascii="Times New Roman" w:hAnsi="Times New Roman"/>
                <w:b/>
                <w:noProof/>
                <w:sz w:val="24"/>
              </w:rPr>
              <w:t>Komisjoni püüdlustes tugevdada kollektiivset arutelu euroala ühiste huvide üle on oluline koht eelarvepoliitilist hoiakut käsitlevatel aruteludel</w:t>
            </w:r>
            <w:r>
              <w:rPr>
                <w:rStyle w:val="FootnoteReference"/>
                <w:rFonts w:ascii="Times New Roman" w:hAnsi="Times New Roman"/>
                <w:noProof/>
                <w:sz w:val="24"/>
              </w:rPr>
              <w:footnoteReference w:id="20"/>
            </w:r>
            <w:r>
              <w:rPr>
                <w:rFonts w:ascii="Times New Roman" w:hAnsi="Times New Roman"/>
                <w:b/>
                <w:noProof/>
                <w:sz w:val="24"/>
              </w:rPr>
              <w:t xml:space="preserve">. </w:t>
            </w:r>
            <w:r>
              <w:rPr>
                <w:rFonts w:ascii="Times New Roman" w:hAnsi="Times New Roman"/>
                <w:noProof/>
                <w:sz w:val="24"/>
              </w:rPr>
              <w:t>ELis ja euroalal kujundab riikide eelarvepoliitikat eeskätt aluslepingus ning stabiilsuse ja kasvu paktis sisalduv eeskirjapõhine raamistik. Peale selle saab eelarvepoliitika analüüsi põhjal hinnata, kas rakendatud eelarvepoliitikaga on reaalselt loodud tugeva ja jätkusuutliku majanduskasvu ja hinnastabiilsuse jaoks vajalikud tingimused ja kas raamistikuga antud valikuvabadust kasutatakse parimal võimalikul moel. Selle alusel saab välja tuua eri riikide poliitika summaarsed tagajärjed ja teistesse liikmesriikidesse üle kandunud mõju.</w:t>
            </w:r>
          </w:p>
          <w:p>
            <w:pPr>
              <w:spacing w:before="120" w:after="120" w:line="240" w:lineRule="auto"/>
              <w:jc w:val="both"/>
              <w:rPr>
                <w:rFonts w:ascii="Times New Roman" w:hAnsi="Times New Roman"/>
                <w:noProof/>
                <w:sz w:val="24"/>
                <w:szCs w:val="24"/>
              </w:rPr>
            </w:pPr>
            <w:r>
              <w:rPr>
                <w:rFonts w:ascii="Times New Roman" w:hAnsi="Times New Roman"/>
                <w:b/>
                <w:noProof/>
                <w:sz w:val="24"/>
              </w:rPr>
              <w:t>Euroala eelarvepoliitilises hoiakus tuleb leida õige tasakaal jätkusuutlikkuse ja stabiliseerimise vahel.</w:t>
            </w:r>
            <w:r>
              <w:rPr>
                <w:rFonts w:ascii="Times New Roman" w:hAnsi="Times New Roman"/>
                <w:noProof/>
                <w:sz w:val="24"/>
              </w:rPr>
              <w:t xml:space="preserve"> Ülemäära suuri võlgu tuleb vähendada ja eelarvepuhvrid tuleb taastada. Ettevaatlik lähenemine võla vähendamisele on vajalik eeskätt selleks, et suuta toime tulla uute löökidega. Samal ajal jätkub aeglane elavnemine ja töötuse vaid järk-järguline vähenemine, kuid prognoositud inflatsioon jääb hinnastabiilsuse eesmärgist ikka veel maha.</w:t>
            </w:r>
          </w:p>
          <w:p>
            <w:pPr>
              <w:spacing w:before="120" w:after="120" w:line="240" w:lineRule="auto"/>
              <w:jc w:val="both"/>
              <w:rPr>
                <w:rFonts w:ascii="Times New Roman" w:hAnsi="Times New Roman"/>
                <w:noProof/>
                <w:sz w:val="24"/>
                <w:szCs w:val="24"/>
              </w:rPr>
            </w:pPr>
            <w:r>
              <w:rPr>
                <w:rFonts w:ascii="Times New Roman" w:hAnsi="Times New Roman"/>
                <w:b/>
                <w:noProof/>
                <w:sz w:val="24"/>
              </w:rPr>
              <w:t>Eelarvepoliitilise hoiaku mõõtmise ja analüüsimise metoodika on keerukas.</w:t>
            </w:r>
            <w:r>
              <w:rPr>
                <w:rFonts w:ascii="Times New Roman" w:hAnsi="Times New Roman"/>
                <w:noProof/>
                <w:sz w:val="24"/>
              </w:rPr>
              <w:t xml:space="preserve"> Eelarvepoliitilise hoiaku mõistel ei ole üldtunnustatud määratlust, kuid majandusringkondades valitseb ühine arusaam selle mõiste sisust. Valdavalt mõistetakse seda kui suunda, mille annavad eelarvepoliitikale valitsuse valikute põhjal tehtud otsused maksude ja kulutustega seotud küsimustes. Tavapäraselt väljendab eelarvepoliitilist hoiakut struktuurse esmase eelarvepositsiooni muutumine, kuigi selle iseloomustamiseks saab kasutada ka muid näitajaid. Selles tekstikastis on konsolideerimisvajaduse mõõtmiseks kasutatud näitajat S1, mis arvutatakse lähtuvalt sellest, milliseid eelarvepoliitilisi meetmeteid on vaja, et liikmesriigi valitsemissektori võlg jõuaks 2031. aastaks 60 protsendini SKP-st. Üksikasjalik hinnang eri näitajatele ja nende stabiilsusele on esitatud 2016. aasta stabiilsus- ja lähenemisprogrammides: </w:t>
            </w:r>
            <w:r>
              <w:rPr>
                <w:rFonts w:ascii="Times New Roman" w:hAnsi="Times New Roman"/>
                <w:i/>
                <w:noProof/>
                <w:sz w:val="24"/>
              </w:rPr>
              <w:t>Horizontal Overview and Implications for the Euro Area Fiscal Stance</w:t>
            </w:r>
            <w:r>
              <w:rPr>
                <w:rFonts w:ascii="Times New Roman" w:hAnsi="Times New Roman"/>
                <w:noProof/>
                <w:sz w:val="24"/>
              </w:rPr>
              <w:t xml:space="preserve"> (European Commission Institutional Papers No. 34, 2016).</w:t>
            </w:r>
          </w:p>
          <w:p>
            <w:pPr>
              <w:spacing w:before="120" w:after="120" w:line="240" w:lineRule="auto"/>
              <w:jc w:val="both"/>
              <w:rPr>
                <w:rFonts w:ascii="Times New Roman" w:hAnsi="Times New Roman"/>
                <w:noProof/>
                <w:sz w:val="24"/>
                <w:szCs w:val="24"/>
              </w:rPr>
            </w:pPr>
            <w:r>
              <w:rPr>
                <w:rFonts w:ascii="Times New Roman" w:hAnsi="Times New Roman"/>
                <w:b/>
                <w:noProof/>
                <w:sz w:val="24"/>
              </w:rPr>
              <w:t>Euroalal tervikuna tuleb praegu leida täiendav kompromiss jätkusuutlikkuse ja stabiliseerimisega seotud vajaduste vahel.</w:t>
            </w:r>
            <w:r>
              <w:rPr>
                <w:rFonts w:ascii="Times New Roman" w:hAnsi="Times New Roman"/>
                <w:noProof/>
                <w:sz w:val="24"/>
              </w:rPr>
              <w:t xml:space="preserve"> Eelarvekaardil asub euroala nn kaguveerandis, mida iseloomustab just selline kompromiss (vt joonis 1). See näitab, et eelarve kohandamise kava kaldub kõrvale trajektoorist, mis suunaks võlakoormuse edaspidi kindlalt languse poole, ning sellele lisandub majanduse kestev loidus, mis on küll tasapisi vähenenud. Selline järeldus on kvalitatiivselt kooskõlas alternatiivsete näitajatega, kuigi täpsed suurusjärgud võivad erineda.</w:t>
            </w:r>
          </w:p>
          <w:p>
            <w:pPr>
              <w:keepNext/>
              <w:spacing w:after="0" w:line="240" w:lineRule="auto"/>
              <w:jc w:val="both"/>
              <w:rPr>
                <w:rFonts w:ascii="Times New Roman" w:hAnsi="Times New Roman"/>
                <w:noProof/>
                <w:sz w:val="24"/>
                <w:szCs w:val="24"/>
              </w:rPr>
            </w:pPr>
            <w:r>
              <w:rPr>
                <w:rFonts w:ascii="Times New Roman" w:hAnsi="Times New Roman"/>
                <w:b/>
                <w:noProof/>
                <w:sz w:val="24"/>
              </w:rPr>
              <w:t>Majanduslikus mõttes tuleks euroala üldisele eelarvepoliitilisele hoiakule läheneda diferentseeritult selle põhjal, kuidas on igas riigis olukord jätkusuutlikkuse ja stabiliseerimisega.</w:t>
            </w:r>
            <w:r>
              <w:rPr>
                <w:rFonts w:ascii="Times New Roman" w:hAnsi="Times New Roman"/>
                <w:noProof/>
                <w:sz w:val="24"/>
              </w:rPr>
              <w:t xml:space="preserve"> Mitmel riigil, kes paiknevad eelarvekaardi kagusektoris, on endiselt suur vajadus konsolideerimise järele. Edelasektoris on liikmesriigid, kellel on rahastamissuutlikkust ja kelle majandusele tuleks kasuks piiratud stimuleerivad meetmed. Selles mõttes saaks eelarvekavasid parandada. Näiteks võiks mõnede suurte riikide stabiliseerimiseesmärki rõhutavaid kavasid tasakaalu saavutamiseks rohkem konsolideerida, kasutades allesjäänud rahastamissuutlikkust selleks, et toetada eeskätt investeeringute soodustamisega lühi- ja pikaajalist kasvu.</w:t>
            </w:r>
          </w:p>
          <w:p>
            <w:pPr>
              <w:keepNext/>
              <w:spacing w:after="0"/>
              <w:jc w:val="both"/>
              <w:rPr>
                <w:rFonts w:ascii="Times New Roman" w:hAnsi="Times New Roman"/>
                <w:noProof/>
                <w:sz w:val="24"/>
                <w:szCs w:val="24"/>
              </w:rPr>
            </w:pPr>
          </w:p>
          <w:p>
            <w:pPr>
              <w:keepNext/>
              <w:keepLines/>
              <w:spacing w:after="0"/>
              <w:jc w:val="center"/>
              <w:rPr>
                <w:b/>
                <w:i/>
                <w:iCs/>
                <w:noProof/>
              </w:rPr>
            </w:pPr>
            <w:r>
              <w:rPr>
                <w:b/>
                <w:i/>
                <w:noProof/>
              </w:rPr>
              <w:t>Joonis 1: euroala eelarvekaart aastal 2016</w:t>
            </w:r>
          </w:p>
          <w:p>
            <w:pPr>
              <w:keepNext/>
              <w:keepLines/>
              <w:spacing w:after="0"/>
              <w:jc w:val="center"/>
              <w:rPr>
                <w:noProof/>
              </w:rPr>
            </w:pPr>
            <w:r>
              <w:rPr>
                <w:i/>
                <w:noProof/>
                <w:sz w:val="16"/>
                <w:lang w:val="en-GB" w:eastAsia="en-GB" w:bidi="ar-SA"/>
              </w:rPr>
              <w:pict>
                <v:shape id="Picture 1" o:spid="_x0000_i1026" type="#_x0000_t75" style="width:451.5pt;height:319.5pt;visibility:visible;mso-wrap-style:square">
                  <v:imagedata r:id="rId16" o:title=""/>
                </v:shape>
              </w:pict>
            </w:r>
            <w:r>
              <w:rPr>
                <w:i/>
                <w:noProof/>
                <w:sz w:val="16"/>
              </w:rPr>
              <w:t xml:space="preserve"> </w:t>
            </w:r>
          </w:p>
          <w:p>
            <w:pPr>
              <w:rPr>
                <w:rFonts w:ascii="Times New Roman" w:hAnsi="Times New Roman"/>
                <w:noProof/>
              </w:rPr>
            </w:pPr>
            <w:r>
              <w:rPr>
                <w:i/>
                <w:noProof/>
                <w:sz w:val="18"/>
              </w:rPr>
              <w:t>Märkus: põhineb Euroopa Komisjoni 2016. aasta sügisprognoosil. Majanduslikult head/halba seisu mõõdetakse 2016. aasta SKP lõhe alusel protsentides SKP-st. Konsolideerimisvajaduse ja rahastamissuutlikkuse mõõtmiseks kasutatakse komisjoni näitajat S1 riski ja jätkusuutlikkuse suhte kohta, mida väljendatakse samuti protsentides SKP-st, lähtudes 2016. aasta sügisprognoosi arvutustest ja kasutades baasaastana 2016. aastat.</w:t>
            </w:r>
          </w:p>
        </w:tc>
      </w:tr>
    </w:tbl>
    <w:p>
      <w:pPr>
        <w:spacing w:after="0"/>
        <w:jc w:val="both"/>
        <w:rPr>
          <w:rFonts w:ascii="Times New Roman" w:hAnsi="Times New Roman"/>
          <w:noProof/>
        </w:rPr>
      </w:pPr>
    </w:p>
    <w:p>
      <w:pPr>
        <w:spacing w:before="120" w:after="120" w:line="240" w:lineRule="auto"/>
        <w:jc w:val="both"/>
        <w:rPr>
          <w:rFonts w:ascii="Times New Roman" w:hAnsi="Times New Roman"/>
          <w:noProof/>
          <w:sz w:val="24"/>
          <w:szCs w:val="24"/>
        </w:rPr>
      </w:pPr>
      <w:r>
        <w:rPr>
          <w:rFonts w:ascii="Times New Roman" w:hAnsi="Times New Roman"/>
          <w:b/>
          <w:noProof/>
          <w:sz w:val="24"/>
        </w:rPr>
        <w:t>2016.–2017. aasta eelarvepositsiooni suundumust saab hinnata kahe eesmärgi põhjal, milleks on riigi rahanduse pikaajaline jätkusuutlikkus ja lühiajaline makromajanduslik stabiliseerimine (vt tekstikast nr 3).</w:t>
      </w:r>
      <w:r>
        <w:rPr>
          <w:rFonts w:ascii="Times New Roman" w:hAnsi="Times New Roman"/>
          <w:noProof/>
          <w:sz w:val="24"/>
        </w:rPr>
        <w:t xml:space="preserve"> Pikaajaline jätkusuutlikkus eeldab, et valitsemissektori võlg suunatakse jätkusuutlikule teele ja seda hoitakse seal, võttes arvesse praegust võla taset ning prognoositud tulevasi vananemisega seotud kulusid</w:t>
      </w:r>
      <w:r>
        <w:rPr>
          <w:rStyle w:val="FootnoteReference"/>
          <w:rFonts w:ascii="Times New Roman" w:hAnsi="Times New Roman"/>
          <w:noProof/>
          <w:sz w:val="24"/>
        </w:rPr>
        <w:footnoteReference w:id="21"/>
      </w:r>
      <w:r>
        <w:rPr>
          <w:rFonts w:ascii="Times New Roman" w:hAnsi="Times New Roman"/>
          <w:noProof/>
          <w:sz w:val="24"/>
        </w:rPr>
        <w:t>. Makromajanduslikku stabiliseerimist saab väljendada SKP lõhe sulgemisena sobivas tempos lühikeses ja keskpikas perspektiivis, tagades praeguses olukorras ka suurema ülemineku välistelt majanduskasvu allikatelt riigisisestele. Kuna rahapoliitika on juba praegu väga toetav, nominaalsed intressimäärad on peaaegu nullilähedased ja inflatsioon on väga aeglane, tuleb rohkem tähelepanu pöörata eelarvepoliitikale.</w:t>
      </w:r>
    </w:p>
    <w:p>
      <w:pPr>
        <w:spacing w:before="120" w:after="120" w:line="240" w:lineRule="auto"/>
        <w:jc w:val="both"/>
        <w:rPr>
          <w:rFonts w:ascii="Times New Roman" w:hAnsi="Times New Roman"/>
          <w:b/>
          <w:noProof/>
          <w:sz w:val="24"/>
          <w:szCs w:val="24"/>
          <w:highlight w:val="yellow"/>
        </w:rPr>
      </w:pPr>
      <w:r>
        <w:rPr>
          <w:rFonts w:ascii="Times New Roman" w:hAnsi="Times New Roman"/>
          <w:b/>
          <w:noProof/>
          <w:sz w:val="24"/>
        </w:rPr>
        <w:t>Nagu öeldud käesolevale dokumendile lisatud komisjoni teatises „Euroala positiivse eelarvepoliitika poole“,</w:t>
      </w:r>
      <w:r>
        <w:rPr>
          <w:rFonts w:ascii="Times New Roman" w:hAnsi="Times New Roman"/>
          <w:b/>
          <w:noProof/>
          <w:sz w:val="24"/>
          <w:vertAlign w:val="superscript"/>
        </w:rPr>
        <w:footnoteReference w:id="22"/>
      </w:r>
      <w:r>
        <w:rPr>
          <w:rFonts w:ascii="Times New Roman" w:hAnsi="Times New Roman"/>
          <w:b/>
          <w:noProof/>
          <w:sz w:val="24"/>
        </w:rPr>
        <w:t xml:space="preserve"> on euroala otstarbeka eelarvepoliitika kujundamine liikmesriikide individuaalne ja kollektiivne kohustus.</w:t>
      </w:r>
      <w:r>
        <w:rPr>
          <w:rFonts w:ascii="Times New Roman" w:hAnsi="Times New Roman"/>
          <w:noProof/>
          <w:sz w:val="24"/>
        </w:rPr>
        <w:t xml:space="preserve"> Teatises analüüsitakse täiendavalt eelarvepoliitilist hoiakut ja esitatakse suunised selle kohta, kuidas see mõjutab euroala eelarvepoliitikat.</w:t>
      </w:r>
      <w:bookmarkStart w:id="6" w:name="_Toc393881334"/>
    </w:p>
    <w:p>
      <w:pPr>
        <w:pStyle w:val="Heading1"/>
        <w:rPr>
          <w:rFonts w:ascii="Times New Roman" w:hAnsi="Times New Roman"/>
          <w:noProof/>
        </w:rPr>
      </w:pPr>
      <w:r>
        <w:rPr>
          <w:noProof/>
        </w:rPr>
        <w:br w:type="page"/>
      </w:r>
      <w:bookmarkStart w:id="7" w:name="_Toc467153539"/>
      <w:r>
        <w:rPr>
          <w:rFonts w:ascii="Times New Roman" w:hAnsi="Times New Roman"/>
          <w:noProof/>
        </w:rPr>
        <w:t>III. Eelarvekavade ülevaade</w:t>
      </w:r>
      <w:bookmarkEnd w:id="7"/>
    </w:p>
    <w:p>
      <w:pPr>
        <w:spacing w:before="120" w:after="120" w:line="240" w:lineRule="auto"/>
        <w:jc w:val="both"/>
        <w:rPr>
          <w:rFonts w:ascii="Times New Roman" w:hAnsi="Times New Roman"/>
          <w:noProof/>
          <w:sz w:val="24"/>
        </w:rPr>
      </w:pPr>
      <w:r>
        <w:rPr>
          <w:rFonts w:ascii="Times New Roman" w:hAnsi="Times New Roman"/>
          <w:noProof/>
          <w:sz w:val="24"/>
        </w:rPr>
        <w:t>Komisjoni arvamuses eelarvekavade kohta keskendutakse kooskõlale stabiilsuse ja kasvu paktiga ning selle põhjal esitatud soovitustele. Ülemäärase eelarvepuudujäägi menetlusega hõlmatud liikmesriikide puhul analüüsitakse komisjoni arvamustes ülemäärase eelarvepuudujäägi korrigeerimisel nii nominaalse kui ka struktuurse eelarvepuudujäägi eesmärkide saavutamiseks tehtud edusamme. Nende liikmesriikide puhul, kelle suhtes kohaldatakse stabiilsuse ja kasvu pakti ennetuslikku osa, hinnatakse komisjoni arvamustes vastavust konkreetse liikmesriigi keskpika perioodi eelarve-eesmärkidele ja edusamme nende suunas liikumisel, samuti võlareegli täitmist, et veenduda, kas kava on kooskõlas stabiilsuse ja kasvu paktiga ning riigipõhiste eelarvesoovitustega, mis nõukogu esitas liikmesriikidele 12. juulil 2016.</w:t>
      </w:r>
    </w:p>
    <w:p>
      <w:pPr>
        <w:spacing w:before="120" w:after="120" w:line="240" w:lineRule="auto"/>
        <w:jc w:val="both"/>
        <w:rPr>
          <w:rFonts w:ascii="Times New Roman" w:hAnsi="Times New Roman"/>
          <w:noProof/>
          <w:sz w:val="24"/>
          <w:szCs w:val="24"/>
        </w:rPr>
      </w:pPr>
      <w:r>
        <w:rPr>
          <w:rFonts w:ascii="Times New Roman" w:hAnsi="Times New Roman"/>
          <w:noProof/>
          <w:sz w:val="24"/>
        </w:rPr>
        <w:t>Kõik programmivälised euroala liikmesriigid esitasid oma eelarvekavad õigeks ajaks vastavalt määruse (EL) nr 473/2013 artiklile 6.</w:t>
      </w:r>
    </w:p>
    <w:p>
      <w:pPr>
        <w:spacing w:before="120" w:after="120" w:line="240" w:lineRule="auto"/>
        <w:jc w:val="both"/>
        <w:rPr>
          <w:rFonts w:ascii="Times New Roman" w:hAnsi="Times New Roman"/>
          <w:noProof/>
          <w:sz w:val="24"/>
          <w:szCs w:val="24"/>
        </w:rPr>
      </w:pPr>
      <w:r>
        <w:rPr>
          <w:rFonts w:ascii="Times New Roman" w:hAnsi="Times New Roman"/>
          <w:noProof/>
          <w:sz w:val="24"/>
        </w:rPr>
        <w:t>Üheski eelarvekavas ei olnud olulisi puudusi stabiilsuse ja kasvu pakti sätete järgimisel määruse (EL) nr 473/2013 artikli 7 lõike 2 tähenduses. Siiski on mitme esitatud eelarvekava puhul põhjust muret tunda.</w:t>
      </w:r>
    </w:p>
    <w:p>
      <w:pPr>
        <w:spacing w:before="120" w:after="120" w:line="240" w:lineRule="auto"/>
        <w:jc w:val="both"/>
        <w:rPr>
          <w:rFonts w:ascii="Times New Roman" w:hAnsi="Times New Roman"/>
          <w:noProof/>
          <w:sz w:val="24"/>
        </w:rPr>
      </w:pPr>
      <w:r>
        <w:rPr>
          <w:rFonts w:ascii="Times New Roman" w:hAnsi="Times New Roman"/>
          <w:noProof/>
          <w:sz w:val="24"/>
        </w:rPr>
        <w:t>Tabelites 2a ja 2b on kokkuvõtlikult esitatud komisjoni 16. novembri arvamustes antud hinnang riikide eelarvekavade kohta koos hinnanguga eelarve- ja struktuurireformide rakendamisel saavutatud edu kohta. Kõnealused hinnangud põhinevad komisjoni 2016. aasta sügisprognoosil. Võrdlemise lihtsustamiseks on eelarvekavadele antud hinnangud kokkuvõtlikult jagatud järgmisesse kolme üldkategooriasse, millel on erinevad tähendused sõltuvalt sellest, kas liikmesriigi suhtes kohaldatakse ülemäärase eelarvepuudujäägi menetlust või mitte.</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Vastab nõuetele:</w:t>
      </w:r>
      <w:r>
        <w:rPr>
          <w:rFonts w:ascii="Times New Roman" w:hAnsi="Times New Roman"/>
          <w:noProof/>
          <w:sz w:val="24"/>
        </w:rPr>
        <w:t xml:space="preserve"> komisjoni prognoosi kohaselt </w:t>
      </w:r>
      <w:r>
        <w:rPr>
          <w:rFonts w:ascii="Times New Roman" w:hAnsi="Times New Roman"/>
          <w:b/>
          <w:noProof/>
          <w:sz w:val="24"/>
        </w:rPr>
        <w:t>ei ole vaja riikliku eelarvemenetluse raames eelarvekava kohandada</w:t>
      </w:r>
      <w:r>
        <w:rPr>
          <w:rFonts w:ascii="Times New Roman" w:hAnsi="Times New Roman"/>
          <w:noProof/>
          <w:sz w:val="24"/>
        </w:rPr>
        <w:t>, et tagada 2017. aasta eelarve kooskõla stabiilsuse ja kasvu pakti sätetega.</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Üldiselt vastab nõuetele:</w:t>
      </w:r>
      <w:r>
        <w:rPr>
          <w:rFonts w:ascii="Times New Roman" w:hAnsi="Times New Roman"/>
          <w:noProof/>
          <w:sz w:val="24"/>
        </w:rPr>
        <w:t xml:space="preserve"> vastavalt komisjoni prognoosile aastaks 2017 võib eeldada, et eelarvekava tagab üldise kooskõla stabiilsuse ja kasvu pakti nõuetega.</w:t>
      </w:r>
    </w:p>
    <w:p>
      <w:pPr>
        <w:spacing w:before="120" w:after="120" w:line="240" w:lineRule="auto"/>
        <w:ind w:left="360"/>
        <w:jc w:val="both"/>
        <w:rPr>
          <w:rFonts w:ascii="Times New Roman" w:hAnsi="Times New Roman"/>
          <w:noProof/>
          <w:sz w:val="24"/>
        </w:rPr>
      </w:pPr>
      <w:r>
        <w:rPr>
          <w:rFonts w:ascii="Times New Roman" w:hAnsi="Times New Roman"/>
          <w:i/>
          <w:noProof/>
          <w:sz w:val="24"/>
        </w:rPr>
        <w:t>Liikmesriigid, kelle suhtes kohaldatakse ülemäärase eelarvepuudujäägi menetlust:</w:t>
      </w:r>
      <w:r>
        <w:rPr>
          <w:rFonts w:ascii="Times New Roman" w:hAnsi="Times New Roman"/>
          <w:noProof/>
          <w:sz w:val="24"/>
        </w:rPr>
        <w:t xml:space="preserve"> kuigi komisjoni prognoos 2017. aastaks sisaldab kaht võimalust – eelarvepuudujäägi peamine vahe-eesmärk saavutatakse või korrigeeritakse ülemäärane eelarvepuudujääk õigel ajal – , ei vasta eelarve kohandamine kaugeltki soovitatud tasemele, mis seab ohtu ülemäärase eelarvepuudujäägi menetluse raames antud soovituse täitmise.</w:t>
      </w:r>
    </w:p>
    <w:p>
      <w:pPr>
        <w:spacing w:before="120" w:after="120" w:line="240" w:lineRule="auto"/>
        <w:ind w:left="360"/>
        <w:jc w:val="both"/>
        <w:rPr>
          <w:rFonts w:ascii="Times New Roman" w:hAnsi="Times New Roman"/>
          <w:noProof/>
          <w:sz w:val="24"/>
        </w:rPr>
      </w:pPr>
      <w:r>
        <w:rPr>
          <w:rFonts w:ascii="Times New Roman" w:hAnsi="Times New Roman"/>
          <w:i/>
          <w:noProof/>
          <w:sz w:val="24"/>
        </w:rPr>
        <w:t>Liikmesriigid, kelle suhtes kohaldatakse stabiilsuse ja kasvu pakti ennetuslikku osa:</w:t>
      </w:r>
      <w:r>
        <w:rPr>
          <w:rFonts w:ascii="Times New Roman" w:hAnsi="Times New Roman"/>
          <w:noProof/>
          <w:sz w:val="24"/>
        </w:rPr>
        <w:t xml:space="preserve"> vastavalt komisjoni prognoosile 2017. aastaks võib eelarvekava elluviimisel esineda mõningasi kõrvalekaldeid keskpika perioodi eelarve-eesmärkidest või nende saavutamiseks nõutavast kohandamiskavast, kuid see ei kujutaks endast märkimisväärset kõrvalekallet soovitatud kohandamisest. Need liikmesriigid suudavad hinnangute kohaselt pidada kinni võlareeglist, kui seda kohaldatakse.</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Nõuetele mittevastavuse oht:</w:t>
      </w:r>
      <w:r>
        <w:rPr>
          <w:rFonts w:ascii="Times New Roman" w:hAnsi="Times New Roman"/>
          <w:noProof/>
          <w:sz w:val="24"/>
        </w:rPr>
        <w:t xml:space="preserve"> komisjoni 2017. aasta prognoosi kohaselt ei taga eelarvekava kooskõla stabiilsuse ja kasvu pakti eeskirjadega.</w:t>
      </w:r>
    </w:p>
    <w:p>
      <w:pPr>
        <w:spacing w:before="120" w:after="120" w:line="240" w:lineRule="auto"/>
        <w:ind w:left="360"/>
        <w:jc w:val="both"/>
        <w:rPr>
          <w:rFonts w:ascii="Times New Roman" w:hAnsi="Times New Roman"/>
          <w:noProof/>
          <w:sz w:val="24"/>
        </w:rPr>
      </w:pPr>
      <w:r>
        <w:rPr>
          <w:rFonts w:ascii="Times New Roman" w:hAnsi="Times New Roman"/>
          <w:i/>
          <w:noProof/>
          <w:sz w:val="24"/>
        </w:rPr>
        <w:t>Liikmesriigid, kelle suhtes kohaldatakse ülemäärase eelarvepuudujäägi menetlust:</w:t>
      </w:r>
      <w:r>
        <w:rPr>
          <w:rFonts w:ascii="Times New Roman" w:hAnsi="Times New Roman"/>
          <w:noProof/>
          <w:sz w:val="24"/>
        </w:rPr>
        <w:t xml:space="preserve"> komisjoni 2017. aasta prognoosi kohaselt ei saavutata eelarve kohandamise soovitatud eesmärki ega eelarvepuudujäägi peamist vahe-eesmärki ega korrigeerita ka ülemäärast eelarvepuudujääki õigeks ajaks.</w:t>
      </w:r>
    </w:p>
    <w:p>
      <w:pPr>
        <w:spacing w:before="120" w:after="120" w:line="240" w:lineRule="auto"/>
        <w:ind w:left="360"/>
        <w:jc w:val="both"/>
        <w:rPr>
          <w:rFonts w:ascii="Times New Roman" w:hAnsi="Times New Roman"/>
          <w:noProof/>
          <w:sz w:val="24"/>
        </w:rPr>
      </w:pPr>
      <w:r>
        <w:rPr>
          <w:rFonts w:ascii="Times New Roman" w:hAnsi="Times New Roman"/>
          <w:i/>
          <w:noProof/>
          <w:sz w:val="24"/>
        </w:rPr>
        <w:t>Liikmesriigid, kelle suhtes kohaldatakse stabiilsuse ja kasvu pakti ennetuslikku osa:</w:t>
      </w:r>
      <w:r>
        <w:rPr>
          <w:rFonts w:ascii="Times New Roman" w:hAnsi="Times New Roman"/>
          <w:noProof/>
          <w:sz w:val="24"/>
        </w:rPr>
        <w:t xml:space="preserve"> komisjon prognoosib 2017. aastaks märkimisväärset kõrvalekallet keskpika perioodi eelarve-eesmärgist või selle saavutamiseks nõutavast kohandamiskavast ja/või riigivõla vähendamise sihttaseme mittesaavutamist, kui sellist sihttaset riigi suhtes kohaldatakse.</w:t>
      </w:r>
    </w:p>
    <w:p>
      <w:pPr>
        <w:pStyle w:val="NumPar1"/>
        <w:numPr>
          <w:ilvl w:val="0"/>
          <w:numId w:val="0"/>
        </w:numPr>
        <w:rPr>
          <w:noProof/>
        </w:rPr>
      </w:pPr>
      <w:r>
        <w:rPr>
          <w:noProof/>
        </w:rPr>
        <w:t>Järgides ühiselt kokku lepitud seisukohta, mis käsitleb stabiilsuse ja kasvu pakti kehtivate nõuete paindlikumat kasutamist, mille majandus- ja rahandusküsimuste nõukogu kiitis heaks 12. veebruaril 2016, on Soome ja Leedu taotlenud oma eelarvekavades struktuurireformi klausli ja investeerimisklausli alusel paindlikkust. Soome taotles oma eelarvekavas 2017. aastaks ajutist kõrvalekaldumist keskpika perioodi eesmärgi saavutamiseks soovitatud kohandamiskavast, et rakendada olulisi struktuurireforme, millel oleks positiivne mõju riigi rahanduse ja ELi poolt Euroopa struktuuri- ja investeerimisfondide raames kaasrahastatud projektide riiklike kulude pikaajalisele jätkusuutlikkusele (paindlikkust taotleti vastavalt mahus 0,5 % SKP-st ja 0,1 % SKP-st). Komisjoni 2016. aasta sügisprognoosi põhjal ei täida Soome sihttaset ning tema SKP lõhe hinnangulise suuruse üle kohta ei saa öelda midagi kindlat. Hinnangulise SKP lõhe üksikasjalik hinnang 2016. aasta kohta viitab sellele, et 2017. aastal peaks Soome täitma minimaalse sihttaseme</w:t>
      </w:r>
      <w:r>
        <w:rPr>
          <w:rStyle w:val="FootnoteReference"/>
          <w:noProof/>
        </w:rPr>
        <w:footnoteReference w:id="23"/>
      </w:r>
      <w:r>
        <w:rPr>
          <w:noProof/>
        </w:rPr>
        <w:t>. Lisatagatisena on Soome valitsus avalikult lubanud võtta 2017. aastal vajaduse korral täiendavaid meetmeid, et tagada stabiilsuse ja kasvu pakti täitmine ja pidada eeskätt kinni aluslepingus sätestatud kontrollväärtusest, st 3 % SKP-st. Leedu puhul nähti poliitika samaks jäämise põhimõttel esitatud eelarvekavas sisalduva taotlusega ette suurte struktuurireformide rakendamine tööturul ja pensionide vallas ning see pidanuks avaldama positiivset mõju riigi rahanduse pikaajalisele jätkusuutlikkusele (paindlikkust taotleti 0,6 % ulatuses SKP-st). Komisjoni 2016. aasta sügisprognoosist ilmneb, et Leedul on piisavalt eelarvepoliitilist manööverdamisruumi, et kasutada ajutist kõrvalekaldumist keskpika perioodi eelarve-eesmärgi saavutamiseks nõutavast kohandamiskavast. Täielik hinnang sellele, kas Soome ja Leedu vastavad paindlikkuse saamise tingimustele, antakse tavapärase Euroopa poolaasta tsükli käigus seoses 2017. aasta stabiilsusprogrammide hindamisega.</w:t>
      </w:r>
    </w:p>
    <w:p>
      <w:pPr>
        <w:pStyle w:val="NumPar1"/>
        <w:numPr>
          <w:ilvl w:val="0"/>
          <w:numId w:val="0"/>
        </w:numPr>
        <w:rPr>
          <w:noProof/>
        </w:rPr>
      </w:pPr>
      <w:r>
        <w:rPr>
          <w:noProof/>
        </w:rPr>
        <w:t xml:space="preserve">Lisaks on mitu liikmesriiki nimetanud pagulaste suure sissevoolu ja täiendavate julgeolekumeetmete mõju eelarvele. Määruse (EÜ) nr 1466/97 artikli 5 lõike 1 ja artikli 6 lõike 3 sätted lubavad ajutist kõrvalekaldumist keskpika perioodi eelarve-eesmärgi saavutamiseks nõutavast kohandamiskavast, et katta sellised täiendavad kulud, sest pagulaste sissevool ja terrorismiohu tõsidus on erakorralised sündmused ning nende mõju riigi rahandusele on märkimisväärne ja jätkusuutlikkust ei seataks ohtu. Selles etapis kaalus komisjon ajutise kõrvalekaldumise võimalust 2015. ja 2016. aasta pagulastega seotud kulude puhul (Belgia, Itaalia, Austria, Sloveenia ja Soome) ja 2016. ja 2017. aasta julgeolekumeetmetega seotud kulude puhul (Belgia, Itaalia ja Austria). Komisjon annab lõpliku hinnangu, sealhulgas abikõlblike summade kohta, ametiasutuste esitatud andmete alusel. Komisjon on valmis sobival ajal kaaluma 2017. aasta rändega seotud kulude puhul täiendavate kõrvalekallete võimalust. Lisaks on Itaalia taotlenud erakorralise sündmuse klausli alusel erikohtlemist seoses mõjuga, mida avaldab eelarvele riigi territooriumi seismiliste riskide eest kaitsmise ennetav investeerimiskava. Komisjon tõdeb, et Itaalias on viimastel kuudel olnud ennenägematult suur seismiline aktiivsus ning seetõttu ei ole seosed ennetustegevuse ja erakorralise sekkumise vahel nii selgepiirilised. Seetõttu leiab komisjon, et ka vahendeid, mille valitsus oli eraldanud kõnealuseks otstarbeks 2017. aastaks, võiks võtta arvesse ajutise kõrvalekaldumise võimaldamisel keskpika perioodi eelarveeesmärgi saavutamiseks nõutavast kohandamiskavast, tingimusel et Itaalia ametivõimud esitavad vajalikud </w:t>
      </w:r>
      <w:r>
        <w:rPr>
          <w:i/>
          <w:noProof/>
        </w:rPr>
        <w:t>ex ante</w:t>
      </w:r>
      <w:r>
        <w:rPr>
          <w:noProof/>
        </w:rPr>
        <w:t xml:space="preserve"> ja </w:t>
      </w:r>
      <w:r>
        <w:rPr>
          <w:i/>
          <w:noProof/>
        </w:rPr>
        <w:t>ex post</w:t>
      </w:r>
      <w:r>
        <w:rPr>
          <w:noProof/>
        </w:rPr>
        <w:t xml:space="preserve"> andmed.</w:t>
      </w:r>
    </w:p>
    <w:p>
      <w:pPr>
        <w:spacing w:before="120" w:after="120" w:line="240" w:lineRule="auto"/>
        <w:jc w:val="both"/>
        <w:rPr>
          <w:rFonts w:ascii="Times New Roman" w:hAnsi="Times New Roman"/>
          <w:noProof/>
          <w:sz w:val="24"/>
        </w:rPr>
      </w:pPr>
      <w:r>
        <w:rPr>
          <w:rFonts w:ascii="Times New Roman" w:hAnsi="Times New Roman"/>
          <w:noProof/>
          <w:sz w:val="24"/>
        </w:rPr>
        <w:t xml:space="preserve">Portugal ja Hispaania esitasid oktoobri keskpaigaks oma eelarvekavad ja aruanded meetmete kohta, mis on võetud vastusena aluslepingu artikli 126 lõike 9 kohaselt esitatud ja 8. augustil 2016 vastuvõetud nõukogu teadetele. Vahepeal on komisjon need dokumendid läbi vaadanud ja pidanud Euroopa Parlamendiga struktureeritud dialoogi. Komisjon on jõudnud järeldusele, et mõlema liikmesriigi ülemäärase eelarvepuudujäägi menetlus tuleks peatada. Seega ei eksisteeri enam asjaolusid, millest ajendatuna tegi komisjon ettepaneku peatada Euroopa struktuuri- ja investeerimisfondidest vahendite eraldamine, ning seetõttu sellist ettepanekut ei tehta. </w:t>
      </w:r>
    </w:p>
    <w:p>
      <w:pPr>
        <w:spacing w:before="120" w:after="120" w:line="240" w:lineRule="auto"/>
        <w:jc w:val="both"/>
        <w:rPr>
          <w:rFonts w:ascii="Times New Roman" w:hAnsi="Times New Roman"/>
          <w:b/>
          <w:noProof/>
        </w:rPr>
      </w:pPr>
      <w:r>
        <w:rPr>
          <w:rFonts w:ascii="Times New Roman" w:hAnsi="Times New Roman"/>
          <w:noProof/>
          <w:sz w:val="24"/>
        </w:rPr>
        <w:t>Komisjon on andnud esialgse hinnangu ka nõukogu poolt 12. juulil 2016 vastu võetud riigipõhistes soovitustes kirjeldatud eelarve- ja struktuurireformide rakendamisel saavutatud edu kohta. Eelarvekavadele antud hinnang võetakse kokku viies järgmises üldkategoorias: edusammud puuduvad, piiratud edusammud, teatavad edusammud, märkimisväärsed edusammud ja nõuded täidetud. Riigipõhiste soovituste rakendamisel tehtud edusamme hinnatakse põhjalikult 2017. aasta riigiaruannetes ja nõukogu poolt 2017. aastal vastu võetavate riigipõhiste soovituste väljatöötamise käigus.</w:t>
      </w:r>
    </w:p>
    <w:p>
      <w:pPr>
        <w:spacing w:after="0" w:line="240" w:lineRule="auto"/>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t>Tabel 2a: ülevaade komisjoni arvamustest eelarvekavade kohta – liikmesriigid, kelle suhtes kohaldatakse stabiilsuse ja kasvu pakti ennetuslikku osa</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vMerge w:val="restart"/>
            <w:noWrap/>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Liikmesriik</w:t>
            </w:r>
          </w:p>
        </w:tc>
        <w:tc>
          <w:tcPr>
            <w:tcW w:w="5359"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Eelarvekava üldine vastavus stabiilsuse ja majanduskasvu paktile</w:t>
            </w:r>
          </w:p>
        </w:tc>
        <w:tc>
          <w:tcPr>
            <w:tcW w:w="2523" w:type="dxa"/>
            <w:vMerge w:val="restart"/>
            <w:vAlign w:val="center"/>
          </w:tcPr>
          <w:p>
            <w:pPr>
              <w:spacing w:after="0"/>
              <w:jc w:val="center"/>
              <w:rPr>
                <w:rFonts w:ascii="Times New Roman" w:hAnsi="Times New Roman"/>
                <w:b/>
                <w:noProof/>
                <w:color w:val="000000"/>
                <w:sz w:val="18"/>
                <w:szCs w:val="18"/>
              </w:rPr>
            </w:pPr>
            <w:r>
              <w:rPr>
                <w:rFonts w:ascii="Times New Roman" w:hAnsi="Times New Roman"/>
                <w:b/>
                <w:noProof/>
                <w:color w:val="000000"/>
                <w:sz w:val="18"/>
              </w:rPr>
              <w:t>Edusammud 2016. aasta riigipõhistes soovitustes esitatud eelarve- ja struktuurimeetmete rakendamisel</w:t>
            </w:r>
          </w:p>
        </w:tc>
      </w:tr>
      <w:tr>
        <w:trPr>
          <w:trHeight w:val="885"/>
          <w:jc w:val="center"/>
        </w:trPr>
        <w:tc>
          <w:tcPr>
            <w:tcW w:w="1012" w:type="dxa"/>
            <w:vMerge/>
            <w:vAlign w:val="center"/>
            <w:hideMark/>
          </w:tcPr>
          <w:p>
            <w:pPr>
              <w:spacing w:after="0" w:line="240" w:lineRule="auto"/>
              <w:rPr>
                <w:b/>
                <w:noProof/>
              </w:rPr>
            </w:pPr>
          </w:p>
        </w:tc>
        <w:tc>
          <w:tcPr>
            <w:tcW w:w="1354" w:type="dxa"/>
            <w:vAlign w:val="center"/>
            <w:hideMark/>
          </w:tcPr>
          <w:p>
            <w:pPr>
              <w:spacing w:after="0"/>
              <w:jc w:val="center"/>
              <w:rPr>
                <w:b/>
                <w:noProof/>
              </w:rPr>
            </w:pPr>
            <w:r>
              <w:rPr>
                <w:rFonts w:ascii="Times New Roman" w:hAnsi="Times New Roman"/>
                <w:b/>
                <w:noProof/>
                <w:color w:val="000000"/>
                <w:sz w:val="18"/>
              </w:rPr>
              <w:t>Komisjoni 2016. aasta sügisprognoosil põhinev üldine järeldus</w:t>
            </w:r>
          </w:p>
        </w:tc>
        <w:tc>
          <w:tcPr>
            <w:tcW w:w="4005" w:type="dxa"/>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Kooskõla ennetusliku osa nõuetega 2016.–2017. aastal</w:t>
            </w:r>
          </w:p>
        </w:tc>
        <w:tc>
          <w:tcPr>
            <w:tcW w:w="2523" w:type="dxa"/>
            <w:vMerge/>
            <w:vAlign w:val="center"/>
            <w:hideMark/>
          </w:tcPr>
          <w:p>
            <w:pPr>
              <w:spacing w:after="0"/>
              <w:jc w:val="center"/>
              <w:rPr>
                <w:rFonts w:ascii="Times New Roman" w:hAnsi="Times New Roman"/>
                <w:b/>
                <w:noProof/>
                <w:color w:val="000000"/>
                <w:sz w:val="18"/>
                <w:szCs w:val="18"/>
              </w:rPr>
            </w:pPr>
          </w:p>
        </w:tc>
      </w:tr>
      <w:tr>
        <w:trPr>
          <w:trHeight w:val="300"/>
          <w:jc w:val="center"/>
        </w:trPr>
        <w:tc>
          <w:tcPr>
            <w:tcW w:w="1012"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BE*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 xml:space="preserve">Nõuetele mittevastavuse oht </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2016: risk kalduda märkimisväärselt kõrvale keskpika perioodi eelarve-eesmärgi saavutamiseks nõutavast kohandamiskavast; esmapilgul tundub, et võlareegliga seotud üleminekukorda ei järgita; </w:t>
            </w:r>
          </w:p>
          <w:p>
            <w:pPr>
              <w:spacing w:after="0" w:line="240" w:lineRule="auto"/>
              <w:jc w:val="center"/>
              <w:rPr>
                <w:rFonts w:ascii="Times New Roman" w:hAnsi="Times New Roman"/>
                <w:noProof/>
                <w:sz w:val="18"/>
                <w:szCs w:val="18"/>
              </w:rPr>
            </w:pPr>
            <w:r>
              <w:rPr>
                <w:rFonts w:ascii="Times New Roman" w:hAnsi="Times New Roman"/>
                <w:noProof/>
                <w:sz w:val="18"/>
              </w:rPr>
              <w:t>2017: risk kalduda 2017. aastal mõnevõrra kõrvale keskpika perioodi eelarve-eesmärgi saavutamiseks nõutavast kohandamiskavast, kuid 2016.–2017. aasta peale kokku võetuna on olemas märkimisväärse kõrvalekaldumise risk; esmapilgul tundub, et võla vähendamise sihttaset ei saavutata.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Edusammud puuduvad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DE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Vastab nõuetele</w:t>
            </w:r>
          </w:p>
        </w:tc>
        <w:tc>
          <w:tcPr>
            <w:tcW w:w="4005" w:type="dxa"/>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2016: keskpika perioodi eesmärk saavutatud varuga; võla vähendamise eesmärk täidetud;</w:t>
            </w:r>
          </w:p>
          <w:p>
            <w:pPr>
              <w:spacing w:after="0" w:line="240" w:lineRule="auto"/>
              <w:jc w:val="center"/>
              <w:rPr>
                <w:rFonts w:ascii="Times New Roman" w:hAnsi="Times New Roman"/>
                <w:noProof/>
                <w:sz w:val="18"/>
                <w:szCs w:val="18"/>
              </w:rPr>
            </w:pPr>
            <w:r>
              <w:rPr>
                <w:rFonts w:ascii="Times New Roman" w:hAnsi="Times New Roman"/>
                <w:noProof/>
                <w:sz w:val="18"/>
              </w:rPr>
              <w:t>2017: keskpika perioodi eesmärk saavutatud varuga; võla vähendamise eesmärk täidetud.</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keskpika perioodi eesmärk saavutatud varuga;</w:t>
            </w:r>
          </w:p>
          <w:p>
            <w:pPr>
              <w:spacing w:after="0" w:line="240" w:lineRule="auto"/>
              <w:jc w:val="center"/>
              <w:rPr>
                <w:rFonts w:ascii="Times New Roman" w:hAnsi="Times New Roman"/>
                <w:noProof/>
                <w:sz w:val="18"/>
                <w:szCs w:val="18"/>
              </w:rPr>
            </w:pPr>
            <w:r>
              <w:rPr>
                <w:rFonts w:ascii="Times New Roman" w:hAnsi="Times New Roman"/>
                <w:noProof/>
                <w:sz w:val="18"/>
              </w:rPr>
              <w:t>2017: puudub kõrvalekalle keskpika perioodi eelarve-eesmärgi saavutamiseks nõutavast kohandamiskavast.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Ei kohaldata</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Üldiselt 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risk kalduda mõnevõrra kõrvale keskpika perioodi eelarve-eesmärgi saavutamiseks nõutavast kohandamiskavast; võlareegliga seotud üleminekukorda järgitakse;</w:t>
            </w:r>
          </w:p>
          <w:p>
            <w:pPr>
              <w:spacing w:after="0" w:line="240" w:lineRule="auto"/>
              <w:jc w:val="center"/>
              <w:rPr>
                <w:rFonts w:ascii="Times New Roman" w:hAnsi="Times New Roman"/>
                <w:noProof/>
                <w:sz w:val="18"/>
                <w:szCs w:val="18"/>
              </w:rPr>
            </w:pPr>
            <w:r>
              <w:rPr>
                <w:rFonts w:ascii="Times New Roman" w:hAnsi="Times New Roman"/>
                <w:noProof/>
                <w:sz w:val="18"/>
              </w:rPr>
              <w:t>2017: risk kalduda mõnevõrra kõrvale keskpika perioodi eelarve-eesmärgi saavutamiseks nõutavast kohandamiskavast; võlareegliga seotud üleminekukorda järgitakse.</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Teatavad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Nõuetele mittevastavuse oht</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risk kalduda mõnevõrra kõrvale keskpika perioodi eelarve-eesmärgi saavutamiseks nõutavast kohandamiskavast; kui struktuurireformi ja investeerimisklausli alusel võimaldatud kõrvalekaldumist 0,75 % ulatuses SKPst ei võeta täies mahus arvesse, esineb oht kalduda märkimisväärselt kõrvale keskpika perioodi eelarve-eesmärgi saavutamiseks nõutavast kohandamiskavast; esmapilgul tundub, et võla vähendamise sihttaset ei saavutata.</w:t>
            </w:r>
          </w:p>
          <w:p>
            <w:pPr>
              <w:spacing w:after="0" w:line="240" w:lineRule="auto"/>
              <w:jc w:val="center"/>
              <w:rPr>
                <w:rFonts w:ascii="Times New Roman" w:hAnsi="Times New Roman"/>
                <w:noProof/>
                <w:sz w:val="18"/>
                <w:szCs w:val="18"/>
                <w:highlight w:val="yellow"/>
              </w:rPr>
            </w:pPr>
            <w:r>
              <w:rPr>
                <w:rFonts w:ascii="Times New Roman" w:hAnsi="Times New Roman"/>
                <w:noProof/>
                <w:sz w:val="18"/>
              </w:rPr>
              <w:t>2017: risk kalduda märkimisväärselt kõrvale keskpika perioodi eelarve-eesmärgi saavutamiseks nõutavast kohandamiskavast; esmapilgul tundub, et võla vähendamise sihttaset ei saavutata.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Teatavad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CY</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Nõuetele mittevastavuse oht</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keskpika perioodi eesmärk saavutatud varuga; võlareegliga seotud üleminekukorda järgitakse;</w:t>
            </w:r>
          </w:p>
          <w:p>
            <w:pPr>
              <w:spacing w:after="0" w:line="240" w:lineRule="auto"/>
              <w:jc w:val="center"/>
              <w:rPr>
                <w:rFonts w:ascii="Times New Roman" w:hAnsi="Times New Roman"/>
                <w:noProof/>
                <w:sz w:val="18"/>
                <w:szCs w:val="18"/>
              </w:rPr>
            </w:pPr>
            <w:r>
              <w:rPr>
                <w:rFonts w:ascii="Times New Roman" w:hAnsi="Times New Roman"/>
                <w:noProof/>
                <w:sz w:val="18"/>
              </w:rPr>
              <w:t>2017: risk kalduda märkimisväärselt kõrvale keskpika perioodi eelarve-eesmärgi saavutamiseks nõutavast kohandamiskavast; võlareegliga seotud üleminekukorda järgitakse.</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Teatavad edusammud</w:t>
            </w:r>
          </w:p>
        </w:tc>
      </w:tr>
    </w:tbl>
    <w:p>
      <w:pPr>
        <w:rPr>
          <w:noProof/>
        </w:rPr>
      </w:pPr>
      <w:r>
        <w:rPr>
          <w:noProof/>
        </w:rPr>
        <w:br w:type="page"/>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Nõuetele mittevastavuse oht</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puudub kõrvalekalle keskpika perioodi eelarve-eesmärgi saavutamiseks nõutavast kohandamiskavast;</w:t>
            </w:r>
          </w:p>
          <w:p>
            <w:pPr>
              <w:spacing w:after="0" w:line="240" w:lineRule="auto"/>
              <w:jc w:val="center"/>
              <w:rPr>
                <w:rFonts w:ascii="Times New Roman" w:hAnsi="Times New Roman"/>
                <w:noProof/>
                <w:sz w:val="18"/>
                <w:szCs w:val="18"/>
              </w:rPr>
            </w:pPr>
            <w:r>
              <w:rPr>
                <w:rFonts w:ascii="Times New Roman" w:hAnsi="Times New Roman"/>
                <w:noProof/>
                <w:sz w:val="18"/>
              </w:rPr>
              <w:t>2017: risk kalduda märkimisväärselt kõrvale keskpika perioodi eelarve-eesmärgi saavutamiseks nõutavast kohandamiskavast, mis põhineb poliitika samaks jäämise põhimõttel esitatud eelarvekaval;</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Ei kohaldata</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LV</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Üldiselt 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risk kalduda mõnevõrra kõrvale keskpika perioodi eelarve-eesmärgi saavutamiseks nõutavast kohandamiskavast;</w:t>
            </w:r>
          </w:p>
          <w:p>
            <w:pPr>
              <w:spacing w:after="0" w:line="240" w:lineRule="auto"/>
              <w:jc w:val="center"/>
              <w:rPr>
                <w:rFonts w:ascii="Times New Roman" w:hAnsi="Times New Roman"/>
                <w:noProof/>
                <w:sz w:val="18"/>
                <w:szCs w:val="18"/>
              </w:rPr>
            </w:pPr>
            <w:r>
              <w:rPr>
                <w:rFonts w:ascii="Times New Roman" w:hAnsi="Times New Roman"/>
                <w:noProof/>
                <w:sz w:val="18"/>
              </w:rPr>
              <w:t>2017: puudub kõrvalekalle 2017. aasta keskpika perioodi eelarve-eesmärgi saavutamiseks nõutavast kohandamiskavast, kuid 2016.–2017. aasta peale kokku võetuna on olemas väikese kõrvalekaldumise risk;</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LU</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keskpika perioodi eesmärk saavutatud varuga;</w:t>
            </w:r>
          </w:p>
          <w:p>
            <w:pPr>
              <w:spacing w:after="0" w:line="240" w:lineRule="auto"/>
              <w:jc w:val="center"/>
              <w:rPr>
                <w:rFonts w:ascii="Times New Roman" w:hAnsi="Times New Roman"/>
                <w:noProof/>
                <w:sz w:val="18"/>
                <w:szCs w:val="18"/>
              </w:rPr>
            </w:pPr>
            <w:r>
              <w:rPr>
                <w:rFonts w:ascii="Times New Roman" w:hAnsi="Times New Roman"/>
                <w:noProof/>
                <w:sz w:val="18"/>
              </w:rPr>
              <w:t>2017: keskpika perioodi eesmärk saavutatud varuga.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MT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Üldiselt 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puudub kõrvalekalle keskpika perioodi eelarve-eesmärgi saavutamiseks nõutavast kohandamiskavast; võla vähendamise eesmärk täidetud;</w:t>
            </w:r>
          </w:p>
          <w:p>
            <w:pPr>
              <w:spacing w:after="0" w:line="240" w:lineRule="auto"/>
              <w:jc w:val="center"/>
              <w:rPr>
                <w:rFonts w:ascii="Times New Roman" w:hAnsi="Times New Roman"/>
                <w:noProof/>
                <w:sz w:val="18"/>
                <w:szCs w:val="18"/>
              </w:rPr>
            </w:pPr>
            <w:r>
              <w:rPr>
                <w:rFonts w:ascii="Times New Roman" w:hAnsi="Times New Roman"/>
                <w:noProof/>
                <w:sz w:val="18"/>
              </w:rPr>
              <w:t>2017: risk kalduda mõnevõrra kõrvale keskpika perioodi eelarve-eesmärgi saavutamiseks nõutavast kohandamiskavast.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Edusammud puuduvad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NL</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keskpika perioodi eelarve-eesmärk saavutatud; võlareegliga seotud üleminekukorda järgitakse;</w:t>
            </w:r>
          </w:p>
          <w:p>
            <w:pPr>
              <w:spacing w:after="0" w:line="240" w:lineRule="auto"/>
              <w:jc w:val="center"/>
              <w:rPr>
                <w:rFonts w:ascii="Times New Roman" w:hAnsi="Times New Roman"/>
                <w:noProof/>
                <w:sz w:val="18"/>
                <w:szCs w:val="18"/>
              </w:rPr>
            </w:pPr>
            <w:r>
              <w:rPr>
                <w:rFonts w:ascii="Times New Roman" w:hAnsi="Times New Roman"/>
                <w:noProof/>
                <w:sz w:val="18"/>
              </w:rPr>
              <w:t>2017: keskpika perioodi eesmärk saavutatud varuga; võla vähendamise eesmärk täidetud.</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Edusammud puuduvad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AT***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Üldiselt 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puudub kõrvalekalle keskpika perioodi eelarve-eesmärgi saavutamiseks nõutavast kohandamiskavast; võlareegliga seotud üleminekukorda järgitakse;</w:t>
            </w:r>
          </w:p>
          <w:p>
            <w:pPr>
              <w:spacing w:after="0" w:line="240" w:lineRule="auto"/>
              <w:jc w:val="center"/>
              <w:rPr>
                <w:rFonts w:ascii="Times New Roman" w:hAnsi="Times New Roman"/>
                <w:noProof/>
                <w:sz w:val="18"/>
                <w:szCs w:val="18"/>
              </w:rPr>
            </w:pPr>
            <w:r>
              <w:rPr>
                <w:rFonts w:ascii="Times New Roman" w:hAnsi="Times New Roman"/>
                <w:noProof/>
                <w:sz w:val="18"/>
              </w:rPr>
              <w:t xml:space="preserve">2017: risk kalduda mõnevõrra kõrvale keskpika perioodi eelarve-eesmärgi saavutamiseks nõutavast kohandamiskavast. </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SK</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Vastab nõuetele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risk kalduda mõnevõrra kõrvale keskpika perioodi eelarve-eesmärgi saavutamiseks nõutavast kohandamiskavast;</w:t>
            </w:r>
          </w:p>
          <w:p>
            <w:pPr>
              <w:spacing w:after="0" w:line="240" w:lineRule="auto"/>
              <w:jc w:val="center"/>
              <w:rPr>
                <w:rFonts w:ascii="Times New Roman" w:hAnsi="Times New Roman"/>
                <w:noProof/>
                <w:sz w:val="18"/>
                <w:szCs w:val="18"/>
              </w:rPr>
            </w:pPr>
            <w:r>
              <w:rPr>
                <w:rFonts w:ascii="Times New Roman" w:hAnsi="Times New Roman"/>
                <w:noProof/>
                <w:sz w:val="18"/>
              </w:rPr>
              <w:t>2017: puudub kõrvalekalle keskpika perioodi eelarve-eesmärgi saavutamiseks nõutavast kohandamiskavast.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Teatavad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Nõuetele mittevastavuse oht</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risk kalduda mõnevõrra kõrvale keskpika perioodi eelarve-eesmärgi saavutamiseks nõutavast kohandamiskavast; võlareegliga seotud üleminekukorda järgitakse;</w:t>
            </w:r>
          </w:p>
          <w:p>
            <w:pPr>
              <w:spacing w:after="0" w:line="240" w:lineRule="auto"/>
              <w:jc w:val="center"/>
              <w:rPr>
                <w:rFonts w:ascii="Times New Roman" w:hAnsi="Times New Roman"/>
                <w:noProof/>
                <w:sz w:val="18"/>
                <w:szCs w:val="18"/>
              </w:rPr>
            </w:pPr>
            <w:r>
              <w:rPr>
                <w:rFonts w:ascii="Times New Roman" w:hAnsi="Times New Roman"/>
                <w:noProof/>
                <w:sz w:val="18"/>
              </w:rPr>
              <w:t>2017: risk kalduda märkimisväärselt kõrvale keskpika perioodi eelarve-eesmärgi saavutamiseks nõutavast kohandamiskavast; võlareegliga seotud üleminekukorda järgitakse.</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FI****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Nõuetele mittevastavuse oht</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risk kalduda mõnevõrra kõrvale keskpika perioodi eelarve-eesmärgi saavutamiseks nõutavast kohandamiskavast;</w:t>
            </w:r>
          </w:p>
          <w:p>
            <w:pPr>
              <w:spacing w:after="0" w:line="240" w:lineRule="auto"/>
              <w:jc w:val="center"/>
              <w:rPr>
                <w:rFonts w:ascii="Times New Roman" w:hAnsi="Times New Roman"/>
                <w:noProof/>
                <w:sz w:val="18"/>
                <w:szCs w:val="18"/>
              </w:rPr>
            </w:pPr>
            <w:r>
              <w:rPr>
                <w:rFonts w:ascii="Times New Roman" w:hAnsi="Times New Roman"/>
                <w:noProof/>
                <w:sz w:val="18"/>
              </w:rPr>
              <w:t>2017: risk kalduda märkimisväärselt kõrvale keskpika perioodi eelarve-eesmärgi saavutamiseks nõutavast kohandamiskavast.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Teatavad edusammud</w:t>
            </w:r>
          </w:p>
        </w:tc>
      </w:tr>
    </w:tbl>
    <w:p>
      <w:pPr>
        <w:pStyle w:val="NumPar1"/>
        <w:numPr>
          <w:ilvl w:val="0"/>
          <w:numId w:val="0"/>
        </w:numPr>
        <w:spacing w:before="0" w:after="0"/>
        <w:ind w:left="567" w:hanging="567"/>
        <w:rPr>
          <w:noProof/>
          <w:sz w:val="20"/>
        </w:rPr>
      </w:pPr>
      <w:r>
        <w:rPr>
          <w:noProof/>
          <w:sz w:val="20"/>
        </w:rPr>
        <w:t xml:space="preserve">* </w:t>
      </w:r>
      <w:r>
        <w:rPr>
          <w:noProof/>
        </w:rPr>
        <w:tab/>
      </w:r>
      <w:r>
        <w:rPr>
          <w:noProof/>
          <w:sz w:val="20"/>
        </w:rPr>
        <w:t>Komisjon esitas 18. mail 2016 vastavalt ELi toimimise lepingu artikli 126 lõikele 3 aruande, kuna liikmesriik ei teinud 2015. aastal piisavaid edusamme võlareeglist kinnipidamiseks. Aruandes jõuti järeldusele, et pärast kõigi asjaomaste tegurite hindamist tuleks võlakriteerium lugeda täidetuks. Peagi avaldab komisjon uue aruande.</w:t>
      </w: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Eelarvekava esitas vahevalitsus põhimõttel, et poliitikat ei muudeta.</w:t>
      </w:r>
    </w:p>
    <w:p>
      <w:pPr>
        <w:spacing w:after="0" w:line="240" w:lineRule="auto"/>
        <w:ind w:left="567" w:hanging="567"/>
        <w:jc w:val="both"/>
        <w:rPr>
          <w:rFonts w:ascii="Times New Roman" w:hAnsi="Times New Roman"/>
          <w:noProof/>
          <w:sz w:val="20"/>
        </w:rPr>
      </w:pPr>
      <w:r>
        <w:rPr>
          <w:rFonts w:ascii="Times New Roman" w:hAnsi="Times New Roman"/>
          <w:noProof/>
          <w:sz w:val="20"/>
        </w:rPr>
        <w:t xml:space="preserve">*** </w:t>
      </w:r>
      <w:r>
        <w:rPr>
          <w:noProof/>
        </w:rPr>
        <w:tab/>
      </w:r>
      <w:r>
        <w:rPr>
          <w:rFonts w:ascii="Times New Roman" w:hAnsi="Times New Roman"/>
          <w:noProof/>
          <w:sz w:val="20"/>
        </w:rPr>
        <w:t>Sellisele järeldusele jõutakse, kui nõuetest lahutatakse praegune prognoos selle kohta, milline on pagulaste erakordselt suure sissevoolu ja julgeolekumeetmete (Austria võib neid 2017. aastal veel kohaldada, et tagada samaväärne kohtlemine nagu liikmesriikide puhul, kes ei ole oma keskpika perioodi eelarve-eesmärgi saavutamisele nii lähedal) mõju eelarvele 2016. aastal</w:t>
      </w:r>
    </w:p>
    <w:p>
      <w:pPr>
        <w:spacing w:after="0" w:line="240" w:lineRule="auto"/>
        <w:ind w:left="567" w:hanging="567"/>
        <w:jc w:val="both"/>
        <w:rPr>
          <w:rFonts w:ascii="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18. mail 2016 esitas komisjon ELi toimimise lepingu artikli 126 lõike 3 alusel aruande, kuna Soome valitsemissektori võlg ületas 2015. aastal 60 % SKPst. Aruandes jõuti järeldusele, et pärast kõigi asjaomaste tegurite hindamist tuleks võlakriteerium lugeda täidetuks.</w:t>
      </w:r>
    </w:p>
    <w:p>
      <w:pPr>
        <w:spacing w:before="120" w:after="120" w:line="240" w:lineRule="auto"/>
        <w:ind w:left="567" w:hanging="567"/>
        <w:jc w:val="both"/>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t>Tabel 2b: ülevaade komisjoni arvamustest eelarvekavade kohta – liikmesriigid, kelle suhtes kohaldatakse stabiilsuse ja kasvu pakti paranduslikku osa</w:t>
      </w:r>
    </w:p>
    <w:tbl>
      <w:tblPr>
        <w:tblW w:w="9074"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
        <w:gridCol w:w="1444"/>
        <w:gridCol w:w="3578"/>
        <w:gridCol w:w="3132"/>
      </w:tblGrid>
      <w:tr>
        <w:trPr>
          <w:trHeight w:val="300"/>
          <w:jc w:val="center"/>
        </w:trPr>
        <w:tc>
          <w:tcPr>
            <w:tcW w:w="920" w:type="dxa"/>
            <w:vMerge w:val="restart"/>
            <w:noWrap/>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sz w:val="18"/>
              </w:rPr>
              <w:t>Liikmesriik</w:t>
            </w:r>
          </w:p>
        </w:tc>
        <w:tc>
          <w:tcPr>
            <w:tcW w:w="5022"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Eelarvekava üldine vastavus stabiilsuse ja majanduskasvu paktile</w:t>
            </w:r>
          </w:p>
        </w:tc>
        <w:tc>
          <w:tcPr>
            <w:tcW w:w="3132" w:type="dxa"/>
            <w:vMerge w:val="restart"/>
            <w:vAlign w:val="center"/>
          </w:tcPr>
          <w:p>
            <w:pPr>
              <w:spacing w:after="0" w:line="240" w:lineRule="auto"/>
              <w:jc w:val="center"/>
              <w:rPr>
                <w:rFonts w:ascii="Times New Roman" w:hAnsi="Times New Roman"/>
                <w:b/>
                <w:noProof/>
                <w:sz w:val="18"/>
                <w:szCs w:val="18"/>
              </w:rPr>
            </w:pPr>
            <w:r>
              <w:rPr>
                <w:rFonts w:ascii="Times New Roman" w:hAnsi="Times New Roman"/>
                <w:b/>
                <w:noProof/>
                <w:color w:val="000000"/>
                <w:sz w:val="18"/>
              </w:rPr>
              <w:t>Edusammud 2016. aasta riigipõhistes soovitustes esitatud eelarve- ja struktuurimeetmete rakendamisel</w:t>
            </w:r>
          </w:p>
        </w:tc>
      </w:tr>
      <w:tr>
        <w:trPr>
          <w:trHeight w:val="1452"/>
          <w:jc w:val="center"/>
        </w:trPr>
        <w:tc>
          <w:tcPr>
            <w:tcW w:w="920" w:type="dxa"/>
            <w:vMerge/>
            <w:vAlign w:val="center"/>
            <w:hideMark/>
          </w:tcPr>
          <w:p>
            <w:pPr>
              <w:spacing w:after="0" w:line="240" w:lineRule="auto"/>
              <w:rPr>
                <w:b/>
                <w:noProof/>
              </w:rPr>
            </w:pPr>
          </w:p>
        </w:tc>
        <w:tc>
          <w:tcPr>
            <w:tcW w:w="1444" w:type="dxa"/>
            <w:vAlign w:val="center"/>
            <w:hideMark/>
          </w:tcPr>
          <w:p>
            <w:pPr>
              <w:spacing w:after="0" w:line="240" w:lineRule="auto"/>
              <w:jc w:val="center"/>
              <w:rPr>
                <w:b/>
                <w:noProof/>
              </w:rPr>
            </w:pPr>
            <w:r>
              <w:rPr>
                <w:rFonts w:ascii="Times New Roman" w:hAnsi="Times New Roman"/>
                <w:b/>
                <w:noProof/>
                <w:color w:val="000000"/>
                <w:sz w:val="18"/>
              </w:rPr>
              <w:t>Komisjoni 2016. aasta sügisprognoosil põhinev üldine järeldus</w:t>
            </w:r>
          </w:p>
        </w:tc>
        <w:tc>
          <w:tcPr>
            <w:tcW w:w="3578" w:type="dxa"/>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color w:val="000000"/>
                <w:sz w:val="18"/>
              </w:rPr>
              <w:t>Komisjoni 2016. aasta sügisprognoosil põhinev üldine järeldus</w:t>
            </w:r>
          </w:p>
        </w:tc>
        <w:tc>
          <w:tcPr>
            <w:tcW w:w="3132" w:type="dxa"/>
            <w:vMerge/>
            <w:vAlign w:val="center"/>
            <w:hideMark/>
          </w:tcPr>
          <w:p>
            <w:pPr>
              <w:spacing w:after="0"/>
              <w:jc w:val="center"/>
              <w:rPr>
                <w:rFonts w:ascii="Times New Roman" w:hAnsi="Times New Roman"/>
                <w:b/>
                <w:noProof/>
                <w:sz w:val="18"/>
                <w:szCs w:val="18"/>
              </w:rPr>
            </w:pPr>
          </w:p>
        </w:tc>
      </w:tr>
      <w:tr>
        <w:trPr>
          <w:trHeight w:val="300"/>
          <w:jc w:val="center"/>
        </w:trPr>
        <w:tc>
          <w:tcPr>
            <w:tcW w:w="920"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ES*</w:t>
            </w:r>
          </w:p>
        </w:tc>
        <w:tc>
          <w:tcPr>
            <w:tcW w:w="1444"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Nõuetele mittevastavuse oht</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peamine vahe-eesmärk täidetud, eelarve kohandamata;</w:t>
            </w:r>
          </w:p>
          <w:p>
            <w:pPr>
              <w:spacing w:after="0" w:line="240" w:lineRule="auto"/>
              <w:jc w:val="center"/>
              <w:rPr>
                <w:rFonts w:ascii="Times New Roman" w:hAnsi="Times New Roman"/>
                <w:noProof/>
                <w:sz w:val="18"/>
                <w:szCs w:val="18"/>
              </w:rPr>
            </w:pPr>
            <w:r>
              <w:rPr>
                <w:rFonts w:ascii="Times New Roman" w:hAnsi="Times New Roman"/>
                <w:noProof/>
                <w:sz w:val="18"/>
              </w:rPr>
              <w:t>2017: peamine vahe-eesmärk täitmata: poliitika samaks jäämise põhimõttel esitatud eelarvekava põhjal on eelarve kohandamata.</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r>
        <w:trPr>
          <w:trHeight w:val="300"/>
          <w:jc w:val="center"/>
        </w:trPr>
        <w:tc>
          <w:tcPr>
            <w:tcW w:w="920"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FR</w:t>
            </w:r>
          </w:p>
        </w:tc>
        <w:tc>
          <w:tcPr>
            <w:tcW w:w="1444"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Üldiselt vastab nõuetele </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peamine vahe-eesmärk täidetud, eelarve kohandamata;</w:t>
            </w:r>
          </w:p>
          <w:p>
            <w:pPr>
              <w:spacing w:after="0" w:line="240" w:lineRule="auto"/>
              <w:jc w:val="center"/>
              <w:rPr>
                <w:rFonts w:ascii="Times New Roman" w:hAnsi="Times New Roman"/>
                <w:noProof/>
                <w:sz w:val="18"/>
                <w:szCs w:val="18"/>
              </w:rPr>
            </w:pPr>
            <w:r>
              <w:rPr>
                <w:rFonts w:ascii="Times New Roman" w:hAnsi="Times New Roman"/>
                <w:noProof/>
                <w:sz w:val="18"/>
              </w:rPr>
              <w:t>2017: prognoositud nominaalne eelarvepuudujääk napilt alla 3 % SKPst; eelarve kohandamata.</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r>
        <w:trPr>
          <w:trHeight w:val="300"/>
          <w:jc w:val="center"/>
        </w:trPr>
        <w:tc>
          <w:tcPr>
            <w:tcW w:w="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PT**</w:t>
            </w:r>
          </w:p>
        </w:tc>
        <w:tc>
          <w:tcPr>
            <w:tcW w:w="14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Nõuetele mittevastavuse oht</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eeldatavasti korrigeeritakse ülemäärane eelarvepuudujääk õigeks ajaks ja püsivalt; eelarve kohandatud.</w:t>
            </w:r>
          </w:p>
          <w:p>
            <w:pPr>
              <w:spacing w:after="0" w:line="240" w:lineRule="auto"/>
              <w:jc w:val="center"/>
              <w:rPr>
                <w:rFonts w:ascii="Times New Roman" w:hAnsi="Times New Roman"/>
                <w:noProof/>
                <w:sz w:val="18"/>
                <w:szCs w:val="18"/>
              </w:rPr>
            </w:pPr>
            <w:r>
              <w:rPr>
                <w:rFonts w:ascii="Times New Roman" w:hAnsi="Times New Roman"/>
                <w:noProof/>
                <w:sz w:val="18"/>
              </w:rPr>
              <w:t>2017: risk kalduda märkimisväärselt kõrvale keskpika perioodi eelarve-eesmärgi saavutamiseks nõutavast kohandamiskavast;</w:t>
            </w:r>
            <w:r>
              <w:rPr>
                <w:rFonts w:ascii="Times New Roman" w:hAnsi="Times New Roman"/>
                <w:i/>
                <w:noProof/>
                <w:sz w:val="18"/>
              </w:rPr>
              <w:t xml:space="preserve"> </w:t>
            </w:r>
            <w:r>
              <w:rPr>
                <w:rFonts w:ascii="Times New Roman" w:hAnsi="Times New Roman"/>
                <w:i/>
                <w:noProof/>
                <w:sz w:val="18"/>
                <w:szCs w:val="18"/>
              </w:rPr>
              <w:br/>
            </w:r>
            <w:r>
              <w:rPr>
                <w:rFonts w:ascii="Times New Roman" w:hAnsi="Times New Roman"/>
                <w:noProof/>
                <w:sz w:val="18"/>
              </w:rPr>
              <w:t>esmapilgul tundub, et võlareegliga seotud üleminekukorda ei järgita.</w:t>
            </w:r>
          </w:p>
        </w:tc>
        <w:tc>
          <w:tcPr>
            <w:tcW w:w="3132"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noProof/>
                <w:sz w:val="18"/>
                <w:szCs w:val="18"/>
              </w:rPr>
            </w:pPr>
            <w:r>
              <w:rPr>
                <w:rFonts w:ascii="Times New Roman" w:hAnsi="Times New Roman"/>
                <w:noProof/>
                <w:sz w:val="18"/>
              </w:rPr>
              <w:t>Vähesed edusammud</w:t>
            </w:r>
          </w:p>
        </w:tc>
      </w:tr>
    </w:tbl>
    <w:p>
      <w:pPr>
        <w:spacing w:after="0" w:line="240" w:lineRule="auto"/>
        <w:ind w:left="720" w:hanging="720"/>
        <w:jc w:val="center"/>
        <w:rPr>
          <w:rFonts w:ascii="Times New Roman" w:hAnsi="Times New Roman"/>
          <w:noProof/>
        </w:rPr>
      </w:pP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Eelarvekava esitas vahevalitsus põhimõttel, et poliitikat ei muudeta.</w:t>
      </w:r>
    </w:p>
    <w:p>
      <w:pPr>
        <w:spacing w:after="0" w:line="240" w:lineRule="auto"/>
        <w:ind w:left="567" w:hanging="567"/>
        <w:jc w:val="both"/>
        <w:rPr>
          <w:rFonts w:ascii="Times New Roman" w:hAnsi="Times New Roman"/>
          <w:noProof/>
          <w:sz w:val="18"/>
          <w:szCs w:val="18"/>
        </w:rPr>
      </w:pPr>
      <w:r>
        <w:rPr>
          <w:rFonts w:ascii="Times New Roman" w:hAnsi="Times New Roman"/>
          <w:noProof/>
          <w:sz w:val="20"/>
        </w:rPr>
        <w:t>**</w:t>
      </w:r>
      <w:r>
        <w:rPr>
          <w:rFonts w:ascii="Times New Roman" w:hAnsi="Times New Roman"/>
          <w:noProof/>
          <w:sz w:val="18"/>
        </w:rPr>
        <w:t xml:space="preserve"> </w:t>
      </w:r>
      <w:r>
        <w:rPr>
          <w:noProof/>
        </w:rPr>
        <w:tab/>
      </w:r>
      <w:r>
        <w:rPr>
          <w:rFonts w:ascii="Times New Roman" w:hAnsi="Times New Roman"/>
          <w:noProof/>
          <w:sz w:val="20"/>
        </w:rPr>
        <w:t>Portugali suhtes kohaldatakse praegu stabiilsuse ja kasvu pakti paranduslikku osa, kuid tema suhtes võidakse alates 2017. aastast hakata kohaldama ennetuslikku osa juhul, kui ülemäärane eelarvepuudujääk korrigeeritakse õigeaegselt ja kestlikult.</w:t>
      </w:r>
      <w:bookmarkEnd w:id="6"/>
    </w:p>
    <w:p>
      <w:pPr>
        <w:spacing w:before="120" w:after="120" w:line="240" w:lineRule="auto"/>
        <w:jc w:val="both"/>
        <w:rPr>
          <w:rFonts w:ascii="Times New Roman" w:hAnsi="Times New Roman"/>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COM(2016) 727 final, 16.11.2016.</w:t>
      </w:r>
    </w:p>
  </w:footnote>
  <w:footnote w:id="3">
    <w:p>
      <w:pPr>
        <w:pStyle w:val="FootnoteText"/>
        <w:spacing w:after="0" w:line="240" w:lineRule="auto"/>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Vt COM(2016) 726 final, 16.11.2016.</w:t>
      </w:r>
    </w:p>
  </w:footnote>
  <w:footnote w:id="4">
    <w:p>
      <w:pPr>
        <w:pStyle w:val="FootnoteText"/>
        <w:spacing w:after="0" w:line="240" w:lineRule="auto"/>
        <w:ind w:left="284" w:hanging="284"/>
        <w:rPr>
          <w:rFonts w:ascii="Times New Roman" w:hAnsi="Times New Roman"/>
        </w:rPr>
      </w:pPr>
      <w:r>
        <w:rPr>
          <w:rStyle w:val="FootnoteReference"/>
          <w:rFonts w:ascii="Times New Roman" w:hAnsi="Times New Roman"/>
          <w:sz w:val="22"/>
        </w:rPr>
        <w:footnoteRef/>
      </w:r>
      <w:r>
        <w:rPr>
          <w:rFonts w:ascii="Times New Roman" w:hAnsi="Times New Roman"/>
          <w:sz w:val="22"/>
        </w:rPr>
        <w:t xml:space="preserve"> </w:t>
      </w:r>
      <w:r>
        <w:tab/>
      </w:r>
      <w:r>
        <w:rPr>
          <w:rFonts w:ascii="Times New Roman" w:hAnsi="Times New Roman"/>
        </w:rPr>
        <w:t>Nagu on sätestatud määruses (EL) nr 473/2013 euroala liikmesriikide eelarvekavade seire ja hindamise ning nende ülemäärase eelarvepuudujäägi korrigeerimise tagamise ühiste eeskirjade kohta. See on üks teise majanduse juhtimise paketti kuuluvast kahest määrusest, mis jõustus 2013. aasta mais.</w:t>
      </w:r>
    </w:p>
  </w:footnote>
  <w:footnote w:id="5">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COM(2016) 727 final, 16.11.2016, ja:</w:t>
      </w:r>
      <w:r>
        <w:t xml:space="preserve"> </w:t>
      </w:r>
      <w:hyperlink r:id="rId1">
        <w:r>
          <w:rPr>
            <w:rStyle w:val="Hyperlink"/>
            <w:rFonts w:ascii="Times New Roman" w:hAnsi="Times New Roman"/>
          </w:rPr>
          <w:t>http://ec.europa.eu/economy_finance/economic_governance/sgp/budgetary_plans/index_en.htm</w:t>
        </w:r>
      </w:hyperlink>
      <w:r>
        <w:rPr>
          <w:rFonts w:ascii="Times New Roman" w:hAnsi="Times New Roman"/>
        </w:rPr>
        <w:t xml:space="preserve"> </w:t>
      </w:r>
    </w:p>
  </w:footnote>
  <w:footnote w:id="6">
    <w:p>
      <w:pPr>
        <w:pStyle w:val="FootnoteText"/>
        <w:spacing w:after="0" w:line="240" w:lineRule="auto"/>
        <w:ind w:left="284" w:hanging="284"/>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Kuna esitamise tähtaeg 15. oktoober oli 2016. aastal pühapäev, pikendati vastavalt kohaldatavatele õigusnormidele tähtaega esmaspäeva, 17. oktoobrini.</w:t>
      </w:r>
    </w:p>
  </w:footnote>
  <w:footnote w:id="7">
    <w:p>
      <w:pPr>
        <w:pStyle w:val="FootnoteText"/>
        <w:spacing w:after="0" w:line="240" w:lineRule="auto"/>
        <w:ind w:left="284" w:hanging="284"/>
      </w:pPr>
      <w:r>
        <w:rPr>
          <w:rStyle w:val="FootnoteReference"/>
        </w:rPr>
        <w:footnoteRef/>
      </w:r>
      <w:r>
        <w:t xml:space="preserve"> </w:t>
      </w:r>
      <w:r>
        <w:tab/>
      </w:r>
      <w:r>
        <w:rPr>
          <w:rFonts w:ascii="Times New Roman" w:hAnsi="Times New Roman"/>
        </w:rPr>
        <w:t xml:space="preserve">Teise majanduse juhtimise paketi tegevusjuhiste ajakohastatud versioon valmib varsti, kehtiv versioon on kättesaadav järgmisel aadressil: </w:t>
      </w:r>
      <w:hyperlink r:id="rId2">
        <w:r>
          <w:rPr>
            <w:rStyle w:val="Hyperlink"/>
            <w:rFonts w:ascii="Times New Roman" w:hAnsi="Times New Roman"/>
          </w:rPr>
          <w:t>http://ec.europa.eu/economy_finance/economic_governance/sgp/pdf/coc/2014–11–07_two_pack_coc_amended_en.pdf</w:t>
        </w:r>
      </w:hyperlink>
      <w:r>
        <w:t xml:space="preserve"> </w:t>
      </w:r>
    </w:p>
  </w:footnote>
  <w:footnote w:id="8">
    <w:p>
      <w:pPr>
        <w:pStyle w:val="FootnoteText"/>
        <w:tabs>
          <w:tab w:val="left" w:pos="284"/>
        </w:tabs>
        <w:spacing w:after="0" w:line="240" w:lineRule="auto"/>
        <w:ind w:left="284" w:hanging="284"/>
        <w:contextualSpacing/>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Nõukogu 14. juuli 2015. aasta soovitus euroalasse kuuluvate liikmesriikide majanduspoliitika üldsuuniste rakendamise kohta (ELT C 272, 18.8.2015, lk 100).</w:t>
      </w:r>
    </w:p>
  </w:footnote>
  <w:footnote w:id="9">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Vt nõukogu soovitus euroala majanduspoliitika kohta: </w:t>
      </w:r>
      <w:r>
        <w:rPr>
          <w:rFonts w:ascii="Times New Roman" w:hAnsi="Times New Roman"/>
        </w:rPr>
        <w:br/>
        <w:t>http://data.consilium.europa.eu/doc/document/ST-5540-2016-INIT/et/pdf</w:t>
      </w:r>
    </w:p>
  </w:footnote>
  <w:footnote w:id="10">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COM(2016) 726 final, 16.11.2016.</w:t>
      </w:r>
    </w:p>
  </w:footnote>
  <w:footnote w:id="11">
    <w:p>
      <w:pPr>
        <w:pStyle w:val="FootnoteText"/>
        <w:spacing w:after="0" w:line="240" w:lineRule="auto"/>
        <w:ind w:left="284" w:hanging="284"/>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Saksamaal puudub makromajanduslike prognooside koostamise või kinnitamise eest vastutav sõltumatu organ.</w:t>
      </w:r>
    </w:p>
  </w:footnote>
  <w:footnote w:id="12">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Liikmesriikide kavadele viidates põhinevad 2015. aasta andmed eelarvekavades sisalduvatel arvudel ega pruugi seega sisaldada korrektsioone, mida tegi Eurostat 2016. aasta sügise ülemäärase eelarvepuudujäägi menetluse teavitamisvoorus.</w:t>
      </w:r>
    </w:p>
  </w:footnote>
  <w:footnote w:id="13">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Eelarve vabatahtlik konsolideerimine on eelarve kohandamise alternatiivne näitaja, mis on välja töötatud analüüsi otstarbel ning mis ei kuulu stabiilsuse ja kasvu pakti nõuetele vastavuse hindamiseks kasutatavate näitajate hulka. See koosneb tulude poolel alt ülespoole lähenemisviisist ja kulude poolel peamiselt ülevalt allapoole lähenemisviisist. Lisateabe saamiseks vt Euroopa Komisjoni aruande „Riigi rahandus majandus- ja rahaliidus 2013. aastal“ III osa, </w:t>
      </w:r>
      <w:r>
        <w:rPr>
          <w:rFonts w:ascii="Times New Roman" w:hAnsi="Times New Roman"/>
          <w:i/>
        </w:rPr>
        <w:t>European Economy</w:t>
      </w:r>
      <w:r>
        <w:rPr>
          <w:rFonts w:ascii="Times New Roman" w:hAnsi="Times New Roman"/>
        </w:rPr>
        <w:t xml:space="preserve"> 4/2013.</w:t>
      </w:r>
    </w:p>
  </w:footnote>
  <w:footnote w:id="14">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Saksamaa, Eesti, Leedu, Luksemburg ja Madalmaad. Kahe liikmesriigi – Hispaania ja Prantsusmaa – suhtes kohaldatakse ilmselt järgmisel aastal endiselt ülemäärase eelarvepuudujäägi menetlust.</w:t>
      </w:r>
    </w:p>
  </w:footnote>
  <w:footnote w:id="15">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Eurorühm kinnitas kõnealuseid põhimõtteid 5. oktoobril 2015: </w:t>
      </w:r>
      <w:hyperlink r:id="rId3">
        <w:r>
          <w:rPr>
            <w:rStyle w:val="Hyperlink"/>
            <w:rFonts w:ascii="Times New Roman" w:hAnsi="Times New Roman"/>
          </w:rPr>
          <w:t>http://www.consilium.europa.eu/en/meetings/eurogroup/2015/10/05/</w:t>
        </w:r>
      </w:hyperlink>
      <w:r>
        <w:rPr>
          <w:rFonts w:ascii="Times New Roman" w:hAnsi="Times New Roman"/>
        </w:rPr>
        <w:t>.</w:t>
      </w:r>
    </w:p>
  </w:footnote>
  <w:footnote w:id="16">
    <w:p>
      <w:pPr>
        <w:pStyle w:val="FootnoteText"/>
        <w:spacing w:after="0" w:line="240" w:lineRule="auto"/>
        <w:ind w:left="284" w:hanging="284"/>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Üldise võlasuhte kavandatav vähendamine on palju väiksem, kui jätta koondnäitajast välja Saksamaa (-1,6 protsendipunkti võrrelduna 2015.–2017. aastaks kavandatud -3,9 protsendipunktiga).</w:t>
      </w:r>
    </w:p>
  </w:footnote>
  <w:footnote w:id="17">
    <w:p>
      <w:pPr>
        <w:pStyle w:val="FootnoteText"/>
        <w:spacing w:after="0" w:line="240" w:lineRule="auto"/>
        <w:ind w:left="284" w:hanging="284"/>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Liikmesriikide stabiilsuse ja kasvu pakti võlga käsitlevad nõuded erinevad vastavalt sellele, kas riigi suhtes kohaldatakse paranduslikku või ennetuslikku osa ja kas nende võlasuhe ületab 60 % SKPst või jääb sellest allapoole.</w:t>
      </w:r>
    </w:p>
  </w:footnote>
  <w:footnote w:id="18">
    <w:p>
      <w:pPr>
        <w:pStyle w:val="FootnoteText"/>
        <w:spacing w:after="0" w:line="240" w:lineRule="auto"/>
        <w:ind w:left="284" w:hanging="284"/>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http://data.consilium.europa.eu/doc/document/ST-14345-2015-INIT/en/pdf</w:t>
        </w:r>
      </w:hyperlink>
      <w:r>
        <w:rPr>
          <w:rFonts w:ascii="Times New Roman" w:hAnsi="Times New Roman"/>
          <w:color w:val="0000FF"/>
        </w:rPr>
        <w:t xml:space="preserve"> </w:t>
      </w:r>
    </w:p>
  </w:footnote>
  <w:footnote w:id="19">
    <w:p>
      <w:pPr>
        <w:pStyle w:val="FootnoteText"/>
        <w:spacing w:after="0" w:line="240" w:lineRule="auto"/>
        <w:rPr>
          <w:rFonts w:ascii="Times New Roman" w:hAnsi="Times New Roman"/>
        </w:rPr>
      </w:pPr>
      <w:r>
        <w:rPr>
          <w:rStyle w:val="FootnoteReference"/>
        </w:rPr>
        <w:footnoteRef/>
      </w:r>
      <w:r>
        <w:rPr>
          <w:rFonts w:ascii="Times New Roman" w:hAnsi="Times New Roman"/>
        </w:rPr>
        <w:t xml:space="preserve"> </w:t>
      </w:r>
      <w:hyperlink r:id="rId5" w:history="1">
        <w:r>
          <w:rPr>
            <w:rStyle w:val="Hyperlink"/>
            <w:rFonts w:ascii="Times New Roman" w:hAnsi="Times New Roman"/>
          </w:rPr>
          <w:t>http://www.consilium.europa.eu/en/press/press-releases/2016/09/09-eurogroup-statement/</w:t>
        </w:r>
      </w:hyperlink>
      <w:r>
        <w:rPr>
          <w:rFonts w:ascii="Times New Roman" w:hAnsi="Times New Roman"/>
        </w:rPr>
        <w:t xml:space="preserve"> </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Vt COM(2016) 727 (final), 16.11.2016.</w:t>
      </w:r>
    </w:p>
  </w:footnote>
  <w:footnote w:id="21">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Komisjoni jätkusuutlikkuse näitaja S1 näitab selliste aastatel 2016–2021 nõutavate meetmete koguhulka, mida on vaja, et viia võlg 2031. aastaks 60 %ni SKP-st, võttes arvesse vananemisest tulenevaid tingimuslikke kohustusi. Selle kohaselt tuleb euroalal teha järgmise viie aasta jooksul täiendavaid kohandusi 1,8 % ulatuses SKP-st. See tähendab täiendavat iga-aastast kohandamist suurusjärgus ligikaudu 1/3 % SKPst aastal 2016 ja neljal järgneval aastal.</w:t>
      </w:r>
    </w:p>
  </w:footnote>
  <w:footnote w:id="2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http://ec.europa.eu/economy_finance/economic_governance/sgp/budgetary_plans/index_en.htm</w:t>
        </w:r>
      </w:hyperlink>
      <w:r>
        <w:rPr>
          <w:rFonts w:ascii="Times New Roman" w:hAnsi="Times New Roman"/>
        </w:rPr>
        <w:t xml:space="preserve"> </w:t>
      </w:r>
    </w:p>
  </w:footnote>
  <w:footnote w:id="23">
    <w:p>
      <w:pPr>
        <w:spacing w:after="0" w:line="240" w:lineRule="auto"/>
        <w:ind w:left="284" w:hanging="284"/>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Komisjon on liikmesriikidega konsulteerides töötanud välja seirevahendi, mis annab märku juhtumitest, mille puhul võib kokkulepitud metoodika tagajärgi tõlgendada majanduslikult ebaloogilistena. Selliste juhtumite kohta tehti üksikasjalik kvalitatiivne analüüs, mis puudutas muu hulgas võimalikke mõjusid asjaomaste liikmesriikide stabiilsuse ja kasvu paktist tulenevatele nõuetele (vt tekstikast nr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AE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01A41"/>
    <w:multiLevelType w:val="hybridMultilevel"/>
    <w:tmpl w:val="BDFCF8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3B1603"/>
    <w:multiLevelType w:val="hybridMultilevel"/>
    <w:tmpl w:val="606A2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E6110D"/>
    <w:multiLevelType w:val="hybridMultilevel"/>
    <w:tmpl w:val="93AE14B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3A43E4"/>
    <w:multiLevelType w:val="hybridMultilevel"/>
    <w:tmpl w:val="1BF8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32516"/>
    <w:multiLevelType w:val="hybridMultilevel"/>
    <w:tmpl w:val="94A4DF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11DDD"/>
    <w:multiLevelType w:val="hybridMultilevel"/>
    <w:tmpl w:val="D1203D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D6076E5"/>
    <w:multiLevelType w:val="hybridMultilevel"/>
    <w:tmpl w:val="0B4A60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4E4398"/>
    <w:multiLevelType w:val="hybridMultilevel"/>
    <w:tmpl w:val="E4565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8939B8"/>
    <w:multiLevelType w:val="hybridMultilevel"/>
    <w:tmpl w:val="318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37434A10"/>
    <w:multiLevelType w:val="hybridMultilevel"/>
    <w:tmpl w:val="1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B601A"/>
    <w:multiLevelType w:val="hybridMultilevel"/>
    <w:tmpl w:val="FC5E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1418B"/>
    <w:multiLevelType w:val="hybridMultilevel"/>
    <w:tmpl w:val="9C2CEC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C1074"/>
    <w:multiLevelType w:val="hybridMultilevel"/>
    <w:tmpl w:val="92B25A60"/>
    <w:lvl w:ilvl="0" w:tplc="7688BB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F04A5D"/>
    <w:multiLevelType w:val="hybridMultilevel"/>
    <w:tmpl w:val="30D49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E764B"/>
    <w:multiLevelType w:val="hybridMultilevel"/>
    <w:tmpl w:val="D1D6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2A0BBD"/>
    <w:multiLevelType w:val="hybridMultilevel"/>
    <w:tmpl w:val="CC68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E1F84"/>
    <w:multiLevelType w:val="hybridMultilevel"/>
    <w:tmpl w:val="A44A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B0698"/>
    <w:multiLevelType w:val="hybridMultilevel"/>
    <w:tmpl w:val="682CF08C"/>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1C1003"/>
    <w:multiLevelType w:val="hybridMultilevel"/>
    <w:tmpl w:val="F41C9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D0241C"/>
    <w:multiLevelType w:val="hybridMultilevel"/>
    <w:tmpl w:val="140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12B14"/>
    <w:multiLevelType w:val="hybridMultilevel"/>
    <w:tmpl w:val="ACC0F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2E4D3F"/>
    <w:multiLevelType w:val="hybridMultilevel"/>
    <w:tmpl w:val="6358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E0CCE"/>
    <w:multiLevelType w:val="hybridMultilevel"/>
    <w:tmpl w:val="DB9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BB7E3C"/>
    <w:multiLevelType w:val="hybridMultilevel"/>
    <w:tmpl w:val="B302D01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60903733"/>
    <w:multiLevelType w:val="hybridMultilevel"/>
    <w:tmpl w:val="B506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631D8"/>
    <w:multiLevelType w:val="hybridMultilevel"/>
    <w:tmpl w:val="E96EC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CF3CE1"/>
    <w:multiLevelType w:val="hybridMultilevel"/>
    <w:tmpl w:val="7C647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A140C"/>
    <w:multiLevelType w:val="hybridMultilevel"/>
    <w:tmpl w:val="93D4B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60D2CDD"/>
    <w:multiLevelType w:val="hybridMultilevel"/>
    <w:tmpl w:val="8C38ADE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7FF4FE1"/>
    <w:multiLevelType w:val="hybridMultilevel"/>
    <w:tmpl w:val="8848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6"/>
  </w:num>
  <w:num w:numId="4">
    <w:abstractNumId w:val="27"/>
  </w:num>
  <w:num w:numId="5">
    <w:abstractNumId w:val="20"/>
  </w:num>
  <w:num w:numId="6">
    <w:abstractNumId w:val="1"/>
  </w:num>
  <w:num w:numId="7">
    <w:abstractNumId w:val="23"/>
  </w:num>
  <w:num w:numId="8">
    <w:abstractNumId w:val="7"/>
  </w:num>
  <w:num w:numId="9">
    <w:abstractNumId w:val="4"/>
  </w:num>
  <w:num w:numId="10">
    <w:abstractNumId w:val="30"/>
  </w:num>
  <w:num w:numId="11">
    <w:abstractNumId w:val="24"/>
  </w:num>
  <w:num w:numId="12">
    <w:abstractNumId w:val="13"/>
  </w:num>
  <w:num w:numId="13">
    <w:abstractNumId w:val="17"/>
  </w:num>
  <w:num w:numId="14">
    <w:abstractNumId w:val="5"/>
  </w:num>
  <w:num w:numId="15">
    <w:abstractNumId w:val="0"/>
  </w:num>
  <w:num w:numId="16">
    <w:abstractNumId w:val="14"/>
  </w:num>
  <w:num w:numId="17">
    <w:abstractNumId w:val="9"/>
  </w:num>
  <w:num w:numId="18">
    <w:abstractNumId w:val="31"/>
  </w:num>
  <w:num w:numId="19">
    <w:abstractNumId w:val="26"/>
  </w:num>
  <w:num w:numId="20">
    <w:abstractNumId w:val="11"/>
  </w:num>
  <w:num w:numId="21">
    <w:abstractNumId w:val="21"/>
  </w:num>
  <w:num w:numId="22">
    <w:abstractNumId w:val="12"/>
  </w:num>
  <w:num w:numId="23">
    <w:abstractNumId w:val="15"/>
  </w:num>
  <w:num w:numId="24">
    <w:abstractNumId w:val="19"/>
  </w:num>
  <w:num w:numId="25">
    <w:abstractNumId w:val="8"/>
  </w:num>
  <w:num w:numId="26">
    <w:abstractNumId w:val="6"/>
  </w:num>
  <w:num w:numId="27">
    <w:abstractNumId w:val="18"/>
  </w:num>
  <w:num w:numId="28">
    <w:abstractNumId w:val="3"/>
  </w:num>
  <w:num w:numId="29">
    <w:abstractNumId w:val="10"/>
  </w:num>
  <w:num w:numId="30">
    <w:abstractNumId w:val="22"/>
  </w:num>
  <w:num w:numId="31">
    <w:abstractNumId w:val="2"/>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358E549D43254B45B21520DFE3E456C9"/>
    <w:docVar w:name="LW_CROSSREFERENCE" w:val="&lt;UNUSED&gt;"/>
    <w:docVar w:name="LW_DocType" w:val="NORMAL"/>
    <w:docVar w:name="LW_EMISSION" w:val="16.11.2016"/>
    <w:docVar w:name="LW_EMISSION_ISODATE" w:val="2016-11-16"/>
    <w:docVar w:name="LW_EMISSION_LOCATION" w:val="BRX"/>
    <w:docVar w:name="LW_EMISSION_PREFIX" w:val="Brüssel,"/>
    <w:docVar w:name="LW_EMISSION_SUFFIX" w:val=" "/>
    <w:docVar w:name="LW_ID_DOCTYPE_NONLW" w:val="CP-001"/>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6) 730"/>
    <w:docVar w:name="LW_REF.INTERNE" w:val="&lt;UNUSED&gt;"/>
    <w:docVar w:name="LW_SOUS.TITRE.OBJ" w:val="DRAFT OUTLINE"/>
    <w:docVar w:name="LW_SOUS.TITRE.OBJ.CP" w:val="&lt;UNUSED&gt;"/>
    <w:docVar w:name="LW_SUPERTITRE" w:val="&lt;UNUSED&gt;"/>
    <w:docVar w:name="LW_TITRE.OBJ.CP" w:val="2017. aasta eelarvekavad: üldine hinnang"/>
    <w:docVar w:name="LW_TYPE.DOC.CP" w:val="KOMISJONI TEATI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eastAsia="et-EE" w:bidi="et-EE"/>
    </w:rPr>
  </w:style>
  <w:style w:type="paragraph" w:styleId="Heading1">
    <w:name w:val="heading 1"/>
    <w:basedOn w:val="Normal"/>
    <w:next w:val="Normal"/>
    <w:link w:val="Heading1Char"/>
    <w:uiPriority w:val="9"/>
    <w:qFormat/>
    <w:pPr>
      <w:keepNext/>
      <w:spacing w:before="240" w:after="60"/>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lang w:val="en-GB" w:bidi="ar-SA"/>
    </w:rPr>
  </w:style>
  <w:style w:type="character" w:customStyle="1" w:styleId="FooterCoverPageChar">
    <w:name w:val="Footer Cover Page Char"/>
    <w:link w:val="FooterCoverPage"/>
    <w:rPr>
      <w:rFonts w:ascii="Times New Roman" w:hAnsi="Times New Roman"/>
      <w:sz w:val="24"/>
      <w:szCs w:val="22"/>
      <w:lang w:eastAsia="et-E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lang w:val="en-GB" w:bidi="ar-SA"/>
    </w:rPr>
  </w:style>
  <w:style w:type="character" w:customStyle="1" w:styleId="HeaderCoverPageChar">
    <w:name w:val="Header Cover Page Char"/>
    <w:link w:val="HeaderCoverPage"/>
    <w:rPr>
      <w:rFonts w:ascii="Times New Roman" w:hAnsi="Times New Roman"/>
      <w:sz w:val="24"/>
      <w:szCs w:val="22"/>
      <w:lang w:eastAsia="et-EE"/>
    </w:rPr>
  </w:style>
  <w:style w:type="character" w:customStyle="1" w:styleId="Heading1Char">
    <w:name w:val="Heading 1 Char"/>
    <w:link w:val="Heading1"/>
    <w:uiPriority w:val="9"/>
    <w:rPr>
      <w:rFonts w:ascii="Cambria" w:eastAsia="Times New Roman" w:hAnsi="Cambria"/>
      <w:b/>
      <w:bCs/>
      <w:kern w:val="32"/>
      <w:sz w:val="32"/>
      <w:szCs w:val="32"/>
      <w:lang w:eastAsia="et-EE"/>
    </w:rPr>
  </w:style>
  <w:style w:type="character" w:customStyle="1" w:styleId="Heading2Char">
    <w:name w:val="Heading 2 Char"/>
    <w:link w:val="Heading2"/>
    <w:uiPriority w:val="9"/>
    <w:rPr>
      <w:rFonts w:ascii="Cambria" w:eastAsia="Times New Roman" w:hAnsi="Cambria"/>
      <w:b/>
      <w:bCs/>
      <w:i/>
      <w:iCs/>
      <w:sz w:val="28"/>
      <w:szCs w:val="28"/>
      <w:lang w:eastAsia="et-EE"/>
    </w:rPr>
  </w:style>
  <w:style w:type="character" w:customStyle="1" w:styleId="Heading3Char">
    <w:name w:val="Heading 3 Char"/>
    <w:link w:val="Heading3"/>
    <w:uiPriority w:val="9"/>
    <w:rPr>
      <w:rFonts w:ascii="Cambria" w:eastAsia="Times New Roman" w:hAnsi="Cambria"/>
      <w:b/>
      <w:bCs/>
      <w:sz w:val="26"/>
      <w:szCs w:val="26"/>
      <w:lang w:eastAsia="et-EE"/>
    </w:rPr>
  </w:style>
  <w:style w:type="character" w:styleId="Hyperlink">
    <w:name w:val="Hyperlink"/>
    <w:uiPriority w:val="99"/>
    <w:unhideWhenUsed/>
    <w:rPr>
      <w:color w:val="0000FF"/>
      <w:u w:val="single"/>
    </w:rPr>
  </w:style>
  <w:style w:type="paragraph" w:customStyle="1" w:styleId="TOCHeading1">
    <w:name w:val="TOC Heading1"/>
    <w:basedOn w:val="Heading1"/>
    <w:next w:val="Normal"/>
    <w:uiPriority w:val="39"/>
    <w:unhideWhenUsed/>
    <w:qFormat/>
    <w:pPr>
      <w:keepLines/>
      <w:spacing w:before="480" w:after="0"/>
      <w:outlineLvl w:val="9"/>
    </w:pPr>
    <w:rPr>
      <w:color w:val="365F91"/>
      <w:kern w:val="0"/>
      <w:sz w:val="28"/>
      <w:szCs w:val="28"/>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tabs>
        <w:tab w:val="right" w:leader="dot" w:pos="9016"/>
      </w:tabs>
    </w:pPr>
    <w:rPr>
      <w:rFonts w:ascii="Cambria" w:eastAsia="Times New Roman" w:hAnsi="Cambria"/>
      <w:b/>
      <w:bCs/>
      <w:noProof/>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link w:val="FootnoteText"/>
    <w:uiPriority w:val="99"/>
    <w:rPr>
      <w:lang w:eastAsia="et-EE"/>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link w:val="FootnotesymbolCarZchn"/>
    <w:uiPriority w:val="99"/>
    <w:unhideWhenUsed/>
    <w:qFormat/>
    <w:rPr>
      <w:vertAlign w:val="superscript"/>
    </w:rPr>
  </w:style>
  <w:style w:type="paragraph" w:customStyle="1" w:styleId="ColorfulList-Accent11">
    <w:name w:val="Colorful List - Accent 11"/>
    <w:basedOn w:val="Normal"/>
    <w:uiPriority w:val="34"/>
    <w:qFormat/>
    <w:pPr>
      <w:spacing w:after="0" w:line="240" w:lineRule="auto"/>
      <w:ind w:left="720"/>
    </w:pPr>
    <w:rPr>
      <w:rFonts w:cs="Calibr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t-E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rFonts w:ascii="inherit" w:hAnsi="inherit" w:hint="default"/>
      <w:b/>
      <w:bCs/>
      <w:bdr w:val="none" w:sz="0" w:space="0" w:color="auto" w:frame="1"/>
    </w:rPr>
  </w:style>
  <w:style w:type="character" w:customStyle="1" w:styleId="link-size2">
    <w:name w:val="link-size2"/>
    <w:rPr>
      <w:rFonts w:ascii="inherit" w:hAnsi="inherit" w:hint="default"/>
      <w:strike w:val="0"/>
      <w:dstrike w:val="0"/>
      <w:vanish/>
      <w:webHidden w:val="0"/>
      <w:color w:val="333333"/>
      <w:u w:val="none"/>
      <w:effect w:val="none"/>
      <w:bdr w:val="none" w:sz="0" w:space="0" w:color="auto" w:frame="1"/>
      <w:specVanish w:val="0"/>
    </w:rPr>
  </w:style>
  <w:style w:type="paragraph" w:customStyle="1" w:styleId="ColorfulShading-Accent11">
    <w:name w:val="Colorful Shading - Accent 11"/>
    <w:hidden/>
    <w:uiPriority w:val="99"/>
    <w:semiHidden/>
    <w:rPr>
      <w:sz w:val="22"/>
      <w:szCs w:val="22"/>
      <w:lang w:val="et-EE" w:eastAsia="et-EE" w:bidi="et-EE"/>
    </w:rPr>
  </w:style>
  <w:style w:type="paragraph" w:customStyle="1" w:styleId="BoxText">
    <w:name w:val="Box Text"/>
    <w:basedOn w:val="Normal"/>
    <w:pPr>
      <w:spacing w:after="220" w:line="220" w:lineRule="atLeast"/>
      <w:ind w:right="85"/>
      <w:jc w:val="both"/>
    </w:pPr>
    <w:rPr>
      <w:rFonts w:ascii="Times New Roman" w:eastAsia="Times New Roman" w:hAnsi="Times New Roman"/>
      <w:color w:val="000000"/>
      <w:sz w:val="18"/>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t-EE"/>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styleId="Revision">
    <w:name w:val="Revision"/>
    <w:hidden/>
    <w:uiPriority w:val="99"/>
    <w:semiHidden/>
    <w:rPr>
      <w:sz w:val="22"/>
      <w:szCs w:val="22"/>
      <w:lang w:val="et-EE" w:eastAsia="et-EE" w:bidi="et-EE"/>
    </w:rPr>
  </w:style>
  <w:style w:type="paragraph" w:customStyle="1" w:styleId="NumPar1">
    <w:name w:val="NumPar 1"/>
    <w:basedOn w:val="Normal"/>
    <w:next w:val="Normal"/>
    <w:pPr>
      <w:numPr>
        <w:numId w:val="31"/>
      </w:numPr>
      <w:spacing w:before="120" w:after="120" w:line="240" w:lineRule="auto"/>
      <w:jc w:val="both"/>
    </w:pPr>
    <w:rPr>
      <w:rFonts w:ascii="Times New Roman" w:hAnsi="Times New Roman"/>
      <w:sz w:val="24"/>
    </w:rPr>
  </w:style>
  <w:style w:type="paragraph" w:customStyle="1" w:styleId="NumPar2">
    <w:name w:val="NumPar 2"/>
    <w:basedOn w:val="Normal"/>
    <w:next w:val="Normal"/>
    <w:pPr>
      <w:numPr>
        <w:ilvl w:val="1"/>
        <w:numId w:val="31"/>
      </w:numPr>
      <w:spacing w:before="120" w:after="120" w:line="240" w:lineRule="auto"/>
      <w:jc w:val="both"/>
    </w:pPr>
    <w:rPr>
      <w:rFonts w:ascii="Times New Roman" w:hAnsi="Times New Roman"/>
      <w:sz w:val="24"/>
    </w:rPr>
  </w:style>
  <w:style w:type="paragraph" w:customStyle="1" w:styleId="NumPar3">
    <w:name w:val="NumPar 3"/>
    <w:basedOn w:val="Normal"/>
    <w:next w:val="Normal"/>
    <w:pPr>
      <w:numPr>
        <w:ilvl w:val="2"/>
        <w:numId w:val="31"/>
      </w:numPr>
      <w:spacing w:before="120" w:after="120" w:line="240" w:lineRule="auto"/>
      <w:jc w:val="both"/>
    </w:pPr>
    <w:rPr>
      <w:rFonts w:ascii="Times New Roman" w:hAnsi="Times New Roman"/>
      <w:sz w:val="24"/>
    </w:rPr>
  </w:style>
  <w:style w:type="paragraph" w:customStyle="1" w:styleId="NumPar4">
    <w:name w:val="NumPar 4"/>
    <w:basedOn w:val="Normal"/>
    <w:next w:val="Normal"/>
    <w:pPr>
      <w:numPr>
        <w:ilvl w:val="3"/>
        <w:numId w:val="31"/>
      </w:numPr>
      <w:spacing w:before="120" w:after="120" w:line="240" w:lineRule="auto"/>
      <w:jc w:val="both"/>
    </w:pPr>
    <w:rPr>
      <w:rFonts w:ascii="Times New Roman" w:hAnsi="Times New Roman"/>
      <w:sz w:val="24"/>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Default">
    <w:name w:val="Default"/>
    <w:pPr>
      <w:autoSpaceDE w:val="0"/>
      <w:autoSpaceDN w:val="0"/>
      <w:adjustRightInd w:val="0"/>
    </w:pPr>
    <w:rPr>
      <w:rFonts w:ascii="Times New Roman" w:hAnsi="Times New Roman"/>
      <w:color w:val="000000"/>
      <w:sz w:val="24"/>
      <w:szCs w:val="24"/>
      <w:lang w:val="et-EE" w:eastAsia="et-EE" w:bidi="et-E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4914">
      <w:bodyDiv w:val="1"/>
      <w:marLeft w:val="0"/>
      <w:marRight w:val="0"/>
      <w:marTop w:val="0"/>
      <w:marBottom w:val="0"/>
      <w:divBdr>
        <w:top w:val="none" w:sz="0" w:space="0" w:color="auto"/>
        <w:left w:val="none" w:sz="0" w:space="0" w:color="auto"/>
        <w:bottom w:val="none" w:sz="0" w:space="0" w:color="auto"/>
        <w:right w:val="none" w:sz="0" w:space="0" w:color="auto"/>
      </w:divBdr>
    </w:div>
    <w:div w:id="1631788135">
      <w:bodyDiv w:val="1"/>
      <w:marLeft w:val="0"/>
      <w:marRight w:val="0"/>
      <w:marTop w:val="0"/>
      <w:marBottom w:val="0"/>
      <w:divBdr>
        <w:top w:val="none" w:sz="0" w:space="0" w:color="auto"/>
        <w:left w:val="none" w:sz="0" w:space="0" w:color="auto"/>
        <w:bottom w:val="none" w:sz="0" w:space="0" w:color="auto"/>
        <w:right w:val="none" w:sz="0" w:space="0" w:color="auto"/>
      </w:divBdr>
    </w:div>
    <w:div w:id="1676572784">
      <w:bodyDiv w:val="1"/>
      <w:marLeft w:val="0"/>
      <w:marRight w:val="0"/>
      <w:marTop w:val="0"/>
      <w:marBottom w:val="0"/>
      <w:divBdr>
        <w:top w:val="none" w:sz="0" w:space="0" w:color="auto"/>
        <w:left w:val="none" w:sz="0" w:space="0" w:color="auto"/>
        <w:bottom w:val="none" w:sz="0" w:space="0" w:color="auto"/>
        <w:right w:val="none" w:sz="0" w:space="0" w:color="auto"/>
      </w:divBdr>
    </w:div>
    <w:div w:id="1682970350">
      <w:bodyDiv w:val="1"/>
      <w:marLeft w:val="0"/>
      <w:marRight w:val="0"/>
      <w:marTop w:val="0"/>
      <w:marBottom w:val="0"/>
      <w:divBdr>
        <w:top w:val="none" w:sz="0" w:space="0" w:color="auto"/>
        <w:left w:val="none" w:sz="0" w:space="0" w:color="auto"/>
        <w:bottom w:val="none" w:sz="0" w:space="0" w:color="auto"/>
        <w:right w:val="none" w:sz="0" w:space="0" w:color="auto"/>
      </w:divBdr>
    </w:div>
    <w:div w:id="18529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t/meetings/eurogroup/2015/10/05/" TargetMode="External"/><Relationship Id="rId2" Type="http://schemas.openxmlformats.org/officeDocument/2006/relationships/hyperlink" Target="http://ec.europa.eu/economy_finance/economic_governance/sgp/pdf/coc/2014-11-07_two_pack_coc_amended_en.pdf" TargetMode="External"/><Relationship Id="rId1" Type="http://schemas.openxmlformats.org/officeDocument/2006/relationships/hyperlink" Target="http://ec.europa.eu/economy_finance/economic_governance/sgp/budgetary_plans/index_en.htm" TargetMode="External"/><Relationship Id="rId6" Type="http://schemas.openxmlformats.org/officeDocument/2006/relationships/hyperlink" Target="http://ec.europa.eu/economy_finance/economic_governance/sgp/budgetary_plans/index_en.htm" TargetMode="External"/><Relationship Id="rId5" Type="http://schemas.openxmlformats.org/officeDocument/2006/relationships/hyperlink" Target="http://www.consilium.europa.eu/en/press/press-releases/2016/09/09-eurogroup-statement/" TargetMode="External"/><Relationship Id="rId4" Type="http://schemas.openxmlformats.org/officeDocument/2006/relationships/hyperlink" Target="http://data.consilium.europa.eu/doc/document/ST-14345-2015-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2C6F-CCE4-418B-9BF2-B3DD6FF7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25</Pages>
  <Words>6921</Words>
  <Characters>52674</Characters>
  <Application>Microsoft Office Word</Application>
  <DocSecurity>0</DocSecurity>
  <Lines>1012</Lines>
  <Paragraphs>327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59268</CharactersWithSpaces>
  <SharedDoc>false</SharedDoc>
  <HLinks>
    <vt:vector size="78" baseType="variant">
      <vt:variant>
        <vt:i4>1835061</vt:i4>
      </vt:variant>
      <vt:variant>
        <vt:i4>26</vt:i4>
      </vt:variant>
      <vt:variant>
        <vt:i4>0</vt:i4>
      </vt:variant>
      <vt:variant>
        <vt:i4>5</vt:i4>
      </vt:variant>
      <vt:variant>
        <vt:lpwstr/>
      </vt:variant>
      <vt:variant>
        <vt:lpwstr>_Toc466401782</vt:lpwstr>
      </vt:variant>
      <vt:variant>
        <vt:i4>1835061</vt:i4>
      </vt:variant>
      <vt:variant>
        <vt:i4>23</vt:i4>
      </vt:variant>
      <vt:variant>
        <vt:i4>0</vt:i4>
      </vt:variant>
      <vt:variant>
        <vt:i4>5</vt:i4>
      </vt:variant>
      <vt:variant>
        <vt:lpwstr/>
      </vt:variant>
      <vt:variant>
        <vt:lpwstr>_Toc466401781</vt:lpwstr>
      </vt:variant>
      <vt:variant>
        <vt:i4>1835061</vt:i4>
      </vt:variant>
      <vt:variant>
        <vt:i4>20</vt:i4>
      </vt:variant>
      <vt:variant>
        <vt:i4>0</vt:i4>
      </vt:variant>
      <vt:variant>
        <vt:i4>5</vt:i4>
      </vt:variant>
      <vt:variant>
        <vt:lpwstr/>
      </vt:variant>
      <vt:variant>
        <vt:lpwstr>_Toc466401780</vt:lpwstr>
      </vt:variant>
      <vt:variant>
        <vt:i4>1245237</vt:i4>
      </vt:variant>
      <vt:variant>
        <vt:i4>17</vt:i4>
      </vt:variant>
      <vt:variant>
        <vt:i4>0</vt:i4>
      </vt:variant>
      <vt:variant>
        <vt:i4>5</vt:i4>
      </vt:variant>
      <vt:variant>
        <vt:lpwstr/>
      </vt:variant>
      <vt:variant>
        <vt:lpwstr>_Toc466401779</vt:lpwstr>
      </vt:variant>
      <vt:variant>
        <vt:i4>1245237</vt:i4>
      </vt:variant>
      <vt:variant>
        <vt:i4>14</vt:i4>
      </vt:variant>
      <vt:variant>
        <vt:i4>0</vt:i4>
      </vt:variant>
      <vt:variant>
        <vt:i4>5</vt:i4>
      </vt:variant>
      <vt:variant>
        <vt:lpwstr/>
      </vt:variant>
      <vt:variant>
        <vt:lpwstr>_Toc466401778</vt:lpwstr>
      </vt:variant>
      <vt:variant>
        <vt:i4>1245237</vt:i4>
      </vt:variant>
      <vt:variant>
        <vt:i4>8</vt:i4>
      </vt:variant>
      <vt:variant>
        <vt:i4>0</vt:i4>
      </vt:variant>
      <vt:variant>
        <vt:i4>5</vt:i4>
      </vt:variant>
      <vt:variant>
        <vt:lpwstr/>
      </vt:variant>
      <vt:variant>
        <vt:lpwstr>_Toc466401777</vt:lpwstr>
      </vt:variant>
      <vt:variant>
        <vt:i4>1245237</vt:i4>
      </vt:variant>
      <vt:variant>
        <vt:i4>2</vt:i4>
      </vt:variant>
      <vt:variant>
        <vt:i4>0</vt:i4>
      </vt:variant>
      <vt:variant>
        <vt:i4>5</vt:i4>
      </vt:variant>
      <vt:variant>
        <vt:lpwstr/>
      </vt:variant>
      <vt:variant>
        <vt:lpwstr>_Toc466401776</vt:lpwstr>
      </vt:variant>
      <vt:variant>
        <vt:i4>7733285</vt:i4>
      </vt:variant>
      <vt:variant>
        <vt:i4>15</vt:i4>
      </vt:variant>
      <vt:variant>
        <vt:i4>0</vt:i4>
      </vt:variant>
      <vt:variant>
        <vt:i4>5</vt:i4>
      </vt:variant>
      <vt:variant>
        <vt:lpwstr>http://ec.europa.eu/economy_finance/economic_governance/sgp/budgetary_plans/index_en.htm</vt:lpwstr>
      </vt:variant>
      <vt:variant>
        <vt:lpwstr/>
      </vt:variant>
      <vt:variant>
        <vt:i4>2818104</vt:i4>
      </vt:variant>
      <vt:variant>
        <vt:i4>12</vt:i4>
      </vt:variant>
      <vt:variant>
        <vt:i4>0</vt:i4>
      </vt:variant>
      <vt:variant>
        <vt:i4>5</vt:i4>
      </vt:variant>
      <vt:variant>
        <vt:lpwstr>http://www.consilium.europa.eu/en/press/press-releases/2016/09/09-eurogroup-statement/</vt:lpwstr>
      </vt:variant>
      <vt:variant>
        <vt:lpwstr/>
      </vt:variant>
      <vt:variant>
        <vt:i4>6619168</vt:i4>
      </vt:variant>
      <vt:variant>
        <vt:i4>9</vt:i4>
      </vt:variant>
      <vt:variant>
        <vt:i4>0</vt:i4>
      </vt:variant>
      <vt:variant>
        <vt:i4>5</vt:i4>
      </vt:variant>
      <vt:variant>
        <vt:lpwstr>http://data.consilium.europa.eu/doc/document/ST-14345-2015-INIT/en/pdf</vt:lpwstr>
      </vt:variant>
      <vt:variant>
        <vt:lpwstr/>
      </vt:variant>
      <vt:variant>
        <vt:i4>6094865</vt:i4>
      </vt:variant>
      <vt:variant>
        <vt:i4>6</vt:i4>
      </vt:variant>
      <vt:variant>
        <vt:i4>0</vt:i4>
      </vt:variant>
      <vt:variant>
        <vt:i4>5</vt:i4>
      </vt:variant>
      <vt:variant>
        <vt:lpwstr>http://www.consilium.europa.eu/en/meetings/eurogroup/2015/10/05/</vt:lpwstr>
      </vt:variant>
      <vt:variant>
        <vt:lpwstr/>
      </vt:variant>
      <vt:variant>
        <vt:i4>2949145</vt:i4>
      </vt:variant>
      <vt:variant>
        <vt:i4>3</vt:i4>
      </vt:variant>
      <vt:variant>
        <vt:i4>0</vt:i4>
      </vt:variant>
      <vt:variant>
        <vt:i4>5</vt:i4>
      </vt:variant>
      <vt:variant>
        <vt:lpwstr>http://ec.europa.eu/economy_finance/economic_governance/sgp/pdf/coc/2014-11-07_two_pack_coc_amended_en.pdf</vt:lpwstr>
      </vt:variant>
      <vt:variant>
        <vt:lpwstr/>
      </vt:variant>
      <vt:variant>
        <vt:i4>7733285</vt:i4>
      </vt:variant>
      <vt:variant>
        <vt:i4>0</vt:i4>
      </vt:variant>
      <vt:variant>
        <vt:i4>0</vt:i4>
      </vt:variant>
      <vt:variant>
        <vt:i4>5</vt:i4>
      </vt:variant>
      <vt:variant>
        <vt:lpwstr>http://ec.europa.eu/economy_finance/economic_governance/sgp/budgetary_plans/index_en.htm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27</cp:revision>
  <cp:lastPrinted>2016-11-17T13:16:00Z</cp:lastPrinted>
  <dcterms:created xsi:type="dcterms:W3CDTF">2016-11-17T12:46:00Z</dcterms:created>
  <dcterms:modified xsi:type="dcterms:W3CDTF">2016-11-23T08:48:00Z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