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alt="27691307B20D490FB70FC38E4A7300B7" style="width:450.35pt;height:365.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line="240" w:lineRule="auto"/>
        <w:rPr>
          <w:rFonts w:ascii="Cambria" w:eastAsia="Times New Roman" w:hAnsi="Cambria"/>
          <w:b/>
          <w:bCs/>
          <w:noProof/>
          <w:sz w:val="28"/>
          <w:szCs w:val="28"/>
        </w:rPr>
      </w:pPr>
      <w:bookmarkStart w:id="1" w:name="_GoBack"/>
      <w:bookmarkEnd w:id="1"/>
    </w:p>
    <w:p>
      <w:pPr>
        <w:pStyle w:val="Heading3"/>
        <w:jc w:val="both"/>
        <w:rPr>
          <w:rFonts w:ascii="Times New Roman" w:hAnsi="Times New Roman"/>
          <w:b w:val="0"/>
          <w:noProof/>
        </w:rPr>
      </w:pPr>
      <w:bookmarkStart w:id="2" w:name="_Toc466401779"/>
      <w:r>
        <w:rPr>
          <w:noProof/>
          <w:sz w:val="28"/>
        </w:rPr>
        <w:t>BILAG I: Landespecifik vurdering af udkastene til budgetplaner</w:t>
      </w:r>
      <w:bookmarkEnd w:id="2"/>
    </w:p>
    <w:p>
      <w:pPr>
        <w:rPr>
          <w:rFonts w:ascii="Times New Roman" w:hAnsi="Times New Roman"/>
          <w:b/>
          <w:noProof/>
          <w:sz w:val="24"/>
          <w:szCs w:val="24"/>
          <w:u w:val="single"/>
        </w:rPr>
      </w:pPr>
      <w:r>
        <w:rPr>
          <w:rFonts w:ascii="Times New Roman" w:hAnsi="Times New Roman"/>
          <w:b/>
          <w:noProof/>
          <w:sz w:val="24"/>
          <w:u w:val="single"/>
        </w:rPr>
        <w:t>Medlemsstater, der er omfattet af den forebyggende del af stabilitets- og vækstpagten</w:t>
      </w:r>
    </w:p>
    <w:p>
      <w:pPr>
        <w:jc w:val="both"/>
        <w:rPr>
          <w:rFonts w:ascii="Times New Roman" w:hAnsi="Times New Roman"/>
          <w:b/>
          <w:i/>
          <w:noProof/>
          <w:sz w:val="24"/>
          <w:szCs w:val="24"/>
        </w:rPr>
      </w:pPr>
      <w:r>
        <w:rPr>
          <w:rFonts w:ascii="Times New Roman" w:hAnsi="Times New Roman"/>
          <w:b/>
          <w:i/>
          <w:noProof/>
          <w:sz w:val="24"/>
        </w:rPr>
        <w:t>Planer, der er i overensstemmelse med landets forpligtelser</w:t>
      </w:r>
    </w:p>
    <w:p>
      <w:pPr>
        <w:spacing w:line="240" w:lineRule="auto"/>
        <w:jc w:val="both"/>
        <w:rPr>
          <w:rFonts w:ascii="Times New Roman" w:hAnsi="Times New Roman"/>
          <w:noProof/>
          <w:sz w:val="24"/>
        </w:rPr>
      </w:pPr>
      <w:r>
        <w:rPr>
          <w:rFonts w:ascii="Times New Roman" w:hAnsi="Times New Roman"/>
          <w:noProof/>
          <w:sz w:val="24"/>
        </w:rPr>
        <w:t xml:space="preserve">Kommissionen finder, at udkastet til budgetplan for </w:t>
      </w:r>
      <w:r>
        <w:rPr>
          <w:rFonts w:ascii="Times New Roman" w:hAnsi="Times New Roman"/>
          <w:b/>
          <w:noProof/>
          <w:sz w:val="24"/>
        </w:rPr>
        <w:t>Tyskland</w:t>
      </w:r>
      <w:r>
        <w:rPr>
          <w:rFonts w:ascii="Times New Roman" w:hAnsi="Times New Roman"/>
          <w:noProof/>
          <w:sz w:val="24"/>
        </w:rPr>
        <w:t xml:space="preserve">, der p.t. er underlagt den forebyggende del af stabilitets- og vækstpagten og omfattet af gældsreglen, er i overensstemmelse med pagtens bestemmelser. I overensstemmelse med Kommissionens meddelelse "En positiv finanspolitisk kurs for euroområdet" burde Tysklands gunstige budgetsituation gøre det muligt at dække de ekstra udgifter, der kan opstå som følge af den stærke tilstrømning af asylansøgere, samt yderligere at øge de offentlige investeringer i infrastruktur, uddannelse, forskning og innovation, som anbefalet af Rådet som led i det europæiske semester. Kommissionen finder desuden, at Tyskland har gjort begrænsede fremskridt for så vidt angår den strukturelle del af de landespecifikke finanspolitiske henstillinger, som Rådet fremsatte som led i det europæiske semester i 2016, og opfordrer derfor myndighederne til at øge tempoet i indsatsen. </w:t>
      </w:r>
    </w:p>
    <w:p>
      <w:pPr>
        <w:spacing w:line="240" w:lineRule="auto"/>
        <w:jc w:val="both"/>
        <w:rPr>
          <w:rFonts w:ascii="Times New Roman" w:hAnsi="Times New Roman"/>
          <w:noProof/>
          <w:sz w:val="24"/>
          <w:szCs w:val="24"/>
        </w:rPr>
      </w:pPr>
      <w:r>
        <w:rPr>
          <w:rFonts w:ascii="Times New Roman" w:hAnsi="Times New Roman"/>
          <w:noProof/>
          <w:sz w:val="24"/>
        </w:rPr>
        <w:t xml:space="preserve">Kommissionen finder, at udkastet til budgetplan for </w:t>
      </w:r>
      <w:r>
        <w:rPr>
          <w:rFonts w:ascii="Times New Roman" w:hAnsi="Times New Roman"/>
          <w:b/>
          <w:noProof/>
          <w:sz w:val="24"/>
        </w:rPr>
        <w:t>Estland</w:t>
      </w:r>
      <w:r>
        <w:rPr>
          <w:rFonts w:ascii="Times New Roman" w:hAnsi="Times New Roman"/>
          <w:noProof/>
          <w:sz w:val="24"/>
        </w:rPr>
        <w:t>, der p.t. er underlagt den forebyggende del af stabilitets- og vækstpagten, er i overensstemmelse med pagtens bestemmelser. I overensstemmelse med Kommissionens meddelelse "En positiv finanspolitisk kurs for euroområdet" opfordres Estland til at gennemføre budgettet for 2017.</w:t>
      </w:r>
    </w:p>
    <w:p>
      <w:pPr>
        <w:spacing w:line="240" w:lineRule="auto"/>
        <w:jc w:val="both"/>
        <w:rPr>
          <w:noProof/>
        </w:rPr>
      </w:pPr>
      <w:r>
        <w:rPr>
          <w:rFonts w:ascii="Times New Roman" w:hAnsi="Times New Roman"/>
          <w:noProof/>
          <w:sz w:val="24"/>
        </w:rPr>
        <w:t xml:space="preserve">Kommissionen finder, at udkastet til budgetplan for </w:t>
      </w:r>
      <w:r>
        <w:rPr>
          <w:rFonts w:ascii="Times New Roman" w:hAnsi="Times New Roman"/>
          <w:b/>
          <w:noProof/>
          <w:sz w:val="24"/>
        </w:rPr>
        <w:t>Luxembourg</w:t>
      </w:r>
      <w:r>
        <w:rPr>
          <w:rFonts w:ascii="Times New Roman" w:hAnsi="Times New Roman"/>
          <w:noProof/>
          <w:sz w:val="24"/>
        </w:rPr>
        <w:t xml:space="preserve">, der p.t. er underlagt den forebyggende del af stabilitets- og vækstpagten, er i overensstemmelse med pagtens bestemmelser. I overensstemmelse med Kommissionens meddelelse "En positiv finanspolitisk kurs for euroområdet" kan Luxembourgs budgetsituation give plads til en understøttende finanspolitisk kurs, samtidig med at de nationale offentlige finansers holdbarhed på lang sigt sikres. Kommissionen finder desuden, at Luxembourg har gjort begrænsede fremskridt for så vidt angår den strukturelle del af de landespecifikke finanspolitiske henstillinger, som Rådet fremsatte som led i det europæiske semester i 2016, og opfordrer derfor myndighederne til at øge tempoet i indsatsen. </w:t>
      </w:r>
    </w:p>
    <w:p>
      <w:pPr>
        <w:pStyle w:val="NumPar1"/>
        <w:numPr>
          <w:ilvl w:val="0"/>
          <w:numId w:val="0"/>
        </w:numPr>
        <w:rPr>
          <w:noProof/>
        </w:rPr>
      </w:pPr>
      <w:r>
        <w:rPr>
          <w:noProof/>
        </w:rPr>
        <w:t xml:space="preserve">Kommissionen finder, at udkastet til budgetplan for </w:t>
      </w:r>
      <w:r>
        <w:rPr>
          <w:b/>
          <w:noProof/>
        </w:rPr>
        <w:t>Nederlandene</w:t>
      </w:r>
      <w:r>
        <w:rPr>
          <w:noProof/>
        </w:rPr>
        <w:t xml:space="preserve">, der p.t. er underlagt den forebyggende del af stabilitets- og vækstpagten og omfattet af overgangsbestemmelsen vedrørende gældskriteriet, er i overensstemmelse med pagtens bestemmelser. I overensstemmelse med Kommissionens meddelelse "En positiv finanspolitisk kurs for euroområdet" kan Nederlandenes budgetsituation give plads til en understøttende finanspolitisk kurs, samtidig med at de nationale offentlige finansers holdbarhed på lang sigt sikres. Kommissionen finder også, at Nederlandene ikke har gjort fremskridt for så vidt angår den strukturelle del af de landespecifikke finanspolitiske henstillinger, som Rådet fremsatte som led i det europæiske semester i 2016, og opfordrer derfor myndighederne til at øge tempoet i indsatsen. </w:t>
      </w:r>
    </w:p>
    <w:p>
      <w:pPr>
        <w:pStyle w:val="NumPar1"/>
        <w:numPr>
          <w:ilvl w:val="0"/>
          <w:numId w:val="0"/>
        </w:numPr>
        <w:rPr>
          <w:noProof/>
        </w:rPr>
      </w:pPr>
      <w:r>
        <w:rPr>
          <w:noProof/>
        </w:rPr>
        <w:t xml:space="preserve">Kommissionen finder, at udkastet til budgetplan for </w:t>
      </w:r>
      <w:r>
        <w:rPr>
          <w:b/>
          <w:noProof/>
        </w:rPr>
        <w:t>Slovakiet</w:t>
      </w:r>
      <w:r>
        <w:rPr>
          <w:noProof/>
        </w:rPr>
        <w:t xml:space="preserve">, der p.t. er underlagt den forebyggende del af stabilitets- og vækstpagten, er i overensstemmelse med pagtens bestemmelser. I overensstemmelse med Kommissionens meddelelse "En positiv finanspolitisk kurs for euroområdet" opfordres myndighederne til nøje at gennemføre budgettet for 2017. Kommissionen finder også, at Slovakiet har gjort visse fremskridt, for så vidt angår den strukturelle del af de landespecifikke finanspolitiske henstillinger, som Rådet fremsatte som led i det europæiske semester i 2016, og den opfordrer myndighederne til at fortsætte indsatsen, navnlig hvad angår overholdelsen af skattereglerne. </w:t>
      </w:r>
    </w:p>
    <w:p>
      <w:pPr>
        <w:keepNext/>
        <w:jc w:val="both"/>
        <w:rPr>
          <w:rFonts w:ascii="Times New Roman" w:hAnsi="Times New Roman"/>
          <w:b/>
          <w:i/>
          <w:noProof/>
          <w:sz w:val="24"/>
          <w:szCs w:val="24"/>
        </w:rPr>
      </w:pPr>
      <w:r>
        <w:rPr>
          <w:rFonts w:ascii="Times New Roman" w:hAnsi="Times New Roman"/>
          <w:b/>
          <w:i/>
          <w:noProof/>
          <w:sz w:val="24"/>
        </w:rPr>
        <w:t xml:space="preserve">Planer, der er i bred overensstemmelse med pagten </w:t>
      </w:r>
    </w:p>
    <w:p>
      <w:pPr>
        <w:pStyle w:val="NumPar1"/>
        <w:numPr>
          <w:ilvl w:val="0"/>
          <w:numId w:val="0"/>
        </w:numPr>
        <w:rPr>
          <w:noProof/>
        </w:rPr>
      </w:pPr>
      <w:r>
        <w:rPr>
          <w:noProof/>
        </w:rPr>
        <w:t xml:space="preserve">Kommissionen finder, at udkastet til budgetplan for </w:t>
      </w:r>
      <w:r>
        <w:rPr>
          <w:b/>
          <w:noProof/>
        </w:rPr>
        <w:t>Irland</w:t>
      </w:r>
      <w:r>
        <w:rPr>
          <w:noProof/>
        </w:rPr>
        <w:t xml:space="preserve">, der p.t. er underlagt den forebyggende del af stabilitets- og vækstpagten og omfattet af overgangsbestemmelsen vedrørende gældskriteriet, er i bred overensstemmelse med pagtens bestemmelser. Samtidig er regeringens beslutning om at anvende en stor del af de ustabile og stadig usikre skatteindtægter til yderligere udgifter i 2016 dog ikke i overensstemmelse med henstillingerne i forbindelse med det europæiske semester, hvor Rådet beder Irland anvende ekstraordinære gevinster som følge af økonomiske og finansielle betingelser, der er bedre end forventet, til at fremskynde nedbringelsen af underskuddet og gælden. I overensstemmelse med Kommissionens meddelelse "En positiv finanspolitisk kurs for euroområdet" opfordres myndighederne til at træffe de nødvendige foranstaltninger som led i den nationale budgetprocedure for at sikre, at budgettet i 2017 er i overensstemmelse med stabilitets- og vækstpagten. Desuden finder Kommissionen, at Irland har gjort visse fremskridt for så vidt angår den strukturelle del af de landespecifikke finanspolitiske henstillinger, som Rådet fremsatte som led i det europæiske semester i 2016, og den opfordrer derfor myndighederne til at fortsætte indsatsen. </w:t>
      </w:r>
    </w:p>
    <w:p>
      <w:pPr>
        <w:pStyle w:val="NumPar1"/>
        <w:numPr>
          <w:ilvl w:val="0"/>
          <w:numId w:val="0"/>
        </w:numPr>
        <w:rPr>
          <w:noProof/>
        </w:rPr>
      </w:pPr>
      <w:r>
        <w:rPr>
          <w:noProof/>
        </w:rPr>
        <w:t xml:space="preserve">Kommissionen finder, at udkastet til budgetplan for </w:t>
      </w:r>
      <w:r>
        <w:rPr>
          <w:b/>
          <w:noProof/>
        </w:rPr>
        <w:t>Letland</w:t>
      </w:r>
      <w:r>
        <w:rPr>
          <w:noProof/>
        </w:rPr>
        <w:t xml:space="preserve">, der p.t. er underlagt den forebyggende del af stabilitets- og vækstpagten, er i bred overensstemmelse med pagtens bestemmelser. Ifølge Kommissionens efterårsprognose 2016 forventes en mindre afvigelse i 2016 og 2017 set under ét, idet afvigelsen i 2016 ikke forventes kompenseret fuldt ud i 2017. I overensstemmelse med Kommissionens meddelelse "En positiv finanspolitisk kurs for euroområdet" opfordres myndighederne til at træffe de nødvendige foranstaltninger som led i den nationale budgetprocedure for at sikre, at budgettet i 2017 er i overensstemmelse med stabilitets- og vækstpagten. Kommissionen finder desuden, at Letland har gjort begrænsede fremskridt for så vidt angår den strukturelle del af de landespecifikke finanspolitiske henstillinger, som Rådet fremsatte som led i det europæiske semester i 2016, og opfordrer derfor myndighederne til at øge tempoet i indsatsen. </w:t>
      </w:r>
    </w:p>
    <w:p>
      <w:pPr>
        <w:pStyle w:val="NumPar1"/>
        <w:numPr>
          <w:ilvl w:val="0"/>
          <w:numId w:val="0"/>
        </w:numPr>
        <w:rPr>
          <w:noProof/>
        </w:rPr>
      </w:pPr>
      <w:r>
        <w:rPr>
          <w:noProof/>
        </w:rPr>
        <w:t xml:space="preserve">Kommissionen finder, at udkastet til budgetplan for </w:t>
      </w:r>
      <w:r>
        <w:rPr>
          <w:b/>
          <w:noProof/>
        </w:rPr>
        <w:t>Malta</w:t>
      </w:r>
      <w:r>
        <w:rPr>
          <w:noProof/>
        </w:rPr>
        <w:t xml:space="preserve">, der p.t. er underlagt den forebyggende del af stabilitets- og vækstpagten, er i bred overensstemmelse med pagtens bestemmelser. I overensstemmelse med Kommissionens meddelelse "En positiv finanspolitisk kurs for euroområdet" opfordres myndighederne til at træffe de nødvendige foranstaltninger som led i den nationale budgetprocedure for at sikre, at budgettet i 2017 er i overensstemmelse med stabilitets- og vækstpagten. Kommissionen finder desuden, at Malta ikke har gjort fremskridt for så vidt angår den strukturelle del af de landespecifikke finanspolitiske henstillinger, som Rådet fremsatte som led i det europæiske semester i 2016, og den opfordrer derfor myndighederne til at øge tempoet i indsatsen. </w:t>
      </w:r>
    </w:p>
    <w:p>
      <w:pPr>
        <w:pStyle w:val="NumPar1"/>
        <w:numPr>
          <w:ilvl w:val="0"/>
          <w:numId w:val="0"/>
        </w:numPr>
        <w:rPr>
          <w:noProof/>
        </w:rPr>
      </w:pPr>
      <w:r>
        <w:rPr>
          <w:noProof/>
        </w:rPr>
        <w:t xml:space="preserve">Kommissionen finder, at udkastet til budgetplan for </w:t>
      </w:r>
      <w:r>
        <w:rPr>
          <w:b/>
          <w:noProof/>
        </w:rPr>
        <w:t>Østrig</w:t>
      </w:r>
      <w:r>
        <w:rPr>
          <w:noProof/>
        </w:rPr>
        <w:t xml:space="preserve">, der p.t. er underlagt den forebyggende del af stabilitets- og vækstpagten og omfattet af (overgangs)bestemmelsen vedrørende gældskriteriet indtil 2016 og af gældsreglen indtil 2017, er i bred overensstemmelse med pagtens bestemmelser, hvis der ses bort fra de forventede budgetvirkninger i 2016 af den ekstraordinære tilstrømning af flygtninge og sikkerhedsforanstaltningerne. I overensstemmelse med Kommissionens meddelelse "En positiv finanspolitisk kurs for euroområdet" opfordres myndighederne til at træffe de nødvendige foranstaltninger som led i den nationale budgetprocedure for at sikre, at budgettet i 2017 er i overensstemmelse med stabilitets- og vækstpagten. Kommissionen finder desuden, at Østrig har gjort begrænsede fremskridt for så vidt angår den strukturelle del af de landespecifikke finanspolitiske henstillinger, som Rådet fremsatte som led i det europæiske semester i 2016, og opfordrer derfor myndighederne til at øge tempoet i indsatsen. </w:t>
      </w:r>
    </w:p>
    <w:p>
      <w:pPr>
        <w:pStyle w:val="NumPar1"/>
        <w:numPr>
          <w:ilvl w:val="0"/>
          <w:numId w:val="0"/>
        </w:numPr>
        <w:rPr>
          <w:noProof/>
          <w:szCs w:val="24"/>
        </w:rPr>
      </w:pPr>
    </w:p>
    <w:p>
      <w:pPr>
        <w:keepNext/>
        <w:spacing w:before="120" w:after="120"/>
        <w:jc w:val="both"/>
        <w:rPr>
          <w:rFonts w:ascii="Times New Roman" w:hAnsi="Times New Roman"/>
          <w:b/>
          <w:i/>
          <w:noProof/>
          <w:sz w:val="24"/>
          <w:szCs w:val="24"/>
        </w:rPr>
      </w:pPr>
      <w:r>
        <w:rPr>
          <w:rFonts w:ascii="Times New Roman" w:hAnsi="Times New Roman"/>
          <w:b/>
          <w:i/>
          <w:noProof/>
          <w:sz w:val="24"/>
        </w:rPr>
        <w:t>Planer med risiko for manglende overensstemmelse</w:t>
      </w:r>
    </w:p>
    <w:p>
      <w:pPr>
        <w:pStyle w:val="NumPar1"/>
        <w:numPr>
          <w:ilvl w:val="0"/>
          <w:numId w:val="0"/>
        </w:numPr>
        <w:rPr>
          <w:noProof/>
        </w:rPr>
      </w:pPr>
      <w:r>
        <w:rPr>
          <w:noProof/>
        </w:rPr>
        <w:t xml:space="preserve">Kommissionen finder, at udkastet til budgetplan for </w:t>
      </w:r>
      <w:r>
        <w:rPr>
          <w:b/>
          <w:noProof/>
        </w:rPr>
        <w:t>Belgien</w:t>
      </w:r>
      <w:r>
        <w:rPr>
          <w:noProof/>
        </w:rPr>
        <w:t xml:space="preserve">, der p.t. er underlagt den forebyggende del af stabilitets- og vækstpagten og omfattet af (overgangs)bestemmelsen vedrørende gældskriteriet, risikerer ikke at være i overensstemmelse med pagtens bestemmelser. Kommissionen forventer en væsentlig afvigelse fra den påkrævede tilpasning hen imod den mellemfristede budgetmålsætning i 2016 og som følge heraf også i 2016 og 2017 set under ét. I overensstemmelse med Kommissionens meddelelse "En positiv finanspolitisk kurs for euroområdet" opfordres myndighederne derfor til at gennemføre alle planlagte foranstaltninger som led i den nationale budgetprocedure og sikre, at budgettet i 2017 er i overensstemmelse med stabilitets- og vækstpagten. Kommissionen finder desuden, at Belgien ikke har gjort fremskridt for så vidt angår den strukturelle del af de landespecifikke finanspolitiske henstillinger, som Rådet fremsatte som led i det europæiske semester i 2016, og den opfordrer derfor myndighederne til at øge tempoet i indsatsen. </w:t>
      </w:r>
    </w:p>
    <w:p>
      <w:pPr>
        <w:pStyle w:val="NumPar1"/>
        <w:numPr>
          <w:ilvl w:val="0"/>
          <w:numId w:val="0"/>
        </w:numPr>
        <w:rPr>
          <w:noProof/>
        </w:rPr>
      </w:pPr>
      <w:r>
        <w:rPr>
          <w:noProof/>
        </w:rPr>
        <w:t xml:space="preserve">Kommissionen finder, at udkastet til budgetplan for </w:t>
      </w:r>
      <w:r>
        <w:rPr>
          <w:b/>
          <w:noProof/>
        </w:rPr>
        <w:t>Italien</w:t>
      </w:r>
      <w:r>
        <w:rPr>
          <w:noProof/>
        </w:rPr>
        <w:t xml:space="preserve">, der p.t. er underlagt den forebyggende del af stabilitets- og vækstpagten og omfattet af gældsreglen, risikerer ikke at være i overensstemmelse med pagtens bestemmelser. Ifølge Kommissionens efterårsprognose 2016 er der risiko for en væsentlig afvigelse fra den påkrævede tilpasning hen imod den mellemfristede budgetmålsætning i 2017. Uden det fulde fradrag på 0,75 % af BNP, der blev indrømmet i medfør af klausulen om strukturreformer og investeringsklausulen, ville der desuden ifølge efterårsprognosen 2016 også i 2016 være risiko for en væsentlig afvigelse fra den påkrævede tilpasning hen imod den mellemfristede budgetmålsætning. I overensstemmelse med Kommissionens meddelelse "En positiv finanspolitisk kurs for euroområdet" opfordres myndighederne derfor til at træffe de nødvendige foranstaltninger som led i den nationale budgetprocedure for at sikre, at budgettet i 2017 er i overensstemmelse med stabilitets- og vækstpagten. Kommissionen finder desuden, at Italien har gjort visse fremskridt for så vidt angår den strukturelle del af den landespecifikke finanspolitiske henstilling, som Rådet fremsatte som led i det europæiske semester i 2016, og den opfordrer derfor myndighederne til at fortsætte indsatsen. </w:t>
      </w:r>
    </w:p>
    <w:p>
      <w:pPr>
        <w:pStyle w:val="NumPar1"/>
        <w:numPr>
          <w:ilvl w:val="0"/>
          <w:numId w:val="0"/>
        </w:numPr>
        <w:rPr>
          <w:noProof/>
        </w:rPr>
      </w:pPr>
      <w:r>
        <w:rPr>
          <w:noProof/>
        </w:rPr>
        <w:t xml:space="preserve">Kommissionen finder, at udkastet til budgetplan for </w:t>
      </w:r>
      <w:r>
        <w:rPr>
          <w:b/>
          <w:noProof/>
        </w:rPr>
        <w:t>Cypern</w:t>
      </w:r>
      <w:r>
        <w:rPr>
          <w:noProof/>
        </w:rPr>
        <w:t xml:space="preserve">, der p.t. er underlagt den forebyggende del af stabilitets- og vækstpagten og omfattet af overgangsbestemmelsen vedrørende gældskriteriet, risikerer ikke at være i overensstemmelse med pagtens bestemmelser. Kommissionen forventer en væsentlig afvigelse fra den mellemfristede budgetmålsætning i 2017. Ifølge udkastet til budgetplan for 2017 planlægges der navnlig en finanspolitisk lempelse uden kompenserende foranstaltninger, og dette medfører risiko for en væsentlig afvigelse fra tilpasningsstien hen imod den mellemfristede budgetmålsætning i 2017. I overensstemmelse med Kommissionens meddelelse "En positiv finanspolitisk kurs for euroområdet" opfordres myndighederne derfor til at træffe de nødvendige foranstaltninger som led i den nationale budgetprocedure for at sikre, at budgettet i 2017 er i overensstemmelse med stabilitets- og vækstpagten. Kommissionen finder desuden, at Cypern har gjort visse fremskridt for så vidt angår den strukturelle del af de landespecifikke finanspolitiske henstillinger, som Rådet fremsatte som led i det europæiske semester i 2016, og opfordrer myndighederne til at fortsætte indsatsen. </w:t>
      </w:r>
    </w:p>
    <w:p>
      <w:pPr>
        <w:pStyle w:val="NumPar1"/>
        <w:numPr>
          <w:ilvl w:val="0"/>
          <w:numId w:val="0"/>
        </w:numPr>
        <w:rPr>
          <w:noProof/>
        </w:rPr>
      </w:pPr>
      <w:r>
        <w:rPr>
          <w:noProof/>
        </w:rPr>
        <w:t xml:space="preserve">Kommissionen finder, at udkastet til budgetplan for </w:t>
      </w:r>
      <w:r>
        <w:rPr>
          <w:b/>
          <w:noProof/>
        </w:rPr>
        <w:t>Litauen</w:t>
      </w:r>
      <w:r>
        <w:rPr>
          <w:noProof/>
        </w:rPr>
        <w:t>, der p.t. er underlagt den forebyggende del af stabilitets- og vækstpagten og har forelagt udkastet på grundlag af en uændret politik, risikerer ikke at være i overensstemmelse med pagtens bestemmelser. Ifølge Kommissionens efterårsprognose 2016 må der forventes en væsentlig afvigelse fra den mellemfristede budgetmålsætning i 2017. Kommissionen vil fortsat nøje overvåge, om Litauen overholder sine forpligtelser i henhold til stabilitets- og vækstpagten, især i forbindelse med vurderingen af det næste stabilitetsprogram. I forbindelse med den overordnede vurdering af en eventuel afvigelse fra tilpasningen hen imod den mellemfristede budgetmålsætning i 2017 vil Kommissionen tage hensyn til betragtningerne i udtalelsen om udkastet til budgetplan vedrørende Litauens mulighed for at opnå fleksibilitet under pagten. Der vil blive lagt særlig vægt på, om der gøres konkrete fremskridt med strukturreformdagsordenen, under hensyntagen til de landespecifikke henstillinger, som Rådet vedtog den 12. juli 2016. I overensstemmelse med Kommissionens meddelelse "En positiv finanspolitisk kurs for euroområdet" opfordres myndighederne til at træffe de fornødne foranstaltninger under den nationale budgetprocedure til at sikre, at budgettet i 2017 er i overensstemmelse med stabilitets- og vækstpagten. Myndighederne opfordres til, så snart der er tiltrådt en ny regering, og som hovedregel mindst en måned før den planlagte vedtagelse af budgettet i det nationale parlament at forelægge Kommissionen og Eurogruppen et ajourført udkast til budgetplan.</w:t>
      </w:r>
    </w:p>
    <w:p>
      <w:pPr>
        <w:pStyle w:val="NumPar1"/>
        <w:numPr>
          <w:ilvl w:val="0"/>
          <w:numId w:val="0"/>
        </w:numPr>
        <w:rPr>
          <w:noProof/>
        </w:rPr>
      </w:pPr>
      <w:r>
        <w:rPr>
          <w:noProof/>
        </w:rPr>
        <w:t xml:space="preserve">Kommissionen finder, at udkastet til budgetplan for </w:t>
      </w:r>
      <w:r>
        <w:rPr>
          <w:b/>
          <w:noProof/>
        </w:rPr>
        <w:t>Slovenien</w:t>
      </w:r>
      <w:r>
        <w:rPr>
          <w:noProof/>
        </w:rPr>
        <w:t xml:space="preserve">, der p.t. er underlagt den forebyggende del af stabilitets- og vækstpagten og omfattet af overgangsbestemmelsen vedrørende gældskriteriet, risikerer ikke at være i overensstemmelse med pagtens bestemmelser i 2017. Kommissionen forventer en væsentlig afvigelse fra tilpasningsstien hen imod den mellemfristede budgetmålsætning i 2016 og 2017 set under ét. I overensstemmelse med Kommissionens meddelelse "En positiv finanspolitisk kurs for euroområdet" opfordres myndighederne derfor til at træffe de nødvendige foranstaltninger som led i den nationale budgetprocedure for at sikre, at budgettet i 2017 er i overensstemmelse med stabilitets- og vækstpagten. Kommissionen finder desuden, at Slovenien har gjort begrænsede fremskridt for så vidt angår den strukturelle del af de landespecifikke finanspolitiske henstillinger, som Rådet fremsatte som led i det europæiske semester i 2016, og den opfordrer myndighederne til at øge tempoet i indsatsen. </w:t>
      </w:r>
    </w:p>
    <w:p>
      <w:pPr>
        <w:pStyle w:val="NumPar1"/>
        <w:numPr>
          <w:ilvl w:val="0"/>
          <w:numId w:val="0"/>
        </w:numPr>
        <w:rPr>
          <w:noProof/>
        </w:rPr>
      </w:pPr>
      <w:r>
        <w:rPr>
          <w:noProof/>
        </w:rPr>
        <w:t xml:space="preserve">Kommissionen finder, at udkastet til budgetplan for </w:t>
      </w:r>
      <w:r>
        <w:rPr>
          <w:b/>
          <w:noProof/>
        </w:rPr>
        <w:t>Finland</w:t>
      </w:r>
      <w:r>
        <w:rPr>
          <w:noProof/>
        </w:rPr>
        <w:t xml:space="preserve">, der p.t. er underlagt den forebyggende del af stabilitets- og vækstpagten, risikerer ikke at være i overensstemmelse med stabilitets- og vækstpagtens bestemmelser. Ifølge Kommissionens efterårsprognose 2016 er der navnlig risiko for en væsentlig afvigelse fra den påkrævede tilpasning hen imod den mellemfristede budgetmålsætning i 2017. Kommissionen vil fortsat nøje overvåge, om Finland overholder sine forpligtelser i henhold til stabilitets- og vækstpagten, især i forbindelse med vurderingen af det næste stabilitetsprogram. I forbindelse med den overordnede vurdering af en eventuel afvigelse fra tilpasningen hen imod den mellemfristede budgetmålsætning i 2017 vil Kommissionen tage hensyn til betragtningerne i udtalelsen om udkastet til budgetplan vedrørende Finlands mulighed for at opnå fleksibilitet under pagten. Der vil blive lagt særlig vægt på, om der foreligger troværdige planer for genoptagelsen af tilpasningsstien i retning af den mellemfristede budgetmålsætning, og hvorvidt der gøres fremskridt med strukturreformdagsordenen, under hensyntagen til de landespecifikke henstillinger, som Rådet vedtog den 12. juli 2016. I overensstemmelse med Kommissionens meddelelse "En positiv finanspolitisk kurs for euroområdet" opfordres myndighederne til at træffe de nødvendige foranstaltninger som led i den nationale budgetprocedure for at sikre, at budgettet i 2017 er i overensstemmelse med stabilitets- og vækstpagten. Kommissionen finder desuden, at Finland har gjort visse fremskridt for så vidt angår den strukturelle del af de landespecifikke finanspolitiske henstillinger, som Rådet fremsatte som led i det europæiske semester i 2016, og opfordrer myndighederne til at fortsætte indsatsen. </w:t>
      </w:r>
    </w:p>
    <w:p>
      <w:pPr>
        <w:keepNext/>
        <w:rPr>
          <w:rFonts w:ascii="Times New Roman" w:hAnsi="Times New Roman"/>
          <w:b/>
          <w:noProof/>
          <w:sz w:val="24"/>
          <w:szCs w:val="24"/>
          <w:u w:val="single"/>
        </w:rPr>
      </w:pPr>
    </w:p>
    <w:p>
      <w:pPr>
        <w:keepNext/>
        <w:rPr>
          <w:rFonts w:ascii="Times New Roman" w:hAnsi="Times New Roman"/>
          <w:b/>
          <w:noProof/>
          <w:sz w:val="24"/>
          <w:szCs w:val="24"/>
          <w:u w:val="single"/>
        </w:rPr>
      </w:pPr>
      <w:r>
        <w:rPr>
          <w:rFonts w:ascii="Times New Roman" w:hAnsi="Times New Roman"/>
          <w:b/>
          <w:noProof/>
          <w:sz w:val="24"/>
          <w:u w:val="single"/>
        </w:rPr>
        <w:t>Medlemsstater, der er omfattet af den korrigerende del af stabilitets- og vækstpagten</w:t>
      </w:r>
    </w:p>
    <w:p>
      <w:pPr>
        <w:keepNext/>
        <w:jc w:val="both"/>
        <w:rPr>
          <w:rFonts w:ascii="Times New Roman" w:hAnsi="Times New Roman"/>
          <w:b/>
          <w:i/>
          <w:noProof/>
          <w:sz w:val="24"/>
          <w:szCs w:val="24"/>
        </w:rPr>
      </w:pPr>
      <w:r>
        <w:rPr>
          <w:rFonts w:ascii="Times New Roman" w:hAnsi="Times New Roman"/>
          <w:b/>
          <w:i/>
          <w:noProof/>
          <w:sz w:val="24"/>
        </w:rPr>
        <w:t xml:space="preserve">Planer, der er i bred overensstemmelse med pagten </w:t>
      </w:r>
    </w:p>
    <w:p>
      <w:pPr>
        <w:keepNext/>
        <w:spacing w:line="240" w:lineRule="auto"/>
        <w:jc w:val="both"/>
        <w:rPr>
          <w:noProof/>
        </w:rPr>
      </w:pPr>
      <w:r>
        <w:rPr>
          <w:rFonts w:ascii="Times New Roman" w:hAnsi="Times New Roman"/>
          <w:noProof/>
          <w:sz w:val="24"/>
        </w:rPr>
        <w:t xml:space="preserve">Kommissionen finder, at udkastet til budgetplan for </w:t>
      </w:r>
      <w:r>
        <w:rPr>
          <w:rFonts w:ascii="Times New Roman" w:hAnsi="Times New Roman"/>
          <w:b/>
          <w:noProof/>
          <w:sz w:val="24"/>
        </w:rPr>
        <w:t>Frankrig</w:t>
      </w:r>
      <w:r>
        <w:rPr>
          <w:rFonts w:ascii="Times New Roman" w:hAnsi="Times New Roman"/>
          <w:noProof/>
          <w:sz w:val="24"/>
        </w:rPr>
        <w:t xml:space="preserve">, der p.t. er underlagt den korrigerende del af stabilitets- og vækstpagten, er i bred overensstemmelse med pagtens bestemmelser, da der ifølge efterårsprognosen forventes et underskud, som ligger under tærsklen på 3 % i 2017, skønt korrektionen ikke vil være holdbar i 2018 uden politikændringer. Ifølge Kommissionens 2016-efterårsprognose for 2017 forventes det, at det uforholdsmæssigt store underskud vil blive korrigeret rettidigt, men den finanspolitiske indsats er meget mangelfuld i forhold til den anbefalede indsats. Desuden vil den forventede korrektion af det uforholdsmæssigt store underskud ikke være holdbar, eftersom underskuddet i 2018 forventes at stige til 3,1 % af BNP ved uændret politik. I overensstemmelse med Kommissionens meddelelse "En positiv finanspolitisk kurs i euroområdet" opfordres de franske myndigheder til at træffe de nødvendige foranstaltninger som led i den nationale budgetprocedure for at sikre, at budgettet i 2017 er i overensstemmelse med stabilitets- og vækstpagten. Kommissionen finder desuden, at Frankrig har gjort begrænsede fremskridt for så vidt angår den strukturelle del af de landespecifikke finanspolitiske henstillinger, som Rådet fremsatte som led i det europæiske semester i 2016, og den opfordrer derfor myndighederne til at øge tempoet i indsatsen. </w:t>
      </w:r>
    </w:p>
    <w:p>
      <w:pPr>
        <w:pStyle w:val="NumPar1"/>
        <w:numPr>
          <w:ilvl w:val="0"/>
          <w:numId w:val="0"/>
        </w:numPr>
        <w:rPr>
          <w:b/>
          <w:i/>
          <w:noProof/>
          <w:szCs w:val="24"/>
        </w:rPr>
      </w:pPr>
      <w:r>
        <w:rPr>
          <w:b/>
          <w:i/>
          <w:noProof/>
        </w:rPr>
        <w:t>Planer med risiko for manglende overensstemmelse</w:t>
      </w:r>
    </w:p>
    <w:p>
      <w:pPr>
        <w:pStyle w:val="NumPar1"/>
        <w:numPr>
          <w:ilvl w:val="0"/>
          <w:numId w:val="0"/>
        </w:numPr>
        <w:rPr>
          <w:noProof/>
        </w:rPr>
      </w:pPr>
      <w:r>
        <w:rPr>
          <w:noProof/>
        </w:rPr>
        <w:t xml:space="preserve">Kommissionen finder, at udkastet til budgetplan for </w:t>
      </w:r>
      <w:r>
        <w:rPr>
          <w:b/>
          <w:noProof/>
        </w:rPr>
        <w:t>Spanien</w:t>
      </w:r>
      <w:r>
        <w:rPr>
          <w:noProof/>
        </w:rPr>
        <w:t>, der p.t. er underlagt den korrigerende del af stabilitets- og vækstpagten og har forelagt udkastet på grundlag af en uændret politik, risikerer ikke at være i overensstemmelse med pagtens bestemmelser. Kommissionen anerkender, at fremskrivningerne tager udgangspunkt i en uændret politik, men ifølge Kommissionens prognose for 2017 vil Spanien hverken nå det mellemliggende mål for det samlede underskud eller den anbefalede finanspolitiske indsats. I overensstemmelse med Kommissionens meddelelse "En positiv finanspolitisk kurs for euroområdet" er Spanien derfor nødt til at træffe yderligere foranstaltninger for at opfylde målet for det samlede underskud og den strukturelle indsats fremover. Indtil der træffes sådanne foranstaltninger, vil der fortsat være risiko for, at der ikke opnås en rettidig og varig korrektion af det uforholdsmæssigt store underskud i 2018. Kommissionen finder desuden, at Spanien kun har gjort begrænsede fremskridt med at efterkomme Rådets særlige krav om at styrke de finanspolitiske rammer og reglerne for offentlige udbud. Kommissionen opfordrer derfor myndighederne til at øge tempoet i indsatsen. Spanien opfordres til at forelægge Kommissionen og Eurogruppen et ajourført udkast til budgetplan for 2017, der viser overensstemmelse med kravene i Rådets afgørelse af 8. august 2016, i princippet mindst en måned før den planlagte vedtagelse af budgettet i det nationale parlament. Det ajourførte udkast skal også indeholde oplysninger om, hvilke skridt der tages som svar på Rådets krav om at styrke Spaniens finanspolitiske rammer og reglerne for offentlige udbud i overensstemmelse med artikel 1, stk. 5 og 6, i Rådets afgørelse af 8. august 2016. På grundlag af oplysningerne i det ajourførte udkast til budgetplan vil Kommissionen vurdere overensstemmelsen med kravene i ovennævnte rådsafgørelse på ny.</w:t>
      </w:r>
    </w:p>
    <w:p>
      <w:pPr>
        <w:pStyle w:val="NumPar1"/>
        <w:numPr>
          <w:ilvl w:val="0"/>
          <w:numId w:val="0"/>
        </w:numPr>
        <w:rPr>
          <w:noProof/>
        </w:rPr>
      </w:pPr>
      <w:r>
        <w:rPr>
          <w:noProof/>
        </w:rPr>
        <w:t xml:space="preserve">Kommissionen finder, at udkastet til budgetplan for </w:t>
      </w:r>
      <w:r>
        <w:rPr>
          <w:b/>
          <w:noProof/>
        </w:rPr>
        <w:t>Portugal</w:t>
      </w:r>
      <w:r>
        <w:rPr>
          <w:noProof/>
        </w:rPr>
        <w:t xml:space="preserve">, der p.t. er underlagt den korrigerende del af stabilitets- og vækstpagten, og som fra 2017 vil kunne omfattes af den forebyggende del, hvis der sker en rettidig og holdbar justering af det uforholdsmæssigt store underskud, risikerer ikke at være i overensstemmelse med pagtens bestemmelser. Ifølge Kommissionens prognose for 2017 forventes der en væsentlig afvigelse fra den påkrævede tilpasning hen imod den mellemfristede budgetmålsætning samt manglende opfyldelse af gældsreduktionsmålet. Den forventede overskridelse af grænseværdien for en væsentlig afvigelse er dog meget lille. Risiciene synes derfor begrænsede, forudsat at der gennemføres de nødvendige finanspolitiske foranstaltninger. I overensstemmelse med Kommissionens meddelelse "En positiv finanspolitisk kurs for euroområdet" opfordres myndighederne til at træffe de nødvendige foranstaltninger som led i den nationale budgetprocedure for at sikre, at budgettet i 2017 er i overensstemmelse med stabilitets- og vækstpagten. Kommissionen finder desuden, at Portugal har gjort begrænsede fremskridt for så vidt angår den strukturelle del af de landespecifikke finanspolitiske henstillinger, som Rådet fremsatte som led i det europæiske semester i 2016, og den opfordrer derfor myndighederne til at øge tempoet i indsatsen. </w:t>
      </w:r>
    </w:p>
    <w:p>
      <w:pPr>
        <w:pStyle w:val="NumPar1"/>
        <w:numPr>
          <w:ilvl w:val="0"/>
          <w:numId w:val="0"/>
        </w:numPr>
        <w:rPr>
          <w:noProof/>
        </w:rPr>
      </w:pPr>
    </w:p>
    <w:p>
      <w:pPr>
        <w:pStyle w:val="NumPar1"/>
        <w:numPr>
          <w:ilvl w:val="0"/>
          <w:numId w:val="0"/>
        </w:numPr>
        <w:rPr>
          <w:rFonts w:ascii="Cambria" w:eastAsia="Times New Roman" w:hAnsi="Cambria"/>
          <w:b/>
          <w:bCs/>
          <w:noProof/>
          <w:sz w:val="26"/>
          <w:szCs w:val="26"/>
        </w:rPr>
      </w:pPr>
    </w:p>
    <w:p>
      <w:pPr>
        <w:pStyle w:val="Heading3"/>
        <w:keepNext w:val="0"/>
        <w:spacing w:before="120" w:after="120"/>
        <w:jc w:val="both"/>
        <w:rPr>
          <w:noProof/>
        </w:rPr>
      </w:pPr>
      <w:bookmarkStart w:id="3" w:name="_Toc435029400"/>
      <w:bookmarkStart w:id="4" w:name="_Toc466401780"/>
      <w:r>
        <w:rPr>
          <w:rFonts w:ascii="Times New Roman" w:hAnsi="Times New Roman"/>
          <w:noProof/>
        </w:rPr>
        <w:br w:type="page"/>
        <w:t>BILAG II: Metoder og antagelser, der ligger til grund for Kommissionens efterårsprognose 2016</w:t>
      </w:r>
      <w:bookmarkEnd w:id="3"/>
      <w:bookmarkEnd w:id="4"/>
    </w:p>
    <w:p>
      <w:pPr>
        <w:spacing w:before="120" w:after="120" w:line="240" w:lineRule="auto"/>
        <w:jc w:val="both"/>
        <w:rPr>
          <w:rFonts w:ascii="Times New Roman" w:hAnsi="Times New Roman"/>
          <w:noProof/>
          <w:sz w:val="24"/>
          <w:szCs w:val="24"/>
        </w:rPr>
      </w:pPr>
      <w:r>
        <w:rPr>
          <w:rFonts w:ascii="Times New Roman" w:hAnsi="Times New Roman"/>
          <w:noProof/>
          <w:sz w:val="24"/>
        </w:rPr>
        <w:t>I henhold til artikel 7, stk. 4, i forordning (EU) nr. 473/2013 skal "Metoden og antagelserne i de seneste økonomiske prognoser fra Kommissionens tjenestegrene for hver enkelt medlemsstat, herunder estimater over de samlede budgetforanstaltningers virkning for økonomisk vækst, vedlægges den overordnede vurdering". De antagelser, der ligger til grund for Kommissionens efterårsprognose 2016, og som er udarbejdet uafhængigt af Kommissionens tjenestegrene, er forklaret i selve prognosedokumentet</w:t>
      </w:r>
      <w:r>
        <w:rPr>
          <w:rStyle w:val="FootnoteReference"/>
          <w:rFonts w:ascii="Times New Roman" w:hAnsi="Times New Roman"/>
          <w:noProof/>
          <w:sz w:val="24"/>
        </w:rPr>
        <w:footnoteReference w:id="1"/>
      </w:r>
      <w:r>
        <w:rPr>
          <w:rFonts w:ascii="Times New Roman" w:hAnsi="Times New Roman"/>
          <w:noProof/>
          <w:sz w:val="24"/>
        </w:rPr>
        <w:t>.</w:t>
      </w:r>
    </w:p>
    <w:p>
      <w:pPr>
        <w:spacing w:before="120" w:after="120" w:line="240" w:lineRule="auto"/>
        <w:jc w:val="both"/>
        <w:rPr>
          <w:rFonts w:ascii="Times New Roman" w:hAnsi="Times New Roman"/>
          <w:noProof/>
          <w:sz w:val="24"/>
          <w:szCs w:val="24"/>
        </w:rPr>
      </w:pPr>
      <w:r>
        <w:rPr>
          <w:rFonts w:ascii="Times New Roman" w:hAnsi="Times New Roman"/>
          <w:noProof/>
          <w:sz w:val="24"/>
        </w:rPr>
        <w:t>Budgetdataene frem til 2015 er baseret på data, som medlemsstaterne indgav til Kommissionen inden den 1. oktober 2016, og som blev valideret af Eurostat den 21. oktober. Eurostat har ikke foretaget nogen ændringer af de data, som er blevet indberettet af medlemsstaterne i 2016-efterårsrunden. Eurostat har tilbagetrukket sit forbehold over for kvaliteten af de data, som Frankrig har indberettet, hvad angår: 1) klassificeringen af den franske indskudsgaranti- og afviklingsfond og 2) registreringen af afviklingsomkostningerne i forbindelse med omstruktureringen af komplekse gældsinstrumenter udstedt af lokale forvaltninger. Eurostat opretholder sit forbehold over for kvaliteten af de data, som Belgien har indberettet, med hensyn til sektorklassificeringen af sygehuse. Eurostat har udtrykt forbehold over for kvaliteten af de data, Cypern har indberettet, hvad angår en række tekniske spørgsmål såsom registrering af EU-strømme.</w:t>
      </w:r>
    </w:p>
    <w:p>
      <w:pPr>
        <w:spacing w:before="120" w:after="120" w:line="240" w:lineRule="auto"/>
        <w:jc w:val="both"/>
        <w:rPr>
          <w:rFonts w:ascii="Times New Roman" w:hAnsi="Times New Roman"/>
          <w:noProof/>
          <w:sz w:val="24"/>
          <w:szCs w:val="24"/>
        </w:rPr>
      </w:pPr>
      <w:r>
        <w:rPr>
          <w:rFonts w:ascii="Times New Roman" w:hAnsi="Times New Roman"/>
          <w:noProof/>
          <w:sz w:val="24"/>
        </w:rPr>
        <w:t>Med henblik på prognosen er foranstaltningerne til støtte for finansstabiliteten blevet registreret i overensstemmelse med Eurostats beslutning af 15. juli 2009</w:t>
      </w:r>
      <w:r>
        <w:rPr>
          <w:rStyle w:val="FootnoteReference"/>
          <w:rFonts w:ascii="Times New Roman" w:hAnsi="Times New Roman"/>
          <w:noProof/>
          <w:sz w:val="24"/>
        </w:rPr>
        <w:footnoteReference w:id="2"/>
      </w:r>
      <w:r>
        <w:rPr>
          <w:rFonts w:ascii="Times New Roman" w:hAnsi="Times New Roman"/>
          <w:noProof/>
          <w:sz w:val="24"/>
        </w:rPr>
        <w:t>. Medmindre andet er indberettet af den pågældende medlemsstat, er de oplysninger om kapitaltilførsler, som der er tilstrækkeligt kendskab til, blevet inddraget i prognoserne som finansielle transaktioner, dvs. at de har øget gælden, men ikke underskuddet. Statsgarantier for bankgæld og indlån er ikke indregnet i de offentlige udgifter, medmindre der er dokumentation for, at der er trukket på dem på det tidspunkt, hvor prognosen blev udarbejdet. Det skal dog bemærkes, at lån ydet til banker af staten eller andre enheder i den offentlige sektor normalt medregnes i statsgælden.</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For 2017 er alle de budgetter, der er vedtaget af eller forelagt for de nationale parlamenter, samt alle andre foranstaltninger, som der findes tilstrækkelige oplysninger om, taget med i betragtning. Navnlig er alle oplysninger i udkastene til budgetplaner, som blev indgivet inden midten af oktober, medtaget i denne prognose. For 2018 medfører antagelsen om "uændret politik", som anvendes i prognoserne, en fremskrivning af indkomst- og udgiftstendenser og inddragelse af foranstaltninger, som der er tilstrækkelig detaljeret kendskab til. </w:t>
      </w:r>
    </w:p>
    <w:p>
      <w:pPr>
        <w:spacing w:before="120" w:after="120" w:line="240" w:lineRule="auto"/>
        <w:jc w:val="both"/>
        <w:rPr>
          <w:rFonts w:ascii="Times New Roman" w:hAnsi="Times New Roman"/>
          <w:noProof/>
          <w:sz w:val="24"/>
          <w:szCs w:val="24"/>
        </w:rPr>
      </w:pPr>
      <w:r>
        <w:rPr>
          <w:rFonts w:ascii="Times New Roman" w:hAnsi="Times New Roman"/>
          <w:noProof/>
          <w:sz w:val="24"/>
        </w:rPr>
        <w:t>De europæiske aggregater for statsgælden i prognoseårene 2016-2018 offentliggøres på et ikkekonsolideret grundlag (dvs. ikke korrigeret for mellemstatslige lån). For at sikre sammenhæng i tidsrækkerne offentliggøres de historiske data på samme grundlag. For 2015 indebærer dette en gældskvote i euroområdet (19 medlemsstater), som ligger 2,2 procentpoint over den konsoliderede offentlige gældskvote, som er offentliggjort i Eurostats pressemeddelelse 186/2015 af 21. oktober 2016</w:t>
      </w:r>
      <w:r>
        <w:rPr>
          <w:rStyle w:val="FootnoteReference"/>
          <w:rFonts w:ascii="Times New Roman" w:hAnsi="Times New Roman"/>
          <w:noProof/>
          <w:sz w:val="24"/>
        </w:rPr>
        <w:footnoteReference w:id="3"/>
      </w:r>
      <w:r>
        <w:rPr>
          <w:rFonts w:ascii="Times New Roman" w:hAnsi="Times New Roman"/>
          <w:noProof/>
          <w:sz w:val="24"/>
        </w:rPr>
        <w:t>. Fremskrivningerne af statsgælden for de enkelte medlemsstater i 2016-18 indbefatter virkningen af garantier til EFSF</w:t>
      </w:r>
      <w:r>
        <w:rPr>
          <w:rStyle w:val="FootnoteReference"/>
          <w:rFonts w:ascii="Times New Roman" w:hAnsi="Times New Roman"/>
          <w:noProof/>
          <w:sz w:val="24"/>
        </w:rPr>
        <w:footnoteReference w:id="4"/>
      </w:r>
      <w:r>
        <w:rPr>
          <w:rFonts w:ascii="Times New Roman" w:hAnsi="Times New Roman"/>
          <w:noProof/>
          <w:sz w:val="24"/>
        </w:rPr>
        <w:t>, bilaterale lån til andre medlemsstater og indskud i ESM's kapital som planlagt på skæringsdagen for prognosen.</w:t>
      </w:r>
    </w:p>
    <w:p>
      <w:pPr>
        <w:spacing w:before="120" w:after="120" w:line="240" w:lineRule="auto"/>
        <w:jc w:val="both"/>
        <w:rPr>
          <w:rFonts w:ascii="Times New Roman" w:hAnsi="Times New Roman"/>
          <w:noProof/>
          <w:sz w:val="24"/>
          <w:szCs w:val="24"/>
        </w:rPr>
      </w:pPr>
      <w:r>
        <w:rPr>
          <w:rFonts w:ascii="Times New Roman" w:hAnsi="Times New Roman"/>
          <w:noProof/>
          <w:sz w:val="24"/>
        </w:rPr>
        <w:t>Ifølge Kommissionens efterårsprognose 2016 vil de samlede budgetmæssige foranstaltninger i udkastene til budgetplaner i 2016 øge det samlede underskud med omkring 0,1 % af BNP. Foranstaltningerne på udgiftssiden anslås samlet til 0,1 % af BNP, mens foranstaltningerne på indtægtssiden samlet har en underskudsøgende virkning på mindre end 0,1 % af BNP. Samlet set vil indvirkningen på væksten på kort sigt være meget lille (under 0,1 procentpoint).</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Det er vigtigt at udvise forsigtighed ved fortolkningen af dette skøn: </w:t>
      </w:r>
    </w:p>
    <w:p>
      <w:pPr>
        <w:pStyle w:val="ListParagraph"/>
        <w:numPr>
          <w:ilvl w:val="0"/>
          <w:numId w:val="1"/>
        </w:numPr>
        <w:spacing w:before="120" w:after="120" w:line="240" w:lineRule="auto"/>
        <w:ind w:left="425" w:hanging="425"/>
        <w:jc w:val="both"/>
        <w:rPr>
          <w:rFonts w:ascii="Times New Roman" w:hAnsi="Times New Roman"/>
          <w:noProof/>
          <w:sz w:val="24"/>
          <w:szCs w:val="24"/>
        </w:rPr>
      </w:pPr>
      <w:r>
        <w:rPr>
          <w:rFonts w:ascii="Times New Roman" w:hAnsi="Times New Roman"/>
          <w:noProof/>
          <w:sz w:val="24"/>
        </w:rPr>
        <w:t xml:space="preserve">Hvis der ikke gribes ind over for finanspolitiske ubalancer, kan det føre til større skrøbelighed ved de finansielle aktiver og til større spreads og udlånsrenter med en negativ indvirkning på væksten. </w:t>
      </w:r>
    </w:p>
    <w:p>
      <w:pPr>
        <w:pStyle w:val="ListParagraph"/>
        <w:numPr>
          <w:ilvl w:val="0"/>
          <w:numId w:val="1"/>
        </w:numPr>
        <w:spacing w:before="120" w:after="120" w:line="240" w:lineRule="auto"/>
        <w:ind w:left="425" w:hanging="425"/>
        <w:jc w:val="both"/>
        <w:rPr>
          <w:rFonts w:ascii="Times New Roman" w:hAnsi="Times New Roman"/>
          <w:noProof/>
          <w:sz w:val="24"/>
          <w:szCs w:val="24"/>
        </w:rPr>
      </w:pPr>
      <w:r>
        <w:rPr>
          <w:rFonts w:ascii="Times New Roman" w:hAnsi="Times New Roman"/>
          <w:noProof/>
          <w:sz w:val="24"/>
        </w:rPr>
        <w:t>Formålet med forordningen er, at virkningen af de foranstaltninger, der fremgår af udkastene til budgetplaner, skal evalueres. De foranstaltninger, der er truffet og trådt i kraft før udkastet til budgetplan, er derfor ikke inddraget i vurderingen (selv om de kan have indflydelse på prognosen).</w:t>
      </w:r>
    </w:p>
    <w:p>
      <w:pPr>
        <w:pStyle w:val="ListParagraph"/>
        <w:numPr>
          <w:ilvl w:val="0"/>
          <w:numId w:val="1"/>
        </w:numPr>
        <w:spacing w:before="120" w:after="120" w:line="240" w:lineRule="auto"/>
        <w:ind w:left="425" w:hanging="425"/>
        <w:jc w:val="both"/>
        <w:rPr>
          <w:rFonts w:ascii="Times New Roman" w:hAnsi="Times New Roman"/>
          <w:noProof/>
          <w:sz w:val="24"/>
          <w:szCs w:val="24"/>
        </w:rPr>
      </w:pPr>
      <w:r>
        <w:rPr>
          <w:rFonts w:ascii="Times New Roman" w:hAnsi="Times New Roman"/>
          <w:noProof/>
          <w:sz w:val="24"/>
        </w:rPr>
        <w:t>Foranstaltninger, der får virkning i 2017, kan også kompensere for eksisterende engangsforanstaltninger, der har en engangsvirkning i 2016, og for den tendentielle stigning i udgifterne. For EA-18 samlet set anslår Kommissionen engangsforanstaltninger til at være på 0,1 % af BNP i 2014 og den tendentielle stigning i udgifterne (målt som ændring i den konjunkturkorrigerede udgiftskvote) ved uændret politik til -0,1 % af BNP.</w:t>
      </w:r>
    </w:p>
    <w:p>
      <w:pPr>
        <w:pStyle w:val="Heading3"/>
        <w:keepNext w:val="0"/>
        <w:spacing w:before="120" w:after="120"/>
        <w:jc w:val="both"/>
        <w:rPr>
          <w:noProof/>
        </w:rPr>
      </w:pPr>
      <w:r>
        <w:rPr>
          <w:noProof/>
        </w:rPr>
        <w:br w:type="page"/>
      </w:r>
      <w:bookmarkStart w:id="5" w:name="_Toc393881336"/>
      <w:bookmarkStart w:id="6" w:name="_Toc466401781"/>
      <w:r>
        <w:rPr>
          <w:noProof/>
          <w:sz w:val="28"/>
        </w:rPr>
        <w:t xml:space="preserve">BILAG III: </w:t>
      </w:r>
      <w:bookmarkEnd w:id="5"/>
      <w:r>
        <w:rPr>
          <w:noProof/>
          <w:sz w:val="28"/>
        </w:rPr>
        <w:t>Følsomhedsanalyse</w:t>
      </w:r>
      <w:bookmarkEnd w:id="6"/>
    </w:p>
    <w:p>
      <w:pPr>
        <w:spacing w:after="0" w:line="240" w:lineRule="auto"/>
        <w:ind w:left="720" w:hanging="720"/>
        <w:jc w:val="center"/>
        <w:rPr>
          <w:rFonts w:ascii="Times New Roman" w:hAnsi="Times New Roman"/>
          <w:noProof/>
        </w:rPr>
      </w:pPr>
    </w:p>
    <w:p>
      <w:pPr>
        <w:spacing w:before="120" w:after="120" w:line="240" w:lineRule="auto"/>
        <w:jc w:val="both"/>
        <w:rPr>
          <w:rFonts w:ascii="Times New Roman" w:hAnsi="Times New Roman"/>
          <w:noProof/>
          <w:sz w:val="24"/>
          <w:szCs w:val="24"/>
        </w:rPr>
      </w:pPr>
      <w:r>
        <w:rPr>
          <w:rFonts w:ascii="Times New Roman" w:hAnsi="Times New Roman"/>
          <w:noProof/>
          <w:sz w:val="24"/>
        </w:rPr>
        <w:t>I henhold til artikel 7 i forordning (EU) nr. 473/2013 omfatter "den samlede vurdering stresstest, der angiver risiciene for holdbarheden af de offentlige finanser i tilfælde af negative økonomiske, finansielle eller budgetmæssige udviklinger." Dette bilag indeholder derfor en følsomhedsanalyse af, hvordan offentlig gæld udvikler sig over for mulige makroøkonomiske chok (på vækst, rentesatser og den primære saldo), og tager udgangspunkt i resultaterne fra stokastiske gældsfremskrivninger</w:t>
      </w:r>
      <w:r>
        <w:rPr>
          <w:rFonts w:ascii="Times New Roman" w:hAnsi="Times New Roman"/>
          <w:noProof/>
          <w:sz w:val="24"/>
          <w:vertAlign w:val="superscript"/>
        </w:rPr>
        <w:footnoteReference w:id="5"/>
      </w:r>
      <w:r>
        <w:rPr>
          <w:rFonts w:ascii="Times New Roman" w:hAnsi="Times New Roman"/>
          <w:noProof/>
          <w:sz w:val="24"/>
        </w:rPr>
        <w:t>. Analysen giver mulighed for at vurdere, hvordan den offentlige gæld risikerer at blive påvirket af risiciene for stigende eller faldende vækst i nominelt BNP samt virkningerne af en positiv/negativ udvikling på finansmarkederne, som viser sig i lavere/højere låneomkostninger for regeringerne, og finanspolitiske chok, der påvirker deres budgetstilling.</w:t>
      </w:r>
    </w:p>
    <w:p>
      <w:pPr>
        <w:spacing w:before="120" w:after="120" w:line="240" w:lineRule="auto"/>
        <w:jc w:val="both"/>
        <w:rPr>
          <w:rFonts w:ascii="Times New Roman" w:hAnsi="Times New Roman"/>
          <w:noProof/>
          <w:sz w:val="24"/>
          <w:szCs w:val="24"/>
        </w:rPr>
      </w:pPr>
      <w:r>
        <w:rPr>
          <w:rFonts w:ascii="Times New Roman" w:hAnsi="Times New Roman"/>
          <w:noProof/>
          <w:sz w:val="24"/>
        </w:rPr>
        <w:t>I stokastiske fremskrivninger viser usikkerheden ved de fremtidige makroøkonomiske betingelser sig ved en analyse af udviklingen af den offentlige gæld med udgangspunkt i et "centralt" gældsfremskrivelsesscenarie, hvilket svarer til henholdsvis Kommissionens efterårsprognosescenarie fra 2016 og UBP-prognosescenariet, jf. nedenstående figurer, der viser resultaterne for EA-18 (i begge tilfælde går den sædvanlige antagelse om uændret finanspolitik videre end prognosetidsrummet)</w:t>
      </w:r>
      <w:r>
        <w:rPr>
          <w:rFonts w:ascii="Times New Roman" w:hAnsi="Times New Roman"/>
          <w:noProof/>
          <w:sz w:val="24"/>
          <w:vertAlign w:val="superscript"/>
        </w:rPr>
        <w:footnoteReference w:id="6"/>
      </w:r>
      <w:r>
        <w:rPr>
          <w:rFonts w:ascii="Times New Roman" w:hAnsi="Times New Roman"/>
          <w:noProof/>
          <w:sz w:val="24"/>
        </w:rPr>
        <w:t>. De makroøkonomiske betingelser (kort- og langfristet rente på statsobligationer, vækstrate, den offentlige primære saldo), der danner udgangspunktet for de centrale scenarier, udsættes for en række chok, så man får den kegleformede fordeling af mulige gældsudviklinger, der vises i figuren nedenfor. Keglen afspejler en lang række mulige underliggende makroøkonomiske betingelser, idet væksten, renten og den primære saldo er stimuleret med op til 2 000 chok Størrelsen og korrelationen af chokkene afspejler variablernes historiske adfærd</w:t>
      </w:r>
      <w:r>
        <w:rPr>
          <w:rFonts w:ascii="Times New Roman" w:hAnsi="Times New Roman"/>
          <w:noProof/>
          <w:sz w:val="24"/>
          <w:vertAlign w:val="superscript"/>
        </w:rPr>
        <w:footnoteReference w:id="7"/>
      </w:r>
      <w:r>
        <w:rPr>
          <w:rFonts w:ascii="Times New Roman" w:hAnsi="Times New Roman"/>
          <w:noProof/>
          <w:sz w:val="24"/>
        </w:rPr>
        <w:t>. Det indebærer, at metoden ikke fanger usikkerhed i realtid, hvilket på nuværende tidspunkt kan være højere, især for produktionsgabet. Nedenstående figurer viser således sandsynlighedsbaseret information om gældsudviklingen i EA-18, og der er taget hensyn til eventuelle chok for væksten og rentesatserne i en størrelsesorden og korrelation, som afspejler tidligere observerede chok.</w:t>
      </w:r>
    </w:p>
    <w:p>
      <w:pPr>
        <w:spacing w:before="120" w:after="120" w:line="240" w:lineRule="auto"/>
        <w:jc w:val="both"/>
        <w:rPr>
          <w:rFonts w:ascii="Times New Roman" w:hAnsi="Times New Roman"/>
          <w:noProof/>
          <w:sz w:val="24"/>
          <w:szCs w:val="24"/>
        </w:rPr>
      </w:pPr>
      <w:r>
        <w:rPr>
          <w:rFonts w:ascii="Times New Roman" w:hAnsi="Times New Roman"/>
          <w:noProof/>
          <w:sz w:val="24"/>
        </w:rPr>
        <w:t>Den stiplede linje i figurerne viser den forventede gældsudvikling i det centrale scenarie (der udsættes for diverse makroøkonomiske chok), mens den ubrudte sorte linje i midten er medianen for gældens fremskrevne udviklingskurs (som deler rækken af mulige udviklinger ved udsættelse for chok i to halvdele). Selve keglen dækker 80 % af de mulige gældsudviklinger opnået ved simulering af 2 000 chok på vækst og rentesatser (hvor den nederste og øverste linje, der afgrænser keglen, svarer til henholdsvis 10. og 90. percentil i fordelingen). Således udelukkes fra det skraverede område de simulerede gældsudviklinger (ca. 20 % af det hele), der skyldes mere ekstreme (mindre sandsynlige) chok eller "halebegivenheder". De forskelligt skraverede områder i keglen repræsenterer de forskellige andele af den samlede fordeling af mulige gældsudviklinger. Det mørkeblå område (afgrænset ved 40. og 60. percentil) omfatter 20 % af de mulige gældsudviklinger, der ligger tættest på det centrale scenarie.</w:t>
      </w:r>
    </w:p>
    <w:p>
      <w:pPr>
        <w:keepNext/>
        <w:spacing w:before="120" w:after="120" w:line="240" w:lineRule="auto"/>
        <w:jc w:val="center"/>
        <w:rPr>
          <w:rFonts w:ascii="Times New Roman Bold" w:hAnsi="Times New Roman Bold"/>
          <w:b/>
          <w:noProof/>
          <w:sz w:val="24"/>
          <w:szCs w:val="24"/>
        </w:rPr>
      </w:pPr>
      <w:r>
        <w:rPr>
          <w:rFonts w:ascii="Times New Roman Bold" w:hAnsi="Times New Roman Bold"/>
          <w:b/>
          <w:noProof/>
          <w:sz w:val="24"/>
        </w:rPr>
        <w:t>Figur A3.1: Figurer over stokastiske fremskrivninger af den offentlige gæld med udgangspunkt i scenarierne for Kommissionens prognose og for udkastene til budgetplaner (UBP)</w:t>
      </w:r>
    </w:p>
    <w:tbl>
      <w:tblPr>
        <w:tblW w:w="0" w:type="auto"/>
        <w:jc w:val="center"/>
        <w:tblLook w:val="04A0" w:firstRow="1" w:lastRow="0" w:firstColumn="1" w:lastColumn="0" w:noHBand="0" w:noVBand="1"/>
      </w:tblPr>
      <w:tblGrid>
        <w:gridCol w:w="7888"/>
      </w:tblGrid>
      <w:tr>
        <w:trPr>
          <w:trHeight w:val="5029"/>
          <w:jc w:val="center"/>
        </w:trPr>
        <w:tc>
          <w:tcPr>
            <w:tcW w:w="7821" w:type="dxa"/>
            <w:shd w:val="clear" w:color="auto" w:fill="auto"/>
          </w:tcPr>
          <w:p>
            <w:pPr>
              <w:spacing w:after="0" w:line="240" w:lineRule="auto"/>
              <w:jc w:val="center"/>
              <w:rPr>
                <w:rFonts w:ascii="Times New Roman" w:hAnsi="Times New Roman"/>
                <w:b/>
                <w:noProof/>
              </w:rPr>
            </w:pPr>
          </w:p>
          <w:p>
            <w:pPr>
              <w:spacing w:after="0" w:line="240" w:lineRule="auto"/>
              <w:jc w:val="center"/>
              <w:rPr>
                <w:rFonts w:ascii="Times New Roman" w:hAnsi="Times New Roman"/>
                <w:b/>
                <w:noProof/>
              </w:rPr>
            </w:pPr>
            <w:r>
              <w:rPr>
                <w:rFonts w:ascii="Times New Roman" w:hAnsi="Times New Roman"/>
                <w:b/>
                <w:noProof/>
              </w:rPr>
              <w:pict>
                <v:shape id="_x0000_i1026" type="#_x0000_t75" style="width:383.55pt;height:272.95pt">
                  <v:imagedata r:id="rId16" o:title=""/>
                </v:shape>
              </w:pict>
            </w:r>
          </w:p>
        </w:tc>
      </w:tr>
      <w:tr>
        <w:tblPrEx>
          <w:tblCellMar>
            <w:left w:w="70" w:type="dxa"/>
            <w:right w:w="70" w:type="dxa"/>
          </w:tblCellMar>
        </w:tblPrEx>
        <w:trPr>
          <w:jc w:val="center"/>
        </w:trPr>
        <w:tc>
          <w:tcPr>
            <w:tcW w:w="7821" w:type="dxa"/>
            <w:shd w:val="clear" w:color="auto" w:fill="auto"/>
          </w:tcPr>
          <w:p>
            <w:pPr>
              <w:spacing w:after="0" w:line="240" w:lineRule="auto"/>
              <w:jc w:val="center"/>
              <w:rPr>
                <w:rFonts w:ascii="Times New Roman" w:hAnsi="Times New Roman"/>
                <w:b/>
                <w:noProof/>
              </w:rPr>
            </w:pPr>
          </w:p>
          <w:p>
            <w:pPr>
              <w:spacing w:after="0" w:line="240" w:lineRule="auto"/>
              <w:jc w:val="center"/>
              <w:rPr>
                <w:rFonts w:ascii="Times New Roman" w:hAnsi="Times New Roman"/>
                <w:b/>
                <w:noProof/>
              </w:rPr>
            </w:pPr>
            <w:r>
              <w:rPr>
                <w:noProof/>
                <w:lang w:bidi="ar-SA"/>
              </w:rPr>
              <w:pict>
                <v:shape id="_x0000_i1027" type="#_x0000_t75" style="width:380.95pt;height:270.35pt">
                  <v:imagedata r:id="rId17" o:title=""/>
                </v:shape>
              </w:pict>
            </w:r>
          </w:p>
        </w:tc>
      </w:tr>
    </w:tbl>
    <w:p>
      <w:pPr>
        <w:jc w:val="both"/>
        <w:rPr>
          <w:rFonts w:ascii="Times New Roman" w:hAnsi="Times New Roman"/>
          <w:noProof/>
        </w:rPr>
      </w:pPr>
    </w:p>
    <w:p>
      <w:pPr>
        <w:spacing w:before="120" w:after="120" w:line="240" w:lineRule="auto"/>
        <w:jc w:val="both"/>
        <w:rPr>
          <w:rFonts w:ascii="Times New Roman" w:hAnsi="Times New Roman"/>
          <w:noProof/>
          <w:sz w:val="24"/>
          <w:szCs w:val="24"/>
        </w:rPr>
      </w:pPr>
      <w:r>
        <w:rPr>
          <w:rFonts w:ascii="Times New Roman" w:hAnsi="Times New Roman"/>
          <w:noProof/>
          <w:sz w:val="24"/>
        </w:rPr>
        <w:t>For både Kommissionens prognose og UBP-scenariet udviser figurerne en sandsynlighed på omkring 50 % for, at gældskvoten i EA i 2017 bliver værre end forudset som følge af negative makroøkonomiske chok</w:t>
      </w:r>
      <w:r>
        <w:rPr>
          <w:rFonts w:ascii="Times New Roman" w:hAnsi="Times New Roman"/>
          <w:noProof/>
          <w:sz w:val="24"/>
          <w:vertAlign w:val="superscript"/>
        </w:rPr>
        <w:footnoteReference w:id="8"/>
      </w:r>
      <w:r>
        <w:rPr>
          <w:rFonts w:ascii="Times New Roman" w:hAnsi="Times New Roman"/>
          <w:noProof/>
          <w:sz w:val="24"/>
        </w:rPr>
        <w:t xml:space="preserve">. Når der tages højde for både positive og negative risici for væksten og betingelserne på finansmarkederne i de to scenarier, ligger gælden i EA-18 i 2017 med 80 % sandsynlighed mellem ca. 86 % og 92 % af BNP (idet keglen viser 80 % af de mulige simulerede gældsudviklinger). De nedre og øvre grænser for gældskvotens interval i 2017 er stort set ens i Kommissionens scenarie og UBP-scenariet, da der kun er en meget lille forskel mellem de respektive centrale prognoser, som der anvendes chok på (en gældskvote på ca. 89 % i Kommissionens scenarie og 90,4 % i UBP-scenariet). </w:t>
      </w:r>
    </w:p>
    <w:p>
      <w:pPr>
        <w:spacing w:before="120" w:after="120" w:line="240" w:lineRule="auto"/>
        <w:jc w:val="both"/>
        <w:rPr>
          <w:rFonts w:ascii="Times New Roman" w:hAnsi="Times New Roman"/>
          <w:noProof/>
          <w:sz w:val="24"/>
          <w:szCs w:val="24"/>
        </w:rPr>
      </w:pPr>
      <w:r>
        <w:rPr>
          <w:rFonts w:ascii="Times New Roman" w:hAnsi="Times New Roman"/>
          <w:noProof/>
          <w:sz w:val="24"/>
        </w:rPr>
        <w:t>De nuværende udkast til budgetplaner har en tidshorisont frem til 2017 - derefter tyder simulationen på en forholdsvis begrænset forskel mellem de fremskrivninger af gældskvoter under chok, der findes i Kommissionens scenarie og scenariet for udkastene til budgetplaner. I slutningen af tidshorisonten for fremskrivningen i figurerne (2021) vil der være 50 % sandsynlighed for, at gældskvoten ligger over 83 % i UBP-scenariet og over 84½ % i Kommissionens scenarie. Denne forskel skyldes hovedsagelig, at den strukturelle primære saldo i UBP-scenariet, der forventes at forblive på det sidst skønnede niveau, udviser et større overskud end i Kommissionens scenarie.</w:t>
      </w:r>
    </w:p>
    <w:p>
      <w:pPr>
        <w:spacing w:before="120" w:after="120" w:line="240" w:lineRule="auto"/>
        <w:jc w:val="both"/>
        <w:rPr>
          <w:rFonts w:ascii="Times New Roman" w:hAnsi="Times New Roman"/>
          <w:noProof/>
          <w:sz w:val="24"/>
          <w:szCs w:val="24"/>
        </w:rPr>
      </w:pPr>
      <w:r>
        <w:rPr>
          <w:rFonts w:ascii="Times New Roman" w:hAnsi="Times New Roman"/>
          <w:noProof/>
          <w:sz w:val="24"/>
        </w:rPr>
        <w:t>Vær opmærksom på, at eftersom størrelsen og korrelationen af chokkene afspejler variablernes historiske adfærd, så fanger metoden ikke usikkerhed i realtid, som netop kan forekomme i forbindelse med vurdering af produktionsgabet. Den tidligere erfaring med betydelige justeringer af estimater over produktionsgab, ofte i retning af lavere potentiel produktion end forventet i realtid, viser, at der er en yderligere kilde til risici for kommende gældsudviklinger, som ikke fremgår af de forudgående analyser.</w:t>
      </w:r>
    </w:p>
    <w:p>
      <w:pPr>
        <w:spacing w:after="0" w:line="240" w:lineRule="auto"/>
        <w:ind w:left="720" w:hanging="720"/>
        <w:jc w:val="center"/>
        <w:rPr>
          <w:rFonts w:ascii="Times New Roman" w:hAnsi="Times New Roman"/>
          <w:noProof/>
        </w:rPr>
      </w:pPr>
    </w:p>
    <w:p>
      <w:pPr>
        <w:spacing w:after="0" w:line="240" w:lineRule="auto"/>
        <w:rPr>
          <w:rFonts w:ascii="Cambria" w:eastAsia="Times New Roman" w:hAnsi="Cambria"/>
          <w:b/>
          <w:bCs/>
          <w:noProof/>
          <w:sz w:val="26"/>
          <w:szCs w:val="26"/>
        </w:rPr>
      </w:pPr>
      <w:r>
        <w:rPr>
          <w:noProof/>
        </w:rPr>
        <w:br w:type="page"/>
      </w:r>
    </w:p>
    <w:p>
      <w:pPr>
        <w:pStyle w:val="Heading3"/>
        <w:rPr>
          <w:rFonts w:ascii="Times New Roman" w:hAnsi="Times New Roman"/>
          <w:noProof/>
          <w:sz w:val="28"/>
          <w:szCs w:val="28"/>
        </w:rPr>
      </w:pPr>
      <w:bookmarkStart w:id="7" w:name="_Toc393881337"/>
      <w:bookmarkStart w:id="8" w:name="_Toc466401782"/>
      <w:r>
        <w:rPr>
          <w:noProof/>
          <w:sz w:val="28"/>
        </w:rPr>
        <w:t>BILAG IV. Figurer og tabeller</w:t>
      </w:r>
      <w:bookmarkEnd w:id="7"/>
      <w:bookmarkEnd w:id="8"/>
    </w:p>
    <w:p>
      <w:pPr>
        <w:spacing w:after="0" w:line="240" w:lineRule="auto"/>
        <w:ind w:left="720" w:hanging="720"/>
        <w:jc w:val="center"/>
        <w:rPr>
          <w:rFonts w:ascii="Times New Roman" w:hAnsi="Times New Roman"/>
          <w:b/>
          <w:noProof/>
        </w:rPr>
      </w:pPr>
    </w:p>
    <w:p>
      <w:pPr>
        <w:jc w:val="center"/>
        <w:rPr>
          <w:rFonts w:ascii="Times New Roman" w:hAnsi="Times New Roman"/>
          <w:b/>
          <w:noProof/>
          <w:sz w:val="24"/>
          <w:szCs w:val="24"/>
        </w:rPr>
      </w:pPr>
      <w:bookmarkStart w:id="9" w:name="_Toc371505616"/>
      <w:r>
        <w:rPr>
          <w:rFonts w:ascii="Times New Roman" w:hAnsi="Times New Roman"/>
          <w:b/>
          <w:noProof/>
          <w:sz w:val="24"/>
        </w:rPr>
        <w:t>Tabel A4.1: Samlet underskud (% af BNP) i EA-18 ifølge stabilitetsprogrammerne (SP), udkastene til budgetplaner (UBP), og Kommissionens efterårsprognose 2016 (KOM)</w:t>
      </w:r>
    </w:p>
    <w:p>
      <w:pPr>
        <w:jc w:val="center"/>
        <w:rPr>
          <w:rFonts w:ascii="Times New Roman" w:hAnsi="Times New Roman"/>
          <w:noProof/>
        </w:rPr>
      </w:pPr>
      <w:r>
        <w:rPr>
          <w:noProof/>
        </w:rPr>
        <w:pict>
          <v:shape id="_x0000_i1028" type="#_x0000_t75" style="width:393.4pt;height:371.8pt">
            <v:imagedata r:id="rId18" o:title=""/>
          </v:shape>
        </w:pict>
      </w:r>
    </w:p>
    <w:p>
      <w:pPr>
        <w:spacing w:after="0" w:line="240" w:lineRule="auto"/>
        <w:rPr>
          <w:noProof/>
        </w:rPr>
      </w:pPr>
      <w:r>
        <w:rPr>
          <w:noProof/>
        </w:rPr>
        <w:br w:type="page"/>
      </w:r>
    </w:p>
    <w:p>
      <w:pPr>
        <w:jc w:val="center"/>
        <w:rPr>
          <w:rFonts w:ascii="Times New Roman" w:hAnsi="Times New Roman"/>
          <w:b/>
          <w:noProof/>
          <w:sz w:val="24"/>
          <w:szCs w:val="24"/>
        </w:rPr>
      </w:pPr>
      <w:r>
        <w:rPr>
          <w:rFonts w:ascii="Times New Roman" w:hAnsi="Times New Roman"/>
          <w:b/>
          <w:noProof/>
          <w:sz w:val="24"/>
        </w:rPr>
        <w:t>Tabel A4.2: Ændringer i strukturel saldo (% af BNP) i EA-18 ifølge stabilitetsprogrammerne (SP) udkastene til budgetplaner (UBP), og Kommissionens efterårsprognose 2016 (KOM)</w:t>
      </w:r>
    </w:p>
    <w:p>
      <w:pPr>
        <w:jc w:val="center"/>
        <w:rPr>
          <w:rFonts w:ascii="Times New Roman" w:hAnsi="Times New Roman"/>
          <w:noProof/>
        </w:rPr>
      </w:pPr>
      <w:r>
        <w:rPr>
          <w:noProof/>
        </w:rPr>
        <w:pict>
          <v:shape id="_x0000_i1029" type="#_x0000_t75" style="width:399.95pt;height:378.35pt">
            <v:imagedata r:id="rId19" o:title=""/>
          </v:shape>
        </w:pict>
      </w:r>
    </w:p>
    <w:p>
      <w:pPr>
        <w:spacing w:after="0" w:line="240" w:lineRule="auto"/>
        <w:rPr>
          <w:rFonts w:ascii="Times New Roman" w:hAnsi="Times New Roman"/>
          <w:b/>
          <w:noProof/>
        </w:rPr>
      </w:pPr>
      <w:r>
        <w:rPr>
          <w:noProof/>
        </w:rPr>
        <w:br w:type="page"/>
      </w:r>
    </w:p>
    <w:p>
      <w:pPr>
        <w:jc w:val="center"/>
        <w:rPr>
          <w:rFonts w:ascii="Times New Roman" w:hAnsi="Times New Roman"/>
          <w:b/>
          <w:noProof/>
          <w:sz w:val="24"/>
          <w:szCs w:val="24"/>
        </w:rPr>
      </w:pPr>
      <w:r>
        <w:rPr>
          <w:rFonts w:ascii="Times New Roman" w:hAnsi="Times New Roman"/>
          <w:b/>
          <w:noProof/>
          <w:sz w:val="24"/>
        </w:rPr>
        <w:t>Tabel A4.2b: Ændringer i strukturel primær saldo (% af BNP) i EA-18 ifølge stabilitetsprogrammerne (SP) udkastene til budgetplaner (UBP), og Kommissionens efterårsprognose 2016 (KOM)</w:t>
      </w:r>
    </w:p>
    <w:p>
      <w:pPr>
        <w:spacing w:after="0" w:line="240" w:lineRule="auto"/>
        <w:jc w:val="center"/>
        <w:rPr>
          <w:rFonts w:ascii="Times New Roman" w:hAnsi="Times New Roman"/>
          <w:noProof/>
        </w:rPr>
      </w:pPr>
      <w:r>
        <w:rPr>
          <w:noProof/>
        </w:rPr>
        <w:pict>
          <v:shape id="_x0000_i1030" type="#_x0000_t75" style="width:397.3pt;height:375.05pt">
            <v:imagedata r:id="rId20" o:title=""/>
          </v:shape>
        </w:pict>
      </w:r>
    </w:p>
    <w:p>
      <w:pPr>
        <w:rPr>
          <w:noProof/>
        </w:rPr>
      </w:pPr>
      <w:r>
        <w:rPr>
          <w:noProof/>
        </w:rPr>
        <w:br w:type="page"/>
      </w:r>
    </w:p>
    <w:p>
      <w:pPr>
        <w:spacing w:after="0" w:line="240" w:lineRule="auto"/>
        <w:rPr>
          <w:rFonts w:ascii="Times New Roman" w:hAnsi="Times New Roman"/>
          <w:noProof/>
        </w:rPr>
      </w:pPr>
    </w:p>
    <w:p>
      <w:pPr>
        <w:jc w:val="center"/>
        <w:rPr>
          <w:rFonts w:ascii="Times New Roman" w:hAnsi="Times New Roman"/>
          <w:b/>
          <w:noProof/>
          <w:sz w:val="24"/>
          <w:szCs w:val="24"/>
        </w:rPr>
      </w:pPr>
      <w:r>
        <w:rPr>
          <w:rFonts w:ascii="Times New Roman" w:hAnsi="Times New Roman"/>
          <w:b/>
          <w:noProof/>
          <w:sz w:val="24"/>
        </w:rPr>
        <w:t>Tabel A4.3: Gældskvote (% af BNP) i EA-18 ifølge stabilitetsprogrammerne (SP) udkastene til budgetplaner (UBP), og Kommissionens efterårsprognose 2016 (KOM)</w:t>
      </w:r>
    </w:p>
    <w:p>
      <w:pPr>
        <w:jc w:val="center"/>
        <w:rPr>
          <w:rFonts w:ascii="Times New Roman" w:hAnsi="Times New Roman"/>
          <w:noProof/>
        </w:rPr>
      </w:pPr>
      <w:r>
        <w:rPr>
          <w:noProof/>
        </w:rPr>
        <w:pict>
          <v:shape id="_x0000_i1031" type="#_x0000_t75" style="width:400.6pt;height:379pt">
            <v:imagedata r:id="rId21" o:title=""/>
          </v:shape>
        </w:pict>
      </w:r>
    </w:p>
    <w:p>
      <w:pPr>
        <w:spacing w:after="0" w:line="240" w:lineRule="auto"/>
        <w:rPr>
          <w:noProof/>
        </w:rPr>
      </w:pPr>
      <w:r>
        <w:rPr>
          <w:noProof/>
        </w:rPr>
        <w:br w:type="page"/>
      </w:r>
    </w:p>
    <w:p>
      <w:pPr>
        <w:jc w:val="center"/>
        <w:rPr>
          <w:rFonts w:ascii="Times New Roman" w:hAnsi="Times New Roman"/>
          <w:b/>
          <w:noProof/>
          <w:sz w:val="24"/>
          <w:szCs w:val="24"/>
        </w:rPr>
      </w:pPr>
      <w:r>
        <w:rPr>
          <w:rFonts w:ascii="Times New Roman" w:hAnsi="Times New Roman"/>
          <w:b/>
          <w:noProof/>
          <w:sz w:val="24"/>
        </w:rPr>
        <w:t>Tabel A4.4: Real BNP-vækst (% af BNP) i EA-18 ifølge stabilitetsprogrammerne (SP) udkastene til budgetplaner (UBP) og Kommissionens efterårsprognose 2016 (KOM)</w:t>
      </w:r>
    </w:p>
    <w:p>
      <w:pPr>
        <w:jc w:val="center"/>
        <w:rPr>
          <w:noProof/>
        </w:rPr>
      </w:pPr>
      <w:r>
        <w:rPr>
          <w:noProof/>
        </w:rPr>
        <w:pict>
          <v:shape id="_x0000_i1032" type="#_x0000_t75" style="width:399.95pt;height:378.35pt">
            <v:imagedata r:id="rId22" o:title=""/>
          </v:shape>
        </w:pict>
      </w:r>
    </w:p>
    <w:p>
      <w:pPr>
        <w:spacing w:after="0" w:line="240" w:lineRule="auto"/>
        <w:rPr>
          <w:noProof/>
        </w:rPr>
      </w:pPr>
      <w:r>
        <w:rPr>
          <w:noProof/>
        </w:rPr>
        <w:br w:type="page"/>
      </w:r>
    </w:p>
    <w:p>
      <w:pPr>
        <w:jc w:val="center"/>
        <w:rPr>
          <w:rFonts w:ascii="Times New Roman" w:hAnsi="Times New Roman"/>
          <w:b/>
          <w:noProof/>
          <w:sz w:val="24"/>
          <w:szCs w:val="24"/>
        </w:rPr>
      </w:pPr>
      <w:r>
        <w:rPr>
          <w:rFonts w:ascii="Times New Roman" w:hAnsi="Times New Roman"/>
          <w:b/>
          <w:noProof/>
          <w:sz w:val="24"/>
        </w:rPr>
        <w:t>Tabel A4.5: Sammensætning af finanspolitisk konsolidering i 2016 og 2017 for EA-18 ifølge stabilitetsprogrammerne (SP) udkastene til budgetplaner (UBP) og Kommissionens efterårsprognose 2016 (KOM)</w:t>
      </w:r>
    </w:p>
    <w:p>
      <w:pPr>
        <w:jc w:val="center"/>
        <w:rPr>
          <w:rFonts w:ascii="Times New Roman" w:hAnsi="Times New Roman"/>
          <w:noProof/>
        </w:rPr>
      </w:pPr>
      <w:r>
        <w:rPr>
          <w:noProof/>
        </w:rPr>
        <w:pict>
          <v:shape id="_x0000_i1033" type="#_x0000_t75" style="width:276.85pt;height:242.85pt">
            <v:imagedata r:id="rId23" o:title=""/>
          </v:shape>
        </w:pict>
      </w:r>
    </w:p>
    <w:p>
      <w:pPr>
        <w:jc w:val="center"/>
        <w:rPr>
          <w:rFonts w:ascii="Times New Roman" w:hAnsi="Times New Roman"/>
          <w:b/>
          <w:noProof/>
          <w:sz w:val="24"/>
          <w:szCs w:val="24"/>
        </w:rPr>
      </w:pPr>
      <w:r>
        <w:rPr>
          <w:rFonts w:ascii="Times New Roman" w:hAnsi="Times New Roman"/>
          <w:b/>
          <w:noProof/>
          <w:sz w:val="24"/>
        </w:rPr>
        <w:t>Tabel A4.6: Kortfristede elasticiteter bag indtægtsfremskrivninger for 2017 i EA-18: udkast til budgetplaner (UBP) over for Kommissionens efterårsprognose 2016 (KOM) og OECD</w:t>
      </w:r>
    </w:p>
    <w:p>
      <w:pPr>
        <w:spacing w:after="0" w:line="240" w:lineRule="auto"/>
        <w:jc w:val="center"/>
        <w:rPr>
          <w:rFonts w:ascii="Times New Roman" w:hAnsi="Times New Roman"/>
          <w:noProof/>
          <w:sz w:val="20"/>
          <w:szCs w:val="20"/>
        </w:rPr>
      </w:pPr>
      <w:r>
        <w:rPr>
          <w:noProof/>
        </w:rPr>
        <w:pict>
          <v:shape id="_x0000_i1034" type="#_x0000_t75" style="width:200.95pt;height:255.95pt">
            <v:imagedata r:id="rId24" o:title=""/>
          </v:shape>
        </w:pict>
      </w:r>
    </w:p>
    <w:p>
      <w:pPr>
        <w:spacing w:after="0" w:line="240" w:lineRule="auto"/>
        <w:jc w:val="both"/>
        <w:rPr>
          <w:rFonts w:ascii="Times New Roman" w:hAnsi="Times New Roman"/>
          <w:b/>
          <w:noProof/>
        </w:rPr>
      </w:pPr>
      <w:r>
        <w:rPr>
          <w:rFonts w:ascii="Times New Roman" w:hAnsi="Times New Roman"/>
          <w:noProof/>
          <w:sz w:val="20"/>
          <w:u w:val="single"/>
        </w:rPr>
        <w:t>Bemærk</w:t>
      </w:r>
      <w:r>
        <w:rPr>
          <w:rFonts w:ascii="Times New Roman" w:hAnsi="Times New Roman"/>
          <w:noProof/>
          <w:sz w:val="20"/>
        </w:rPr>
        <w:t>: sammenligningen mellem på den ene side de elasticiteter, der er afledt af UBP og Kommissionens prognose, og på den anden side OECD's elasticiteter bør foretages med omhu. De to første er nettoelasticiteter i BNP-væksten, hvorimod sidstnævnte strengt taget er beregnet i forhold til outputgabet. Forskellene er generelt ikke så store.</w:t>
      </w:r>
    </w:p>
    <w:p>
      <w:pPr>
        <w:spacing w:after="0" w:line="240" w:lineRule="auto"/>
        <w:rPr>
          <w:noProof/>
        </w:rPr>
      </w:pPr>
    </w:p>
    <w:p>
      <w:pPr>
        <w:jc w:val="center"/>
        <w:rPr>
          <w:rFonts w:ascii="Times New Roman" w:hAnsi="Times New Roman"/>
          <w:b/>
          <w:noProof/>
          <w:sz w:val="24"/>
          <w:szCs w:val="24"/>
        </w:rPr>
      </w:pPr>
      <w:r>
        <w:rPr>
          <w:rFonts w:ascii="Times New Roman" w:hAnsi="Times New Roman"/>
          <w:b/>
          <w:noProof/>
          <w:sz w:val="24"/>
        </w:rPr>
        <w:t>Tabel A4.7: Mellemfristede budgetmålsætninger (MTO), som angivet i stabilitetsprogrammerne fra foråret, og mimumsbenchmarks (MB) fra og med 2017 for EA-18</w:t>
      </w:r>
    </w:p>
    <w:p>
      <w:pPr>
        <w:jc w:val="center"/>
        <w:rPr>
          <w:rFonts w:ascii="Times New Roman" w:hAnsi="Times New Roman"/>
          <w:b/>
          <w:noProof/>
          <w:sz w:val="24"/>
          <w:szCs w:val="24"/>
        </w:rPr>
      </w:pPr>
      <w:r>
        <w:rPr>
          <w:noProof/>
        </w:rPr>
        <w:pict>
          <v:shape id="_x0000_i1035" type="#_x0000_t75" style="width:153.8pt;height:287.35pt">
            <v:imagedata r:id="rId25" o:title=""/>
          </v:shape>
        </w:pict>
      </w:r>
    </w:p>
    <w:p>
      <w:pPr>
        <w:autoSpaceDE w:val="0"/>
        <w:autoSpaceDN w:val="0"/>
        <w:adjustRightInd w:val="0"/>
        <w:spacing w:after="0" w:line="240" w:lineRule="auto"/>
        <w:rPr>
          <w:rFonts w:ascii="Times New Roman" w:hAnsi="Times New Roman"/>
          <w:noProof/>
          <w:sz w:val="20"/>
          <w:szCs w:val="20"/>
        </w:rPr>
      </w:pPr>
      <w:r>
        <w:rPr>
          <w:rFonts w:ascii="Times New Roman" w:hAnsi="Times New Roman"/>
          <w:noProof/>
          <w:sz w:val="20"/>
        </w:rPr>
        <w:t>Bemærk: * For Sloveniens vedkommende viser tabellen den minimale MTO, da Slovenien i sit stabilitetsprogram for 2016 angav en MTO, der hverken tager tilstrækkeligt hensyn til behovet for at bringe gælden ned under traktatens referenceværdi eller til de implicitte forpligtelser i forbindelse med befolkningens aldring.</w:t>
      </w:r>
      <w:r>
        <w:rPr>
          <w:noProof/>
        </w:rPr>
        <w:br w:type="page"/>
      </w:r>
      <w:r>
        <w:rPr>
          <w:rFonts w:ascii="Times New Roman" w:hAnsi="Times New Roman"/>
          <w:b/>
          <w:noProof/>
          <w:sz w:val="24"/>
        </w:rPr>
        <w:t xml:space="preserve">Graph A4.1: Diskretionær finanspolitisk indsats (DFI): udkast til budgetplaner (UBP) over for Kommissionens efterårsprognose 2016 (KOM) </w:t>
      </w:r>
    </w:p>
    <w:p>
      <w:pPr>
        <w:jc w:val="center"/>
        <w:rPr>
          <w:rFonts w:ascii="Times New Roman" w:hAnsi="Times New Roman"/>
          <w:b/>
          <w:noProof/>
        </w:rPr>
      </w:pPr>
      <w:r>
        <w:rPr>
          <w:noProof/>
        </w:rPr>
        <w:pict>
          <v:shape id="_x0000_i1036" type="#_x0000_t75" style="width:409.1pt;height:198.35pt">
            <v:imagedata r:id="rId26" o:title=""/>
          </v:shape>
        </w:pict>
      </w:r>
    </w:p>
    <w:p>
      <w:pPr>
        <w:spacing w:line="240" w:lineRule="auto"/>
        <w:rPr>
          <w:noProof/>
        </w:rPr>
      </w:pPr>
      <w:r>
        <w:rPr>
          <w:rFonts w:ascii="Times New Roman" w:hAnsi="Times New Roman"/>
          <w:noProof/>
          <w:sz w:val="20"/>
          <w:u w:val="single"/>
        </w:rPr>
        <w:t>Bemærk</w:t>
      </w:r>
      <w:r>
        <w:rPr>
          <w:rFonts w:ascii="Times New Roman" w:hAnsi="Times New Roman"/>
          <w:noProof/>
          <w:sz w:val="20"/>
        </w:rPr>
        <w:t>: De data, der er opgivet i udkastene til budgetplaner, er ikke i sig selv tilstrækkeligt detaljerede til, at den diskretionære finanspolitiske indsats kan beregnes. Der blev derfor anvendt yderlige oplysninger fra GD ECFIN's landeansvarlige til at anslå den diskretionære finanspolitiske indsats.</w:t>
      </w:r>
      <w:r>
        <w:rPr>
          <w:noProof/>
        </w:rPr>
        <w:br w:type="page"/>
      </w:r>
    </w:p>
    <w:p>
      <w:pPr>
        <w:spacing w:after="0"/>
        <w:jc w:val="center"/>
        <w:rPr>
          <w:rFonts w:ascii="Times New Roman" w:hAnsi="Times New Roman"/>
          <w:b/>
          <w:noProof/>
          <w:sz w:val="24"/>
          <w:szCs w:val="24"/>
        </w:rPr>
      </w:pPr>
      <w:r>
        <w:rPr>
          <w:rFonts w:ascii="Times New Roman" w:hAnsi="Times New Roman"/>
          <w:b/>
          <w:noProof/>
          <w:sz w:val="24"/>
        </w:rPr>
        <w:t>Figur A4.2a: Forventede ændringer i udgiftskvoter for 2017 i EA-18: udkast til budgetplaner (UBP) over for Kommissionens efterårsprognose 2016 (KOM)</w:t>
      </w:r>
    </w:p>
    <w:p>
      <w:pPr>
        <w:spacing w:after="0" w:line="240" w:lineRule="auto"/>
        <w:jc w:val="center"/>
        <w:rPr>
          <w:rFonts w:ascii="Times New Roman" w:hAnsi="Times New Roman"/>
          <w:b/>
          <w:noProof/>
        </w:rPr>
      </w:pPr>
      <w:r>
        <w:rPr>
          <w:noProof/>
        </w:rPr>
        <w:pict>
          <v:shape id="_x0000_i1037" type="#_x0000_t75" style="width:435.25pt;height:264.45pt">
            <v:imagedata r:id="rId27" o:title=""/>
          </v:shape>
        </w:pict>
      </w:r>
    </w:p>
    <w:p>
      <w:pPr>
        <w:spacing w:after="0" w:line="240" w:lineRule="auto"/>
        <w:jc w:val="both"/>
        <w:rPr>
          <w:rFonts w:ascii="Times New Roman" w:hAnsi="Times New Roman"/>
          <w:b/>
          <w:noProof/>
        </w:rPr>
      </w:pPr>
      <w:r>
        <w:rPr>
          <w:rFonts w:ascii="Times New Roman" w:hAnsi="Times New Roman"/>
          <w:noProof/>
          <w:sz w:val="20"/>
        </w:rPr>
        <w:t>Figuren viser ændringerne i udgiftskvoter (til venstre) mellem 2016 og 2017 og kvoterne i 2017 (til højre).</w:t>
      </w:r>
    </w:p>
    <w:p>
      <w:pPr>
        <w:spacing w:after="0"/>
        <w:jc w:val="center"/>
        <w:rPr>
          <w:rFonts w:ascii="Times New Roman" w:hAnsi="Times New Roman"/>
          <w:b/>
          <w:noProof/>
        </w:rPr>
      </w:pPr>
    </w:p>
    <w:p>
      <w:pPr>
        <w:spacing w:after="0"/>
        <w:jc w:val="center"/>
        <w:rPr>
          <w:rFonts w:ascii="Times New Roman" w:hAnsi="Times New Roman"/>
          <w:b/>
          <w:noProof/>
          <w:sz w:val="24"/>
          <w:szCs w:val="24"/>
        </w:rPr>
      </w:pPr>
      <w:r>
        <w:rPr>
          <w:rFonts w:ascii="Times New Roman" w:hAnsi="Times New Roman"/>
          <w:b/>
          <w:noProof/>
          <w:sz w:val="24"/>
        </w:rPr>
        <w:t>Figur A4.2b: Forventede ændringer i indtægtskvoter for 2017 i EA-18: udkast til budgetplaner (UBP) over for Kommissionens efterårsprognose 2016 (KOM)</w:t>
      </w:r>
    </w:p>
    <w:p>
      <w:pPr>
        <w:spacing w:after="0" w:line="240" w:lineRule="auto"/>
        <w:jc w:val="center"/>
        <w:rPr>
          <w:rFonts w:ascii="Times New Roman" w:hAnsi="Times New Roman"/>
          <w:b/>
          <w:noProof/>
        </w:rPr>
      </w:pPr>
      <w:r>
        <w:rPr>
          <w:noProof/>
        </w:rPr>
        <w:pict>
          <v:shape id="_x0000_i1038" type="#_x0000_t75" style="width:434.6pt;height:264.45pt">
            <v:imagedata r:id="rId28" o:title=""/>
          </v:shape>
        </w:pict>
      </w:r>
    </w:p>
    <w:p>
      <w:pPr>
        <w:spacing w:after="0" w:line="240" w:lineRule="auto"/>
        <w:jc w:val="both"/>
        <w:rPr>
          <w:rFonts w:ascii="Times New Roman" w:hAnsi="Times New Roman"/>
          <w:noProof/>
          <w:sz w:val="20"/>
          <w:szCs w:val="20"/>
        </w:rPr>
      </w:pPr>
      <w:r>
        <w:rPr>
          <w:rFonts w:ascii="Times New Roman" w:hAnsi="Times New Roman"/>
          <w:noProof/>
          <w:sz w:val="20"/>
        </w:rPr>
        <w:t>Figuren viser ændringerne i indtægtskvoter (til venstre) mellem 2016 og 2017 og kvoterne i 2017 (til højre).</w:t>
      </w:r>
    </w:p>
    <w:p>
      <w:pPr>
        <w:spacing w:after="0" w:line="240" w:lineRule="auto"/>
        <w:rPr>
          <w:noProof/>
        </w:rPr>
      </w:pPr>
      <w:r>
        <w:rPr>
          <w:noProof/>
        </w:rPr>
        <w:br w:type="page"/>
      </w:r>
    </w:p>
    <w:p>
      <w:pPr>
        <w:jc w:val="center"/>
        <w:rPr>
          <w:rFonts w:ascii="Times New Roman Bold" w:hAnsi="Times New Roman Bold"/>
          <w:b/>
          <w:noProof/>
          <w:sz w:val="24"/>
          <w:szCs w:val="24"/>
        </w:rPr>
      </w:pPr>
      <w:r>
        <w:rPr>
          <w:rFonts w:ascii="Times New Roman Bold" w:hAnsi="Times New Roman Bold"/>
          <w:b/>
          <w:noProof/>
          <w:sz w:val="24"/>
        </w:rPr>
        <w:t>Figur A</w:t>
      </w:r>
      <w:r>
        <w:rPr>
          <w:rFonts w:ascii="Times New Roman" w:hAnsi="Times New Roman"/>
          <w:b/>
          <w:noProof/>
          <w:sz w:val="24"/>
        </w:rPr>
        <w:t>4.</w:t>
      </w:r>
      <w:r>
        <w:rPr>
          <w:rFonts w:ascii="Times New Roman Bold" w:hAnsi="Times New Roman Bold"/>
          <w:b/>
          <w:noProof/>
          <w:sz w:val="24"/>
        </w:rPr>
        <w:t xml:space="preserve">3a: Forventede ændringer i de vigtigste udgiftstyper (% af BNP) for 2017 i EA-18: </w:t>
      </w:r>
      <w:r>
        <w:rPr>
          <w:rFonts w:ascii="Times New Roman" w:hAnsi="Times New Roman"/>
          <w:b/>
          <w:noProof/>
          <w:sz w:val="24"/>
        </w:rPr>
        <w:t>udkast til budgetplaner (UBP) over for Kommissionens efterårsprognose 2016 (KOM)</w:t>
      </w:r>
    </w:p>
    <w:p>
      <w:pPr>
        <w:spacing w:after="0" w:line="240" w:lineRule="auto"/>
        <w:jc w:val="center"/>
        <w:rPr>
          <w:noProof/>
        </w:rPr>
      </w:pPr>
      <w:r>
        <w:rPr>
          <w:noProof/>
        </w:rPr>
        <w:pict>
          <v:shape id="_x0000_i1039" type="#_x0000_t75" style="width:320.75pt;height:204.2pt">
            <v:imagedata r:id="rId29" o:title=""/>
          </v:shape>
        </w:pict>
      </w:r>
    </w:p>
    <w:p>
      <w:pPr>
        <w:spacing w:after="0" w:line="240" w:lineRule="auto"/>
        <w:jc w:val="center"/>
        <w:rPr>
          <w:noProof/>
        </w:rPr>
      </w:pPr>
    </w:p>
    <w:p>
      <w:pPr>
        <w:spacing w:after="0" w:line="240" w:lineRule="auto"/>
        <w:jc w:val="center"/>
        <w:rPr>
          <w:noProof/>
        </w:rPr>
      </w:pPr>
      <w:r>
        <w:rPr>
          <w:rFonts w:ascii="Times New Roman" w:hAnsi="Times New Roman"/>
          <w:noProof/>
          <w:sz w:val="20"/>
        </w:rPr>
        <w:t>Figuren viser bidragene fra de vigtigste udgiftskomponenter til de forventede ændringer i udgiftskvoterne.</w:t>
      </w:r>
    </w:p>
    <w:p>
      <w:pPr>
        <w:spacing w:after="0"/>
        <w:jc w:val="center"/>
        <w:rPr>
          <w:noProof/>
        </w:rPr>
      </w:pPr>
    </w:p>
    <w:p>
      <w:pPr>
        <w:jc w:val="center"/>
        <w:rPr>
          <w:rFonts w:ascii="Times New Roman" w:hAnsi="Times New Roman"/>
          <w:b/>
          <w:noProof/>
          <w:sz w:val="24"/>
          <w:szCs w:val="24"/>
        </w:rPr>
      </w:pPr>
      <w:r>
        <w:rPr>
          <w:rFonts w:ascii="Times New Roman" w:hAnsi="Times New Roman"/>
          <w:b/>
          <w:noProof/>
          <w:sz w:val="24"/>
        </w:rPr>
        <w:t>Figur A4.3b:</w:t>
      </w:r>
      <w:r>
        <w:rPr>
          <w:noProof/>
          <w:sz w:val="24"/>
        </w:rPr>
        <w:t xml:space="preserve"> </w:t>
      </w:r>
      <w:r>
        <w:rPr>
          <w:rFonts w:ascii="Times New Roman" w:hAnsi="Times New Roman"/>
          <w:b/>
          <w:noProof/>
          <w:sz w:val="24"/>
        </w:rPr>
        <w:t>Forventede ændringer i de vigtigste skatteindtægtstyper (% af BNP) for 2017 i EA-18: udkast til budgetplaner (UBP) over for Kommissionens efterårsprognose 2016 (KOM)</w:t>
      </w:r>
    </w:p>
    <w:p>
      <w:pPr>
        <w:jc w:val="center"/>
        <w:rPr>
          <w:noProof/>
        </w:rPr>
      </w:pPr>
      <w:r>
        <w:rPr>
          <w:noProof/>
        </w:rPr>
        <w:pict>
          <v:shape id="_x0000_i1040" type="#_x0000_t75" style="width:326.6pt;height:207.5pt">
            <v:imagedata r:id="rId30" o:title=""/>
          </v:shape>
        </w:pict>
      </w:r>
    </w:p>
    <w:p>
      <w:pPr>
        <w:spacing w:after="0" w:line="240" w:lineRule="auto"/>
        <w:jc w:val="both"/>
        <w:rPr>
          <w:rFonts w:ascii="Times New Roman" w:hAnsi="Times New Roman"/>
          <w:noProof/>
        </w:rPr>
      </w:pPr>
      <w:r>
        <w:rPr>
          <w:rFonts w:ascii="Times New Roman" w:hAnsi="Times New Roman"/>
          <w:noProof/>
          <w:sz w:val="20"/>
        </w:rPr>
        <w:t>Figuren viser bidragene fra de vigtigste indtægtskomponenter til de forventede ændringer i indtægtskvoterne.</w:t>
      </w:r>
    </w:p>
    <w:p>
      <w:pPr>
        <w:spacing w:after="0" w:line="240" w:lineRule="auto"/>
        <w:rPr>
          <w:noProof/>
        </w:rPr>
      </w:pPr>
      <w:r>
        <w:rPr>
          <w:noProof/>
        </w:rPr>
        <w:br w:type="page"/>
      </w:r>
    </w:p>
    <w:p>
      <w:pPr>
        <w:jc w:val="center"/>
        <w:rPr>
          <w:rFonts w:ascii="Times New Roman" w:hAnsi="Times New Roman"/>
          <w:b/>
          <w:noProof/>
        </w:rPr>
      </w:pPr>
      <w:r>
        <w:rPr>
          <w:rFonts w:ascii="Times New Roman" w:hAnsi="Times New Roman"/>
          <w:b/>
          <w:noProof/>
        </w:rPr>
        <w:t>Figur A4.4: Sammenligning af den samlede offentlige saldo (% af BNP) forventet for 2017 ifølge Kommissionens efterårsprognose 2016 (KOM) og udkastene til budgetplaner (UBP)</w:t>
      </w:r>
    </w:p>
    <w:p>
      <w:pPr>
        <w:jc w:val="center"/>
        <w:rPr>
          <w:rFonts w:ascii="Times New Roman" w:hAnsi="Times New Roman"/>
          <w:b/>
          <w:noProof/>
        </w:rPr>
      </w:pPr>
      <w:r>
        <w:rPr>
          <w:noProof/>
        </w:rPr>
        <w:pict>
          <v:shape id="_x0000_i1041" type="#_x0000_t75" style="width:391.4pt;height:263.8pt">
            <v:imagedata r:id="rId31" o:title=""/>
          </v:shape>
        </w:pict>
      </w:r>
    </w:p>
    <w:p>
      <w:pPr>
        <w:spacing w:after="0" w:line="240" w:lineRule="auto"/>
        <w:jc w:val="both"/>
        <w:rPr>
          <w:rFonts w:ascii="Times New Roman" w:hAnsi="Times New Roman"/>
          <w:b/>
          <w:noProof/>
        </w:rPr>
      </w:pPr>
      <w:r>
        <w:rPr>
          <w:rFonts w:ascii="Times New Roman" w:hAnsi="Times New Roman"/>
          <w:noProof/>
          <w:sz w:val="20"/>
        </w:rPr>
        <w:t>Figuren viser de nominelle budgetsaldi for 2017 fra Kommissionens prognose (horisontal akse) over for de i UBP planlagte budgetsaldi (vertikal akse). Medlemsstaterne over (under) bisektorlinjen er dem, hvor Kommissionen forudser en højere (lavere) nominel saldo end den, der fremgår af UBP.</w:t>
      </w:r>
    </w:p>
    <w:p>
      <w:pPr>
        <w:spacing w:after="0" w:line="240" w:lineRule="auto"/>
        <w:rPr>
          <w:rFonts w:ascii="Times New Roman" w:hAnsi="Times New Roman"/>
          <w:b/>
          <w:noProof/>
        </w:rPr>
      </w:pPr>
    </w:p>
    <w:p>
      <w:pPr>
        <w:spacing w:after="0" w:line="240" w:lineRule="auto"/>
        <w:rPr>
          <w:rFonts w:ascii="Times New Roman" w:hAnsi="Times New Roman"/>
          <w:b/>
          <w:noProof/>
        </w:rPr>
      </w:pPr>
      <w:r>
        <w:rPr>
          <w:rFonts w:ascii="Times New Roman" w:hAnsi="Times New Roman"/>
          <w:b/>
          <w:noProof/>
        </w:rPr>
        <w:t>Figur A4.5: Dekomponering af forskellene i gældsmål (% af BNP) for 2017 mellem Kommissionens efterårsprognose 2016 og udkastene til budgetplaner</w:t>
      </w:r>
    </w:p>
    <w:p>
      <w:pPr>
        <w:spacing w:after="0" w:line="240" w:lineRule="auto"/>
        <w:jc w:val="center"/>
        <w:rPr>
          <w:rFonts w:ascii="Times New Roman" w:hAnsi="Times New Roman"/>
          <w:b/>
          <w:noProof/>
        </w:rPr>
      </w:pPr>
      <w:r>
        <w:rPr>
          <w:noProof/>
        </w:rPr>
        <w:pict>
          <v:shape id="_x0000_i1042" type="#_x0000_t75" style="width:370.45pt;height:246.1pt">
            <v:imagedata r:id="rId32" o:title=""/>
          </v:shape>
        </w:pict>
      </w:r>
    </w:p>
    <w:p>
      <w:pPr>
        <w:spacing w:after="0" w:line="240" w:lineRule="auto"/>
        <w:rPr>
          <w:rFonts w:ascii="Cambria" w:eastAsia="Times New Roman" w:hAnsi="Cambria"/>
          <w:b/>
          <w:bCs/>
          <w:noProof/>
          <w:sz w:val="26"/>
          <w:szCs w:val="26"/>
        </w:rPr>
      </w:pPr>
      <w:r>
        <w:rPr>
          <w:rFonts w:ascii="Times New Roman" w:hAnsi="Times New Roman"/>
          <w:noProof/>
          <w:sz w:val="20"/>
        </w:rPr>
        <w:t>Figuren bryder de fremskrevne forskelle i gældskvoten op i forskelle i basiseffekt, primære saldi, stock-flowjusteringer (SFJ) og sneboldeffekt. Sneboldeffekten er forskellen mellem fremskrevne vækstrater og rentesatser.</w:t>
      </w:r>
      <w:bookmarkEnd w:id="9"/>
    </w:p>
    <w:sectPr>
      <w:headerReference w:type="even" r:id="rId33"/>
      <w:headerReference w:type="default" r:id="rId34"/>
      <w:footerReference w:type="even" r:id="rId35"/>
      <w:footerReference w:type="default" r:id="rId36"/>
      <w:headerReference w:type="first" r:id="rId37"/>
      <w:footerReference w:type="first" r:id="rId38"/>
      <w:pgSz w:w="11906" w:h="16838"/>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De metodologiske antagelser, der ligger til grund for Kommissionens efterårsprognose 2016, findes på: </w:t>
      </w:r>
      <w:hyperlink r:id="rId1">
        <w:r>
          <w:rPr>
            <w:rStyle w:val="Hyperlink"/>
            <w:rFonts w:ascii="Times New Roman" w:hAnsi="Times New Roman"/>
          </w:rPr>
          <w:t>http://ec.europa.eu/economy_finance/publications/eeip/forecasts_en.htm</w:t>
        </w:r>
      </w:hyperlink>
      <w:r>
        <w:rPr>
          <w:rFonts w:ascii="Times New Roman" w:hAnsi="Times New Roman"/>
        </w:rPr>
        <w:t xml:space="preserve"> ).</w:t>
      </w:r>
    </w:p>
  </w:footnote>
  <w:footnote w:id="2">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Findes på: </w:t>
      </w:r>
      <w:hyperlink r:id="rId2">
        <w:r>
          <w:rPr>
            <w:rStyle w:val="Hyperlink"/>
            <w:rFonts w:ascii="Times New Roman" w:hAnsi="Times New Roman"/>
          </w:rPr>
          <w:t>http://ec.europa.eu/eurostat/documents/1015035/2041337/FT-Eurostat-Decision-9-July-2009-3--final-.pdf</w:t>
        </w:r>
      </w:hyperlink>
      <w:r>
        <w:rPr>
          <w:rFonts w:ascii="Times New Roman" w:hAnsi="Times New Roman"/>
        </w:rPr>
        <w:t>.</w:t>
      </w:r>
    </w:p>
  </w:footnote>
  <w:footnote w:id="3">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Findes på: </w:t>
      </w:r>
      <w:hyperlink r:id="rId3">
        <w:r>
          <w:rPr>
            <w:rStyle w:val="Hyperlink"/>
            <w:rFonts w:ascii="Times New Roman" w:hAnsi="Times New Roman"/>
          </w:rPr>
          <w:t>http://ec.europa.eu/eurostat/documents/2995521/7704449/2-21102016-AP-EN.pdf/f113daf6-9f48-4bb1-832d-e3a71e5ef009</w:t>
        </w:r>
      </w:hyperlink>
      <w:r>
        <w:rPr>
          <w:rStyle w:val="Hyperlink"/>
          <w:rFonts w:ascii="Times New Roman" w:hAnsi="Times New Roman"/>
        </w:rPr>
        <w:t xml:space="preserve"> </w:t>
      </w:r>
      <w:r>
        <w:rPr>
          <w:rFonts w:ascii="Times New Roman" w:hAnsi="Times New Roman"/>
        </w:rPr>
        <w:t>.</w:t>
      </w:r>
    </w:p>
  </w:footnote>
  <w:footnote w:id="4">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I overensstemmelse med Eurostats beslutning af 27. januar 2011 om den statistiske registrering af transaktioner, der gennemføres af EFSF, som findes på: </w:t>
      </w:r>
      <w:hyperlink r:id="rId4">
        <w:r>
          <w:rPr>
            <w:rStyle w:val="Hyperlink"/>
            <w:rFonts w:ascii="Times New Roman" w:hAnsi="Times New Roman"/>
          </w:rPr>
          <w:t>http://ec.europa.eu/eurostat/documents/2995521/5034386/2-27012011-AP-EN.PDF</w:t>
        </w:r>
      </w:hyperlink>
      <w:r>
        <w:rPr>
          <w:rStyle w:val="Hyperlink"/>
          <w:rFonts w:ascii="Times New Roman" w:hAnsi="Times New Roman"/>
          <w:color w:val="000000"/>
        </w:rPr>
        <w:t>.</w:t>
      </w:r>
    </w:p>
  </w:footnote>
  <w:footnote w:id="5">
    <w:p>
      <w:pPr>
        <w:pStyle w:val="FootnoteText"/>
        <w:tabs>
          <w:tab w:val="left" w:pos="284"/>
        </w:tabs>
        <w:spacing w:after="0" w:line="240" w:lineRule="auto"/>
        <w:ind w:left="284" w:hanging="284"/>
        <w:jc w:val="both"/>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 xml:space="preserve">Den her anvendte metode til stokastiske fremskrivninger af offentlig gæld er beskrevet i Europa-Kommissionens rapport om finanspolitisk holdbarhed fra 2015, afsnit 1.3.2, og i Berti K. (2013), "Stochastic public debt projections using the historical variance-covariance matrix approach for EU countries", </w:t>
      </w:r>
      <w:r>
        <w:rPr>
          <w:rFonts w:ascii="Times New Roman" w:hAnsi="Times New Roman"/>
          <w:i/>
        </w:rPr>
        <w:t>European Economy Economic Paper</w:t>
      </w:r>
      <w:r>
        <w:rPr>
          <w:rFonts w:ascii="Times New Roman" w:hAnsi="Times New Roman"/>
        </w:rPr>
        <w:t xml:space="preserve"> No. 480.</w:t>
      </w:r>
    </w:p>
  </w:footnote>
  <w:footnote w:id="6">
    <w:p>
      <w:pPr>
        <w:pStyle w:val="FootnoteText"/>
        <w:tabs>
          <w:tab w:val="left" w:pos="284"/>
        </w:tabs>
        <w:spacing w:after="0" w:line="240" w:lineRule="auto"/>
        <w:ind w:left="284" w:hanging="284"/>
        <w:jc w:val="both"/>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vertAlign w:val="baseline"/>
        </w:rPr>
        <w:t xml:space="preserve"> </w:t>
      </w:r>
      <w:r>
        <w:tab/>
      </w:r>
      <w:r>
        <w:rPr>
          <w:rFonts w:ascii="Times New Roman" w:hAnsi="Times New Roman"/>
        </w:rPr>
        <w:t>Det betyder, at den strukturelle primære saldo i EA-18 forventes at forblive konstant ved den sidste forudsete værdi – et overskud på 0,8 % i 2017 i henhold til scenarierne i udkastene til budgetplaner sammenlignet med et overskud på 0,5 % i 2018 i Kommissionens scenarie – i resten af fremskrivningstidsrummet.</w:t>
      </w:r>
    </w:p>
  </w:footnote>
  <w:footnote w:id="7">
    <w:p>
      <w:pPr>
        <w:pStyle w:val="FootnoteText"/>
        <w:tabs>
          <w:tab w:val="left" w:pos="284"/>
        </w:tabs>
        <w:spacing w:after="0" w:line="240" w:lineRule="auto"/>
        <w:ind w:left="284" w:hanging="284"/>
        <w:jc w:val="both"/>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tab/>
      </w:r>
      <w:r>
        <w:rPr>
          <w:rStyle w:val="FootnoteReference"/>
          <w:rFonts w:ascii="Times New Roman" w:hAnsi="Times New Roman"/>
          <w:vertAlign w:val="baseline"/>
        </w:rPr>
        <w:t>Det antages, at chokkene følger en fælles normal fordeling.</w:t>
      </w:r>
    </w:p>
  </w:footnote>
  <w:footnote w:id="8">
    <w:p>
      <w:pPr>
        <w:pStyle w:val="FootnoteText"/>
        <w:tabs>
          <w:tab w:val="left" w:pos="284"/>
        </w:tabs>
        <w:spacing w:after="0" w:line="240" w:lineRule="auto"/>
        <w:ind w:left="284" w:hanging="284"/>
        <w:jc w:val="both"/>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I 2017 svarer den stiplede linje, som viser prognoser for det centrale scenarie i de to ovenstående figurer, i både Kommissionens scenarie og UBP-scenariet til den linje, der angiver 50. fordelingspercentil (hvilket betyder, at 50 % af de mulige værdier for gældskvoten i 2017 vil ligge over den forudsete værdi).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F328F66"/>
    <w:lvl w:ilvl="0">
      <w:start w:val="1"/>
      <w:numFmt w:val="decimal"/>
      <w:pStyle w:val="ListNumber3"/>
      <w:lvlText w:val="%1."/>
      <w:lvlJc w:val="left"/>
      <w:pPr>
        <w:tabs>
          <w:tab w:val="num" w:pos="926"/>
        </w:tabs>
        <w:ind w:left="926" w:hanging="360"/>
      </w:pPr>
    </w:lvl>
  </w:abstractNum>
  <w:abstractNum w:abstractNumId="1">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8939B8"/>
    <w:multiLevelType w:val="hybridMultilevel"/>
    <w:tmpl w:val="3184E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revisionView w:markup="0"/>
  <w:doNotTrackMoves/>
  <w:defaultTabStop w:val="720"/>
  <w:hyphenationZone w:val="425"/>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ocStatus" w:val="Green"/>
    <w:docVar w:name="LW_ACCOMPAGNANT.CP" w:val="til"/>
    <w:docVar w:name="LW_ANNEX_NBR_FIRST" w:val="1"/>
    <w:docVar w:name="LW_ANNEX_NBR_LAST" w:val="4"/>
    <w:docVar w:name="LW_CONFIDENCE" w:val=" "/>
    <w:docVar w:name="LW_CONST_RESTREINT_UE" w:val="RESTREINT UE"/>
    <w:docVar w:name="LW_CORRIGENDUM" w:val="&lt;UNUSED&gt;"/>
    <w:docVar w:name="LW_COVERPAGE_GUID" w:val="27691307B20D490FB70FC38E4A7300B7"/>
    <w:docVar w:name="LW_CROSSREFERENCE" w:val="&lt;UNUSED&gt;"/>
    <w:docVar w:name="LW_DocType" w:val="NORMAL"/>
    <w:docVar w:name="LW_EMISSION" w:val="16.11.2016"/>
    <w:docVar w:name="LW_EMISSION_ISODATE" w:val="2016-11-16"/>
    <w:docVar w:name="LW_EMISSION_LOCATION" w:val="BRX"/>
    <w:docVar w:name="LW_EMISSION_PREFIX" w:val="Bruxelles, den "/>
    <w:docVar w:name="LW_EMISSION_SUFFIX" w:val=" "/>
    <w:docVar w:name="LW_ID_DOCTYPE_NONLW" w:val="CP-039"/>
    <w:docVar w:name="LW_LANGUE" w:val="DA"/>
    <w:docVar w:name="LW_MARKING" w:val="&lt;UNUSED&gt;"/>
    <w:docVar w:name="LW_NOM.INST" w:val="EUROPA-KOMMISSIONEN"/>
    <w:docVar w:name="LW_NOM.INST_JOINTDOC" w:val="&lt;EMPTY&gt;"/>
    <w:docVar w:name="LW_OBJETACTEPRINCIPAL.CP" w:val="Udkast til budgetplaner for 2017: samlet vurdering"/>
    <w:docVar w:name="LW_PART_NBR" w:val="&lt;UNUSED&gt;"/>
    <w:docVar w:name="LW_PART_NBR_TOTAL" w:val="&lt;UNUSED&gt;"/>
    <w:docVar w:name="LW_REF.INST.NEW" w:val="COM"/>
    <w:docVar w:name="LW_REF.INST.NEW_ADOPTED" w:val="final"/>
    <w:docVar w:name="LW_REF.INST.NEW_TEXT" w:val="(2016) 730"/>
    <w:docVar w:name="LW_REF.INTERNE" w:val="&lt;UNUSED&gt;"/>
    <w:docVar w:name="LW_SUPERTITRE" w:val="&lt;UNUSED&gt;"/>
    <w:docVar w:name="LW_TITRE.OBJ.CP" w:val="&lt;UNUSED&gt;"/>
    <w:docVar w:name="LW_TYPE.DOC.CP" w:val="BILAG_x000b_"/>
    <w:docVar w:name="LW_TYPEACTEPRINCIPAL.CP" w:val="MEDDELELSE FRA KOMMISSIONE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Cambria" w:eastAsia="Times New Roman" w:hAnsi="Cambria" w:cs="Times New Roman"/>
      <w:b/>
      <w:bCs/>
      <w:sz w:val="26"/>
      <w:szCs w:val="26"/>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Calibri" w:eastAsia="Calibri" w:hAnsi="Calibri" w:cs="Times New Roman"/>
    </w:rPr>
  </w:style>
  <w:style w:type="character" w:styleId="Hyperlink">
    <w:name w:val="Hyperlink"/>
    <w:uiPriority w:val="99"/>
    <w:unhideWhenUsed/>
    <w:rPr>
      <w:color w:val="0000FF"/>
      <w:u w:val="single"/>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link w:val="FootnoteText"/>
    <w:uiPriority w:val="99"/>
    <w:rPr>
      <w:rFonts w:ascii="Calibri" w:eastAsia="Calibri" w:hAnsi="Calibri" w:cs="Times New Roman"/>
      <w:sz w:val="20"/>
      <w:szCs w:val="20"/>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NumPar1">
    <w:name w:val="NumPar 1"/>
    <w:basedOn w:val="Normal"/>
    <w:next w:val="Normal"/>
    <w:pPr>
      <w:numPr>
        <w:numId w:val="2"/>
      </w:numPr>
      <w:spacing w:before="120" w:after="120" w:line="240" w:lineRule="auto"/>
      <w:jc w:val="both"/>
    </w:pPr>
    <w:rPr>
      <w:rFonts w:ascii="Times New Roman" w:hAnsi="Times New Roman"/>
      <w:sz w:val="24"/>
    </w:rPr>
  </w:style>
  <w:style w:type="paragraph" w:customStyle="1" w:styleId="NumPar2">
    <w:name w:val="NumPar 2"/>
    <w:basedOn w:val="Normal"/>
    <w:next w:val="Normal"/>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ormal"/>
    <w:next w:val="Normal"/>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ormal"/>
    <w:next w:val="Normal"/>
    <w:pPr>
      <w:numPr>
        <w:ilvl w:val="3"/>
        <w:numId w:val="2"/>
      </w:numPr>
      <w:spacing w:before="120" w:after="120" w:line="240" w:lineRule="auto"/>
      <w:jc w:val="both"/>
    </w:pPr>
    <w:rPr>
      <w:rFonts w:ascii="Times New Roman" w:hAnsi="Times New Roman"/>
      <w:sz w:val="24"/>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szCs w:val="28"/>
    </w:rPr>
  </w:style>
  <w:style w:type="character" w:customStyle="1" w:styleId="FooterCoverPageChar">
    <w:name w:val="Footer Cover Page Char"/>
    <w:link w:val="FooterCoverPage"/>
    <w:rPr>
      <w:rFonts w:ascii="Times New Roman" w:hAnsi="Times New Roman"/>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szCs w:val="28"/>
    </w:rPr>
  </w:style>
  <w:style w:type="character" w:customStyle="1" w:styleId="HeaderCoverPageChar">
    <w:name w:val="Header Cover Page Char"/>
    <w:link w:val="HeaderCoverPage"/>
    <w:rPr>
      <w:rFonts w:ascii="Times New Roman" w:hAnsi="Times New Roman"/>
      <w:sz w:val="24"/>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a-DK"/>
    </w:rPr>
  </w:style>
  <w:style w:type="paragraph" w:customStyle="1" w:styleId="Text1">
    <w:name w:val="Text 1"/>
    <w:basedOn w:val="Normal"/>
    <w:pPr>
      <w:spacing w:before="120" w:after="120" w:line="240" w:lineRule="auto"/>
      <w:ind w:left="850"/>
      <w:jc w:val="both"/>
    </w:pPr>
    <w:rPr>
      <w:rFonts w:ascii="Times New Roman" w:hAnsi="Times New Roman"/>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da-DK"/>
    </w:rPr>
  </w:style>
  <w:style w:type="paragraph" w:styleId="CommentSubject">
    <w:name w:val="annotation subject"/>
    <w:basedOn w:val="CommentText"/>
    <w:next w:val="CommentText"/>
    <w:link w:val="CommentSubjectChar"/>
    <w:uiPriority w:val="99"/>
    <w:semiHidden/>
    <w:unhideWhenUsed/>
    <w:pPr>
      <w:spacing w:before="120" w:after="120" w:line="240" w:lineRule="auto"/>
      <w:jc w:val="both"/>
    </w:pPr>
    <w:rPr>
      <w:rFonts w:ascii="Times New Roman" w:hAnsi="Times New Roman"/>
      <w:b/>
      <w:bCs/>
    </w:rPr>
  </w:style>
  <w:style w:type="character" w:customStyle="1" w:styleId="CommentSubjectChar">
    <w:name w:val="Comment Subject Char"/>
    <w:link w:val="CommentSubject"/>
    <w:uiPriority w:val="99"/>
    <w:semiHidden/>
    <w:rPr>
      <w:rFonts w:ascii="Times New Roman" w:hAnsi="Times New Roman"/>
      <w:b/>
      <w:bCs/>
      <w:lang w:eastAsia="da-DK"/>
    </w:rPr>
  </w:style>
  <w:style w:type="paragraph" w:styleId="ListNumber3">
    <w:name w:val="List Number 3"/>
    <w:basedOn w:val="Normal"/>
    <w:uiPriority w:val="99"/>
    <w:semiHidden/>
    <w:unhideWhenUsed/>
    <w:pPr>
      <w:numPr>
        <w:numId w:val="4"/>
      </w:numPr>
      <w:tabs>
        <w:tab w:val="clear" w:pos="926"/>
        <w:tab w:val="num" w:pos="360"/>
      </w:tabs>
      <w:spacing w:before="120" w:after="120" w:line="240" w:lineRule="auto"/>
      <w:ind w:left="0" w:firstLine="0"/>
      <w:contextualSpacing/>
      <w:jc w:val="both"/>
    </w:pPr>
    <w:rPr>
      <w:rFonts w:ascii="Times New Roman" w:hAnsi="Times New Roman"/>
      <w:sz w:val="24"/>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1237">
      <w:bodyDiv w:val="1"/>
      <w:marLeft w:val="0"/>
      <w:marRight w:val="0"/>
      <w:marTop w:val="0"/>
      <w:marBottom w:val="0"/>
      <w:divBdr>
        <w:top w:val="none" w:sz="0" w:space="0" w:color="auto"/>
        <w:left w:val="none" w:sz="0" w:space="0" w:color="auto"/>
        <w:bottom w:val="none" w:sz="0" w:space="0" w:color="auto"/>
        <w:right w:val="none" w:sz="0" w:space="0" w:color="auto"/>
      </w:divBdr>
    </w:div>
    <w:div w:id="994798305">
      <w:bodyDiv w:val="1"/>
      <w:marLeft w:val="0"/>
      <w:marRight w:val="0"/>
      <w:marTop w:val="0"/>
      <w:marBottom w:val="0"/>
      <w:divBdr>
        <w:top w:val="none" w:sz="0" w:space="0" w:color="auto"/>
        <w:left w:val="none" w:sz="0" w:space="0" w:color="auto"/>
        <w:bottom w:val="none" w:sz="0" w:space="0" w:color="auto"/>
        <w:right w:val="none" w:sz="0" w:space="0" w:color="auto"/>
      </w:divBdr>
    </w:div>
    <w:div w:id="12863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2995521/7704449/2-21102016-AP-EN.pdf/f113daf6-9f48-4bb1-832d-e3a71e5ef009" TargetMode="External"/><Relationship Id="rId2" Type="http://schemas.openxmlformats.org/officeDocument/2006/relationships/hyperlink" Target="http://ec.europa.eu/eurostat/documents/1015035/2041337/FT-Eurostat-Decision-9-July-2009-3--final-.pdf" TargetMode="External"/><Relationship Id="rId1" Type="http://schemas.openxmlformats.org/officeDocument/2006/relationships/hyperlink" Target="http://ec.europa.eu/economy_finance/publications/eeip/forecasts_en.htm" TargetMode="External"/><Relationship Id="rId4" Type="http://schemas.openxmlformats.org/officeDocument/2006/relationships/hyperlink" Target="http://ec.europa.eu/eurostat/documents/2995521/5034386/2-27012011-AP-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D31D-9EBC-46BC-9F3C-FC6230CB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23</Pages>
  <Words>4898</Words>
  <Characters>30517</Characters>
  <Application>Microsoft Office Word</Application>
  <DocSecurity>0</DocSecurity>
  <Lines>492</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35335</CharactersWithSpaces>
  <SharedDoc>false</SharedDoc>
  <HLinks>
    <vt:vector size="24" baseType="variant">
      <vt:variant>
        <vt:i4>7405602</vt:i4>
      </vt:variant>
      <vt:variant>
        <vt:i4>9</vt:i4>
      </vt:variant>
      <vt:variant>
        <vt:i4>0</vt:i4>
      </vt:variant>
      <vt:variant>
        <vt:i4>5</vt:i4>
      </vt:variant>
      <vt:variant>
        <vt:lpwstr>http://ec.europa.eu/eurostat/documents/2995521/5034386/2-27012011-AP-EN.PDF</vt:lpwstr>
      </vt:variant>
      <vt:variant>
        <vt:lpwstr/>
      </vt:variant>
      <vt:variant>
        <vt:i4>5898259</vt:i4>
      </vt:variant>
      <vt:variant>
        <vt:i4>6</vt:i4>
      </vt:variant>
      <vt:variant>
        <vt:i4>0</vt:i4>
      </vt:variant>
      <vt:variant>
        <vt:i4>5</vt:i4>
      </vt:variant>
      <vt:variant>
        <vt:lpwstr>http://ec.europa.eu/eurostat/documents/2995521/7704449/2-21102016-AP-EN.pdf/f113daf6-9f48-4bb1-832d-e3a71e5ef009</vt:lpwstr>
      </vt:variant>
      <vt:variant>
        <vt:lpwstr/>
      </vt:variant>
      <vt:variant>
        <vt:i4>5308507</vt:i4>
      </vt:variant>
      <vt:variant>
        <vt:i4>3</vt:i4>
      </vt:variant>
      <vt:variant>
        <vt:i4>0</vt:i4>
      </vt:variant>
      <vt:variant>
        <vt:i4>5</vt:i4>
      </vt:variant>
      <vt:variant>
        <vt:lpwstr>http://ec.europa.eu/eurostat/documents/1015035/2041337/FT-Eurostat-Decision-9-July-2009-3--final-.pdf</vt:lpwstr>
      </vt:variant>
      <vt:variant>
        <vt:lpwstr/>
      </vt:variant>
      <vt:variant>
        <vt:i4>3145766</vt:i4>
      </vt:variant>
      <vt:variant>
        <vt:i4>0</vt:i4>
      </vt:variant>
      <vt:variant>
        <vt:i4>0</vt:i4>
      </vt:variant>
      <vt:variant>
        <vt:i4>5</vt:i4>
      </vt:variant>
      <vt:variant>
        <vt:lpwstr>http://ec.europa.eu/economy_finance/publications/eeip/forecasts_en.htm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Martine (ECFIN)</dc:creator>
  <cp:keywords/>
  <cp:lastModifiedBy>DIGIT/A3</cp:lastModifiedBy>
  <cp:revision>37</cp:revision>
  <cp:lastPrinted>2016-11-18T13:22:00Z</cp:lastPrinted>
  <dcterms:created xsi:type="dcterms:W3CDTF">2016-11-17T10:35:00Z</dcterms:created>
  <dcterms:modified xsi:type="dcterms:W3CDTF">2016-11-23T08:49:00Z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4</vt:lpwstr>
  </property>
  <property fmtid="{D5CDD505-2E9C-101B-9397-08002B2CF9AE}" pid="4" name="Part">
    <vt:lpwstr>&lt;UNUSED&gt;</vt:lpwstr>
  </property>
  <property fmtid="{D5CDD505-2E9C-101B-9397-08002B2CF9AE}" pid="5" name="Total parts">
    <vt:lpwstr>&lt;UNUSED&gt;</vt:lpwstr>
  </property>
  <property fmtid="{D5CDD505-2E9C-101B-9397-08002B2CF9AE}" pid="6" name="Classification">
    <vt:lpwstr> </vt:lpwstr>
  </property>
  <property fmtid="{D5CDD505-2E9C-101B-9397-08002B2CF9AE}" pid="7" name="DocStatus">
    <vt:lpwstr>Green</vt:lpwstr>
  </property>
</Properties>
</file>