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F6" w:rsidRDefault="00BC19AF" w:rsidP="00BC19AF">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7B4F75507594631BEAEBF40477DD76C" style="width:451.85pt;height:321.5pt">
            <v:imagedata r:id="rId8" o:title=""/>
          </v:shape>
        </w:pict>
      </w:r>
    </w:p>
    <w:bookmarkEnd w:id="0"/>
    <w:p w:rsidR="008261F6" w:rsidRDefault="008261F6">
      <w:pPr>
        <w:rPr>
          <w:noProof/>
        </w:rPr>
        <w:sectPr w:rsidR="008261F6" w:rsidSect="00BC19AF">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rsidR="008261F6" w:rsidRDefault="008261F6">
      <w:pPr>
        <w:rPr>
          <w:noProof/>
        </w:rPr>
      </w:pPr>
    </w:p>
    <w:p w:rsidR="008261F6" w:rsidRDefault="00BC19AF">
      <w:pPr>
        <w:spacing w:after="120" w:line="240" w:lineRule="auto"/>
        <w:jc w:val="both"/>
        <w:rPr>
          <w:rFonts w:ascii="Times New Roman" w:eastAsia="Calibri" w:hAnsi="Times New Roman" w:cs="Times New Roman"/>
          <w:b/>
          <w:noProof/>
          <w:sz w:val="24"/>
          <w:szCs w:val="20"/>
        </w:rPr>
      </w:pPr>
      <w:r>
        <w:rPr>
          <w:rFonts w:ascii="Times New Roman" w:hAnsi="Times New Roman"/>
          <w:b/>
          <w:noProof/>
          <w:sz w:val="24"/>
        </w:rPr>
        <w:t xml:space="preserve">I. INTRODUÇÃO </w:t>
      </w:r>
    </w:p>
    <w:p w:rsidR="008261F6" w:rsidRDefault="008261F6">
      <w:pPr>
        <w:autoSpaceDE w:val="0"/>
        <w:autoSpaceDN w:val="0"/>
        <w:adjustRightInd w:val="0"/>
        <w:spacing w:after="120" w:line="240" w:lineRule="auto"/>
        <w:jc w:val="both"/>
        <w:rPr>
          <w:rFonts w:ascii="Times New Roman" w:hAnsi="Times New Roman"/>
          <w:noProof/>
          <w:sz w:val="24"/>
        </w:rPr>
      </w:pPr>
    </w:p>
    <w:p w:rsidR="008261F6" w:rsidRDefault="00BC19AF">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Este é o segundo relatório mensal sobre os progressos alcançados rumo a uma União </w:t>
      </w:r>
      <w:r>
        <w:rPr>
          <w:rFonts w:ascii="Times New Roman" w:hAnsi="Times New Roman"/>
          <w:noProof/>
          <w:sz w:val="24"/>
        </w:rPr>
        <w:t>da Segurança genuína e eficaz, que cobre a evolução da situação no respeitante a dois pilares principais: a luta contra o terrorismo e a criminalidade organizada e contra os meios que os apoiam, e o reforço das nossas defesas e resiliência a essas ameaças.</w:t>
      </w:r>
      <w:r>
        <w:rPr>
          <w:rFonts w:ascii="Times New Roman" w:hAnsi="Times New Roman"/>
          <w:noProof/>
          <w:sz w:val="24"/>
        </w:rPr>
        <w:t xml:space="preserve"> O primeiro relatório, adotado em 12 de outubro de 2016</w:t>
      </w:r>
      <w:r>
        <w:rPr>
          <w:rFonts w:ascii="Times New Roman" w:hAnsi="Times New Roman"/>
          <w:noProof/>
          <w:sz w:val="24"/>
          <w:vertAlign w:val="superscript"/>
        </w:rPr>
        <w:footnoteReference w:id="1"/>
      </w:r>
      <w:r>
        <w:rPr>
          <w:rFonts w:ascii="Times New Roman" w:hAnsi="Times New Roman"/>
          <w:noProof/>
          <w:sz w:val="24"/>
        </w:rPr>
        <w:t xml:space="preserve">, abrangia o período de abril a outubro de 2016: a presente comunicação trata dos progressos alcançados desde esse período até dezembro de 2016. </w:t>
      </w:r>
    </w:p>
    <w:p w:rsidR="008261F6" w:rsidRDefault="00BC19AF">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Um ano depois dos atentados de Paris, em que foram uti</w:t>
      </w:r>
      <w:r>
        <w:rPr>
          <w:rFonts w:ascii="Times New Roman" w:hAnsi="Times New Roman"/>
          <w:noProof/>
          <w:sz w:val="24"/>
        </w:rPr>
        <w:t>lizadas armas de agressão militar reativadas com efeitos devastadores, as negociações para a revisão da Diretiva Armas de Fogo, proposta pela Comissão em 18 de novembro de 2015, continuam num impasse devido às tentativas de enfraquecer a proposta. Os traba</w:t>
      </w:r>
      <w:r>
        <w:rPr>
          <w:rFonts w:ascii="Times New Roman" w:hAnsi="Times New Roman"/>
          <w:noProof/>
          <w:sz w:val="24"/>
        </w:rPr>
        <w:t>lhos têm de estar concluídos antes do final deste mês se queremos honrar a memória das vítimas de Paris e também responder às legítimas expectativas dos nossos cidadãos no sentido de impedir que as armas de utilização militar caiam nas mãos de particulares</w:t>
      </w:r>
      <w:r>
        <w:rPr>
          <w:rFonts w:ascii="Times New Roman" w:hAnsi="Times New Roman"/>
          <w:noProof/>
          <w:sz w:val="24"/>
        </w:rPr>
        <w:t>. É igualmente necessário concluir rapidamente as negociações acerca da Diretiva relativa à luta contra o terrorismo, a fim de criminalizar na União o terrorismo e o apoio ao terrorismo, e acerca das alterações ao Código das Fronteiras Schengen, a fim de g</w:t>
      </w:r>
      <w:r>
        <w:rPr>
          <w:rFonts w:ascii="Times New Roman" w:hAnsi="Times New Roman"/>
          <w:noProof/>
          <w:sz w:val="24"/>
        </w:rPr>
        <w:t xml:space="preserve">erir o regresso de combatentes terroristas mediante a introdução de controlos sistemáticos de todas as pessoas que atravessam a fronteira externa. </w:t>
      </w:r>
    </w:p>
    <w:p w:rsidR="008261F6" w:rsidRDefault="00BC19AF">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À luz da prioridade destacada no discurso do Presidente Juncker de 2016 sobre o estado da União, e tal como </w:t>
      </w:r>
      <w:r>
        <w:rPr>
          <w:rFonts w:ascii="Times New Roman" w:hAnsi="Times New Roman"/>
          <w:noProof/>
          <w:sz w:val="24"/>
        </w:rPr>
        <w:t>exposto na Comunicação da Comissão, de 14 de setembro de 2016, sobre o reforço da segurança num mundo de mobilidade</w:t>
      </w:r>
      <w:r>
        <w:rPr>
          <w:rFonts w:ascii="Times New Roman" w:hAnsi="Times New Roman"/>
          <w:noProof/>
          <w:sz w:val="24"/>
          <w:vertAlign w:val="superscript"/>
        </w:rPr>
        <w:footnoteReference w:id="2"/>
      </w:r>
      <w:r>
        <w:rPr>
          <w:rFonts w:ascii="Times New Roman" w:hAnsi="Times New Roman"/>
          <w:noProof/>
          <w:sz w:val="24"/>
        </w:rPr>
        <w:t>, a Comissão está a promover outras medidas importantes para reduzir a margem de manobra dos terroristas através de propostas de reforço dos</w:t>
      </w:r>
      <w:r>
        <w:rPr>
          <w:rFonts w:ascii="Times New Roman" w:hAnsi="Times New Roman"/>
          <w:noProof/>
          <w:sz w:val="24"/>
        </w:rPr>
        <w:t xml:space="preserve"> controlos nas fronteiras. Nelas se inclui a apresentação, hoje, de uma proposta de Sistema Europeu de Informação e Autorização de Viagem (ETIAS), que permite verificações prévias de nacionais de países terceiros que não necessitam de visto para entrar na </w:t>
      </w:r>
      <w:r>
        <w:rPr>
          <w:rFonts w:ascii="Times New Roman" w:hAnsi="Times New Roman"/>
          <w:noProof/>
          <w:sz w:val="24"/>
        </w:rPr>
        <w:t>União, e a tomada das medidas operacionais necessárias, na sequência da criação da Guarda Europeia de Fronteiras e Costeira, para reforçar o controlo das fronteiras externas. A Comissão consolidou o seu trabalho de combate à radicalização por meio do refor</w:t>
      </w:r>
      <w:r>
        <w:rPr>
          <w:rFonts w:ascii="Times New Roman" w:hAnsi="Times New Roman"/>
          <w:noProof/>
          <w:sz w:val="24"/>
        </w:rPr>
        <w:t>ço da Rede de Sensibilização para a Radicalização, no intuito de impedir que os mais jovens e vulneráveis caiam nas malhas dos recrutadores e da propaganda terrorista. O relatório de dezembro será acompanhado das propostas finais do plano de ação para impe</w:t>
      </w:r>
      <w:r>
        <w:rPr>
          <w:rFonts w:ascii="Times New Roman" w:hAnsi="Times New Roman"/>
          <w:noProof/>
          <w:sz w:val="24"/>
        </w:rPr>
        <w:t>dir o acesso dos terroristas a meios de financiamento, mediante propostas de criminalização do branqueamento de capitais, de maior reconhecimento mútuo das decisões de congelamento e confisco de bens, e também uma proposta de combate aos pagamentos ilícito</w:t>
      </w:r>
      <w:r>
        <w:rPr>
          <w:rFonts w:ascii="Times New Roman" w:hAnsi="Times New Roman"/>
          <w:noProof/>
          <w:sz w:val="24"/>
        </w:rPr>
        <w:t>s em numerário.</w:t>
      </w:r>
    </w:p>
    <w:p w:rsidR="008261F6" w:rsidRDefault="008261F6">
      <w:pPr>
        <w:spacing w:after="120" w:line="240" w:lineRule="auto"/>
        <w:jc w:val="both"/>
        <w:rPr>
          <w:rFonts w:ascii="Times New Roman" w:eastAsia="Calibri" w:hAnsi="Times New Roman" w:cs="Times New Roman"/>
          <w:b/>
          <w:bCs/>
          <w:noProof/>
          <w:sz w:val="24"/>
          <w:szCs w:val="24"/>
        </w:rPr>
      </w:pPr>
    </w:p>
    <w:p w:rsidR="008261F6" w:rsidRDefault="00BC19AF">
      <w:pPr>
        <w:rPr>
          <w:rFonts w:ascii="Times New Roman" w:hAnsi="Times New Roman"/>
          <w:b/>
          <w:noProof/>
          <w:sz w:val="24"/>
        </w:rPr>
      </w:pPr>
      <w:r>
        <w:rPr>
          <w:rFonts w:ascii="Times New Roman" w:hAnsi="Times New Roman"/>
          <w:b/>
          <w:noProof/>
          <w:sz w:val="24"/>
        </w:rPr>
        <w:br w:type="page"/>
      </w:r>
    </w:p>
    <w:p w:rsidR="008261F6" w:rsidRDefault="00BC19AF">
      <w:pPr>
        <w:spacing w:after="120" w:line="240" w:lineRule="auto"/>
        <w:jc w:val="both"/>
        <w:rPr>
          <w:rFonts w:ascii="Times New Roman" w:eastAsia="Calibri" w:hAnsi="Times New Roman" w:cs="Times New Roman"/>
          <w:b/>
          <w:bCs/>
          <w:noProof/>
          <w:sz w:val="24"/>
          <w:szCs w:val="24"/>
        </w:rPr>
      </w:pPr>
      <w:r>
        <w:rPr>
          <w:rFonts w:ascii="Times New Roman" w:hAnsi="Times New Roman"/>
          <w:b/>
          <w:noProof/>
          <w:sz w:val="24"/>
        </w:rPr>
        <w:lastRenderedPageBreak/>
        <w:t xml:space="preserve">II. REFORÇAR A NOSSA LUTA CONTRA O TERRORISMO E O CRIME ORGANIZADO E CONTRA OS MEIOS EM QUE SE APOIAM </w:t>
      </w:r>
    </w:p>
    <w:p w:rsidR="008261F6" w:rsidRDefault="00BC19AF">
      <w:pPr>
        <w:keepNext/>
        <w:spacing w:after="120" w:line="240" w:lineRule="auto"/>
        <w:jc w:val="both"/>
        <w:outlineLvl w:val="2"/>
        <w:rPr>
          <w:rFonts w:ascii="Times New Roman" w:eastAsia="Calibri" w:hAnsi="Times New Roman" w:cs="Times New Roman"/>
          <w:i/>
          <w:noProof/>
          <w:sz w:val="24"/>
          <w:szCs w:val="24"/>
        </w:rPr>
      </w:pPr>
      <w:r>
        <w:rPr>
          <w:rFonts w:ascii="Times New Roman" w:hAnsi="Times New Roman"/>
          <w:i/>
          <w:noProof/>
          <w:sz w:val="24"/>
        </w:rPr>
        <w:t xml:space="preserve">a) Quadro normativo para lutar contra o terrorismo e impedir o acesso a financiamento e armas de fogo </w:t>
      </w:r>
    </w:p>
    <w:p w:rsidR="008261F6" w:rsidRDefault="00BC19AF">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Passado um ano dos atentados de</w:t>
      </w:r>
      <w:r>
        <w:rPr>
          <w:rFonts w:ascii="Times New Roman" w:hAnsi="Times New Roman"/>
          <w:noProof/>
          <w:sz w:val="24"/>
        </w:rPr>
        <w:t xml:space="preserve"> 13 de novembro de 2015 em Paris, a UE necessita urgentemente de reforçar o quadro normativo</w:t>
      </w:r>
      <w:r>
        <w:rPr>
          <w:rFonts w:ascii="Times New Roman" w:hAnsi="Times New Roman"/>
          <w:noProof/>
          <w:sz w:val="24"/>
          <w:vertAlign w:val="superscript"/>
        </w:rPr>
        <w:footnoteReference w:id="3"/>
      </w:r>
      <w:r>
        <w:rPr>
          <w:rFonts w:ascii="Times New Roman" w:hAnsi="Times New Roman"/>
          <w:noProof/>
          <w:sz w:val="24"/>
        </w:rPr>
        <w:t xml:space="preserve"> e a sua capacidade de lutar contra o terrorismo e os meios em que se apoia. Os colegisladores devem agora chegar a acordo, até ao final de novembro, sobre a propo</w:t>
      </w:r>
      <w:r>
        <w:rPr>
          <w:rFonts w:ascii="Times New Roman" w:hAnsi="Times New Roman"/>
          <w:noProof/>
          <w:sz w:val="24"/>
        </w:rPr>
        <w:t xml:space="preserve">sta de </w:t>
      </w:r>
      <w:r>
        <w:rPr>
          <w:rFonts w:ascii="Times New Roman" w:hAnsi="Times New Roman"/>
          <w:b/>
          <w:noProof/>
          <w:sz w:val="24"/>
        </w:rPr>
        <w:t>Diretiva relativa à luta contra o terrorismo</w:t>
      </w:r>
      <w:r>
        <w:rPr>
          <w:rFonts w:ascii="Times New Roman" w:hAnsi="Times New Roman"/>
          <w:noProof/>
          <w:sz w:val="24"/>
        </w:rPr>
        <w:t xml:space="preserve"> para criminalizar em toda a União o terrorismo, as viagens dos terroristas e a colaboração e apoio a terroristas, e suprir as necessidades das vítimas do terrorismo.</w:t>
      </w:r>
    </w:p>
    <w:p w:rsidR="008261F6" w:rsidRDefault="00BC19AF">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Após duas reuniões do trílogo, os cole</w:t>
      </w:r>
      <w:r>
        <w:rPr>
          <w:rFonts w:ascii="Times New Roman" w:hAnsi="Times New Roman"/>
          <w:noProof/>
          <w:sz w:val="24"/>
        </w:rPr>
        <w:t xml:space="preserve">gisladores não conseguiram chegar a acordo acerca da revisão da </w:t>
      </w:r>
      <w:r>
        <w:rPr>
          <w:rFonts w:ascii="Times New Roman" w:hAnsi="Times New Roman"/>
          <w:b/>
          <w:noProof/>
          <w:sz w:val="24"/>
        </w:rPr>
        <w:t>Diretiva Armas de Fogo</w:t>
      </w:r>
      <w:r>
        <w:rPr>
          <w:rFonts w:ascii="Times New Roman" w:hAnsi="Times New Roman"/>
          <w:noProof/>
          <w:sz w:val="24"/>
        </w:rPr>
        <w:t>. Estas negociações devem ser desbloqueadas a fim de retirar da circulação as armas de agressão militar, incluindo as convertidas para utilização semiautomática. A posiçã</w:t>
      </w:r>
      <w:r>
        <w:rPr>
          <w:rFonts w:ascii="Times New Roman" w:hAnsi="Times New Roman"/>
          <w:noProof/>
          <w:sz w:val="24"/>
        </w:rPr>
        <w:t>o da Comissão é clara: as armas semiautomáticas de tipo «Kalashnikov AK 47» e «AR 15» devem ser banidas para uso civil, dado que foram concebidas para utilização militar. A capacidade dos carregadores de armas de fogo curtas e longas deve ser limitada a 10</w:t>
      </w:r>
      <w:r>
        <w:rPr>
          <w:rFonts w:ascii="Times New Roman" w:hAnsi="Times New Roman"/>
          <w:noProof/>
          <w:sz w:val="24"/>
        </w:rPr>
        <w:t xml:space="preserve"> disparos e as armas devem ser sujeitas a autorização e controlos rigorosos; qualquer exceção deve ser rigorosamente limitada e controlada. Os cidadãos da UE esperam progressos rápidos neste domínio para garantir a sua proteção, pelo que temos de chegar a </w:t>
      </w:r>
      <w:r>
        <w:rPr>
          <w:rFonts w:ascii="Times New Roman" w:hAnsi="Times New Roman"/>
          <w:noProof/>
          <w:sz w:val="24"/>
        </w:rPr>
        <w:t>acordo antes do final de 2016 acerca deste diploma legal. Em paralelo, a Comissão dará novo impulso à repressão do comércio ilícito de armas de fogo, nomeadamente na Conferência dos Ministros da Justiça e Assuntos Internos UE/Balcãs Ocidentais a 15 e 16 de</w:t>
      </w:r>
      <w:r>
        <w:rPr>
          <w:rFonts w:ascii="Times New Roman" w:hAnsi="Times New Roman"/>
          <w:noProof/>
          <w:sz w:val="24"/>
        </w:rPr>
        <w:t xml:space="preserve"> dezembro. </w:t>
      </w:r>
    </w:p>
    <w:p w:rsidR="008261F6" w:rsidRDefault="00BC19AF">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Para impedir o acesso dos terroristas a financiamento, o Conselho adotou os atos necessários para criar listas autónomas da UE contra a Alcaida e o Daexe.</w:t>
      </w:r>
    </w:p>
    <w:p w:rsidR="008261F6" w:rsidRDefault="00BC19AF">
      <w:pPr>
        <w:keepNext/>
        <w:spacing w:after="120" w:line="240" w:lineRule="auto"/>
        <w:jc w:val="both"/>
        <w:outlineLvl w:val="2"/>
        <w:rPr>
          <w:rFonts w:ascii="Times New Roman" w:eastAsia="Calibri" w:hAnsi="Times New Roman" w:cs="Times New Roman"/>
          <w:i/>
          <w:noProof/>
          <w:sz w:val="24"/>
          <w:szCs w:val="24"/>
        </w:rPr>
      </w:pPr>
      <w:r>
        <w:rPr>
          <w:rFonts w:ascii="Times New Roman" w:hAnsi="Times New Roman"/>
          <w:i/>
          <w:noProof/>
          <w:sz w:val="24"/>
        </w:rPr>
        <w:t>b) Prevenir e combater a radicalização</w:t>
      </w:r>
    </w:p>
    <w:p w:rsidR="008261F6" w:rsidRDefault="00BC19AF">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A prevenção da radicalização é uma componente esse</w:t>
      </w:r>
      <w:r>
        <w:rPr>
          <w:rFonts w:ascii="Times New Roman" w:hAnsi="Times New Roman"/>
          <w:noProof/>
          <w:sz w:val="24"/>
        </w:rPr>
        <w:t>ncial da abordagem da UE para combater o terrorismo que consiste em utilizar instrumentos «suaves» para obter resultados sólidos. Os recrutadores de terroristas apontam para grupos de jovens vulneráveis, explorando sentimentos de exclusão, isolamento e des</w:t>
      </w:r>
      <w:r>
        <w:rPr>
          <w:rFonts w:ascii="Times New Roman" w:hAnsi="Times New Roman"/>
          <w:noProof/>
          <w:sz w:val="24"/>
        </w:rPr>
        <w:t>interesse. Temos de chegar aos mesmos jovens através de projetos comunitários concretos que lhes ofereçam um caminho alternativo e melhor. Foi por este motivo que a Comissão criou e apoia a Rede de Sensibilização para a Radicalização (RAN), que reúne agent</w:t>
      </w:r>
      <w:r>
        <w:rPr>
          <w:rFonts w:ascii="Times New Roman" w:hAnsi="Times New Roman"/>
          <w:noProof/>
          <w:sz w:val="24"/>
        </w:rPr>
        <w:t xml:space="preserve">es locais e permite a partilha de boas práticas sobre a luta contra a radicalização. A </w:t>
      </w:r>
      <w:r>
        <w:rPr>
          <w:rFonts w:ascii="Times New Roman" w:hAnsi="Times New Roman"/>
          <w:b/>
          <w:noProof/>
          <w:sz w:val="24"/>
        </w:rPr>
        <w:t>Conferência de Alto Nível da Rede de Sensibilização para a Radicalização</w:t>
      </w:r>
      <w:r>
        <w:rPr>
          <w:rFonts w:ascii="Times New Roman" w:hAnsi="Times New Roman"/>
          <w:noProof/>
          <w:sz w:val="24"/>
        </w:rPr>
        <w:t xml:space="preserve"> (RAN), de 9 de novembro de 2016, lançou uma nova plataforma, «RAN Jovem», para estimular os jove</w:t>
      </w:r>
      <w:r>
        <w:rPr>
          <w:rFonts w:ascii="Times New Roman" w:hAnsi="Times New Roman"/>
          <w:noProof/>
          <w:sz w:val="24"/>
        </w:rPr>
        <w:t>ns a desempenharem um papel ativo na prevenção da radicalização deste importante grupo-alvo dos recrutadores de terroristas. A Comissão apresentou também o «repositório de estratégias, abordagens e políticas de prevenção nos Estados-Membros», apoiado por u</w:t>
      </w:r>
      <w:r>
        <w:rPr>
          <w:rFonts w:ascii="Times New Roman" w:hAnsi="Times New Roman"/>
          <w:noProof/>
          <w:sz w:val="24"/>
        </w:rPr>
        <w:t>ma nova rede de pontos de contacto para garantir um eficiente intercâmbio de boas práticas na UE. A Rede de Sensibilização para a Radicalização publicou igualmente um exaustivo guia de programas de formação para agentes da polícia na Europa, que cobre vári</w:t>
      </w:r>
      <w:r>
        <w:rPr>
          <w:rFonts w:ascii="Times New Roman" w:hAnsi="Times New Roman"/>
          <w:noProof/>
          <w:sz w:val="24"/>
        </w:rPr>
        <w:t>os aspetos da radicalização. Foi lançado um programa de trabalho para criar uma lista de controlo, destinada aos Estados-Membros, das medidas a tomar quando forem identificados combatentes terroristas estrangeiros que regressam.</w:t>
      </w:r>
    </w:p>
    <w:p w:rsidR="008261F6" w:rsidRDefault="008261F6">
      <w:pPr>
        <w:spacing w:after="120" w:line="240" w:lineRule="auto"/>
        <w:jc w:val="both"/>
        <w:rPr>
          <w:rFonts w:ascii="Times New Roman" w:eastAsia="Times New Roman" w:hAnsi="Times New Roman" w:cs="Times New Roman"/>
          <w:noProof/>
          <w:sz w:val="24"/>
          <w:szCs w:val="20"/>
        </w:rPr>
      </w:pPr>
    </w:p>
    <w:p w:rsidR="008261F6" w:rsidRDefault="00BC19AF">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Prevenir a radicalização s</w:t>
      </w:r>
      <w:r>
        <w:rPr>
          <w:rFonts w:ascii="Times New Roman" w:hAnsi="Times New Roman"/>
          <w:noProof/>
          <w:sz w:val="24"/>
        </w:rPr>
        <w:t>ignifica também impedir o acesso dos terroristas aos canais de propaganda em linha que utilizam para difundir a sua mensagem. Em 8 de dezembro, a Comissão acolherá o segundo Fórum Internet da UE, que reúne a Comissão, os Estados</w:t>
      </w:r>
      <w:r>
        <w:rPr>
          <w:rFonts w:ascii="Times New Roman" w:hAnsi="Times New Roman"/>
          <w:noProof/>
          <w:sz w:val="24"/>
        </w:rPr>
        <w:noBreakHyphen/>
        <w:t>Membros, a Europol e as pri</w:t>
      </w:r>
      <w:r>
        <w:rPr>
          <w:rFonts w:ascii="Times New Roman" w:hAnsi="Times New Roman"/>
          <w:noProof/>
          <w:sz w:val="24"/>
        </w:rPr>
        <w:t>ncipais empresas presentes na Internet. Da reunião sairá uma nova Plataforma Conjunta de Sinalização, para acelerar a eliminação dos conteúdos terroristas, e um Programa de Capacitação da Sociedade Civil, para reforçar as contranarrativas.</w:t>
      </w:r>
    </w:p>
    <w:p w:rsidR="008261F6" w:rsidRDefault="00BC19AF">
      <w:pPr>
        <w:tabs>
          <w:tab w:val="left" w:pos="851"/>
        </w:tabs>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A Comissão está </w:t>
      </w:r>
      <w:r>
        <w:rPr>
          <w:rFonts w:ascii="Times New Roman" w:hAnsi="Times New Roman"/>
          <w:noProof/>
          <w:sz w:val="24"/>
        </w:rPr>
        <w:t xml:space="preserve">também a utilizar os seus recursos educativos e de investigação no combate ao terrorismo, tal como indicado na Comunicação sobre a </w:t>
      </w:r>
      <w:r>
        <w:rPr>
          <w:rFonts w:ascii="Times New Roman" w:hAnsi="Times New Roman"/>
          <w:b/>
          <w:noProof/>
          <w:sz w:val="24"/>
        </w:rPr>
        <w:t>prevenção da radicalização que conduz ao extremismo violento</w:t>
      </w:r>
      <w:r>
        <w:rPr>
          <w:rFonts w:ascii="Times New Roman" w:hAnsi="Times New Roman"/>
          <w:noProof/>
          <w:sz w:val="24"/>
          <w:vertAlign w:val="superscript"/>
        </w:rPr>
        <w:footnoteReference w:id="4"/>
      </w:r>
      <w:r>
        <w:rPr>
          <w:rFonts w:ascii="Times New Roman" w:hAnsi="Times New Roman"/>
          <w:noProof/>
          <w:sz w:val="24"/>
        </w:rPr>
        <w:t xml:space="preserve">, incluindo: </w:t>
      </w:r>
    </w:p>
    <w:p w:rsidR="008261F6" w:rsidRDefault="00BC19AF">
      <w:pPr>
        <w:numPr>
          <w:ilvl w:val="0"/>
          <w:numId w:val="2"/>
        </w:numPr>
        <w:tabs>
          <w:tab w:val="left" w:pos="851"/>
        </w:tabs>
        <w:spacing w:after="120" w:line="240" w:lineRule="auto"/>
        <w:contextualSpacing/>
        <w:jc w:val="both"/>
        <w:rPr>
          <w:rFonts w:ascii="Times New Roman" w:eastAsia="Calibri" w:hAnsi="Times New Roman" w:cs="Times New Roman"/>
          <w:noProof/>
          <w:sz w:val="24"/>
        </w:rPr>
      </w:pPr>
      <w:r>
        <w:rPr>
          <w:rFonts w:ascii="Times New Roman" w:hAnsi="Times New Roman" w:cs="Times New Roman"/>
          <w:noProof/>
        </w:rPr>
        <w:t>O</w:t>
      </w:r>
      <w:r>
        <w:rPr>
          <w:rFonts w:ascii="Times New Roman" w:hAnsi="Times New Roman"/>
          <w:b/>
          <w:noProof/>
          <w:sz w:val="24"/>
        </w:rPr>
        <w:t xml:space="preserve"> Programa Erasmus+: </w:t>
      </w:r>
      <w:r>
        <w:rPr>
          <w:rFonts w:ascii="Times New Roman" w:hAnsi="Times New Roman"/>
          <w:noProof/>
          <w:sz w:val="24"/>
        </w:rPr>
        <w:t xml:space="preserve">em 2016, a Comissão atribuiu 200 milhões de EUR a projetos educativos concretos para promover competências sociais e cívicas, a não discriminação, a inclusão social, o espírito crítico e a literacia mediática, bem como a compreensão intercultural. Existem </w:t>
      </w:r>
      <w:r>
        <w:rPr>
          <w:rFonts w:ascii="Times New Roman" w:hAnsi="Times New Roman"/>
          <w:noProof/>
          <w:sz w:val="24"/>
        </w:rPr>
        <w:t xml:space="preserve">atualmente mais de 300 </w:t>
      </w:r>
      <w:r>
        <w:rPr>
          <w:rFonts w:ascii="Times New Roman" w:hAnsi="Times New Roman"/>
          <w:b/>
          <w:noProof/>
          <w:sz w:val="24"/>
        </w:rPr>
        <w:t>projetos para jovens</w:t>
      </w:r>
      <w:r>
        <w:rPr>
          <w:rFonts w:ascii="Times New Roman" w:hAnsi="Times New Roman"/>
          <w:noProof/>
          <w:sz w:val="24"/>
        </w:rPr>
        <w:t xml:space="preserve"> no domínio da mobilidade para fins de aprendizagem, que abrange sobretudo aspetos ligados à Declaração de Paris</w:t>
      </w:r>
      <w:r>
        <w:rPr>
          <w:rFonts w:ascii="Times New Roman" w:hAnsi="Times New Roman"/>
          <w:noProof/>
          <w:sz w:val="24"/>
          <w:vertAlign w:val="superscript"/>
        </w:rPr>
        <w:footnoteReference w:id="5"/>
      </w:r>
      <w:r>
        <w:rPr>
          <w:rFonts w:ascii="Times New Roman" w:hAnsi="Times New Roman"/>
          <w:noProof/>
          <w:sz w:val="24"/>
        </w:rPr>
        <w:t>, e mais de 1 700 projetos em questões mais alargadas relacionadas com o diálogo intercultural, a in</w:t>
      </w:r>
      <w:r>
        <w:rPr>
          <w:rFonts w:ascii="Times New Roman" w:hAnsi="Times New Roman"/>
          <w:noProof/>
          <w:sz w:val="24"/>
        </w:rPr>
        <w:t>clusão social e a solidariedade.</w:t>
      </w:r>
    </w:p>
    <w:p w:rsidR="008261F6" w:rsidRDefault="00BC19AF">
      <w:pPr>
        <w:numPr>
          <w:ilvl w:val="0"/>
          <w:numId w:val="2"/>
        </w:numPr>
        <w:spacing w:after="120" w:line="240" w:lineRule="auto"/>
        <w:contextualSpacing/>
        <w:jc w:val="both"/>
        <w:rPr>
          <w:rFonts w:ascii="Times New Roman" w:eastAsia="Calibri" w:hAnsi="Times New Roman" w:cs="Times New Roman"/>
          <w:noProof/>
          <w:sz w:val="24"/>
        </w:rPr>
      </w:pPr>
      <w:r>
        <w:rPr>
          <w:rFonts w:ascii="Times New Roman" w:hAnsi="Times New Roman" w:cs="Times New Roman"/>
          <w:noProof/>
        </w:rPr>
        <w:t>O</w:t>
      </w:r>
      <w:r>
        <w:rPr>
          <w:rFonts w:ascii="Times New Roman" w:hAnsi="Times New Roman"/>
          <w:b/>
          <w:noProof/>
          <w:sz w:val="24"/>
        </w:rPr>
        <w:t xml:space="preserve"> financiamento da</w:t>
      </w:r>
      <w:r>
        <w:rPr>
          <w:rFonts w:ascii="Times New Roman" w:hAnsi="Times New Roman"/>
          <w:noProof/>
          <w:sz w:val="24"/>
        </w:rPr>
        <w:t xml:space="preserve"> </w:t>
      </w:r>
      <w:r>
        <w:rPr>
          <w:rFonts w:ascii="Times New Roman" w:hAnsi="Times New Roman"/>
          <w:b/>
          <w:noProof/>
          <w:sz w:val="24"/>
        </w:rPr>
        <w:t>investigação</w:t>
      </w:r>
      <w:r>
        <w:rPr>
          <w:rFonts w:ascii="Times New Roman" w:hAnsi="Times New Roman"/>
          <w:noProof/>
          <w:sz w:val="24"/>
        </w:rPr>
        <w:t xml:space="preserve"> dos mecanismos que levam à radicalização violenta, a fim de prevenir, identificar mais rapidamente e regular casos individuais extremos no contexto do Horizonte 2020. </w:t>
      </w:r>
    </w:p>
    <w:p w:rsidR="008261F6" w:rsidRDefault="00BC19AF">
      <w:pPr>
        <w:numPr>
          <w:ilvl w:val="0"/>
          <w:numId w:val="2"/>
        </w:numPr>
        <w:spacing w:after="120" w:line="240" w:lineRule="auto"/>
        <w:contextualSpacing/>
        <w:jc w:val="both"/>
        <w:rPr>
          <w:rFonts w:ascii="Times New Roman" w:eastAsia="Calibri" w:hAnsi="Times New Roman" w:cs="Times New Roman"/>
          <w:noProof/>
          <w:sz w:val="24"/>
        </w:rPr>
      </w:pPr>
      <w:r>
        <w:rPr>
          <w:rFonts w:ascii="Times New Roman" w:hAnsi="Times New Roman"/>
          <w:noProof/>
          <w:sz w:val="24"/>
        </w:rPr>
        <w:t>Assegurar o financiamen</w:t>
      </w:r>
      <w:r>
        <w:rPr>
          <w:rFonts w:ascii="Times New Roman" w:hAnsi="Times New Roman"/>
          <w:noProof/>
          <w:sz w:val="24"/>
        </w:rPr>
        <w:t xml:space="preserve">to em curso de 100 milhões de EUR para promover atividades de combate ao extremismo violento em países terceiros. </w:t>
      </w:r>
    </w:p>
    <w:p w:rsidR="008261F6" w:rsidRDefault="008261F6">
      <w:pPr>
        <w:spacing w:after="120" w:line="240" w:lineRule="auto"/>
        <w:ind w:left="720"/>
        <w:contextualSpacing/>
        <w:jc w:val="both"/>
        <w:rPr>
          <w:rFonts w:ascii="Times New Roman" w:eastAsia="Calibri" w:hAnsi="Times New Roman" w:cs="Times New Roman"/>
          <w:noProof/>
          <w:sz w:val="24"/>
        </w:rPr>
      </w:pPr>
    </w:p>
    <w:p w:rsidR="008261F6" w:rsidRDefault="00BC19AF">
      <w:pPr>
        <w:spacing w:after="120" w:line="240" w:lineRule="auto"/>
        <w:jc w:val="both"/>
        <w:rPr>
          <w:rFonts w:ascii="Times New Roman" w:eastAsia="Calibri" w:hAnsi="Times New Roman" w:cs="Times New Roman"/>
          <w:i/>
          <w:noProof/>
          <w:sz w:val="24"/>
          <w:szCs w:val="24"/>
        </w:rPr>
      </w:pPr>
      <w:r>
        <w:rPr>
          <w:rFonts w:ascii="Times New Roman" w:hAnsi="Times New Roman"/>
          <w:i/>
          <w:noProof/>
          <w:sz w:val="24"/>
        </w:rPr>
        <w:t>c) Melhorar a cooperação operacional transnacional com o apoio das agências da UE</w:t>
      </w:r>
    </w:p>
    <w:p w:rsidR="008261F6" w:rsidRDefault="00BC19AF">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As agências da UE desempenham um papel fundamental na apli</w:t>
      </w:r>
      <w:r>
        <w:rPr>
          <w:rFonts w:ascii="Times New Roman" w:hAnsi="Times New Roman"/>
          <w:noProof/>
          <w:sz w:val="24"/>
        </w:rPr>
        <w:t xml:space="preserve">cação da agenda da segurança. A Comissão cumpriu o compromisso assumido de reforçar a </w:t>
      </w:r>
      <w:r>
        <w:rPr>
          <w:rFonts w:ascii="Times New Roman" w:hAnsi="Times New Roman"/>
          <w:b/>
          <w:noProof/>
          <w:sz w:val="24"/>
        </w:rPr>
        <w:t>Europol</w:t>
      </w:r>
      <w:r>
        <w:rPr>
          <w:rFonts w:ascii="Times New Roman" w:hAnsi="Times New Roman"/>
          <w:noProof/>
          <w:sz w:val="24"/>
        </w:rPr>
        <w:t xml:space="preserve">, propondo 20 agentes adicionais para o Centro Europeu de Luta contra o Terrorismo, no intuito de aumentar a capacidade de ajuda aos Estados-Membros, 24 horas por </w:t>
      </w:r>
      <w:r>
        <w:rPr>
          <w:rFonts w:ascii="Times New Roman" w:hAnsi="Times New Roman"/>
          <w:noProof/>
          <w:sz w:val="24"/>
        </w:rPr>
        <w:t>dia / 7 dias por semana, em caso de atentado terrorista grave. Este reforço proposto vem juntar-se aos 35 agentes atribuídos na sequência do orçamento retificativo 1/2016 adotado pela autoridade orçamental a 13 de abril de 2016</w:t>
      </w:r>
      <w:r>
        <w:rPr>
          <w:rFonts w:ascii="Times New Roman" w:hAnsi="Times New Roman"/>
          <w:noProof/>
          <w:sz w:val="24"/>
          <w:vertAlign w:val="superscript"/>
        </w:rPr>
        <w:footnoteReference w:id="6"/>
      </w:r>
      <w:r>
        <w:rPr>
          <w:rFonts w:ascii="Times New Roman" w:hAnsi="Times New Roman"/>
          <w:noProof/>
          <w:sz w:val="24"/>
        </w:rPr>
        <w:t>.</w:t>
      </w:r>
    </w:p>
    <w:p w:rsidR="008261F6" w:rsidRDefault="00BC19AF">
      <w:pPr>
        <w:spacing w:after="120" w:line="240" w:lineRule="auto"/>
        <w:jc w:val="both"/>
        <w:rPr>
          <w:rFonts w:ascii="Times New Roman" w:eastAsia="Calibri" w:hAnsi="Times New Roman" w:cs="Times New Roman"/>
          <w:noProof/>
          <w:sz w:val="24"/>
          <w:szCs w:val="24"/>
        </w:rPr>
      </w:pPr>
      <w:r>
        <w:rPr>
          <w:rFonts w:ascii="Times New Roman" w:hAnsi="Times New Roman"/>
          <w:b/>
          <w:noProof/>
          <w:sz w:val="24"/>
        </w:rPr>
        <w:t>A Eurojust</w:t>
      </w:r>
      <w:r>
        <w:rPr>
          <w:rFonts w:ascii="Times New Roman" w:hAnsi="Times New Roman"/>
          <w:noProof/>
          <w:sz w:val="24"/>
        </w:rPr>
        <w:t xml:space="preserve"> também tem um p</w:t>
      </w:r>
      <w:r>
        <w:rPr>
          <w:rFonts w:ascii="Times New Roman" w:hAnsi="Times New Roman"/>
          <w:noProof/>
          <w:sz w:val="24"/>
        </w:rPr>
        <w:t>apel importante no combate ao terrorismo, incluindo no respeitante à situação atual no Iraque e na Síria e ao risco acrescido do regresso dos combatentes terroristas estrangeiros. A Eurojust</w:t>
      </w:r>
      <w:r>
        <w:rPr>
          <w:rFonts w:ascii="Times New Roman" w:hAnsi="Times New Roman"/>
          <w:b/>
          <w:noProof/>
          <w:sz w:val="24"/>
        </w:rPr>
        <w:t xml:space="preserve"> </w:t>
      </w:r>
      <w:r>
        <w:rPr>
          <w:rFonts w:ascii="Times New Roman" w:hAnsi="Times New Roman"/>
          <w:noProof/>
          <w:sz w:val="24"/>
        </w:rPr>
        <w:t>já está a prestar assistência aos Estados</w:t>
      </w:r>
      <w:r>
        <w:rPr>
          <w:rFonts w:ascii="Times New Roman" w:hAnsi="Times New Roman"/>
          <w:noProof/>
          <w:sz w:val="24"/>
        </w:rPr>
        <w:noBreakHyphen/>
        <w:t>Membros em complexas in</w:t>
      </w:r>
      <w:r>
        <w:rPr>
          <w:rFonts w:ascii="Times New Roman" w:hAnsi="Times New Roman"/>
          <w:noProof/>
          <w:sz w:val="24"/>
        </w:rPr>
        <w:t>vestigações transnacionais e a Comissão incentiva os Estados-Membros a incluir a Eurojust nas equipas de investigação conjuntas (JIT), a fim de reforçar a resposta judicial ao fenómeno dos combatentes terroristas estrangeiros. Neste contexto, os Estados-Me</w:t>
      </w:r>
      <w:r>
        <w:rPr>
          <w:rFonts w:ascii="Times New Roman" w:hAnsi="Times New Roman"/>
          <w:noProof/>
          <w:sz w:val="24"/>
        </w:rPr>
        <w:t xml:space="preserve">mbros devem tomar as medidas necessárias para cumprir o prazo de transposição, em 22 de maio de 2017, da </w:t>
      </w:r>
      <w:r>
        <w:rPr>
          <w:rFonts w:ascii="Times New Roman" w:hAnsi="Times New Roman"/>
          <w:b/>
          <w:noProof/>
          <w:sz w:val="24"/>
        </w:rPr>
        <w:t>decisão europeia de investigação</w:t>
      </w:r>
      <w:r>
        <w:rPr>
          <w:rFonts w:ascii="Times New Roman" w:hAnsi="Times New Roman"/>
          <w:noProof/>
          <w:sz w:val="24"/>
          <w:vertAlign w:val="superscript"/>
        </w:rPr>
        <w:footnoteReference w:id="7"/>
      </w:r>
      <w:r>
        <w:rPr>
          <w:rFonts w:ascii="Times New Roman" w:hAnsi="Times New Roman"/>
          <w:noProof/>
          <w:sz w:val="24"/>
        </w:rPr>
        <w:t xml:space="preserve">, destinada a facilitar e acelerar a recolha e a transferência de provas. </w:t>
      </w:r>
    </w:p>
    <w:p w:rsidR="008261F6" w:rsidRDefault="008261F6">
      <w:pPr>
        <w:spacing w:after="120" w:line="240" w:lineRule="auto"/>
        <w:jc w:val="both"/>
        <w:rPr>
          <w:rFonts w:ascii="Times New Roman" w:eastAsia="Times New Roman" w:hAnsi="Times New Roman" w:cs="Times New Roman"/>
          <w:noProof/>
          <w:sz w:val="24"/>
          <w:szCs w:val="24"/>
        </w:rPr>
      </w:pPr>
    </w:p>
    <w:p w:rsidR="008261F6" w:rsidRDefault="00BC19AF">
      <w:pPr>
        <w:spacing w:after="120" w:line="240" w:lineRule="auto"/>
        <w:jc w:val="both"/>
        <w:rPr>
          <w:rFonts w:ascii="Times New Roman" w:eastAsia="Calibri" w:hAnsi="Times New Roman" w:cs="Times New Roman"/>
          <w:b/>
          <w:bCs/>
          <w:noProof/>
          <w:sz w:val="24"/>
          <w:szCs w:val="24"/>
        </w:rPr>
      </w:pPr>
      <w:r>
        <w:rPr>
          <w:rFonts w:ascii="Times New Roman" w:hAnsi="Times New Roman"/>
          <w:b/>
          <w:noProof/>
          <w:sz w:val="24"/>
        </w:rPr>
        <w:lastRenderedPageBreak/>
        <w:t>III. REFORÇAR AS NOSSAS DEFESAS E RESILIÊN</w:t>
      </w:r>
      <w:r>
        <w:rPr>
          <w:rFonts w:ascii="Times New Roman" w:hAnsi="Times New Roman"/>
          <w:b/>
          <w:noProof/>
          <w:sz w:val="24"/>
        </w:rPr>
        <w:t>CIA</w:t>
      </w:r>
    </w:p>
    <w:p w:rsidR="008261F6" w:rsidRDefault="00BC19AF">
      <w:pPr>
        <w:keepNext/>
        <w:spacing w:after="120" w:line="240" w:lineRule="auto"/>
        <w:jc w:val="both"/>
        <w:outlineLvl w:val="2"/>
        <w:rPr>
          <w:rFonts w:ascii="Times New Roman" w:eastAsia="Calibri" w:hAnsi="Times New Roman" w:cs="Times New Roman"/>
          <w:i/>
          <w:noProof/>
          <w:sz w:val="24"/>
          <w:szCs w:val="24"/>
        </w:rPr>
      </w:pPr>
      <w:r>
        <w:rPr>
          <w:rFonts w:ascii="Times New Roman" w:hAnsi="Times New Roman"/>
          <w:i/>
          <w:noProof/>
          <w:sz w:val="24"/>
        </w:rPr>
        <w:t>a) Melhorar o intercâmbio de informações</w:t>
      </w:r>
    </w:p>
    <w:p w:rsidR="008261F6" w:rsidRDefault="00BC19AF">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O intercâmbio de informações eficaz e direcionado é um instrumento fundamental na luta contra o terrorismo. A Comissão está a promover ativamente a transposição da </w:t>
      </w:r>
      <w:r>
        <w:rPr>
          <w:rFonts w:ascii="Times New Roman" w:hAnsi="Times New Roman"/>
          <w:b/>
          <w:noProof/>
          <w:sz w:val="24"/>
        </w:rPr>
        <w:t xml:space="preserve">Diretiva da UE relativa ao Registo de </w:t>
      </w:r>
      <w:r>
        <w:rPr>
          <w:rFonts w:ascii="Times New Roman" w:hAnsi="Times New Roman"/>
          <w:b/>
          <w:noProof/>
          <w:sz w:val="24"/>
        </w:rPr>
        <w:t>Identificação de Passageiros (PNR)</w:t>
      </w:r>
      <w:r>
        <w:rPr>
          <w:rFonts w:ascii="Times New Roman" w:hAnsi="Times New Roman"/>
          <w:noProof/>
          <w:sz w:val="24"/>
        </w:rPr>
        <w:t>, a fim de garantir que pode ser aplicada a partir do prazo fixado, ou seja, maio de 2018. A diretiva impõe a todos os Estados-Membros não só que recolham os dados dos passageiros de companhias aéreas, mas também que tenha</w:t>
      </w:r>
      <w:r>
        <w:rPr>
          <w:rFonts w:ascii="Times New Roman" w:hAnsi="Times New Roman"/>
          <w:noProof/>
          <w:sz w:val="24"/>
        </w:rPr>
        <w:t>m capacidade para os tratar de forma a detetar padrões e anomalias.</w:t>
      </w:r>
      <w:r>
        <w:rPr>
          <w:rFonts w:ascii="Times New Roman" w:hAnsi="Times New Roman"/>
          <w:noProof/>
          <w:sz w:val="24"/>
        </w:rPr>
        <w:br/>
        <w:t>Na sequência do último relatório, a Comissão escreveu a onze Estados-Membros que ainda não começaram a trabalhar na aplicação dos PNR, para lhes oferecer mais apoio neste domínio. A Comiss</w:t>
      </w:r>
      <w:r>
        <w:rPr>
          <w:rFonts w:ascii="Times New Roman" w:hAnsi="Times New Roman"/>
          <w:noProof/>
          <w:sz w:val="24"/>
        </w:rPr>
        <w:t xml:space="preserve">ão tenciona apresentar um plano de execução da iniciativa «Legislar melhor» antes do final de novembro de 2016. Este plano de execução fornecerá orientações aos Estados-Membros, identificando as fases principais da criação de um sistema PNR e indicando os </w:t>
      </w:r>
      <w:r>
        <w:rPr>
          <w:rFonts w:ascii="Times New Roman" w:hAnsi="Times New Roman"/>
          <w:noProof/>
          <w:sz w:val="24"/>
        </w:rPr>
        <w:t>vários tipos de apoio (jurídico, técnico e financeiro) que a Comissão presta para ajudar e apoiar a execução atempada e efetiva.</w:t>
      </w:r>
    </w:p>
    <w:p w:rsidR="008261F6" w:rsidRDefault="00BC19AF">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A luta contra o crime transnacional e o terrorismo exige canais de cooperação eficazes entre as várias autoridades com funções </w:t>
      </w:r>
      <w:r>
        <w:rPr>
          <w:rFonts w:ascii="Times New Roman" w:hAnsi="Times New Roman"/>
          <w:noProof/>
          <w:sz w:val="24"/>
        </w:rPr>
        <w:t xml:space="preserve">coercivas. Nas regiões fronteiriças, os </w:t>
      </w:r>
      <w:r>
        <w:rPr>
          <w:rFonts w:ascii="Times New Roman" w:hAnsi="Times New Roman"/>
          <w:b/>
          <w:noProof/>
          <w:sz w:val="24"/>
        </w:rPr>
        <w:t>centros de cooperação policial e aduaneira (CCPA)</w:t>
      </w:r>
      <w:r>
        <w:rPr>
          <w:rFonts w:ascii="Times New Roman" w:hAnsi="Times New Roman"/>
          <w:noProof/>
          <w:sz w:val="24"/>
        </w:rPr>
        <w:t xml:space="preserve"> congregam as autoridades com funções coercivas de vários Estados-Membros. Os 50 CCPA da Europa reuniram-se na sede da Europol, em outubro de 2016, a fim de identifica</w:t>
      </w:r>
      <w:r>
        <w:rPr>
          <w:rFonts w:ascii="Times New Roman" w:hAnsi="Times New Roman"/>
          <w:noProof/>
          <w:sz w:val="24"/>
        </w:rPr>
        <w:t xml:space="preserve">r formas de melhorar as principais missões destes centros, o intercâmbio de informações e a cooperação com a Europol e a Guarda Europeia de Fronteiras e Costeira. </w:t>
      </w:r>
    </w:p>
    <w:p w:rsidR="008261F6" w:rsidRDefault="00BC19AF">
      <w:pPr>
        <w:keepNext/>
        <w:spacing w:after="120" w:line="240" w:lineRule="auto"/>
        <w:jc w:val="both"/>
        <w:outlineLvl w:val="2"/>
        <w:rPr>
          <w:rFonts w:ascii="Times New Roman" w:eastAsia="Calibri" w:hAnsi="Times New Roman" w:cs="Times New Roman"/>
          <w:i/>
          <w:noProof/>
          <w:sz w:val="24"/>
          <w:szCs w:val="24"/>
        </w:rPr>
      </w:pPr>
      <w:r>
        <w:rPr>
          <w:rFonts w:ascii="Times New Roman" w:hAnsi="Times New Roman"/>
          <w:i/>
          <w:noProof/>
          <w:sz w:val="24"/>
        </w:rPr>
        <w:t>b) Reforçar os sistemas de informação e colmatar as lacunas de informação</w:t>
      </w:r>
    </w:p>
    <w:p w:rsidR="008261F6" w:rsidRDefault="00BC19AF">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O Conselho Europeu</w:t>
      </w:r>
      <w:r>
        <w:rPr>
          <w:rFonts w:ascii="Times New Roman" w:hAnsi="Times New Roman"/>
          <w:noProof/>
          <w:sz w:val="24"/>
        </w:rPr>
        <w:t xml:space="preserve"> de outubro de 2016 apoiou a proposta da Comissão de criação de um </w:t>
      </w:r>
      <w:r>
        <w:rPr>
          <w:rFonts w:ascii="Times New Roman" w:hAnsi="Times New Roman"/>
          <w:b/>
          <w:noProof/>
          <w:sz w:val="24"/>
        </w:rPr>
        <w:t>Sistema Europeu de Informação e Autorização de Viagem (ETIAS)</w:t>
      </w:r>
      <w:r>
        <w:rPr>
          <w:rFonts w:ascii="Times New Roman" w:hAnsi="Times New Roman"/>
          <w:noProof/>
          <w:sz w:val="24"/>
          <w:vertAlign w:val="superscript"/>
        </w:rPr>
        <w:footnoteReference w:id="8"/>
      </w:r>
      <w:r>
        <w:rPr>
          <w:rFonts w:ascii="Times New Roman" w:hAnsi="Times New Roman"/>
          <w:noProof/>
          <w:sz w:val="24"/>
        </w:rPr>
        <w:t>, para permitir controlos de segurança antecipados dos viajantes com isenção de visto. Em 16 de novembro, a Comissão apresentou</w:t>
      </w:r>
      <w:r>
        <w:rPr>
          <w:rFonts w:ascii="Times New Roman" w:hAnsi="Times New Roman"/>
          <w:noProof/>
          <w:sz w:val="24"/>
        </w:rPr>
        <w:t xml:space="preserve"> uma proposta de regulamento para a criação do ETIAS, que consistirá num sistema automatizado de controlo antecipado para detetar eventuais riscos de imigração ou de segurança antes da chegada dos viajantes com isenção de visto à fronteira externa da UE. E</w:t>
      </w:r>
      <w:r>
        <w:rPr>
          <w:rFonts w:ascii="Times New Roman" w:hAnsi="Times New Roman"/>
          <w:noProof/>
          <w:sz w:val="24"/>
        </w:rPr>
        <w:t>mbora hoje em dia as informações sobre os titulares de vistos estejam registadas no Sistema de Informação sobre Vistos (VIS), as únicas informações sobre as pessoas isentas da obrigação de visto constam dos documentos de viagem que apresentam à chegada. Ne</w:t>
      </w:r>
      <w:r>
        <w:rPr>
          <w:rFonts w:ascii="Times New Roman" w:hAnsi="Times New Roman"/>
          <w:noProof/>
          <w:sz w:val="24"/>
        </w:rPr>
        <w:t>ste momento, não há informações prévias disponíveis acerca das pessoas isentas de visto que entram nas fronteiras terrestres da UE, antes da respetiva chegada à fronteira externa da UE. A Comissão apoiará igualmente a política de liberalização de vistos da</w:t>
      </w:r>
      <w:r>
        <w:rPr>
          <w:rFonts w:ascii="Times New Roman" w:hAnsi="Times New Roman"/>
          <w:noProof/>
          <w:sz w:val="24"/>
        </w:rPr>
        <w:t xml:space="preserve"> UE e o aumento da qualidade da gestão das fronteiras Schengen.</w:t>
      </w:r>
    </w:p>
    <w:p w:rsidR="008261F6" w:rsidRDefault="00BC19AF">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Fronteiras externas mais sólidas apoiadas por sistemas de informação interligados são um instrumento fundamental para detetar combatentes terroristas que regressam e outros terroristas potenci</w:t>
      </w:r>
      <w:r>
        <w:rPr>
          <w:rFonts w:ascii="Times New Roman" w:hAnsi="Times New Roman"/>
          <w:noProof/>
          <w:sz w:val="24"/>
        </w:rPr>
        <w:t>ais. Os atentados de Paris puseram em evidência as deficiências dos múltiplos sistemas de informação autónomos, tornando impossível que os agentes no terreno procedam ao controlo exaustivo de um mesmo viajante em todas as bases de dados.</w:t>
      </w:r>
      <w:r>
        <w:rPr>
          <w:rFonts w:ascii="Times New Roman" w:hAnsi="Times New Roman"/>
          <w:noProof/>
          <w:sz w:val="24"/>
        </w:rPr>
        <w:br/>
        <w:t xml:space="preserve">A Comissão está a </w:t>
      </w:r>
      <w:r>
        <w:rPr>
          <w:rFonts w:ascii="Times New Roman" w:hAnsi="Times New Roman"/>
          <w:noProof/>
          <w:sz w:val="24"/>
        </w:rPr>
        <w:t>trabalhar ativamente na forma de melhorar a interoperabilidade dos sistemas de informação para a segurança das fronteiras através do processo que iniciou no início deste ano</w:t>
      </w:r>
      <w:r>
        <w:rPr>
          <w:rFonts w:ascii="Times New Roman" w:hAnsi="Times New Roman"/>
          <w:noProof/>
          <w:sz w:val="24"/>
          <w:vertAlign w:val="superscript"/>
        </w:rPr>
        <w:footnoteReference w:id="9"/>
      </w:r>
      <w:r>
        <w:rPr>
          <w:rFonts w:ascii="Times New Roman" w:hAnsi="Times New Roman"/>
          <w:noProof/>
          <w:sz w:val="24"/>
        </w:rPr>
        <w:t xml:space="preserve">. A Comissão está empenhada na criação de uma </w:t>
      </w:r>
      <w:r>
        <w:rPr>
          <w:rFonts w:ascii="Times New Roman" w:hAnsi="Times New Roman"/>
          <w:b/>
          <w:noProof/>
          <w:sz w:val="24"/>
        </w:rPr>
        <w:t>interface única de pesquisa</w:t>
      </w:r>
      <w:r>
        <w:rPr>
          <w:rFonts w:ascii="Times New Roman" w:hAnsi="Times New Roman"/>
          <w:noProof/>
          <w:sz w:val="24"/>
        </w:rPr>
        <w:t xml:space="preserve"> – um ins</w:t>
      </w:r>
      <w:r>
        <w:rPr>
          <w:rFonts w:ascii="Times New Roman" w:hAnsi="Times New Roman"/>
          <w:noProof/>
          <w:sz w:val="24"/>
        </w:rPr>
        <w:t xml:space="preserve">trumento fundamental que poderá produzir bons resultados para as </w:t>
      </w:r>
      <w:r>
        <w:rPr>
          <w:rFonts w:ascii="Times New Roman" w:hAnsi="Times New Roman"/>
          <w:noProof/>
          <w:sz w:val="24"/>
        </w:rPr>
        <w:lastRenderedPageBreak/>
        <w:t>autoridades policiais, de fronteira ou de imigração dos Estados-Membros – que passaria a ser um portal técnico único para os sistemas operados pela Agência para a gestão operacional de sistem</w:t>
      </w:r>
      <w:r>
        <w:rPr>
          <w:rFonts w:ascii="Times New Roman" w:hAnsi="Times New Roman"/>
          <w:noProof/>
          <w:sz w:val="24"/>
        </w:rPr>
        <w:t>as informáticos de grande escala no espaço de liberdade, segurança e justiça (eu-LISA). Essa interface única de pesquisa não substituiria as interfaces nacionais, mas viria complementá-las, estando disponível para todos os Estados-Membros em conformidade c</w:t>
      </w:r>
      <w:r>
        <w:rPr>
          <w:rFonts w:ascii="Times New Roman" w:hAnsi="Times New Roman"/>
          <w:noProof/>
          <w:sz w:val="24"/>
        </w:rPr>
        <w:t xml:space="preserve">om as regras de acesso e utilização dos sistemas. A Comissão solicitou ao </w:t>
      </w:r>
      <w:r>
        <w:rPr>
          <w:rFonts w:ascii="Times New Roman" w:hAnsi="Times New Roman"/>
          <w:b/>
          <w:noProof/>
          <w:sz w:val="24"/>
        </w:rPr>
        <w:t>Grupo de peritos de alto nível</w:t>
      </w:r>
      <w:r>
        <w:rPr>
          <w:rFonts w:ascii="Times New Roman" w:hAnsi="Times New Roman"/>
          <w:noProof/>
          <w:sz w:val="24"/>
        </w:rPr>
        <w:t xml:space="preserve"> sobre sistemas de informação e interoperabilidade (GPAN) para apresentar um relatório intercalar sobre as suas conclusões antes do final do ano. </w:t>
      </w:r>
    </w:p>
    <w:p w:rsidR="008261F6" w:rsidRDefault="00BC19AF">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Em 14</w:t>
      </w:r>
      <w:r>
        <w:rPr>
          <w:rFonts w:ascii="Times New Roman" w:hAnsi="Times New Roman"/>
          <w:noProof/>
          <w:sz w:val="24"/>
        </w:rPr>
        <w:t xml:space="preserve"> de outubro de 2016, a Comissão apresentou um relatório de avaliação sobre a aplicação do Sistema de Informação sobre Vistos (VIS), a fim de analisar a forma como os controlos são efetuados nas fronteiras externas da UE mediante a utilização de impressões </w:t>
      </w:r>
      <w:r>
        <w:rPr>
          <w:rFonts w:ascii="Times New Roman" w:hAnsi="Times New Roman"/>
          <w:noProof/>
          <w:sz w:val="24"/>
        </w:rPr>
        <w:t>digitais e dados biométricos, bem como a utilização do sistema pelas autoridades com funções coercivas para efeitos de prevenção, deteção e investigação de crimes terroristas e outros crimes graves. O VIS continua a ser um dos mais avançados sistemas deste</w:t>
      </w:r>
      <w:r>
        <w:rPr>
          <w:rFonts w:ascii="Times New Roman" w:hAnsi="Times New Roman"/>
          <w:noProof/>
          <w:sz w:val="24"/>
        </w:rPr>
        <w:t xml:space="preserve"> tipo, com registos de cerca de 23 milhões de pedidos de visto e de 18,8 milhões de impressões digitais até ao final de março de 2016. No entanto, apenas um em cada dois vistos emitidos é objeto de controlo por parte dos Estados-Membros, com recurso ao VIS</w:t>
      </w:r>
      <w:r>
        <w:rPr>
          <w:rFonts w:ascii="Times New Roman" w:hAnsi="Times New Roman"/>
          <w:noProof/>
          <w:sz w:val="24"/>
        </w:rPr>
        <w:t>, nas fronteiras externas, enquanto a utilização do VIS para efeitos repressivos continua a ser fragmentada. A Comissão procurará dar resposta a estas dificuldades relativas à utilização do VIS em conjunto com os Estados-Membros em causa, com base nas boas</w:t>
      </w:r>
      <w:r>
        <w:rPr>
          <w:rFonts w:ascii="Times New Roman" w:hAnsi="Times New Roman"/>
          <w:noProof/>
          <w:sz w:val="24"/>
        </w:rPr>
        <w:t xml:space="preserve"> práticas seguidas nos Estados-Membros que já utilizam plenamente o sistema.</w:t>
      </w:r>
    </w:p>
    <w:p w:rsidR="008261F6" w:rsidRDefault="00BC19AF">
      <w:pPr>
        <w:keepNext/>
        <w:spacing w:after="120" w:line="240" w:lineRule="auto"/>
        <w:jc w:val="both"/>
        <w:outlineLvl w:val="2"/>
        <w:rPr>
          <w:rFonts w:ascii="Times New Roman" w:eastAsia="Calibri" w:hAnsi="Times New Roman" w:cs="Times New Roman"/>
          <w:i/>
          <w:noProof/>
          <w:sz w:val="24"/>
          <w:szCs w:val="24"/>
        </w:rPr>
      </w:pPr>
      <w:r>
        <w:rPr>
          <w:rFonts w:ascii="Times New Roman" w:hAnsi="Times New Roman"/>
          <w:i/>
          <w:noProof/>
          <w:sz w:val="24"/>
        </w:rPr>
        <w:t>c) Reforçar a segurança na fronteira externa</w:t>
      </w:r>
    </w:p>
    <w:p w:rsidR="008261F6" w:rsidRDefault="00BC19AF">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Uma etapa fundamental no reforço da segurança das fronteiras externas da UE foi a entrada em funcionamento, a 6 de outubro, da </w:t>
      </w:r>
      <w:r>
        <w:rPr>
          <w:rFonts w:ascii="Times New Roman" w:hAnsi="Times New Roman"/>
          <w:b/>
          <w:noProof/>
          <w:sz w:val="24"/>
        </w:rPr>
        <w:t xml:space="preserve">Guarda </w:t>
      </w:r>
      <w:r>
        <w:rPr>
          <w:rFonts w:ascii="Times New Roman" w:hAnsi="Times New Roman"/>
          <w:b/>
          <w:noProof/>
          <w:sz w:val="24"/>
        </w:rPr>
        <w:t>Europeia de Fronteiras e Costeira</w:t>
      </w:r>
      <w:r>
        <w:rPr>
          <w:rFonts w:ascii="Times New Roman" w:hAnsi="Times New Roman"/>
          <w:noProof/>
          <w:sz w:val="24"/>
        </w:rPr>
        <w:t>. Cada Estado-Membro tem, agora, de contribuir para a reserva de reação rápida, um corpo permanente de guardas de fronteira e outro pessoal competente à disposição da Agência. Esta última poderá mobilizar esta reserva num p</w:t>
      </w:r>
      <w:r>
        <w:rPr>
          <w:rFonts w:ascii="Times New Roman" w:hAnsi="Times New Roman"/>
          <w:noProof/>
          <w:sz w:val="24"/>
        </w:rPr>
        <w:t>razo curto para reagir a uma situação urgente na fronteira externa ou lançar uma intervenção rápida nas fronteiras. Em conformidade com as conclusões do Conselho Europeu de outubro</w:t>
      </w:r>
      <w:r>
        <w:rPr>
          <w:rFonts w:ascii="Times New Roman" w:hAnsi="Times New Roman"/>
          <w:noProof/>
          <w:sz w:val="24"/>
          <w:vertAlign w:val="superscript"/>
        </w:rPr>
        <w:footnoteReference w:id="10"/>
      </w:r>
      <w:r>
        <w:rPr>
          <w:rFonts w:ascii="Times New Roman" w:hAnsi="Times New Roman"/>
          <w:noProof/>
          <w:sz w:val="24"/>
        </w:rPr>
        <w:t>, o pessoal e o equipamento devem ser mobilizados para atingir a plena capa</w:t>
      </w:r>
      <w:r>
        <w:rPr>
          <w:rFonts w:ascii="Times New Roman" w:hAnsi="Times New Roman"/>
          <w:noProof/>
          <w:sz w:val="24"/>
        </w:rPr>
        <w:t>cidade de reação rápida até ao final do ano. A título de exemplo concreto de cooperação com a Guarda Europeia de Fronteiras e Costeira fora das fronteiras da UE, foi decidido reforçar as capacidades de análise, de prevenção e operacionais das autoridades d</w:t>
      </w:r>
      <w:r>
        <w:rPr>
          <w:rFonts w:ascii="Times New Roman" w:hAnsi="Times New Roman"/>
          <w:noProof/>
          <w:sz w:val="24"/>
        </w:rPr>
        <w:t xml:space="preserve">e países terceiros, nomeadamente em África, no contexto da luta contra as redes criminosas de passadores e para reforçar a confiança e a criação de redes entre os principais países. </w:t>
      </w:r>
    </w:p>
    <w:p w:rsidR="008261F6" w:rsidRDefault="00BC19AF">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O Conselho Europeu de outubro</w:t>
      </w:r>
      <w:r>
        <w:rPr>
          <w:rFonts w:ascii="Times New Roman" w:hAnsi="Times New Roman"/>
          <w:noProof/>
          <w:sz w:val="24"/>
          <w:vertAlign w:val="superscript"/>
        </w:rPr>
        <w:footnoteReference w:id="11"/>
      </w:r>
      <w:r>
        <w:rPr>
          <w:rFonts w:ascii="Times New Roman" w:hAnsi="Times New Roman"/>
          <w:noProof/>
          <w:sz w:val="24"/>
        </w:rPr>
        <w:t xml:space="preserve"> apelou igualmente à rápida adoção da versã</w:t>
      </w:r>
      <w:r>
        <w:rPr>
          <w:rFonts w:ascii="Times New Roman" w:hAnsi="Times New Roman"/>
          <w:noProof/>
          <w:sz w:val="24"/>
        </w:rPr>
        <w:t xml:space="preserve">o revista do </w:t>
      </w:r>
      <w:r>
        <w:rPr>
          <w:rFonts w:ascii="Times New Roman" w:hAnsi="Times New Roman"/>
          <w:b/>
          <w:noProof/>
          <w:sz w:val="24"/>
        </w:rPr>
        <w:t>Código das Fronteiras Schengen</w:t>
      </w:r>
      <w:r>
        <w:rPr>
          <w:rFonts w:ascii="Times New Roman" w:hAnsi="Times New Roman"/>
          <w:noProof/>
          <w:sz w:val="24"/>
        </w:rPr>
        <w:t xml:space="preserve"> proposta pela Comissão, no sentido de proceder ao controlo sistemático de todos os viajantes que atravessam as fronteiras externas da UE para reforçar a segurança. Dada a importância fundamental desta revisão par</w:t>
      </w:r>
      <w:r>
        <w:rPr>
          <w:rFonts w:ascii="Times New Roman" w:hAnsi="Times New Roman"/>
          <w:noProof/>
          <w:sz w:val="24"/>
        </w:rPr>
        <w:t>a a luta contra o terrorismo e, em particular, para ajudar a detetar os combatentes estrangeiros que regressam, os colegisladores devem chegar rapidamente a acordo sobre as alterações antes do final do ano.</w:t>
      </w:r>
    </w:p>
    <w:p w:rsidR="008261F6" w:rsidRDefault="00BC19AF">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Em dezembro, a Comissão tenciona apresentar um pr</w:t>
      </w:r>
      <w:r>
        <w:rPr>
          <w:rFonts w:ascii="Times New Roman" w:hAnsi="Times New Roman"/>
          <w:noProof/>
          <w:sz w:val="24"/>
        </w:rPr>
        <w:t xml:space="preserve">imeiro conjunto de propostas para melhorar as funcionalidades do </w:t>
      </w:r>
      <w:r>
        <w:rPr>
          <w:rFonts w:ascii="Times New Roman" w:hAnsi="Times New Roman"/>
          <w:b/>
          <w:noProof/>
          <w:sz w:val="24"/>
        </w:rPr>
        <w:t>Sistema de Informação de Schengen (SIS)</w:t>
      </w:r>
      <w:r>
        <w:rPr>
          <w:rFonts w:ascii="Times New Roman" w:hAnsi="Times New Roman"/>
          <w:noProof/>
          <w:sz w:val="24"/>
        </w:rPr>
        <w:t xml:space="preserve">, em especial para efeitos repressivos. A fim de maximizar a sua eficácia, os guardas de fronteira devem </w:t>
      </w:r>
      <w:r>
        <w:rPr>
          <w:rFonts w:ascii="Times New Roman" w:hAnsi="Times New Roman"/>
          <w:noProof/>
          <w:sz w:val="24"/>
        </w:rPr>
        <w:lastRenderedPageBreak/>
        <w:t>controlar sistematicamente, consultando o siste</w:t>
      </w:r>
      <w:r>
        <w:rPr>
          <w:rFonts w:ascii="Times New Roman" w:hAnsi="Times New Roman"/>
          <w:noProof/>
          <w:sz w:val="24"/>
        </w:rPr>
        <w:t xml:space="preserve">ma, todas as pessoas que atravessam a fronteira externa. Até à aprovação das alterações ao Código das Fronteiras Schengen, os Estados-Membros deverão garantir que os </w:t>
      </w:r>
      <w:r>
        <w:rPr>
          <w:rFonts w:ascii="Times New Roman" w:hAnsi="Times New Roman"/>
          <w:b/>
          <w:noProof/>
          <w:sz w:val="24"/>
        </w:rPr>
        <w:t>indicadores de risco comuns</w:t>
      </w:r>
      <w:r>
        <w:rPr>
          <w:rFonts w:ascii="Times New Roman" w:hAnsi="Times New Roman"/>
          <w:noProof/>
          <w:sz w:val="24"/>
        </w:rPr>
        <w:t xml:space="preserve"> no que se refere aos combatentes terroristas estrangeiros são </w:t>
      </w:r>
      <w:r>
        <w:rPr>
          <w:rFonts w:ascii="Times New Roman" w:hAnsi="Times New Roman"/>
          <w:noProof/>
          <w:sz w:val="24"/>
        </w:rPr>
        <w:t>plenamente aplicados, em conjugação com as instruções atualizadas da Guarda Europeia de Fronteiras e Costeira.</w:t>
      </w:r>
    </w:p>
    <w:p w:rsidR="008261F6" w:rsidRDefault="00BC19AF">
      <w:pPr>
        <w:spacing w:after="120" w:line="240" w:lineRule="auto"/>
        <w:jc w:val="both"/>
        <w:rPr>
          <w:rFonts w:ascii="Times New Roman" w:eastAsia="Times New Roman" w:hAnsi="Times New Roman" w:cs="Times New Roman"/>
          <w:noProof/>
          <w:sz w:val="24"/>
          <w:szCs w:val="20"/>
        </w:rPr>
      </w:pPr>
      <w:r>
        <w:rPr>
          <w:rFonts w:ascii="Times New Roman" w:hAnsi="Times New Roman"/>
          <w:b/>
          <w:noProof/>
          <w:sz w:val="24"/>
        </w:rPr>
        <w:t>A falsificação de documentos de viagem e a usurpação de identidade</w:t>
      </w:r>
      <w:r>
        <w:rPr>
          <w:noProof/>
        </w:rPr>
        <w:t xml:space="preserve"> </w:t>
      </w:r>
      <w:r>
        <w:rPr>
          <w:rFonts w:ascii="Times New Roman" w:hAnsi="Times New Roman"/>
          <w:noProof/>
          <w:sz w:val="24"/>
        </w:rPr>
        <w:t>constituem ameaças crescentes para a segurança, como se verificou nos atentado</w:t>
      </w:r>
      <w:r>
        <w:rPr>
          <w:rFonts w:ascii="Times New Roman" w:hAnsi="Times New Roman"/>
          <w:noProof/>
          <w:sz w:val="24"/>
        </w:rPr>
        <w:t>s de Paris, cujos autores usaram identidades falsas. A Comissão tenciona apresentar, em dezembro, um plano de ação destinado a melhorar os elementos de segurança dos documentos de viagem.</w:t>
      </w:r>
    </w:p>
    <w:p w:rsidR="008261F6" w:rsidRDefault="00BC19AF">
      <w:pPr>
        <w:spacing w:after="120" w:line="240" w:lineRule="auto"/>
        <w:jc w:val="both"/>
        <w:rPr>
          <w:rFonts w:ascii="Times New Roman" w:eastAsia="Calibri" w:hAnsi="Times New Roman" w:cs="Times New Roman"/>
          <w:bCs/>
          <w:noProof/>
          <w:sz w:val="24"/>
          <w:szCs w:val="24"/>
        </w:rPr>
      </w:pPr>
      <w:r>
        <w:rPr>
          <w:rFonts w:ascii="Times New Roman" w:hAnsi="Times New Roman"/>
          <w:noProof/>
          <w:sz w:val="24"/>
        </w:rPr>
        <w:t xml:space="preserve">O reforço da segurança nas fronteiras externas diz respeito não só aos viajantes individuais, mas também às mercadorias, estando as autoridades aduaneiras na linha da frente. A reforma do </w:t>
      </w:r>
      <w:r>
        <w:rPr>
          <w:rFonts w:ascii="Times New Roman" w:hAnsi="Times New Roman"/>
          <w:b/>
          <w:noProof/>
          <w:sz w:val="24"/>
        </w:rPr>
        <w:t>sistema de informação antecipada de carga (SIAC 2.0)</w:t>
      </w:r>
      <w:r>
        <w:rPr>
          <w:rFonts w:ascii="Times New Roman" w:hAnsi="Times New Roman"/>
          <w:noProof/>
          <w:sz w:val="24"/>
        </w:rPr>
        <w:t xml:space="preserve"> tem por objetiv</w:t>
      </w:r>
      <w:r>
        <w:rPr>
          <w:rFonts w:ascii="Times New Roman" w:hAnsi="Times New Roman"/>
          <w:noProof/>
          <w:sz w:val="24"/>
        </w:rPr>
        <w:t>o alargar e modernizar o sistema a fim de obter, por meio de um registo da UE seguro, mais informações e de melhor qualidade sobre movimentos de mercadorias entre os profissionais e facultá-las a todas as autoridades aduaneiras. O objetivo consiste em ultr</w:t>
      </w:r>
      <w:r>
        <w:rPr>
          <w:rFonts w:ascii="Times New Roman" w:hAnsi="Times New Roman"/>
          <w:noProof/>
          <w:sz w:val="24"/>
        </w:rPr>
        <w:t>apassar as dificuldades existentes (inexistência de dados completos, do ponto de vista qualitativo e quantitativo; acesso limitado dos Estados-Membros em causa; capacidade limitada para utilizar informações secretas).</w:t>
      </w:r>
      <w:r>
        <w:rPr>
          <w:rFonts w:ascii="Times New Roman" w:hAnsi="Times New Roman"/>
          <w:noProof/>
          <w:sz w:val="24"/>
        </w:rPr>
        <w:br/>
        <w:t xml:space="preserve">O Conselho tenciona adotar conclusões </w:t>
      </w:r>
      <w:r>
        <w:rPr>
          <w:rFonts w:ascii="Times New Roman" w:hAnsi="Times New Roman"/>
          <w:noProof/>
          <w:sz w:val="24"/>
        </w:rPr>
        <w:t xml:space="preserve">sobre esta questão em dezembro de 2016. </w:t>
      </w:r>
    </w:p>
    <w:p w:rsidR="008261F6" w:rsidRDefault="00BC19AF">
      <w:pPr>
        <w:spacing w:after="120" w:line="240" w:lineRule="auto"/>
        <w:jc w:val="both"/>
        <w:rPr>
          <w:rFonts w:ascii="Times New Roman" w:eastAsia="Calibri" w:hAnsi="Times New Roman" w:cs="Times New Roman"/>
          <w:i/>
          <w:noProof/>
          <w:sz w:val="24"/>
          <w:szCs w:val="24"/>
        </w:rPr>
      </w:pPr>
      <w:r>
        <w:rPr>
          <w:rFonts w:ascii="Times New Roman" w:hAnsi="Times New Roman"/>
          <w:i/>
          <w:noProof/>
          <w:sz w:val="24"/>
        </w:rPr>
        <w:t>d) Reforçar a segurança da UE através de diálogos para além das suas fronteiras</w:t>
      </w:r>
    </w:p>
    <w:p w:rsidR="008261F6" w:rsidRDefault="00BC19AF">
      <w:pPr>
        <w:spacing w:after="120" w:line="240" w:lineRule="auto"/>
        <w:jc w:val="both"/>
        <w:rPr>
          <w:rFonts w:ascii="Times New Roman" w:eastAsia="Calibri" w:hAnsi="Times New Roman" w:cs="Times New Roman"/>
          <w:bCs/>
          <w:noProof/>
          <w:sz w:val="24"/>
          <w:szCs w:val="24"/>
        </w:rPr>
      </w:pPr>
      <w:r>
        <w:rPr>
          <w:rFonts w:ascii="Times New Roman" w:hAnsi="Times New Roman"/>
          <w:noProof/>
          <w:sz w:val="24"/>
        </w:rPr>
        <w:t>Dado que o terrorismo é, por natureza, internacional e que os terroristas não conhecem fronteiras, a UE continua a participar ativament</w:t>
      </w:r>
      <w:r>
        <w:rPr>
          <w:rFonts w:ascii="Times New Roman" w:hAnsi="Times New Roman"/>
          <w:noProof/>
          <w:sz w:val="24"/>
        </w:rPr>
        <w:t xml:space="preserve">e em debates com os seus vizinhos e outros parceiros internacionais para desenvolver parcerias eficazes que visem o reforço da segurança e o combate ao terrorismo. </w:t>
      </w:r>
    </w:p>
    <w:p w:rsidR="008261F6" w:rsidRDefault="00BC19AF">
      <w:pPr>
        <w:spacing w:after="120" w:line="240" w:lineRule="auto"/>
        <w:jc w:val="both"/>
        <w:rPr>
          <w:rFonts w:ascii="Times New Roman" w:eastAsia="Calibri" w:hAnsi="Times New Roman" w:cs="Times New Roman"/>
          <w:bCs/>
          <w:noProof/>
          <w:sz w:val="24"/>
          <w:szCs w:val="24"/>
        </w:rPr>
      </w:pPr>
      <w:r>
        <w:rPr>
          <w:rFonts w:ascii="Times New Roman" w:hAnsi="Times New Roman"/>
          <w:noProof/>
          <w:sz w:val="24"/>
        </w:rPr>
        <w:t xml:space="preserve">Os últimos progressos incluem: </w:t>
      </w:r>
    </w:p>
    <w:p w:rsidR="008261F6" w:rsidRDefault="00BC19AF">
      <w:pPr>
        <w:numPr>
          <w:ilvl w:val="0"/>
          <w:numId w:val="1"/>
        </w:numPr>
        <w:spacing w:after="12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Maior coordenação entre as delegações da UE e as embaixadas</w:t>
      </w:r>
      <w:r>
        <w:rPr>
          <w:rFonts w:ascii="Times New Roman" w:hAnsi="Times New Roman"/>
          <w:noProof/>
          <w:sz w:val="24"/>
        </w:rPr>
        <w:t xml:space="preserve"> dos Estados-Membros, com a nomeação de mais três </w:t>
      </w:r>
      <w:r>
        <w:rPr>
          <w:rFonts w:ascii="Times New Roman" w:hAnsi="Times New Roman"/>
          <w:b/>
          <w:noProof/>
          <w:sz w:val="24"/>
        </w:rPr>
        <w:t>peritos antiterrorismo e de segurança</w:t>
      </w:r>
      <w:r>
        <w:rPr>
          <w:rFonts w:ascii="Times New Roman" w:hAnsi="Times New Roman"/>
          <w:noProof/>
          <w:sz w:val="24"/>
        </w:rPr>
        <w:t xml:space="preserve"> na Bósnia</w:t>
      </w:r>
      <w:r>
        <w:rPr>
          <w:rFonts w:ascii="Times New Roman" w:hAnsi="Times New Roman"/>
          <w:noProof/>
          <w:sz w:val="24"/>
        </w:rPr>
        <w:noBreakHyphen/>
        <w:t xml:space="preserve">Herzegovina, no Chade e no Líbano, elevando assim para 14 o número total de peritos. </w:t>
      </w:r>
    </w:p>
    <w:p w:rsidR="008261F6" w:rsidRDefault="00BC19AF">
      <w:pPr>
        <w:numPr>
          <w:ilvl w:val="0"/>
          <w:numId w:val="1"/>
        </w:numPr>
        <w:spacing w:after="12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No diálogo </w:t>
      </w:r>
      <w:r>
        <w:rPr>
          <w:rFonts w:ascii="Times New Roman" w:hAnsi="Times New Roman"/>
          <w:b/>
          <w:noProof/>
          <w:sz w:val="24"/>
        </w:rPr>
        <w:t>UE-Israel</w:t>
      </w:r>
      <w:r>
        <w:rPr>
          <w:rFonts w:ascii="Times New Roman" w:hAnsi="Times New Roman"/>
          <w:noProof/>
          <w:sz w:val="24"/>
        </w:rPr>
        <w:t xml:space="preserve"> sobre o combate ao terrorismo, realizado em Israel </w:t>
      </w:r>
      <w:r>
        <w:rPr>
          <w:rFonts w:ascii="Times New Roman" w:hAnsi="Times New Roman"/>
          <w:noProof/>
          <w:sz w:val="24"/>
        </w:rPr>
        <w:t>em 13 de setembro, debateu-se o reforço da cooperação para impedir o financiamento do terrorismo, o extremismo violento, o terrorismo não convencional, bem como os PNR e a segurança dos transportes.</w:t>
      </w:r>
    </w:p>
    <w:p w:rsidR="008261F6" w:rsidRDefault="00BC19AF">
      <w:pPr>
        <w:numPr>
          <w:ilvl w:val="0"/>
          <w:numId w:val="1"/>
        </w:numPr>
        <w:spacing w:after="12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Numa visita conjunta dos serviços da Comissão, do SEAE e </w:t>
      </w:r>
      <w:r>
        <w:rPr>
          <w:rFonts w:ascii="Times New Roman" w:hAnsi="Times New Roman"/>
          <w:noProof/>
          <w:sz w:val="24"/>
        </w:rPr>
        <w:t xml:space="preserve">do Coordenador da Luta Antiterrorista da UE ao </w:t>
      </w:r>
      <w:r>
        <w:rPr>
          <w:rFonts w:ascii="Times New Roman" w:hAnsi="Times New Roman"/>
          <w:b/>
          <w:noProof/>
          <w:sz w:val="24"/>
        </w:rPr>
        <w:t>Egito</w:t>
      </w:r>
      <w:r>
        <w:rPr>
          <w:rFonts w:ascii="Times New Roman" w:hAnsi="Times New Roman"/>
          <w:noProof/>
          <w:sz w:val="24"/>
        </w:rPr>
        <w:t xml:space="preserve">, em 6 e 7 de setembro, ficou acordada a colaboração numa vasta gama de questões de segurança. </w:t>
      </w:r>
    </w:p>
    <w:p w:rsidR="008261F6" w:rsidRDefault="00BC19AF">
      <w:pPr>
        <w:numPr>
          <w:ilvl w:val="0"/>
          <w:numId w:val="1"/>
        </w:numPr>
        <w:spacing w:after="12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As autoridades da UE organizaram um seminário no </w:t>
      </w:r>
      <w:r>
        <w:rPr>
          <w:rFonts w:ascii="Times New Roman" w:hAnsi="Times New Roman"/>
          <w:b/>
          <w:noProof/>
          <w:sz w:val="24"/>
        </w:rPr>
        <w:t>Iraque</w:t>
      </w:r>
      <w:r>
        <w:rPr>
          <w:rFonts w:ascii="Times New Roman" w:hAnsi="Times New Roman"/>
          <w:noProof/>
          <w:sz w:val="24"/>
        </w:rPr>
        <w:t>, em 26 e 27 de setembro, para partilhar boas prática</w:t>
      </w:r>
      <w:r>
        <w:rPr>
          <w:rFonts w:ascii="Times New Roman" w:hAnsi="Times New Roman"/>
          <w:noProof/>
          <w:sz w:val="24"/>
        </w:rPr>
        <w:t xml:space="preserve">s de combate ao terrorismo. </w:t>
      </w:r>
    </w:p>
    <w:p w:rsidR="008261F6" w:rsidRDefault="008261F6">
      <w:pPr>
        <w:spacing w:after="120" w:line="240" w:lineRule="auto"/>
        <w:ind w:left="360"/>
        <w:contextualSpacing/>
        <w:jc w:val="both"/>
        <w:rPr>
          <w:rFonts w:ascii="Times New Roman" w:eastAsia="Calibri" w:hAnsi="Times New Roman" w:cs="Times New Roman"/>
          <w:bCs/>
          <w:noProof/>
          <w:sz w:val="24"/>
          <w:szCs w:val="24"/>
        </w:rPr>
      </w:pPr>
    </w:p>
    <w:p w:rsidR="008261F6" w:rsidRDefault="00BC19AF">
      <w:pPr>
        <w:shd w:val="clear" w:color="auto" w:fill="FFFFFF" w:themeFill="background1"/>
        <w:spacing w:after="120" w:line="240" w:lineRule="auto"/>
        <w:jc w:val="both"/>
        <w:rPr>
          <w:rFonts w:ascii="Times New Roman" w:eastAsia="Calibri" w:hAnsi="Times New Roman" w:cs="Times New Roman"/>
          <w:i/>
          <w:noProof/>
          <w:sz w:val="24"/>
          <w:szCs w:val="24"/>
        </w:rPr>
      </w:pPr>
      <w:r>
        <w:rPr>
          <w:rFonts w:ascii="Times New Roman" w:hAnsi="Times New Roman"/>
          <w:i/>
          <w:noProof/>
          <w:sz w:val="24"/>
        </w:rPr>
        <w:t>e) Proteger os cidadãos e as infraestruturas críticas</w:t>
      </w:r>
    </w:p>
    <w:p w:rsidR="008261F6" w:rsidRDefault="00BC19AF">
      <w:pPr>
        <w:shd w:val="clear" w:color="auto" w:fill="FFFFFF" w:themeFill="background1"/>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Um aspeto fundamental do reforço da resiliência da União é a </w:t>
      </w:r>
      <w:r>
        <w:rPr>
          <w:rFonts w:ascii="Times New Roman" w:hAnsi="Times New Roman"/>
          <w:b/>
          <w:noProof/>
          <w:sz w:val="24"/>
        </w:rPr>
        <w:t>segurança dos transportes</w:t>
      </w:r>
      <w:r>
        <w:rPr>
          <w:rFonts w:ascii="Times New Roman" w:hAnsi="Times New Roman"/>
          <w:noProof/>
          <w:sz w:val="24"/>
        </w:rPr>
        <w:t>.</w:t>
      </w:r>
      <w:r>
        <w:rPr>
          <w:rFonts w:ascii="Times New Roman" w:hAnsi="Times New Roman"/>
          <w:b/>
          <w:noProof/>
          <w:sz w:val="24"/>
        </w:rPr>
        <w:br/>
      </w:r>
      <w:r>
        <w:rPr>
          <w:rFonts w:ascii="Times New Roman" w:hAnsi="Times New Roman"/>
          <w:noProof/>
          <w:sz w:val="24"/>
        </w:rPr>
        <w:t>A Comissão está a trabalhar no sentido de reforçar o quadro normativo europeu. Embora este trabalho já tenha sido efetuado no setor da aviação, é necessário manter o nível de proteção e antecipar futuras ameaças, nomeadamente a segurança dos voos de chegad</w:t>
      </w:r>
      <w:r>
        <w:rPr>
          <w:rFonts w:ascii="Times New Roman" w:hAnsi="Times New Roman"/>
          <w:noProof/>
          <w:sz w:val="24"/>
        </w:rPr>
        <w:t>a e a proteção do lado terra. A Comissão organizou uma conferência sobre a proteção dos espaços públicos, em 7 e 8 de novembro de 2016, com peritos nacionais e internacionais dos setores dos transportes, dos serviços de informações e da indústria, centrand</w:t>
      </w:r>
      <w:r>
        <w:rPr>
          <w:rFonts w:ascii="Times New Roman" w:hAnsi="Times New Roman"/>
          <w:noProof/>
          <w:sz w:val="24"/>
        </w:rPr>
        <w:t xml:space="preserve">o-se na forma de tornar seguras as zonas de transportes públicos. </w:t>
      </w:r>
    </w:p>
    <w:p w:rsidR="008261F6" w:rsidRDefault="00BC19AF">
      <w:pPr>
        <w:shd w:val="clear" w:color="auto" w:fill="FFFFFF" w:themeFill="background1"/>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lastRenderedPageBreak/>
        <w:t xml:space="preserve">A Comissão está também atenta à questão da </w:t>
      </w:r>
      <w:r>
        <w:rPr>
          <w:rFonts w:ascii="Times New Roman" w:hAnsi="Times New Roman"/>
          <w:b/>
          <w:noProof/>
          <w:sz w:val="24"/>
        </w:rPr>
        <w:t>avaliação de riscos</w:t>
      </w:r>
      <w:r>
        <w:rPr>
          <w:rFonts w:ascii="Times New Roman" w:hAnsi="Times New Roman"/>
          <w:noProof/>
          <w:sz w:val="24"/>
        </w:rPr>
        <w:t xml:space="preserve"> no setor dos transportes.</w:t>
      </w:r>
      <w:r>
        <w:rPr>
          <w:rFonts w:ascii="Times New Roman" w:hAnsi="Times New Roman"/>
          <w:noProof/>
          <w:sz w:val="24"/>
        </w:rPr>
        <w:br/>
        <w:t xml:space="preserve">Foi recentemente finalizada a 6.ª ronda de avaliação dos riscos para a segurança da </w:t>
      </w:r>
      <w:r>
        <w:rPr>
          <w:rFonts w:ascii="Times New Roman" w:hAnsi="Times New Roman"/>
          <w:b/>
          <w:noProof/>
          <w:sz w:val="24"/>
        </w:rPr>
        <w:t>carga aérea</w:t>
      </w:r>
      <w:r>
        <w:rPr>
          <w:rFonts w:ascii="Times New Roman" w:hAnsi="Times New Roman"/>
          <w:noProof/>
          <w:sz w:val="24"/>
        </w:rPr>
        <w:t>, bem</w:t>
      </w:r>
      <w:r>
        <w:rPr>
          <w:rFonts w:ascii="Times New Roman" w:hAnsi="Times New Roman"/>
          <w:noProof/>
          <w:sz w:val="24"/>
        </w:rPr>
        <w:t xml:space="preserve"> como a 3.ª ronda de avaliação dos riscos para os </w:t>
      </w:r>
      <w:r>
        <w:rPr>
          <w:rFonts w:ascii="Times New Roman" w:hAnsi="Times New Roman"/>
          <w:b/>
          <w:noProof/>
          <w:sz w:val="24"/>
        </w:rPr>
        <w:t>aviões que partem de zonas de conflito</w:t>
      </w:r>
      <w:r>
        <w:rPr>
          <w:rFonts w:ascii="Times New Roman" w:hAnsi="Times New Roman"/>
          <w:noProof/>
          <w:sz w:val="24"/>
        </w:rPr>
        <w:t xml:space="preserve">, em cooperação com os Estados-Membros e o SEAE. </w:t>
      </w:r>
    </w:p>
    <w:p w:rsidR="008261F6" w:rsidRDefault="00BC19AF">
      <w:pPr>
        <w:shd w:val="clear" w:color="auto" w:fill="FFFFFF" w:themeFill="background1"/>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A Comissão está igualmente a estudar o domínio dos </w:t>
      </w:r>
      <w:r>
        <w:rPr>
          <w:rFonts w:ascii="Times New Roman" w:hAnsi="Times New Roman"/>
          <w:b/>
          <w:noProof/>
          <w:sz w:val="24"/>
        </w:rPr>
        <w:t>transportes marítimos e terrestres</w:t>
      </w:r>
      <w:r>
        <w:rPr>
          <w:rFonts w:ascii="Times New Roman" w:hAnsi="Times New Roman"/>
          <w:noProof/>
          <w:sz w:val="24"/>
        </w:rPr>
        <w:t xml:space="preserve">, em especial os serviços de </w:t>
      </w:r>
      <w:r>
        <w:rPr>
          <w:rFonts w:ascii="Times New Roman" w:hAnsi="Times New Roman"/>
          <w:i/>
          <w:noProof/>
          <w:sz w:val="24"/>
        </w:rPr>
        <w:t>ferr</w:t>
      </w:r>
      <w:r>
        <w:rPr>
          <w:rFonts w:ascii="Times New Roman" w:hAnsi="Times New Roman"/>
          <w:i/>
          <w:noProof/>
          <w:sz w:val="24"/>
        </w:rPr>
        <w:t>y</w:t>
      </w:r>
      <w:r>
        <w:rPr>
          <w:rFonts w:ascii="Times New Roman" w:hAnsi="Times New Roman"/>
          <w:noProof/>
          <w:sz w:val="24"/>
        </w:rPr>
        <w:t xml:space="preserve"> e cruzeiro, os quais podem afetar um grande número de passageiros, e dos serviços ferroviários, de forma a definir uma abordagem comum proporcionada e sustentável baseada no risco. A Comissão concluiu recentemente um estudo de avaliação de impacto sobre </w:t>
      </w:r>
      <w:r>
        <w:rPr>
          <w:rFonts w:ascii="Times New Roman" w:hAnsi="Times New Roman"/>
          <w:noProof/>
          <w:sz w:val="24"/>
        </w:rPr>
        <w:t xml:space="preserve">as opções estratégicas para a segurança dos </w:t>
      </w:r>
      <w:r>
        <w:rPr>
          <w:rFonts w:ascii="Times New Roman" w:hAnsi="Times New Roman"/>
          <w:b/>
          <w:noProof/>
          <w:sz w:val="24"/>
        </w:rPr>
        <w:t>serviços ferroviários internacionais e de alta velocidade</w:t>
      </w:r>
      <w:r>
        <w:rPr>
          <w:rFonts w:ascii="Times New Roman" w:hAnsi="Times New Roman"/>
          <w:noProof/>
          <w:sz w:val="24"/>
        </w:rPr>
        <w:t xml:space="preserve"> europeus.</w:t>
      </w:r>
    </w:p>
    <w:p w:rsidR="008261F6" w:rsidRDefault="00BC19AF">
      <w:pPr>
        <w:spacing w:after="120" w:line="240" w:lineRule="auto"/>
        <w:jc w:val="both"/>
        <w:rPr>
          <w:rFonts w:ascii="Times New Roman" w:hAnsi="Times New Roman"/>
          <w:noProof/>
          <w:sz w:val="24"/>
        </w:rPr>
      </w:pPr>
      <w:r>
        <w:rPr>
          <w:rFonts w:ascii="Times New Roman" w:hAnsi="Times New Roman"/>
          <w:noProof/>
          <w:sz w:val="24"/>
        </w:rPr>
        <w:t xml:space="preserve">Por último, a Comissão continuou a reforçar a sua </w:t>
      </w:r>
      <w:r>
        <w:rPr>
          <w:rFonts w:ascii="Times New Roman" w:hAnsi="Times New Roman"/>
          <w:b/>
          <w:noProof/>
          <w:sz w:val="24"/>
        </w:rPr>
        <w:t>cooperação com parceiros estratégicos</w:t>
      </w:r>
      <w:r>
        <w:rPr>
          <w:rFonts w:ascii="Times New Roman" w:hAnsi="Times New Roman"/>
          <w:noProof/>
          <w:sz w:val="24"/>
        </w:rPr>
        <w:t xml:space="preserve"> através da cooperação com o Departamento da Segurança Interna dos EUA e com a Segurança Pública do Canadá no que se refere à </w:t>
      </w:r>
      <w:r>
        <w:rPr>
          <w:rFonts w:ascii="Times New Roman" w:hAnsi="Times New Roman"/>
          <w:b/>
          <w:noProof/>
          <w:sz w:val="24"/>
        </w:rPr>
        <w:t>proteção de infraestruturas críticas</w:t>
      </w:r>
      <w:r>
        <w:rPr>
          <w:rFonts w:ascii="Times New Roman" w:hAnsi="Times New Roman"/>
          <w:noProof/>
          <w:sz w:val="24"/>
        </w:rPr>
        <w:t>.</w:t>
      </w:r>
      <w:r>
        <w:rPr>
          <w:rFonts w:ascii="Times New Roman" w:hAnsi="Times New Roman"/>
          <w:noProof/>
          <w:sz w:val="24"/>
        </w:rPr>
        <w:br/>
        <w:t>Em setembro, a Comissão encontrou-se com estes parceiros para aprofundar o debate sobre as q</w:t>
      </w:r>
      <w:r>
        <w:rPr>
          <w:rFonts w:ascii="Times New Roman" w:hAnsi="Times New Roman"/>
          <w:noProof/>
          <w:sz w:val="24"/>
        </w:rPr>
        <w:t xml:space="preserve">uestões essenciais da proteção de infraestruturas críticas, cibersegurança e resiliência e aprofundar a cooperação em domínios essenciais em matéria de </w:t>
      </w:r>
      <w:r>
        <w:rPr>
          <w:rFonts w:ascii="Times New Roman" w:hAnsi="Times New Roman"/>
          <w:b/>
          <w:noProof/>
          <w:sz w:val="24"/>
        </w:rPr>
        <w:t>explosivos</w:t>
      </w:r>
      <w:r>
        <w:rPr>
          <w:rFonts w:ascii="Times New Roman" w:hAnsi="Times New Roman"/>
          <w:noProof/>
          <w:sz w:val="24"/>
        </w:rPr>
        <w:t xml:space="preserve">, incluindo a deteção, formação e partilha de informações. </w:t>
      </w:r>
    </w:p>
    <w:p w:rsidR="008261F6" w:rsidRDefault="008261F6">
      <w:pPr>
        <w:spacing w:after="120" w:line="240" w:lineRule="auto"/>
        <w:jc w:val="both"/>
        <w:rPr>
          <w:rFonts w:ascii="Times New Roman" w:eastAsia="Calibri" w:hAnsi="Times New Roman" w:cs="Times New Roman"/>
          <w:noProof/>
          <w:sz w:val="24"/>
          <w:szCs w:val="24"/>
        </w:rPr>
      </w:pPr>
    </w:p>
    <w:p w:rsidR="008261F6" w:rsidRDefault="00BC19AF">
      <w:pPr>
        <w:spacing w:after="120" w:line="240" w:lineRule="auto"/>
        <w:jc w:val="both"/>
        <w:rPr>
          <w:rFonts w:ascii="Times New Roman" w:eastAsia="Calibri" w:hAnsi="Times New Roman" w:cs="Times New Roman"/>
          <w:b/>
          <w:bCs/>
          <w:noProof/>
          <w:sz w:val="24"/>
          <w:szCs w:val="24"/>
        </w:rPr>
      </w:pPr>
      <w:r>
        <w:rPr>
          <w:rFonts w:ascii="Times New Roman" w:hAnsi="Times New Roman"/>
          <w:b/>
          <w:noProof/>
          <w:sz w:val="24"/>
        </w:rPr>
        <w:t>V. CONCLUSÃO</w:t>
      </w:r>
    </w:p>
    <w:p w:rsidR="008261F6" w:rsidRDefault="00BC19AF">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Um ano após os terrí</w:t>
      </w:r>
      <w:r>
        <w:rPr>
          <w:rFonts w:ascii="Times New Roman" w:hAnsi="Times New Roman"/>
          <w:noProof/>
          <w:sz w:val="24"/>
        </w:rPr>
        <w:t>veis atentados terroristas de 13 de novembro em Paris, a Comissão, as agências da UE e os Estados-Membros adotaram um amplo conjunto de medidas não legislativas que contribui para o desenvolvimento progressivo de uma efetiva e genuína União da Segurança. M</w:t>
      </w:r>
      <w:r>
        <w:rPr>
          <w:rFonts w:ascii="Times New Roman" w:hAnsi="Times New Roman"/>
          <w:noProof/>
          <w:sz w:val="24"/>
        </w:rPr>
        <w:t>as é necessário tomar medidas urgentes para reduzir as possibilidades de atuação dos terroristas. Os colegisladores devem absolutamente chegar a acordo, este mês ainda, acerca da proposta de diretiva relativa à luta contra o terrorismo, da proposta de revi</w:t>
      </w:r>
      <w:r>
        <w:rPr>
          <w:rFonts w:ascii="Times New Roman" w:hAnsi="Times New Roman"/>
          <w:noProof/>
          <w:sz w:val="24"/>
        </w:rPr>
        <w:t>são da Diretiva Armas de Fogo e das alterações propostas ao Código das Fronteiras Schengen.</w:t>
      </w:r>
      <w:r>
        <w:rPr>
          <w:rFonts w:ascii="Times New Roman" w:hAnsi="Times New Roman"/>
          <w:noProof/>
          <w:sz w:val="24"/>
        </w:rPr>
        <w:br/>
        <w:t>Os atrasos neste processo beneficiarão apenas os terroristas, que procuram destruir o nosso modo de vida.</w:t>
      </w:r>
    </w:p>
    <w:p w:rsidR="008261F6" w:rsidRDefault="00BC19AF">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Os trabalhos em prol do reforço dos sistemas de controlo d</w:t>
      </w:r>
      <w:r>
        <w:rPr>
          <w:rFonts w:ascii="Times New Roman" w:hAnsi="Times New Roman"/>
          <w:noProof/>
          <w:sz w:val="24"/>
        </w:rPr>
        <w:t>a fronteira externa, incluindo o ETIAS, a entrada em funcionamento da Guarda Europeia de Fronteiras e Costeira e a proposta de alteração do Código das Fronteiras Schengen são elementos importantes da resposta da UE à ameaça que o regresso de combatentes te</w:t>
      </w:r>
      <w:r>
        <w:rPr>
          <w:rFonts w:ascii="Times New Roman" w:hAnsi="Times New Roman"/>
          <w:noProof/>
          <w:sz w:val="24"/>
        </w:rPr>
        <w:t>rroristas representa, devendo ser considerados prioritários pelos colegisladores.</w:t>
      </w:r>
    </w:p>
    <w:p w:rsidR="008261F6" w:rsidRDefault="00BC19AF">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Embora o trabalho no terreno para prevenir a radicalização através da Rede de Sensibilização para a Radicalização seja um esforço de longo prazo, é essencial e requer um empe</w:t>
      </w:r>
      <w:r>
        <w:rPr>
          <w:rFonts w:ascii="Times New Roman" w:hAnsi="Times New Roman"/>
          <w:noProof/>
          <w:sz w:val="24"/>
        </w:rPr>
        <w:t xml:space="preserve">nhamento e apoio imediatos e firme a nível da UE. </w:t>
      </w:r>
    </w:p>
    <w:p w:rsidR="008261F6" w:rsidRDefault="00BC19AF">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Comissão continuará a fazer avançar os trabalhos sobre a aplicação da Agenda Europeia para a Segurança, rumo a uma efetiva e genuína União da Segurança, e apresentará, em dezembro, um relatório sobre os </w:t>
      </w:r>
      <w:r>
        <w:rPr>
          <w:rFonts w:ascii="Times New Roman" w:hAnsi="Times New Roman"/>
          <w:noProof/>
          <w:sz w:val="24"/>
        </w:rPr>
        <w:t>progressos entretanto alcançados. Além das etapas essenciais a seguir indicadas, o relatório de dezembro incluirá atualizações sobre os progressos alcançados no domínio da cibercriminalidade e cibersegurança e a evolução dos trabalhos em curso com empresas</w:t>
      </w:r>
      <w:r>
        <w:rPr>
          <w:rFonts w:ascii="Times New Roman" w:hAnsi="Times New Roman"/>
          <w:noProof/>
          <w:sz w:val="24"/>
        </w:rPr>
        <w:t xml:space="preserve"> de TI para combater a radicalização em linha. </w:t>
      </w:r>
    </w:p>
    <w:p w:rsidR="008261F6" w:rsidRDefault="00BC19AF">
      <w:pPr>
        <w:rPr>
          <w:noProof/>
        </w:rPr>
      </w:pPr>
      <w:r>
        <w:rPr>
          <w:noProof/>
        </w:rPr>
        <w:br w:type="page"/>
      </w:r>
    </w:p>
    <w:p w:rsidR="008261F6" w:rsidRDefault="00BC19AF">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Calibri" w:hAnsi="Times New Roman" w:cs="Times New Roman"/>
          <w:b/>
          <w:bCs/>
          <w:noProof/>
        </w:rPr>
      </w:pPr>
      <w:r>
        <w:rPr>
          <w:rFonts w:ascii="Times New Roman" w:hAnsi="Times New Roman"/>
          <w:b/>
          <w:i/>
          <w:noProof/>
        </w:rPr>
        <w:t>PRINCIPAIS QUESTÕES E AÇÕES PARA OS PRÓXIMOS MESES:</w:t>
      </w:r>
    </w:p>
    <w:p w:rsidR="008261F6" w:rsidRDefault="008261F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bCs/>
          <w:noProof/>
        </w:rPr>
      </w:pP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noProof/>
        </w:rPr>
      </w:pPr>
      <w:r>
        <w:rPr>
          <w:rFonts w:ascii="Times New Roman" w:hAnsi="Times New Roman"/>
          <w:b/>
          <w:noProof/>
        </w:rPr>
        <w:t>REFORÇAR A NOSSA LUTA CONTRA O TERRORISMO E O CRIME ORGANIZADO</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noProof/>
        </w:rPr>
      </w:pPr>
      <w:r>
        <w:rPr>
          <w:rFonts w:ascii="Times New Roman" w:hAnsi="Times New Roman"/>
          <w:b/>
          <w:noProof/>
        </w:rPr>
        <w:t xml:space="preserve">E CONTRA OS MEIOS EM QUE SE APOIAM </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noProof/>
        </w:rPr>
      </w:pPr>
      <w:r>
        <w:rPr>
          <w:rFonts w:ascii="Times New Roman" w:hAnsi="Times New Roman"/>
          <w:b/>
          <w:i/>
          <w:noProof/>
        </w:rPr>
        <w:t xml:space="preserve">a) Quadro normativo para lutar contra o terrorismo e impedir o acesso a financiamento e armas de fogo </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Cs/>
          <w:noProof/>
        </w:rPr>
      </w:pPr>
      <w:r>
        <w:rPr>
          <w:rFonts w:ascii="Times New Roman" w:hAnsi="Times New Roman"/>
          <w:noProof/>
        </w:rPr>
        <w:t>–</w:t>
      </w:r>
      <w:r>
        <w:rPr>
          <w:noProof/>
        </w:rPr>
        <w:tab/>
      </w:r>
      <w:r>
        <w:rPr>
          <w:rFonts w:ascii="Times New Roman" w:hAnsi="Times New Roman"/>
          <w:noProof/>
        </w:rPr>
        <w:t>O Parlamento Europeu e o Conselho devem urgentemente, até ao final de 2016 no máximo, chegar a acordo acerca do projeto de diretiva relativa à luta con</w:t>
      </w:r>
      <w:r>
        <w:rPr>
          <w:rFonts w:ascii="Times New Roman" w:hAnsi="Times New Roman"/>
          <w:noProof/>
        </w:rPr>
        <w:t>tra o terrorismo e da aprovação da revisão da Diretiva Armas de Fogo.</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Cs/>
          <w:noProof/>
        </w:rPr>
      </w:pPr>
      <w:r>
        <w:rPr>
          <w:rFonts w:ascii="Times New Roman" w:hAnsi="Times New Roman"/>
          <w:noProof/>
        </w:rPr>
        <w:t>–</w:t>
      </w:r>
      <w:r>
        <w:rPr>
          <w:rFonts w:ascii="Times New Roman" w:hAnsi="Times New Roman"/>
          <w:noProof/>
        </w:rPr>
        <w:tab/>
      </w:r>
      <w:r>
        <w:rPr>
          <w:rFonts w:ascii="Times New Roman" w:hAnsi="Times New Roman"/>
          <w:noProof/>
        </w:rPr>
        <w:t>A Comissão apresentará, em dezembro, um pacote de propostas de intensificação da luta contra o financiamento do terrorismo, mediante propostas de criminalização do branqueamento de capitais, de consolidação do reconhecimento mútuo de decisões de congelamen</w:t>
      </w:r>
      <w:r>
        <w:rPr>
          <w:rFonts w:ascii="Times New Roman" w:hAnsi="Times New Roman"/>
          <w:noProof/>
        </w:rPr>
        <w:t xml:space="preserve">to e confisco de bens, bem como de uma proposta de combate aos pagamentos ilícitos em numerário. </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i/>
          <w:noProof/>
        </w:rPr>
      </w:pPr>
      <w:r>
        <w:rPr>
          <w:rFonts w:ascii="Times New Roman" w:hAnsi="Times New Roman"/>
          <w:b/>
          <w:i/>
          <w:noProof/>
        </w:rPr>
        <w:t>b) Prevenir e combater a radicalização</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Cs/>
          <w:noProof/>
        </w:rPr>
      </w:pPr>
      <w:r>
        <w:rPr>
          <w:rFonts w:ascii="Times New Roman" w:hAnsi="Times New Roman"/>
          <w:noProof/>
        </w:rPr>
        <w:t>–</w:t>
      </w:r>
      <w:r>
        <w:rPr>
          <w:noProof/>
        </w:rPr>
        <w:tab/>
      </w:r>
      <w:r>
        <w:rPr>
          <w:rFonts w:ascii="Times New Roman" w:hAnsi="Times New Roman"/>
          <w:noProof/>
        </w:rPr>
        <w:t>A segunda reunião de alto nível do Fórum Internet da UE, em 8 de dezembro de 2016, orientará os trabalhos futuros sob</w:t>
      </w:r>
      <w:r>
        <w:rPr>
          <w:rFonts w:ascii="Times New Roman" w:hAnsi="Times New Roman"/>
          <w:noProof/>
        </w:rPr>
        <w:t xml:space="preserve">re a prevenção da radicalização em linha e a luta contra a propaganda terrorista na internet. Nela serão criados uma nova Plataforma Conjunta de Sinalização e um Programa de Capacitação da Sociedade Civil. </w:t>
      </w:r>
      <w:r>
        <w:rPr>
          <w:noProof/>
        </w:rPr>
        <w:tab/>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noProof/>
        </w:rPr>
      </w:pPr>
      <w:r>
        <w:rPr>
          <w:rFonts w:ascii="Times New Roman" w:hAnsi="Times New Roman"/>
          <w:b/>
          <w:noProof/>
        </w:rPr>
        <w:t>REFORÇAR AS NOSSAS DEFESAS E RESILIÊNCIA</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i/>
          <w:noProof/>
        </w:rPr>
      </w:pPr>
      <w:r>
        <w:rPr>
          <w:rFonts w:ascii="Times New Roman" w:hAnsi="Times New Roman"/>
          <w:b/>
          <w:i/>
          <w:noProof/>
        </w:rPr>
        <w:t>a) Melh</w:t>
      </w:r>
      <w:r>
        <w:rPr>
          <w:rFonts w:ascii="Times New Roman" w:hAnsi="Times New Roman"/>
          <w:b/>
          <w:i/>
          <w:noProof/>
        </w:rPr>
        <w:t>orar o intercâmbio de informações</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Times New Roman" w:hAnsi="Times New Roman" w:cs="Times New Roman"/>
          <w:noProof/>
          <w:sz w:val="24"/>
          <w:szCs w:val="20"/>
        </w:rPr>
      </w:pPr>
      <w:r>
        <w:rPr>
          <w:rFonts w:ascii="Times New Roman" w:hAnsi="Times New Roman"/>
          <w:noProof/>
        </w:rPr>
        <w:t>–</w:t>
      </w:r>
      <w:r>
        <w:rPr>
          <w:rFonts w:ascii="Times New Roman" w:hAnsi="Times New Roman"/>
          <w:noProof/>
        </w:rPr>
        <w:tab/>
        <w:t>A Comissão apresentará um plano de execução da iniciativa «Legislar melhor» no domínio dos PNR antes do final de novembro de 2016.</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i/>
          <w:noProof/>
        </w:rPr>
      </w:pPr>
      <w:r>
        <w:rPr>
          <w:rFonts w:ascii="Times New Roman" w:hAnsi="Times New Roman"/>
          <w:b/>
          <w:i/>
          <w:noProof/>
        </w:rPr>
        <w:t>b) Reforçar os sistemas de informação e colmatar as lacunas de informação</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Cs/>
          <w:noProof/>
        </w:rPr>
      </w:pPr>
      <w:r>
        <w:rPr>
          <w:rFonts w:ascii="Times New Roman" w:hAnsi="Times New Roman"/>
          <w:noProof/>
        </w:rPr>
        <w:t>–</w:t>
      </w:r>
      <w:r>
        <w:rPr>
          <w:noProof/>
        </w:rPr>
        <w:tab/>
      </w:r>
      <w:r>
        <w:rPr>
          <w:rFonts w:ascii="Times New Roman" w:hAnsi="Times New Roman"/>
          <w:noProof/>
        </w:rPr>
        <w:t>A Comissão in</w:t>
      </w:r>
      <w:r>
        <w:rPr>
          <w:rFonts w:ascii="Times New Roman" w:hAnsi="Times New Roman"/>
          <w:noProof/>
        </w:rPr>
        <w:t>sta os colegisladores a iniciarem os trabalhos sobre a sua proposta de criação de um Sistema Europeu de Informação e Autorização de Viagem (ETIAS) com caráter de urgência.</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Cs/>
          <w:noProof/>
        </w:rPr>
      </w:pPr>
      <w:r>
        <w:rPr>
          <w:rFonts w:ascii="Times New Roman" w:hAnsi="Times New Roman"/>
          <w:noProof/>
        </w:rPr>
        <w:t>–</w:t>
      </w:r>
      <w:r>
        <w:rPr>
          <w:noProof/>
        </w:rPr>
        <w:tab/>
      </w:r>
      <w:r>
        <w:rPr>
          <w:rFonts w:ascii="Times New Roman" w:hAnsi="Times New Roman"/>
          <w:noProof/>
        </w:rPr>
        <w:t>O Grupo de peritos de alto nível sobre a interoperabilidade dos sistemas de inform</w:t>
      </w:r>
      <w:r>
        <w:rPr>
          <w:rFonts w:ascii="Times New Roman" w:hAnsi="Times New Roman"/>
          <w:noProof/>
        </w:rPr>
        <w:t>ação apresentará o seu relatório intercalar antes do final de dezembro de 2016.</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i/>
          <w:noProof/>
        </w:rPr>
      </w:pPr>
      <w:r>
        <w:rPr>
          <w:rFonts w:ascii="Times New Roman" w:hAnsi="Times New Roman"/>
          <w:noProof/>
        </w:rPr>
        <w:t xml:space="preserve"> </w:t>
      </w:r>
      <w:r>
        <w:rPr>
          <w:rFonts w:ascii="Times New Roman" w:hAnsi="Times New Roman"/>
          <w:b/>
          <w:i/>
          <w:noProof/>
        </w:rPr>
        <w:t>c) Reforçar a segurança na fronteira externa</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noProof/>
        </w:rPr>
      </w:pPr>
      <w:r>
        <w:rPr>
          <w:rFonts w:ascii="Times New Roman" w:hAnsi="Times New Roman"/>
          <w:noProof/>
        </w:rPr>
        <w:t>–</w:t>
      </w:r>
      <w:r>
        <w:rPr>
          <w:noProof/>
        </w:rPr>
        <w:tab/>
      </w:r>
      <w:r>
        <w:rPr>
          <w:rFonts w:ascii="Times New Roman" w:hAnsi="Times New Roman"/>
          <w:noProof/>
        </w:rPr>
        <w:t>A Comissão insta os colegisladores a chegarem a acordo acerca das alterações ao Código das Fronteiras Schengen destinadas a perm</w:t>
      </w:r>
      <w:r>
        <w:rPr>
          <w:rFonts w:ascii="Times New Roman" w:hAnsi="Times New Roman"/>
          <w:noProof/>
        </w:rPr>
        <w:t>itir os controlos sistemáticos, para que seja possível a sua adoção antes do final do ano.</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noProof/>
        </w:rPr>
      </w:pPr>
      <w:r>
        <w:rPr>
          <w:rFonts w:ascii="Times New Roman" w:hAnsi="Times New Roman"/>
          <w:noProof/>
        </w:rPr>
        <w:t>–</w:t>
      </w:r>
      <w:r>
        <w:rPr>
          <w:noProof/>
        </w:rPr>
        <w:tab/>
      </w:r>
      <w:r>
        <w:rPr>
          <w:rFonts w:ascii="Times New Roman" w:hAnsi="Times New Roman"/>
          <w:noProof/>
        </w:rPr>
        <w:t>A Comissão apresentará, em dezembro, uma comunicação sobre o plano de ação destinado a melhorar os elementos de segurança dos documentos de viagem.</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i/>
          <w:noProof/>
        </w:rPr>
      </w:pPr>
      <w:r>
        <w:rPr>
          <w:rFonts w:ascii="Times New Roman" w:hAnsi="Times New Roman"/>
          <w:b/>
          <w:i/>
          <w:noProof/>
        </w:rPr>
        <w:t xml:space="preserve">d) Proteger os </w:t>
      </w:r>
      <w:r>
        <w:rPr>
          <w:rFonts w:ascii="Times New Roman" w:hAnsi="Times New Roman"/>
          <w:b/>
          <w:i/>
          <w:noProof/>
        </w:rPr>
        <w:t>cidadãos e as infraestruturas críticas</w:t>
      </w:r>
    </w:p>
    <w:p w:rsidR="008261F6" w:rsidRDefault="00BC19AF">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Cs/>
          <w:noProof/>
        </w:rPr>
      </w:pPr>
      <w:r>
        <w:rPr>
          <w:rFonts w:ascii="Times New Roman" w:hAnsi="Times New Roman"/>
          <w:noProof/>
        </w:rPr>
        <w:t>–</w:t>
      </w:r>
      <w:r>
        <w:rPr>
          <w:noProof/>
        </w:rPr>
        <w:tab/>
      </w:r>
      <w:r>
        <w:rPr>
          <w:rFonts w:ascii="Times New Roman" w:hAnsi="Times New Roman"/>
          <w:noProof/>
        </w:rPr>
        <w:t>A Comissão acelerará os seus trabalhos de definição da abordagem comum sobre a segurança dos transportes marítimos e terrestres, que deve ser proporcionada, sustentável e baseada no risco.</w:t>
      </w:r>
    </w:p>
    <w:sectPr w:rsidR="008261F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F6" w:rsidRDefault="00BC19AF">
      <w:pPr>
        <w:spacing w:after="0" w:line="240" w:lineRule="auto"/>
      </w:pPr>
      <w:r>
        <w:separator/>
      </w:r>
    </w:p>
  </w:endnote>
  <w:endnote w:type="continuationSeparator" w:id="0">
    <w:p w:rsidR="008261F6" w:rsidRDefault="00BC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AF" w:rsidRPr="00BC19AF" w:rsidRDefault="00BC19AF" w:rsidP="00BC1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AF" w:rsidRPr="00BC19AF" w:rsidRDefault="00BC19AF" w:rsidP="00BC19AF">
    <w:pPr>
      <w:pStyle w:val="FooterCoverPage"/>
      <w:rPr>
        <w:rFonts w:ascii="Arial" w:hAnsi="Arial" w:cs="Arial"/>
        <w:b/>
        <w:sz w:val="48"/>
      </w:rPr>
    </w:pPr>
    <w:r w:rsidRPr="00BC19AF">
      <w:rPr>
        <w:rFonts w:ascii="Arial" w:hAnsi="Arial" w:cs="Arial"/>
        <w:b/>
        <w:sz w:val="48"/>
      </w:rPr>
      <w:t>PT</w:t>
    </w:r>
    <w:r w:rsidRPr="00BC19AF">
      <w:rPr>
        <w:rFonts w:ascii="Arial" w:hAnsi="Arial" w:cs="Arial"/>
        <w:b/>
        <w:sz w:val="48"/>
      </w:rPr>
      <w:tab/>
    </w:r>
    <w:r w:rsidRPr="00BC19AF">
      <w:rPr>
        <w:rFonts w:ascii="Arial" w:hAnsi="Arial" w:cs="Arial"/>
        <w:b/>
        <w:sz w:val="48"/>
      </w:rPr>
      <w:tab/>
    </w:r>
    <w:fldSimple w:instr=" DOCVARIABLE &quot;LW_Confidence&quot; \* MERGEFORMAT ">
      <w:r>
        <w:t xml:space="preserve"> </w:t>
      </w:r>
    </w:fldSimple>
    <w:r w:rsidRPr="00BC19AF">
      <w:tab/>
    </w:r>
    <w:r w:rsidRPr="00BC19AF">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AF" w:rsidRPr="00BC19AF" w:rsidRDefault="00BC19AF" w:rsidP="00BC19AF">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F6" w:rsidRDefault="008261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941242"/>
      <w:docPartObj>
        <w:docPartGallery w:val="Page Numbers (Bottom of Page)"/>
        <w:docPartUnique/>
      </w:docPartObj>
    </w:sdtPr>
    <w:sdtEndPr>
      <w:rPr>
        <w:noProof/>
      </w:rPr>
    </w:sdtEndPr>
    <w:sdtContent>
      <w:p w:rsidR="008261F6" w:rsidRDefault="00BC19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261F6" w:rsidRDefault="008261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F6" w:rsidRDefault="00826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F6" w:rsidRDefault="00BC19AF">
      <w:pPr>
        <w:spacing w:after="0" w:line="240" w:lineRule="auto"/>
      </w:pPr>
      <w:r>
        <w:separator/>
      </w:r>
    </w:p>
  </w:footnote>
  <w:footnote w:type="continuationSeparator" w:id="0">
    <w:p w:rsidR="008261F6" w:rsidRDefault="00BC19AF">
      <w:pPr>
        <w:spacing w:after="0" w:line="240" w:lineRule="auto"/>
      </w:pPr>
      <w:r>
        <w:continuationSeparator/>
      </w:r>
    </w:p>
  </w:footnote>
  <w:footnote w:id="1">
    <w:p w:rsidR="008261F6" w:rsidRDefault="00BC19AF">
      <w:pPr>
        <w:pStyle w:val="FootnoteText"/>
      </w:pPr>
      <w:r>
        <w:rPr>
          <w:rStyle w:val="FootnoteReference"/>
        </w:rPr>
        <w:footnoteRef/>
      </w:r>
      <w:r>
        <w:t xml:space="preserve"> Comunicação COM(2016) 670 final, de 12 de outubro de 2016, Primeiro relatório sobre os progressos alcançados rumo a uma União da Segurança genuína e eficaz.</w:t>
      </w:r>
    </w:p>
  </w:footnote>
  <w:footnote w:id="2">
    <w:p w:rsidR="008261F6" w:rsidRDefault="00BC19AF">
      <w:pPr>
        <w:pStyle w:val="FootnoteText"/>
      </w:pPr>
      <w:r>
        <w:rPr>
          <w:rStyle w:val="FootnoteReference"/>
        </w:rPr>
        <w:footnoteRef/>
      </w:r>
      <w:r>
        <w:t xml:space="preserve"> Comunicação da Comissão, COM(2016) 602 final, de 14 de setembro de 2016, «Reforçar a segurança num mundo de mobilidade: um melhor intercâmbio das informações na luta contra o terrorismo e fronteiras externas mais seguras».</w:t>
      </w:r>
    </w:p>
  </w:footnote>
  <w:footnote w:id="3">
    <w:p w:rsidR="008261F6" w:rsidRDefault="00BC19AF">
      <w:pPr>
        <w:pStyle w:val="FootnoteText"/>
      </w:pPr>
      <w:r>
        <w:rPr>
          <w:rStyle w:val="FootnoteReference"/>
        </w:rPr>
        <w:footnoteRef/>
      </w:r>
      <w:r>
        <w:t xml:space="preserve"> Em especial, as propostas da C</w:t>
      </w:r>
      <w:r>
        <w:t>omissão de Diretiva relativa à luta contra o terrorismo, COM(2015) 625 final, e de Diretiva que altera a Diretiva 91/477/CEE do Conselho relativa ao controlo da aquisição e da detenção de armas, COM(2015) 750 final.</w:t>
      </w:r>
    </w:p>
  </w:footnote>
  <w:footnote w:id="4">
    <w:p w:rsidR="008261F6" w:rsidRDefault="00BC19AF">
      <w:pPr>
        <w:pStyle w:val="FootnoteText"/>
      </w:pPr>
      <w:r>
        <w:rPr>
          <w:rStyle w:val="FootnoteReference"/>
        </w:rPr>
        <w:footnoteRef/>
      </w:r>
      <w:r>
        <w:t xml:space="preserve"> COM(2016) 379 final.</w:t>
      </w:r>
    </w:p>
  </w:footnote>
  <w:footnote w:id="5">
    <w:p w:rsidR="008261F6" w:rsidRDefault="00BC19AF">
      <w:pPr>
        <w:pStyle w:val="FootnoteText"/>
      </w:pPr>
      <w:r>
        <w:rPr>
          <w:rStyle w:val="FootnoteReference"/>
        </w:rPr>
        <w:footnoteRef/>
      </w:r>
      <w:r>
        <w:t xml:space="preserve"> Declaração de P</w:t>
      </w:r>
      <w:r>
        <w:t>aris, de 17 de março de 2015, sobre a promoção da cidadania e dos valores comuns da liberdade, tolerância e não discriminação através da educação.</w:t>
      </w:r>
    </w:p>
  </w:footnote>
  <w:footnote w:id="6">
    <w:p w:rsidR="008261F6" w:rsidRDefault="00BC19AF">
      <w:pPr>
        <w:pStyle w:val="FootnoteText"/>
      </w:pPr>
      <w:r>
        <w:rPr>
          <w:rStyle w:val="FootnoteReference"/>
        </w:rPr>
        <w:footnoteRef/>
      </w:r>
      <w:r>
        <w:t xml:space="preserve"> COM(2016) 679 final.</w:t>
      </w:r>
    </w:p>
  </w:footnote>
  <w:footnote w:id="7">
    <w:p w:rsidR="008261F6" w:rsidRDefault="00BC19AF">
      <w:pPr>
        <w:pStyle w:val="FootnoteText"/>
      </w:pPr>
      <w:r>
        <w:rPr>
          <w:rStyle w:val="FootnoteReference"/>
        </w:rPr>
        <w:footnoteRef/>
      </w:r>
      <w:r>
        <w:t xml:space="preserve"> Diretiva 2014/41/UE, de 3 de abril 2014, relativa à decisão europeia de investigação</w:t>
      </w:r>
      <w:r>
        <w:t xml:space="preserve"> em matéria penal.</w:t>
      </w:r>
    </w:p>
  </w:footnote>
  <w:footnote w:id="8">
    <w:p w:rsidR="008261F6" w:rsidRDefault="00BC19AF">
      <w:pPr>
        <w:pStyle w:val="FootnoteText"/>
      </w:pPr>
      <w:r>
        <w:rPr>
          <w:rStyle w:val="FootnoteReference"/>
        </w:rPr>
        <w:footnoteRef/>
      </w:r>
      <w:r>
        <w:t xml:space="preserve"> EUCO 31/16 de 21 de outubro de 2016.</w:t>
      </w:r>
    </w:p>
  </w:footnote>
  <w:footnote w:id="9">
    <w:p w:rsidR="008261F6" w:rsidRDefault="00BC19AF">
      <w:pPr>
        <w:pStyle w:val="FootnoteText"/>
      </w:pPr>
      <w:r>
        <w:rPr>
          <w:rStyle w:val="FootnoteReference"/>
        </w:rPr>
        <w:footnoteRef/>
      </w:r>
      <w:r>
        <w:t xml:space="preserve"> COM(2016) 205 final, de 6 de abril de 2016.</w:t>
      </w:r>
    </w:p>
  </w:footnote>
  <w:footnote w:id="10">
    <w:p w:rsidR="008261F6" w:rsidRDefault="00BC19AF">
      <w:pPr>
        <w:pStyle w:val="FootnoteText"/>
      </w:pPr>
      <w:r>
        <w:rPr>
          <w:rStyle w:val="FootnoteReference"/>
        </w:rPr>
        <w:footnoteRef/>
      </w:r>
      <w:r>
        <w:t xml:space="preserve"> EUCO 31/16 de 21 de outubro de 2016.</w:t>
      </w:r>
    </w:p>
  </w:footnote>
  <w:footnote w:id="11">
    <w:p w:rsidR="008261F6" w:rsidRDefault="00BC19AF">
      <w:pPr>
        <w:pStyle w:val="FootnoteText"/>
      </w:pPr>
      <w:r>
        <w:rPr>
          <w:rStyle w:val="FootnoteReference"/>
        </w:rPr>
        <w:footnoteRef/>
      </w:r>
      <w:r>
        <w:t xml:space="preserve"> EUCO 31/16 de 21 de outubro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AF" w:rsidRPr="00BC19AF" w:rsidRDefault="00BC19AF" w:rsidP="00BC1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AF" w:rsidRPr="00BC19AF" w:rsidRDefault="00BC19AF" w:rsidP="00BC19AF">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AF" w:rsidRPr="00BC19AF" w:rsidRDefault="00BC19AF" w:rsidP="00BC19AF">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F6" w:rsidRDefault="008261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F6" w:rsidRDefault="008261F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F6" w:rsidRDefault="00826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01B1"/>
    <w:multiLevelType w:val="hybridMultilevel"/>
    <w:tmpl w:val="69D0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274902"/>
    <w:multiLevelType w:val="hybridMultilevel"/>
    <w:tmpl w:val="0AA6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17B4F75507594631BEAEBF40477DD76C"/>
    <w:docVar w:name="LW_CROSSREFERENCE" w:val="&lt;UNUSED&gt;"/>
    <w:docVar w:name="LW_DocType" w:val="NORMAL"/>
    <w:docVar w:name="LW_EMISSION" w:val="16.11.2016"/>
    <w:docVar w:name="LW_EMISSION_ISODATE" w:val="2016-11-16"/>
    <w:docVar w:name="LW_EMISSION_LOCATION" w:val="BRX"/>
    <w:docVar w:name="LW_EMISSION_PREFIX" w:val="Bruxelas, "/>
    <w:docVar w:name="LW_EMISSION_SUFFIX" w:val=" "/>
    <w:docVar w:name="LW_ID_DOCTYPE_NONLW" w:val="CP-035"/>
    <w:docVar w:name="LW_LANGUE" w:val="PT"/>
    <w:docVar w:name="LW_MARKING" w:val="&lt;UNUSED&g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732"/>
    <w:docVar w:name="LW_REF.INTERNE" w:val="&lt;UNUSED&gt;"/>
    <w:docVar w:name="LW_SOUS.TITRE.OBJ.CP" w:val="&lt;UNUSED&gt;"/>
    <w:docVar w:name="LW_SUPERTITRE" w:val="&lt;UNUSED&gt;"/>
    <w:docVar w:name="LW_TITRE.OBJ.CP" w:val="Segundo relatório sobre os progressos alcançados rumo a uma_x000b_União da Segurança genuína e eficaz"/>
    <w:docVar w:name="LW_TYPE.DOC.CP" w:val="COMUNICAÇÃO DA COMISSÃO AO PARLAMENTO EUROPEU,_x000b_AO CONSELHO EUROPEU E AO CONSELHO"/>
  </w:docVars>
  <w:rsids>
    <w:rsidRoot w:val="008261F6"/>
    <w:rsid w:val="008261F6"/>
    <w:rsid w:val="00BC19A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BVI fnr,Footnote symbol, BVI fnr,Footnote Reference text,Footnote Reference Superscript,Nota,Footnote,Appel note de bas de p,SUPERS"/>
    <w:uiPriority w:val="99"/>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BVI fnr,Footnote symbol, BVI fnr,Footnote Reference text,Footnote Reference Superscript,Nota,Footnote,Appel note de bas de p,SUPERS"/>
    <w:uiPriority w:val="99"/>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4101</Words>
  <Characters>22073</Characters>
  <Application>Microsoft Office Word</Application>
  <DocSecurity>0</DocSecurity>
  <Lines>345</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21</cp:revision>
  <cp:lastPrinted>2016-11-11T19:33:00Z</cp:lastPrinted>
  <dcterms:created xsi:type="dcterms:W3CDTF">2016-11-24T16:21:00Z</dcterms:created>
  <dcterms:modified xsi:type="dcterms:W3CDTF">2016-11-28T09:41:00Z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