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BD61C2A5D394C33B2E8797BD3EFE6C7" style="width:450.75pt;height:50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rPr>
      </w:pPr>
      <w:bookmarkStart w:id="0" w:name="_GoBack"/>
      <w:bookmarkEnd w:id="0"/>
      <w:r>
        <w:rPr>
          <w:b/>
          <w:noProof/>
        </w:rPr>
        <w:lastRenderedPageBreak/>
        <w:t>PRÍLOHA</w:t>
      </w:r>
      <w:r>
        <w:rPr>
          <w:b/>
          <w:noProof/>
        </w:rPr>
        <w:br/>
      </w:r>
    </w:p>
    <w:p>
      <w:pPr>
        <w:pStyle w:val="NumPar1"/>
        <w:numPr>
          <w:ilvl w:val="0"/>
          <w:numId w:val="1"/>
        </w:numPr>
        <w:rPr>
          <w:noProof/>
        </w:rPr>
      </w:pPr>
      <w:r>
        <w:rPr>
          <w:noProof/>
        </w:rPr>
        <w:t>Prílohy IV a V sa menia takto:</w:t>
      </w:r>
    </w:p>
    <w:p>
      <w:pPr>
        <w:pStyle w:val="Point1"/>
        <w:rPr>
          <w:noProof/>
        </w:rPr>
      </w:pPr>
      <w:r>
        <w:rPr>
          <w:noProof/>
        </w:rPr>
        <w:t>a)</w:t>
      </w:r>
      <w:r>
        <w:rPr>
          <w:noProof/>
        </w:rPr>
        <w:tab/>
        <w:t>v prílohe IV sa poznámka pod čiarou 3 nahrádza takto: „(3) Použije sa v prípade výpočtu úspor energie vyjadrených v primárnej energii metódou zdola nahor na základe konečnej energetickej spotreby. V prípade úspor elektriny v kWh môžu členské štáty použiť predvolený koeficient 2,0. Ak je to opodstatnené, členské štáty môžu použiť iný koeficient.“</w:t>
      </w:r>
    </w:p>
    <w:p>
      <w:pPr>
        <w:pStyle w:val="Point1"/>
        <w:rPr>
          <w:noProof/>
        </w:rPr>
      </w:pPr>
      <w:r>
        <w:rPr>
          <w:noProof/>
        </w:rPr>
        <w:t>b)</w:t>
      </w:r>
      <w:r>
        <w:rPr>
          <w:noProof/>
        </w:rPr>
        <w:tab/>
        <w:t>Príloha V sa nahrádza takto:</w:t>
      </w:r>
    </w:p>
    <w:p>
      <w:pPr>
        <w:pStyle w:val="Text1"/>
        <w:jc w:val="center"/>
        <w:rPr>
          <w:i/>
          <w:noProof/>
        </w:rPr>
      </w:pPr>
      <w:r>
        <w:rPr>
          <w:noProof/>
        </w:rPr>
        <w:t>„</w:t>
      </w:r>
      <w:r>
        <w:rPr>
          <w:i/>
          <w:noProof/>
        </w:rPr>
        <w:t>Príloha V</w:t>
      </w:r>
    </w:p>
    <w:p>
      <w:pPr>
        <w:pStyle w:val="Text1"/>
        <w:ind w:left="960"/>
        <w:jc w:val="center"/>
        <w:rPr>
          <w:b/>
          <w:noProof/>
        </w:rPr>
      </w:pPr>
      <w:r>
        <w:rPr>
          <w:b/>
          <w:noProof/>
        </w:rPr>
        <w:t>Spoločné metódy a zásady na výpočet vplyvu povinných schém energetickej efektívnosti alebo iných politických opatrení v zmysle článku 7 ods. 1 a 2, článkov 7a a 7b a článku 20 ods. 6:</w:t>
      </w:r>
    </w:p>
    <w:p>
      <w:pPr>
        <w:pStyle w:val="ManualNumPar1"/>
        <w:ind w:left="1440" w:hanging="480"/>
        <w:rPr>
          <w:noProof/>
        </w:rPr>
      </w:pPr>
      <w:r>
        <w:rPr>
          <w:noProof/>
        </w:rPr>
        <w:t xml:space="preserve">1. </w:t>
      </w:r>
      <w:r>
        <w:rPr>
          <w:noProof/>
        </w:rPr>
        <w:tab/>
        <w:t>Metódy na výpočet úspor energie okrem úspor vyplývajúcich z daňových opatrení na účely článku 7 ods. 1 a 2, článkov 7a a 7b a článku 20 ods. 6.</w:t>
      </w:r>
    </w:p>
    <w:p>
      <w:pPr>
        <w:pStyle w:val="Text2"/>
        <w:rPr>
          <w:noProof/>
        </w:rPr>
      </w:pPr>
      <w:r>
        <w:rPr>
          <w:noProof/>
        </w:rPr>
        <w:t>Povinné, zúčastňujúce sa alebo poverené subjekty alebo vykonávajúce orgány verejnej moci môžu na výpočet úspor energie použiť jednu alebo viaceré z týchto metód:</w:t>
      </w:r>
    </w:p>
    <w:p>
      <w:pPr>
        <w:pStyle w:val="Point2"/>
        <w:rPr>
          <w:noProof/>
        </w:rPr>
      </w:pPr>
      <w:r>
        <w:rPr>
          <w:noProof/>
        </w:rPr>
        <w:t>a)</w:t>
      </w:r>
      <w:r>
        <w:rPr>
          <w:noProof/>
        </w:rPr>
        <w:tab/>
        <w:t>predpokladané úspory na základe výsledkov predošlých nezávisle monitorovaných energetických zlepšení v podobných zariadeniach. Všeobecný prístup sa označuje ako prístup „</w:t>
      </w:r>
      <w:r>
        <w:rPr>
          <w:i/>
          <w:noProof/>
        </w:rPr>
        <w:t>ex ante</w:t>
      </w:r>
      <w:r>
        <w:rPr>
          <w:noProof/>
        </w:rPr>
        <w:t>“;</w:t>
      </w:r>
    </w:p>
    <w:p>
      <w:pPr>
        <w:pStyle w:val="Point2"/>
        <w:rPr>
          <w:noProof/>
        </w:rPr>
      </w:pPr>
      <w:r>
        <w:rPr>
          <w:noProof/>
        </w:rPr>
        <w:t>b)</w:t>
      </w:r>
      <w:r>
        <w:rPr>
          <w:noProof/>
        </w:rPr>
        <w:tab/>
        <w:t>merané úspory, pri ktorých sa úspory zo zavedenia opatrenia alebo balíka opatrení určujú zaznamenávaním skutočného zníženia spotreby energie, pričom sa náležite zohľadnia faktory, ako je doplnkovosť, miera využívania, úrovne výroby a počasie, ktoré môže ovplyvňovať spotrebu. Všeobecný prístup sa označuje ako prístup „</w:t>
      </w:r>
      <w:r>
        <w:rPr>
          <w:i/>
          <w:noProof/>
        </w:rPr>
        <w:t>ex post</w:t>
      </w:r>
      <w:r>
        <w:rPr>
          <w:noProof/>
        </w:rPr>
        <w:t>“;</w:t>
      </w:r>
    </w:p>
    <w:p>
      <w:pPr>
        <w:pStyle w:val="Point2"/>
        <w:rPr>
          <w:noProof/>
        </w:rPr>
      </w:pPr>
      <w:r>
        <w:rPr>
          <w:noProof/>
        </w:rPr>
        <w:t>c)</w:t>
      </w:r>
      <w:r>
        <w:rPr>
          <w:noProof/>
        </w:rPr>
        <w:tab/>
        <w:t>pomerné úspory, pri ktorých sa používajú technické odhady úspor. Tento prístup sa môže použiť len v prípade, ak je získanie dostatočne podrobných meraných údajov pre konkrétne zariadenie náročné alebo neprimerane nákladné, napr. nahradenie kompresora alebo elektromotora s iným rozsahom výroby v kWh, ako je ten, pre ktorý sa merali nezávislé informácie o úsporách, alebo v prípade, keď tieto odhady vykonávajú podľa vnútroštátne stanovených metodík a referenčných hodnôt kvalifikovaní alebo akreditovaní odborníci, ktorí sú nezávislí od príslušných povinných, zúčastňujúcich sa alebo poverených subjektov;</w:t>
      </w:r>
    </w:p>
    <w:p>
      <w:pPr>
        <w:pStyle w:val="Point2"/>
        <w:rPr>
          <w:noProof/>
        </w:rPr>
      </w:pPr>
      <w:r>
        <w:rPr>
          <w:noProof/>
        </w:rPr>
        <w:t>d)</w:t>
      </w:r>
      <w:r>
        <w:rPr>
          <w:noProof/>
        </w:rPr>
        <w:tab/>
        <w:t>úspory na základe prieskumu, pri ktorých sa určuje reakcia spotrebiteľov na rady, informačné kampane, systémy označovania energetickým štítkom a certifikácie alebo na inteligentné meranie. Tento prístup možno použiť len pre úspory vyplývajúce zo zmien správania spotrebiteľa. Nemožno ho použiť pre úspory vyplývajúce zo zavedenia fyzických opatrení.</w:t>
      </w:r>
    </w:p>
    <w:p>
      <w:pPr>
        <w:pStyle w:val="ManualNumPar1"/>
        <w:tabs>
          <w:tab w:val="left" w:pos="1440"/>
        </w:tabs>
        <w:ind w:left="1440" w:hanging="600"/>
        <w:rPr>
          <w:noProof/>
        </w:rPr>
      </w:pPr>
      <w:r>
        <w:rPr>
          <w:noProof/>
        </w:rPr>
        <w:lastRenderedPageBreak/>
        <w:t>2.</w:t>
      </w:r>
      <w:r>
        <w:rPr>
          <w:noProof/>
        </w:rPr>
        <w:tab/>
        <w:t>Pri určovaní úspor energie z opatrenia energetickej efektívnosti na účely článku 7 ods. 1 a 2, článkov 7a a 7b a článku 20 ods. 6 sa uplatňujú tieto zásady:</w:t>
      </w:r>
    </w:p>
    <w:p>
      <w:pPr>
        <w:pStyle w:val="Point2"/>
        <w:rPr>
          <w:noProof/>
        </w:rPr>
      </w:pPr>
      <w:r>
        <w:rPr>
          <w:noProof/>
        </w:rPr>
        <w:t>a)</w:t>
      </w:r>
      <w:r>
        <w:rPr>
          <w:noProof/>
        </w:rPr>
        <w:tab/>
        <w:t>musí sa preukázať, že ide o dodatočné úspory nad rámec tých, ktoré by sa dosiahli aj bez príslušnej činnosti povinných, zúčastňujúcich sa alebo poverených subjektov a/alebo vykonávajúcich orgánov. Na určenie toho, ktoré úspory možno nárokovať ako dodatočné, členské štáty určia základný scenár opisujúci, ako by sa spotreba energie vyvíjala za absencie daného politického opatrenia. Základný scenár vyjadruje minimálne tieto faktory: trendy spotreby energie, zmeny správania spotrebiteľov, technologický pokrok a zmeny spôsobené inými opatreniami vykonávanými na vnútroštátnej úrovni a na úrovni EÚ;</w:t>
      </w:r>
    </w:p>
    <w:p>
      <w:pPr>
        <w:pStyle w:val="Point2"/>
        <w:rPr>
          <w:noProof/>
        </w:rPr>
      </w:pPr>
      <w:r>
        <w:rPr>
          <w:noProof/>
        </w:rPr>
        <w:t>b)</w:t>
      </w:r>
      <w:r>
        <w:rPr>
          <w:noProof/>
        </w:rPr>
        <w:tab/>
        <w:t>úspory vyplývajúce z uplatňovania záväznej legislatívy Únie sa považujú za úspory, ktoré by sa dosiahli v každom prípade aj bez príslušnej činnosti povinných, zúčastňujúcich sa alebo poverených subjektov a/alebo vykonávajúcich orgánov, takže ich nemožno nárokovať v rámci článku 7 ods. 1, s výnimkou úspor súvisiacich s obnovou existujúcich budov za predpokladu splnenia kritéria kauzality v zmysle časti 3 písm. h);</w:t>
      </w:r>
    </w:p>
    <w:p>
      <w:pPr>
        <w:pStyle w:val="Point2"/>
        <w:ind w:hanging="544"/>
        <w:rPr>
          <w:noProof/>
        </w:rPr>
      </w:pPr>
      <w:r>
        <w:rPr>
          <w:noProof/>
        </w:rPr>
        <w:t>c)</w:t>
      </w:r>
      <w:r>
        <w:rPr>
          <w:noProof/>
        </w:rPr>
        <w:tab/>
        <w:t>uznávať sa môžu len úspory, ktoré prekračujú tieto úrovne:</w:t>
      </w:r>
    </w:p>
    <w:p>
      <w:pPr>
        <w:pStyle w:val="Point3"/>
        <w:rPr>
          <w:noProof/>
        </w:rPr>
      </w:pPr>
      <w:r>
        <w:rPr>
          <w:noProof/>
        </w:rPr>
        <w:t>i)</w:t>
      </w:r>
      <w:r>
        <w:rPr>
          <w:noProof/>
        </w:rPr>
        <w:tab/>
        <w:t>výkonové emisné normy Únie pre nové osobné automobily a nové ľahké úžitkové vozidlá v nadväznosti na vykonávanie nariadenia Európskeho parlamentu a Rady (ES) č. 443/2009</w:t>
      </w:r>
      <w:r>
        <w:rPr>
          <w:rStyle w:val="FootnoteReference"/>
          <w:noProof/>
        </w:rPr>
        <w:footnoteReference w:id="2"/>
      </w:r>
      <w:r>
        <w:rPr>
          <w:noProof/>
        </w:rPr>
        <w:t xml:space="preserve"> a nariadenia Európskeho parlamentu a Rady (EÚ) č. 510/2011</w:t>
      </w:r>
      <w:r>
        <w:rPr>
          <w:rStyle w:val="FootnoteReference"/>
          <w:noProof/>
        </w:rPr>
        <w:footnoteReference w:id="3"/>
      </w:r>
      <w:r>
        <w:rPr>
          <w:noProof/>
        </w:rPr>
        <w:t>;</w:t>
      </w:r>
    </w:p>
    <w:p>
      <w:pPr>
        <w:pStyle w:val="Point3"/>
        <w:rPr>
          <w:noProof/>
        </w:rPr>
      </w:pPr>
      <w:r>
        <w:rPr>
          <w:noProof/>
        </w:rPr>
        <w:t>ii)</w:t>
      </w:r>
      <w:r>
        <w:rPr>
          <w:noProof/>
        </w:rPr>
        <w:tab/>
        <w:t xml:space="preserve">požiadavky Únie týkajúce sa odstraňovania určitých energeticky významných výrobkov z trhu v súlade s vykonávaním vykonávacích opatrení podľa smernice 2009/125/ES. </w:t>
      </w:r>
    </w:p>
    <w:p>
      <w:pPr>
        <w:pStyle w:val="Point2"/>
        <w:rPr>
          <w:noProof/>
        </w:rPr>
      </w:pPr>
      <w:r>
        <w:rPr>
          <w:noProof/>
        </w:rPr>
        <w:t>d)</w:t>
      </w:r>
      <w:r>
        <w:rPr>
          <w:noProof/>
        </w:rPr>
        <w:tab/>
        <w:t xml:space="preserve">prípustné sú politiky zamerané na podporu zvýšenia energetickej efektívnosti výrobkov, zariadení, budov a ich prvkov, procesov či trhov; </w:t>
      </w:r>
    </w:p>
    <w:p>
      <w:pPr>
        <w:pStyle w:val="Point2"/>
        <w:rPr>
          <w:noProof/>
        </w:rPr>
      </w:pPr>
      <w:r>
        <w:rPr>
          <w:noProof/>
        </w:rPr>
        <w:t>e)</w:t>
      </w:r>
      <w:r>
        <w:rPr>
          <w:noProof/>
        </w:rPr>
        <w:tab/>
        <w:t>v prípade politík, ktoré urýchľujú zavedenie a využívanie efektívnejších výrobkov a vozidiel, možno nárokovať celé úspory, pokiaľ sa preukáže, že k takémuto využívaniu došlo pred uplynutím priemernej predpokladanej životnosti výrobku alebo vozidla alebo jeho zvyčajného intervalu náhrady, a úspory sa nárokujú len za obdobie do uplynutia priemernej predpokladanej životnosti výrobku alebo vozidla, ktoré sa má nahradiť;</w:t>
      </w:r>
    </w:p>
    <w:p>
      <w:pPr>
        <w:pStyle w:val="Point2"/>
        <w:rPr>
          <w:noProof/>
        </w:rPr>
      </w:pPr>
      <w:r>
        <w:rPr>
          <w:noProof/>
        </w:rPr>
        <w:t>f)</w:t>
      </w:r>
      <w:r>
        <w:rPr>
          <w:noProof/>
        </w:rPr>
        <w:tab/>
        <w:t xml:space="preserve">pri podpore prijímania opatrení energetickej efektívnosti členské štáty zabezpečia, aby sa zachovali štandardy kvality produktov, služieb a </w:t>
      </w:r>
      <w:r>
        <w:rPr>
          <w:noProof/>
        </w:rPr>
        <w:lastRenderedPageBreak/>
        <w:t>zavádzaných opatrení, alebo ak tieto štandardy neexistujú, aby sa zaviedli;</w:t>
      </w:r>
    </w:p>
    <w:p>
      <w:pPr>
        <w:pStyle w:val="Point2"/>
        <w:rPr>
          <w:noProof/>
        </w:rPr>
      </w:pPr>
      <w:r>
        <w:rPr>
          <w:noProof/>
        </w:rPr>
        <w:t>g)</w:t>
      </w:r>
      <w:r>
        <w:rPr>
          <w:noProof/>
        </w:rPr>
        <w:tab/>
        <w:t>s cieľom zohľadniť klimatické odchýlky medzi regiónmi si môžu členské štáty vybrať, či upravia úspory na štandardizovanú hodnotu, alebo prispôsobia rôzne úspory energie v súlade s teplotnými rozdielmi medzi regiónmi;</w:t>
      </w:r>
    </w:p>
    <w:p>
      <w:pPr>
        <w:pStyle w:val="Point2"/>
        <w:rPr>
          <w:noProof/>
        </w:rPr>
      </w:pPr>
      <w:r>
        <w:rPr>
          <w:noProof/>
        </w:rPr>
        <w:t>h)</w:t>
      </w:r>
      <w:r>
        <w:rPr>
          <w:noProof/>
        </w:rPr>
        <w:tab/>
        <w:t>pri výpočte úspor energie sa zohľadní životnosť opatrení. Môže sa tak urobiť vypočítaním úspor, ktoré sa dosiahnu každým individuálnym opatrením od dátumu začatia jeho vykonávania do 31. decembra 2020, resp. do 31. decembra 2030. Ako alternatívu môžu členské štáty prijať inú metódu, pri ktorej sa očakáva dosiahnutie aspoň rovnakého celkového objemu úspor. Pri používaní iných metód členské štáty zabezpečia, aby celkový objem úspor energie vypočítaný s použitím týchto iných metód nepresiahol objem úspor energie, ktoré by boli výsledkom výpočtu, ak by sa počítali úspory z každého individuálneho opatrenia v období od začatia jeho vykonávania do 31. decembra 2020, resp. do 31. decembra 2030. Členské štáty vo svojich integrovaných národných plánoch v oblasti energetiky a klímy v rámci riadenia energetickej únie podrobne opíšu uvedené iné použité metódy a to, aké ustanovenia sa prijali na zaistenie splnenia tejto záväznej požiadavky výpočtu.</w:t>
      </w:r>
    </w:p>
    <w:p>
      <w:pPr>
        <w:pStyle w:val="ManualNumPar1"/>
        <w:ind w:left="1440" w:hanging="600"/>
        <w:rPr>
          <w:noProof/>
        </w:rPr>
      </w:pPr>
      <w:r>
        <w:rPr>
          <w:noProof/>
        </w:rPr>
        <w:t>3.</w:t>
      </w:r>
      <w:r>
        <w:rPr>
          <w:noProof/>
        </w:rPr>
        <w:tab/>
        <w:t>Členské štáty zabezpečia splnenie týchto požiadaviek pre politické opatrenia prijaté podľa článku 7b a článku 20 ods. 6:</w:t>
      </w:r>
    </w:p>
    <w:p>
      <w:pPr>
        <w:pStyle w:val="Point2"/>
        <w:rPr>
          <w:noProof/>
        </w:rPr>
      </w:pPr>
      <w:r>
        <w:rPr>
          <w:noProof/>
        </w:rPr>
        <w:t>a)</w:t>
      </w:r>
      <w:r>
        <w:rPr>
          <w:noProof/>
        </w:rPr>
        <w:tab/>
        <w:t>politické opatrenia a individuálne opatrenia prinášajú overiteľnú úsporu konečnej energie;</w:t>
      </w:r>
    </w:p>
    <w:p>
      <w:pPr>
        <w:pStyle w:val="Point2"/>
        <w:rPr>
          <w:noProof/>
        </w:rPr>
      </w:pPr>
      <w:r>
        <w:rPr>
          <w:noProof/>
        </w:rPr>
        <w:t>b)</w:t>
      </w:r>
      <w:r>
        <w:rPr>
          <w:noProof/>
        </w:rPr>
        <w:tab/>
        <w:t>musí byť jasne vymedzená zodpovednosť každého zúčastňujúceho sa subjektu, povereného subjektu, resp. vykonávajúceho orgánu verejnej moci;</w:t>
      </w:r>
    </w:p>
    <w:p>
      <w:pPr>
        <w:pStyle w:val="Point2"/>
        <w:rPr>
          <w:noProof/>
        </w:rPr>
      </w:pPr>
      <w:r>
        <w:rPr>
          <w:noProof/>
        </w:rPr>
        <w:t>c)</w:t>
      </w:r>
      <w:r>
        <w:rPr>
          <w:noProof/>
        </w:rPr>
        <w:tab/>
        <w:t>úspory energie, ktoré sa dosahujú alebo majú dosiahnuť, sa určia transparentne;</w:t>
      </w:r>
    </w:p>
    <w:p>
      <w:pPr>
        <w:pStyle w:val="Point2"/>
        <w:rPr>
          <w:noProof/>
        </w:rPr>
      </w:pPr>
      <w:r>
        <w:rPr>
          <w:noProof/>
        </w:rPr>
        <w:t>d)</w:t>
      </w:r>
      <w:r>
        <w:rPr>
          <w:noProof/>
        </w:rPr>
        <w:tab/>
        <w:t>objem úspor energie, ktoré vyžaduje politické opatrenie alebo ktoré sa ním majú dosiahnuť, sa vyjadrí buď ako konečná, alebo primárna energetická spotreba pri použití prevodných koeficientov uvedených v prílohe IV;</w:t>
      </w:r>
    </w:p>
    <w:p>
      <w:pPr>
        <w:pStyle w:val="Point2"/>
        <w:rPr>
          <w:noProof/>
        </w:rPr>
      </w:pPr>
      <w:r>
        <w:rPr>
          <w:noProof/>
        </w:rPr>
        <w:t>e)</w:t>
      </w:r>
      <w:r>
        <w:rPr>
          <w:noProof/>
        </w:rPr>
        <w:tab/>
        <w:t>predloží sa a verejne sa sprístupní výročná správa o úsporách energie, ktoré dosiahli poverené subjekty, zúčastňujúce sa subjekty a vykonávajúce orgány, ako aj údaje o trende úspor energie;</w:t>
      </w:r>
    </w:p>
    <w:p>
      <w:pPr>
        <w:pStyle w:val="Point2"/>
        <w:rPr>
          <w:noProof/>
        </w:rPr>
      </w:pPr>
      <w:r>
        <w:rPr>
          <w:noProof/>
        </w:rPr>
        <w:t>f)</w:t>
      </w:r>
      <w:r>
        <w:rPr>
          <w:noProof/>
        </w:rPr>
        <w:tab/>
        <w:t>ak pokrok nie je uspokojivý, monitorovanie výsledkov a prijatie vhodných opatrení;</w:t>
      </w:r>
    </w:p>
    <w:p>
      <w:pPr>
        <w:pStyle w:val="Point2"/>
        <w:rPr>
          <w:noProof/>
        </w:rPr>
      </w:pPr>
      <w:r>
        <w:rPr>
          <w:noProof/>
        </w:rPr>
        <w:t>g)</w:t>
      </w:r>
      <w:r>
        <w:rPr>
          <w:noProof/>
        </w:rPr>
        <w:tab/>
        <w:t>úspory z individuálneho opatrenia si nemôže nárokovať viac ako len jeden subjekt;</w:t>
      </w:r>
    </w:p>
    <w:p>
      <w:pPr>
        <w:pStyle w:val="Point2"/>
        <w:rPr>
          <w:noProof/>
        </w:rPr>
      </w:pPr>
      <w:r>
        <w:rPr>
          <w:noProof/>
        </w:rPr>
        <w:t>h)</w:t>
      </w:r>
      <w:r>
        <w:rPr>
          <w:noProof/>
        </w:rPr>
        <w:tab/>
        <w:t>je preukázané, že k dosiahnutiu nárokovaných úspor viedli práve činnosti zúčastňujúceho sa subjektu, povereného subjektu alebo vykonávajúceho orgánu verejnej moci.</w:t>
      </w:r>
    </w:p>
    <w:p>
      <w:pPr>
        <w:pStyle w:val="Text2"/>
        <w:rPr>
          <w:noProof/>
        </w:rPr>
      </w:pPr>
      <w:r>
        <w:rPr>
          <w:noProof/>
        </w:rPr>
        <w:lastRenderedPageBreak/>
        <w:t>V prípade politických opatrení prijatých podľa článku 7 ods. 2 písm. e) môžu členské štáty použiť metodiku výpočtu stanovenú podľa smernice 2010/31/EÚ, pokiaľ to je v súlade s požiadavkami stanovenými v článku 7 tejto smernice a v tejto prílohe.</w:t>
      </w:r>
    </w:p>
    <w:p>
      <w:pPr>
        <w:pStyle w:val="ManualNumPar1"/>
        <w:ind w:left="1440" w:hanging="610"/>
        <w:rPr>
          <w:noProof/>
        </w:rPr>
      </w:pPr>
      <w:r>
        <w:rPr>
          <w:noProof/>
        </w:rPr>
        <w:t>4.</w:t>
      </w:r>
      <w:r>
        <w:rPr>
          <w:noProof/>
        </w:rPr>
        <w:tab/>
        <w:t>Pri určovaní úspor energie vyplývajúcich z opatrení súvisiacich s daňovou politikou zavedených podľa článku 7b sa uplatňujú tieto zásady:</w:t>
      </w:r>
    </w:p>
    <w:p>
      <w:pPr>
        <w:pStyle w:val="Point2"/>
        <w:rPr>
          <w:noProof/>
        </w:rPr>
      </w:pPr>
      <w:r>
        <w:rPr>
          <w:noProof/>
        </w:rPr>
        <w:t>a)</w:t>
      </w:r>
      <w:r>
        <w:rPr>
          <w:noProof/>
        </w:rPr>
        <w:tab/>
        <w:t>uznajú sa len úspory energie vyplývajúce z daňových opatrení, ktoré prekračujú minimálne úrovne zdaňovania palív požadované smernicou Rady 2003/96/ES</w:t>
      </w:r>
      <w:r>
        <w:rPr>
          <w:rStyle w:val="FootnoteReference"/>
          <w:noProof/>
        </w:rPr>
        <w:footnoteReference w:id="4"/>
      </w:r>
      <w:r>
        <w:rPr>
          <w:noProof/>
        </w:rPr>
        <w:t xml:space="preserve"> alebo smernicou Rady 2006/112/ES</w:t>
      </w:r>
      <w:r>
        <w:rPr>
          <w:rStyle w:val="FootnoteReference"/>
          <w:noProof/>
        </w:rPr>
        <w:footnoteReference w:id="5"/>
      </w:r>
      <w:r>
        <w:rPr>
          <w:noProof/>
        </w:rPr>
        <w:t xml:space="preserve">; </w:t>
      </w:r>
    </w:p>
    <w:p>
      <w:pPr>
        <w:pStyle w:val="Point2"/>
        <w:rPr>
          <w:noProof/>
        </w:rPr>
      </w:pPr>
      <w:r>
        <w:rPr>
          <w:noProof/>
        </w:rPr>
        <w:t>b)</w:t>
      </w:r>
      <w:r>
        <w:rPr>
          <w:noProof/>
        </w:rPr>
        <w:tab/>
        <w:t>cenová pružnosť pre výpočet vplyvu opatrení zdanenia (energie) musí vyjadrovať citlivosť dopytu po energii na zmeny cien a odhaduje sa na základe aktuálnych a reprezentatívnych oficiálnych zdrojov údajov;</w:t>
      </w:r>
    </w:p>
    <w:p>
      <w:pPr>
        <w:pStyle w:val="Point2"/>
        <w:rPr>
          <w:noProof/>
        </w:rPr>
      </w:pPr>
      <w:r>
        <w:rPr>
          <w:noProof/>
        </w:rPr>
        <w:t>c)</w:t>
      </w:r>
      <w:r>
        <w:rPr>
          <w:noProof/>
        </w:rPr>
        <w:tab/>
        <w:t>úspory energie zo sprievodných nástrojov daňovej politiky vrátane daňových stimulov či odvodov do fondu sa vykazujú osobitne.</w:t>
      </w:r>
    </w:p>
    <w:p>
      <w:pPr>
        <w:pStyle w:val="ManualNumPar1"/>
        <w:ind w:left="1440" w:hanging="490"/>
        <w:rPr>
          <w:noProof/>
        </w:rPr>
      </w:pPr>
      <w:r>
        <w:rPr>
          <w:noProof/>
        </w:rPr>
        <w:t>5.</w:t>
      </w:r>
      <w:r>
        <w:rPr>
          <w:noProof/>
        </w:rPr>
        <w:tab/>
        <w:t>Oznámenie metodiky</w:t>
      </w:r>
    </w:p>
    <w:p>
      <w:pPr>
        <w:pStyle w:val="Text2"/>
        <w:rPr>
          <w:noProof/>
        </w:rPr>
      </w:pPr>
      <w:r>
        <w:rPr>
          <w:noProof/>
        </w:rPr>
        <w:t>Členské štáty v súlade s budúcim legislatívnym návrhom nariadenia o riadení energetickej únie oznámia Komisii svoju navrhovanú podrobnú metodiku na realizáciu povinných schém energetickej efektívnosti a alternatívnych opatrení uvedených v článkoch 7a a 7b a v článku 20 ods. 6. S výnimkou prípadu daní toto oznámenie obsahuje podrobnosti o:</w:t>
      </w:r>
    </w:p>
    <w:p>
      <w:pPr>
        <w:pStyle w:val="Point2"/>
        <w:rPr>
          <w:noProof/>
        </w:rPr>
      </w:pPr>
      <w:r>
        <w:rPr>
          <w:noProof/>
        </w:rPr>
        <w:t>a)</w:t>
      </w:r>
      <w:r>
        <w:rPr>
          <w:noProof/>
        </w:rPr>
        <w:tab/>
        <w:t>úrovni požiadavky úspor energie alebo očakávaných úspor, ktoré sa majú dosiahnuť za celé obdobie od 1. januára 2021 do 31. decembra 2030;</w:t>
      </w:r>
    </w:p>
    <w:p>
      <w:pPr>
        <w:pStyle w:val="Point2"/>
        <w:rPr>
          <w:noProof/>
        </w:rPr>
      </w:pPr>
      <w:r>
        <w:rPr>
          <w:noProof/>
        </w:rPr>
        <w:t>b)</w:t>
      </w:r>
      <w:r>
        <w:rPr>
          <w:noProof/>
        </w:rPr>
        <w:tab/>
        <w:t>povinných, zúčastňujúcich sa alebo poverených subjektoch alebo vykonávajúcich orgánoch verejnej moci;</w:t>
      </w:r>
    </w:p>
    <w:p>
      <w:pPr>
        <w:pStyle w:val="Point2"/>
        <w:rPr>
          <w:noProof/>
        </w:rPr>
      </w:pPr>
      <w:r>
        <w:rPr>
          <w:noProof/>
        </w:rPr>
        <w:t>c)</w:t>
      </w:r>
      <w:r>
        <w:rPr>
          <w:noProof/>
        </w:rPr>
        <w:tab/>
        <w:t>cieľových odvetviach;</w:t>
      </w:r>
    </w:p>
    <w:p>
      <w:pPr>
        <w:pStyle w:val="Point2"/>
        <w:rPr>
          <w:noProof/>
        </w:rPr>
      </w:pPr>
      <w:r>
        <w:rPr>
          <w:noProof/>
        </w:rPr>
        <w:t>d)</w:t>
      </w:r>
      <w:r>
        <w:rPr>
          <w:noProof/>
        </w:rPr>
        <w:tab/>
        <w:t>politických opatreniach a individuálnych opatreniach, ktoré sa predpokladajú v politickom opatrení, vrátane predpokladaného celkového kumulatívneho objemu úspor pre každé opatrenie;</w:t>
      </w:r>
    </w:p>
    <w:p>
      <w:pPr>
        <w:pStyle w:val="Point2"/>
        <w:rPr>
          <w:noProof/>
        </w:rPr>
      </w:pPr>
      <w:r>
        <w:rPr>
          <w:noProof/>
        </w:rPr>
        <w:t>e)</w:t>
      </w:r>
      <w:r>
        <w:rPr>
          <w:noProof/>
        </w:rPr>
        <w:tab/>
        <w:t>trvaní obdobia povinnosti pre danú povinnú schému energetickej efektívnosti;</w:t>
      </w:r>
    </w:p>
    <w:p>
      <w:pPr>
        <w:pStyle w:val="Point2"/>
        <w:rPr>
          <w:noProof/>
        </w:rPr>
      </w:pPr>
      <w:r>
        <w:rPr>
          <w:noProof/>
        </w:rPr>
        <w:t>f)</w:t>
      </w:r>
      <w:r>
        <w:rPr>
          <w:noProof/>
        </w:rPr>
        <w:tab/>
        <w:t>opatreniach naplánovaných v politickom opatrení;</w:t>
      </w:r>
    </w:p>
    <w:p>
      <w:pPr>
        <w:pStyle w:val="Point2"/>
        <w:rPr>
          <w:noProof/>
        </w:rPr>
      </w:pPr>
      <w:r>
        <w:rPr>
          <w:noProof/>
        </w:rPr>
        <w:t>g)</w:t>
      </w:r>
      <w:r>
        <w:rPr>
          <w:noProof/>
        </w:rPr>
        <w:tab/>
        <w:t>metodike výpočtu vrátane toho, ako sa určil dodatočný charakter a kauzalita a ktoré metodiky a referenčné hodnoty sa používajú pre predpokladané a pomerné úspory;</w:t>
      </w:r>
    </w:p>
    <w:p>
      <w:pPr>
        <w:pStyle w:val="Point2"/>
        <w:rPr>
          <w:noProof/>
        </w:rPr>
      </w:pPr>
      <w:r>
        <w:rPr>
          <w:noProof/>
        </w:rPr>
        <w:t>h)</w:t>
      </w:r>
      <w:r>
        <w:rPr>
          <w:noProof/>
        </w:rPr>
        <w:tab/>
        <w:t>životnosti opatrení a toho, ako sa počíta alebo z čoho vychádza;</w:t>
      </w:r>
    </w:p>
    <w:p>
      <w:pPr>
        <w:pStyle w:val="Point2"/>
        <w:rPr>
          <w:noProof/>
        </w:rPr>
      </w:pPr>
      <w:r>
        <w:rPr>
          <w:noProof/>
        </w:rPr>
        <w:t>i)</w:t>
      </w:r>
      <w:r>
        <w:rPr>
          <w:noProof/>
        </w:rPr>
        <w:tab/>
        <w:t>prístupe riešenia klimatických odchýlok v danom členskom štáte;</w:t>
      </w:r>
    </w:p>
    <w:p>
      <w:pPr>
        <w:pStyle w:val="Point2"/>
        <w:rPr>
          <w:noProof/>
        </w:rPr>
      </w:pPr>
      <w:r>
        <w:rPr>
          <w:noProof/>
        </w:rPr>
        <w:lastRenderedPageBreak/>
        <w:t>j)</w:t>
      </w:r>
      <w:r>
        <w:rPr>
          <w:noProof/>
        </w:rPr>
        <w:tab/>
        <w:t>systémoch monitorovania a overovania pre opatrenia podľa článkov 7a a 7b a spôsobe zaistenia ich nezávislosti od povinných, zúčastňujúcich sa alebo poverených subjektov;</w:t>
      </w:r>
    </w:p>
    <w:p>
      <w:pPr>
        <w:pStyle w:val="Point2"/>
        <w:rPr>
          <w:noProof/>
        </w:rPr>
      </w:pPr>
      <w:r>
        <w:rPr>
          <w:noProof/>
        </w:rPr>
        <w:t>k)</w:t>
      </w:r>
      <w:r>
        <w:rPr>
          <w:noProof/>
        </w:rPr>
        <w:tab/>
        <w:t>v prípade daní toto oznámenie obsahuje podrobnosti o:</w:t>
      </w:r>
    </w:p>
    <w:p>
      <w:pPr>
        <w:pStyle w:val="Point3"/>
        <w:rPr>
          <w:noProof/>
        </w:rPr>
      </w:pPr>
      <w:r>
        <w:rPr>
          <w:noProof/>
        </w:rPr>
        <w:t>i)</w:t>
      </w:r>
      <w:r>
        <w:rPr>
          <w:noProof/>
        </w:rPr>
        <w:tab/>
        <w:t>cieľových odvetviach a segmente daňovníkov;</w:t>
      </w:r>
    </w:p>
    <w:p>
      <w:pPr>
        <w:pStyle w:val="Point3"/>
        <w:rPr>
          <w:noProof/>
        </w:rPr>
      </w:pPr>
      <w:r>
        <w:rPr>
          <w:noProof/>
        </w:rPr>
        <w:t>ii)</w:t>
      </w:r>
      <w:r>
        <w:rPr>
          <w:noProof/>
        </w:rPr>
        <w:tab/>
        <w:t>vykonávajúcom orgáne verejnej moci;</w:t>
      </w:r>
    </w:p>
    <w:p>
      <w:pPr>
        <w:pStyle w:val="Point3"/>
        <w:rPr>
          <w:noProof/>
        </w:rPr>
      </w:pPr>
      <w:r>
        <w:rPr>
          <w:noProof/>
        </w:rPr>
        <w:t>iii)</w:t>
      </w:r>
      <w:r>
        <w:rPr>
          <w:noProof/>
        </w:rPr>
        <w:tab/>
        <w:t>očakávaných úsporách, ktoré sa majú dosiahnuť;</w:t>
      </w:r>
    </w:p>
    <w:p>
      <w:pPr>
        <w:pStyle w:val="Point3"/>
        <w:rPr>
          <w:noProof/>
        </w:rPr>
      </w:pPr>
      <w:r>
        <w:rPr>
          <w:noProof/>
        </w:rPr>
        <w:t>iv)</w:t>
      </w:r>
      <w:r>
        <w:rPr>
          <w:noProof/>
        </w:rPr>
        <w:tab/>
        <w:t>trvaní daňového opatrenia a</w:t>
      </w:r>
    </w:p>
    <w:p>
      <w:pPr>
        <w:pStyle w:val="Point3"/>
        <w:rPr>
          <w:noProof/>
        </w:rPr>
      </w:pPr>
      <w:r>
        <w:rPr>
          <w:noProof/>
        </w:rPr>
        <w:t>v)</w:t>
      </w:r>
      <w:r>
        <w:rPr>
          <w:noProof/>
        </w:rPr>
        <w:tab/>
        <w:t>metodike výpočtu vrátane toho, aké cenové pružnosti sa používajú a ako sa určili.“</w:t>
      </w:r>
    </w:p>
    <w:p>
      <w:pPr>
        <w:pStyle w:val="ManualNumPar1"/>
        <w:rPr>
          <w:noProof/>
        </w:rPr>
      </w:pPr>
      <w:r>
        <w:rPr>
          <w:noProof/>
        </w:rPr>
        <w:t>2.</w:t>
      </w:r>
      <w:r>
        <w:rPr>
          <w:noProof/>
        </w:rPr>
        <w:tab/>
        <w:t>Príloha VII sa mení takto:</w:t>
      </w:r>
    </w:p>
    <w:p>
      <w:pPr>
        <w:pStyle w:val="Point1"/>
        <w:rPr>
          <w:noProof/>
        </w:rPr>
      </w:pPr>
      <w:r>
        <w:rPr>
          <w:noProof/>
        </w:rPr>
        <w:t>a)</w:t>
      </w:r>
      <w:r>
        <w:rPr>
          <w:noProof/>
        </w:rPr>
        <w:tab/>
        <w:t>Nadpis sa nahrádza takto:</w:t>
      </w:r>
    </w:p>
    <w:p>
      <w:pPr>
        <w:pStyle w:val="Point1"/>
        <w:ind w:left="960" w:hanging="110"/>
        <w:rPr>
          <w:noProof/>
        </w:rPr>
      </w:pPr>
      <w:r>
        <w:rPr>
          <w:noProof/>
        </w:rPr>
        <w:t>„Minimálne požiadavky na vyúčtovanie a informácie o vyúčtovaní na základe skutočnej spotreby plynu“;</w:t>
      </w:r>
    </w:p>
    <w:p>
      <w:pPr>
        <w:pStyle w:val="Point1"/>
        <w:rPr>
          <w:noProof/>
        </w:rPr>
      </w:pPr>
      <w:r>
        <w:rPr>
          <w:noProof/>
        </w:rPr>
        <w:t>b)</w:t>
      </w:r>
      <w:r>
        <w:rPr>
          <w:noProof/>
        </w:rPr>
        <w:tab/>
        <w:t>Dopĺňa sa táto príloha VIIa:</w:t>
      </w:r>
    </w:p>
    <w:p>
      <w:pPr>
        <w:pStyle w:val="Text1"/>
        <w:jc w:val="center"/>
        <w:rPr>
          <w:i/>
          <w:noProof/>
        </w:rPr>
      </w:pPr>
      <w:r>
        <w:rPr>
          <w:noProof/>
        </w:rPr>
        <w:t>„</w:t>
      </w:r>
      <w:r>
        <w:rPr>
          <w:i/>
          <w:noProof/>
        </w:rPr>
        <w:t>Príloha VIIa</w:t>
      </w:r>
    </w:p>
    <w:p>
      <w:pPr>
        <w:pStyle w:val="Text1"/>
        <w:jc w:val="center"/>
        <w:rPr>
          <w:b/>
          <w:noProof/>
        </w:rPr>
      </w:pPr>
      <w:r>
        <w:rPr>
          <w:b/>
          <w:noProof/>
        </w:rPr>
        <w:t>Minimálne požiadavky na informácie o vyúčtovaní a spotrebe na základe skutočnej spotreby tepla, chladenia a teplej vody</w:t>
      </w:r>
    </w:p>
    <w:p>
      <w:pPr>
        <w:pStyle w:val="ManualNumPar1"/>
        <w:ind w:left="1440" w:hanging="610"/>
        <w:rPr>
          <w:noProof/>
        </w:rPr>
      </w:pPr>
      <w:r>
        <w:rPr>
          <w:noProof/>
        </w:rPr>
        <w:t>1.</w:t>
      </w:r>
      <w:r>
        <w:rPr>
          <w:noProof/>
        </w:rPr>
        <w:tab/>
        <w:t>Vyúčtovanie na základe skutočnej spotreby</w:t>
      </w:r>
    </w:p>
    <w:p>
      <w:pPr>
        <w:pStyle w:val="Text2"/>
        <w:rPr>
          <w:noProof/>
        </w:rPr>
      </w:pPr>
      <w:r>
        <w:rPr>
          <w:noProof/>
        </w:rPr>
        <w:t>Aby koneční používatelia mohli regulovať svoju spotrebu energie, musí sa vyúčtovanie vykonávať na základe skutočnej spotreby najmenej raz za rok.</w:t>
      </w:r>
    </w:p>
    <w:p>
      <w:pPr>
        <w:pStyle w:val="ManualNumPar1"/>
        <w:ind w:left="1440" w:hanging="610"/>
        <w:rPr>
          <w:noProof/>
        </w:rPr>
      </w:pPr>
      <w:r>
        <w:rPr>
          <w:noProof/>
        </w:rPr>
        <w:t>2.</w:t>
      </w:r>
      <w:r>
        <w:rPr>
          <w:noProof/>
        </w:rPr>
        <w:tab/>
        <w:t>Minimálna frekvencia informácií o vyúčtovaní alebo spotrebe</w:t>
      </w:r>
    </w:p>
    <w:p>
      <w:pPr>
        <w:pStyle w:val="Text2"/>
        <w:rPr>
          <w:noProof/>
        </w:rPr>
      </w:pPr>
      <w:r>
        <w:rPr>
          <w:noProof/>
        </w:rPr>
        <w:t>Od [</w:t>
      </w:r>
      <w:r>
        <w:rPr>
          <w:noProof/>
          <w:color w:val="FF0000"/>
        </w:rPr>
        <w:t>sem doplniť …. dátum nadobudnutia účinnosti</w:t>
      </w:r>
      <w:r>
        <w:rPr>
          <w:noProof/>
        </w:rPr>
        <w:t>] tam, kde sú nainštalované meradlá alebo pomerové rozdeľovače nákladov s diaľkovým odpočtom, musia sa informácie o vyúčtovaní alebo spotrebe na základe skutočnej spotreby sprístupňovať najmenej štvrťročne na vyžiadanie, alebo ak sa koncoví odberatelia rozhodli pre elektronické vyúčtovanie, a inak dvakrát ročne.</w:t>
      </w:r>
    </w:p>
    <w:p>
      <w:pPr>
        <w:pStyle w:val="Text2"/>
        <w:rPr>
          <w:noProof/>
        </w:rPr>
      </w:pPr>
      <w:r>
        <w:rPr>
          <w:noProof/>
        </w:rPr>
        <w:t>Od 1. januára 2022 tam, kde sú nainštalované meradlá alebo pomerové rozdeľovače nákladov s diaľkovým odpočtom, sa informácie o vyúčtovaní alebo spotrebe sprístupnia aspoň s mesačnou frekvenciou. Vykurovanie a chladenie možno mimo obdobia vykurovania/chladenia z tejto povinnosti vylúčiť.</w:t>
      </w:r>
    </w:p>
    <w:p>
      <w:pPr>
        <w:pStyle w:val="ManualNumPar1"/>
        <w:ind w:left="1440" w:hanging="610"/>
        <w:rPr>
          <w:noProof/>
        </w:rPr>
      </w:pPr>
      <w:r>
        <w:rPr>
          <w:noProof/>
        </w:rPr>
        <w:t>3.</w:t>
      </w:r>
      <w:r>
        <w:rPr>
          <w:noProof/>
        </w:rPr>
        <w:tab/>
        <w:t>Minimálne informácie uvedené vo vyúčtovaní na základe skutočnej spotreby</w:t>
      </w:r>
    </w:p>
    <w:p>
      <w:pPr>
        <w:pStyle w:val="Text2"/>
        <w:rPr>
          <w:noProof/>
        </w:rPr>
      </w:pPr>
      <w:r>
        <w:rPr>
          <w:noProof/>
        </w:rPr>
        <w:t>Členské štáty zabezpečia, aby sa konečným používateľom v rámci vyúčtovania alebo spolu s ním jasne a zrozumiteľne sprístupnili tieto informácie:</w:t>
      </w:r>
    </w:p>
    <w:p>
      <w:pPr>
        <w:pStyle w:val="Point2"/>
        <w:rPr>
          <w:noProof/>
        </w:rPr>
      </w:pPr>
      <w:r>
        <w:rPr>
          <w:noProof/>
        </w:rPr>
        <w:t>a)</w:t>
      </w:r>
      <w:r>
        <w:rPr>
          <w:noProof/>
        </w:rPr>
        <w:tab/>
        <w:t>skutočné súčasné ceny a skutočná spotreba energie;</w:t>
      </w:r>
    </w:p>
    <w:p>
      <w:pPr>
        <w:pStyle w:val="Point2"/>
        <w:rPr>
          <w:noProof/>
        </w:rPr>
      </w:pPr>
      <w:r>
        <w:rPr>
          <w:noProof/>
        </w:rPr>
        <w:t>b)</w:t>
      </w:r>
      <w:r>
        <w:rPr>
          <w:noProof/>
        </w:rPr>
        <w:tab/>
        <w:t>informácie o použitom palivovom mixe, a to aj za konečných používateľov napojených na centralizované zásobovanie teplom alebo chladom;</w:t>
      </w:r>
    </w:p>
    <w:p>
      <w:pPr>
        <w:pStyle w:val="Point2"/>
        <w:rPr>
          <w:noProof/>
        </w:rPr>
      </w:pPr>
      <w:r>
        <w:rPr>
          <w:noProof/>
        </w:rPr>
        <w:lastRenderedPageBreak/>
        <w:t>c)</w:t>
      </w:r>
      <w:r>
        <w:rPr>
          <w:noProof/>
        </w:rPr>
        <w:tab/>
        <w:t>grafické porovnanie aktuálnej spotreby energie konečných používateľov so spotrebou za rovnaké obdobie v predchádzajúcom roku, pri vykurovaní a chladení, očistené o klimatický korekčný faktor;</w:t>
      </w:r>
    </w:p>
    <w:p>
      <w:pPr>
        <w:pStyle w:val="Point2"/>
        <w:rPr>
          <w:noProof/>
        </w:rPr>
      </w:pPr>
      <w:r>
        <w:rPr>
          <w:noProof/>
        </w:rPr>
        <w:t>d)</w:t>
      </w:r>
      <w:r>
        <w:rPr>
          <w:noProof/>
        </w:rPr>
        <w:tab/>
        <w:t>kontaktné informácie o organizáciách koncových odberateľov, energetických agentúrach alebo podobných orgánoch vrátane adries webových stránok, na ktorých je možné získať informácie o dostupných opatreniach na zlepšenie energetickej efektívnosti, porovnateľné profily koncových spotrebiteľov a objektívne technické špecifikácie pre zariadenia využívajúce energiu.</w:t>
      </w:r>
    </w:p>
    <w:p>
      <w:pPr>
        <w:pStyle w:val="Text2"/>
        <w:rPr>
          <w:noProof/>
        </w:rPr>
      </w:pPr>
      <w:r>
        <w:rPr>
          <w:noProof/>
        </w:rPr>
        <w:t>Okrem toho členské štáty zabezpečia, aby sa konečnému používateľovi v rámci vyúčtovania, spolu s ním alebo odkazom vo vyúčtovaní sprístupnili jasné a zrozumiteľné porovnania s priemerným normalizovaným alebo referenčným konečným používateľom v rovnakej kategórii používateľov.“</w:t>
      </w:r>
    </w:p>
    <w:sectPr>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Nariadenie Európskeho parlamentu a Rady (ES) č. 443/2009 z 23. apríla 2009, ktorým sa stanovujú výkonové emisné normy nových osobných automobilov ako súčasť integrovaného prístupu Spoločenstva na zníženie emisií CO</w:t>
      </w:r>
      <w:r>
        <w:rPr>
          <w:vertAlign w:val="subscript"/>
        </w:rPr>
        <w:t>2</w:t>
      </w:r>
      <w:r>
        <w:t xml:space="preserve"> z ľahkých úžitkových vozidiel (Ú. v. EÚ L 140, 5.6.2009, s. 1).</w:t>
      </w:r>
    </w:p>
  </w:footnote>
  <w:footnote w:id="3">
    <w:p>
      <w:pPr>
        <w:pStyle w:val="FootnoteText"/>
      </w:pPr>
      <w:r>
        <w:rPr>
          <w:rStyle w:val="FootnoteReference"/>
        </w:rPr>
        <w:footnoteRef/>
      </w:r>
      <w:r>
        <w:tab/>
        <w:t>Nariadenie Európskeho parlamentu a Rady (EÚ) č. 510/2011 z 11. mája 2011, ktorým sa stanovujú emisné normy pre nové ľahké úžitkové vozidlá ako súčasť integrovaného prístupu Únie na zníženie emisií CO</w:t>
      </w:r>
      <w:r>
        <w:rPr>
          <w:vertAlign w:val="subscript"/>
        </w:rPr>
        <w:t>2</w:t>
      </w:r>
      <w:r>
        <w:t xml:space="preserve"> z ľahkých vozidiel (Ú. v. EÚ L 145, 31.5.2011, s. 1).</w:t>
      </w:r>
    </w:p>
  </w:footnote>
  <w:footnote w:id="4">
    <w:p>
      <w:pPr>
        <w:pStyle w:val="FootnoteText"/>
      </w:pPr>
      <w:r>
        <w:rPr>
          <w:rStyle w:val="FootnoteReference"/>
        </w:rPr>
        <w:footnoteRef/>
      </w:r>
      <w:r>
        <w:tab/>
        <w:t>Smernica Rady 2003/96/ES z 27. októbra 2003 o reštrukturalizácii právneho rámca Spoločenstva pre zdaňovanie energetických výrobkov a elektriny (Ú. v. EÚ L 283, 31.10.2003, s. 51).</w:t>
      </w:r>
    </w:p>
  </w:footnote>
  <w:footnote w:id="5">
    <w:p>
      <w:pPr>
        <w:pStyle w:val="FootnoteText"/>
      </w:pPr>
      <w:r>
        <w:rPr>
          <w:rStyle w:val="FootnoteReference"/>
        </w:rPr>
        <w:footnoteRef/>
      </w:r>
      <w:r>
        <w:tab/>
        <w:t>Smernica Rady 2006/112/ES z 28. novembra 2006 o spoločnom systéme dane z pridanej hodnoty (Ú. v. EÚ L 347, 11.12.2006,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DC1F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BE21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4BE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5C7A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289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76D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44B550"/>
    <w:lvl w:ilvl="0">
      <w:start w:val="1"/>
      <w:numFmt w:val="decimal"/>
      <w:pStyle w:val="ListNumber"/>
      <w:lvlText w:val="%1."/>
      <w:lvlJc w:val="left"/>
      <w:pPr>
        <w:tabs>
          <w:tab w:val="num" w:pos="360"/>
        </w:tabs>
        <w:ind w:left="360" w:hanging="360"/>
      </w:pPr>
    </w:lvl>
  </w:abstractNum>
  <w:abstractNum w:abstractNumId="7">
    <w:nsid w:val="FFFFFF89"/>
    <w:multiLevelType w:val="singleLevel"/>
    <w:tmpl w:val="3600F1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9"/>
  </w:num>
  <w:num w:numId="12">
    <w:abstractNumId w:val="13"/>
  </w:num>
  <w:num w:numId="13">
    <w:abstractNumId w:val="21"/>
  </w:num>
  <w:num w:numId="14">
    <w:abstractNumId w:val="12"/>
  </w:num>
  <w:num w:numId="15">
    <w:abstractNumId w:val="14"/>
  </w:num>
  <w:num w:numId="16">
    <w:abstractNumId w:val="10"/>
  </w:num>
  <w:num w:numId="17">
    <w:abstractNumId w:val="20"/>
  </w:num>
  <w:num w:numId="18">
    <w:abstractNumId w:val="9"/>
  </w:num>
  <w:num w:numId="19">
    <w:abstractNumId w:val="15"/>
  </w:num>
  <w:num w:numId="20">
    <w:abstractNumId w:val="17"/>
  </w:num>
  <w:num w:numId="21">
    <w:abstractNumId w:val="18"/>
  </w:num>
  <w:num w:numId="22">
    <w:abstractNumId w:val="11"/>
  </w:num>
  <w:num w:numId="23">
    <w:abstractNumId w:val="1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6:21: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CP" w:val="k"/>
    <w:docVar w:name="LW_ANNEX_NBR_FIRST" w:val="1"/>
    <w:docVar w:name="LW_ANNEX_NBR_LAST" w:val="1"/>
    <w:docVar w:name="LW_CONFIDENCE" w:val=" "/>
    <w:docVar w:name="LW_CONST_RESTREINT_UE" w:val="RESTREINT UE"/>
    <w:docVar w:name="LW_CORRIGENDUM" w:val="&lt;UNUSED&gt;"/>
    <w:docVar w:name="LW_COVERPAGE_GUID" w:val="8BD61C2A5D394C33B2E8797BD3EFE6C7"/>
    <w:docVar w:name="LW_CROSSREFERENCE" w:val="{SWD(2016) 399 final}_x000b_{SWD(2016) 401 final}_x000b_{SWD(2016) 402 final}_x000b_{SWD(2016) 403 final}_x000b_{SWD(2016) 404 final}_x000b_{SWD(2016) 405 final}_x000b_{SWD(2016) 406 final}"/>
    <w:docVar w:name="LW_DocType" w:val="ANNEX"/>
    <w:docVar w:name="LW_EMISSION" w:val="30. 11. 2016"/>
    <w:docVar w:name="LW_EMISSION_ISODATE" w:val="2016-11-30"/>
    <w:docVar w:name="LW_EMISSION_LOCATION" w:val="BRX"/>
    <w:docVar w:name="LW_EMISSION_PREFIX" w:val="V Bruseli"/>
    <w:docVar w:name="LW_EMISSION_SUFFIX" w:val=" "/>
    <w:docVar w:name="LW_ID_DOCSTRUCTURE" w:val="COM/ANNEX"/>
    <w:docVar w:name="LW_ID_DOCTYPE" w:val="SG-017"/>
    <w:docVar w:name="LW_LANGUE" w:val="SK"/>
    <w:docVar w:name="LW_MARKING" w:val="&lt;UNUSED&gt;"/>
    <w:docVar w:name="LW_NOM.INST" w:val="EURÓPSKA KOMISIA"/>
    <w:docVar w:name="LW_NOM.INST_JOINTDOC" w:val="&lt;EMPTY&gt;"/>
    <w:docVar w:name="LW_OBJETACTEPRINCIPAL.CP" w:val="návrhu_x000b__x000b_SMERNICE EURÓPSKEHO PARLAMENTU A RADY,_x000b__x000b_ktorou sa mení smernica 2012/27/EÚ o energetickej efektívnosti_x000b_"/>
    <w:docVar w:name="LW_PART_NBR" w:val="1"/>
    <w:docVar w:name="LW_PART_NBR_TOTAL" w:val="1"/>
    <w:docVar w:name="LW_REF.INST.NEW" w:val="COM"/>
    <w:docVar w:name="LW_REF.INST.NEW_ADOPTED" w:val="final"/>
    <w:docVar w:name="LW_REF.INST.NEW_TEXT" w:val="(2016) 761"/>
    <w:docVar w:name="LW_REF.INTERNE" w:val="&lt;UNUSED&gt;"/>
    <w:docVar w:name="LW_SUPERTITRE" w:val="&lt;UNUSED&gt;"/>
    <w:docVar w:name="LW_TITRE.OBJ.CP" w:val="&lt;UNUSED&gt;"/>
    <w:docVar w:name="LW_TYPE.DOC.CP" w:val="PRÍLOHA"/>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spacing w:before="240" w:after="60"/>
      <w:outlineLvl w:val="6"/>
    </w:pPr>
    <w:rPr>
      <w:rFonts w:ascii="Arial" w:hAnsi="Arial"/>
      <w:sz w:val="20"/>
      <w:szCs w:val="20"/>
    </w:rPr>
  </w:style>
  <w:style w:type="paragraph" w:styleId="Heading8">
    <w:name w:val="heading 8"/>
    <w:basedOn w:val="Normal"/>
    <w:next w:val="Normal"/>
    <w:link w:val="Heading8Char"/>
    <w:qFormat/>
    <w:pPr>
      <w:spacing w:before="240" w:after="60"/>
      <w:outlineLvl w:val="7"/>
    </w:pPr>
    <w:rPr>
      <w:rFonts w:ascii="Arial" w:hAnsi="Arial"/>
      <w:i/>
      <w:sz w:val="20"/>
      <w:szCs w:val="20"/>
    </w:rPr>
  </w:style>
  <w:style w:type="paragraph" w:styleId="Heading9">
    <w:name w:val="heading 9"/>
    <w:basedOn w:val="Normal"/>
    <w:next w:val="Normal"/>
    <w:link w:val="Heading9Char"/>
    <w:qFormat/>
    <w:pPr>
      <w:spacing w:before="240" w:after="6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customStyle="1" w:styleId="Text1Char">
    <w:name w:val="Text 1 Char"/>
    <w:basedOn w:val="DefaultParagraphFont"/>
    <w:rPr>
      <w:rFonts w:ascii="Times New Roman" w:hAnsi="Times New Roman" w:cs="Times New Roman"/>
      <w:sz w:val="24"/>
      <w:lang w:val="sk-SK"/>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lang w:val="sk-SK"/>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lang w:val="sk-SK"/>
    </w:rPr>
  </w:style>
  <w:style w:type="character" w:customStyle="1" w:styleId="Heading7Char">
    <w:name w:val="Heading 7 Char"/>
    <w:basedOn w:val="DefaultParagraphFont"/>
    <w:link w:val="Heading7"/>
    <w:rPr>
      <w:rFonts w:ascii="Arial" w:hAnsi="Arial" w:cs="Times New Roman"/>
      <w:sz w:val="20"/>
      <w:szCs w:val="20"/>
      <w:lang w:val="sk-SK"/>
    </w:rPr>
  </w:style>
  <w:style w:type="character" w:customStyle="1" w:styleId="Heading8Char">
    <w:name w:val="Heading 8 Char"/>
    <w:basedOn w:val="DefaultParagraphFont"/>
    <w:link w:val="Heading8"/>
    <w:rPr>
      <w:rFonts w:ascii="Arial" w:hAnsi="Arial" w:cs="Times New Roman"/>
      <w:i/>
      <w:sz w:val="20"/>
      <w:szCs w:val="20"/>
      <w:lang w:val="sk-SK"/>
    </w:rPr>
  </w:style>
  <w:style w:type="character" w:customStyle="1" w:styleId="Heading9Char">
    <w:name w:val="Heading 9 Char"/>
    <w:basedOn w:val="DefaultParagraphFont"/>
    <w:link w:val="Heading9"/>
    <w:rPr>
      <w:rFonts w:ascii="Arial" w:hAnsi="Arial" w:cs="Arial"/>
      <w:i/>
      <w:sz w:val="18"/>
      <w:szCs w:val="20"/>
      <w:lang w:val="sk-SK"/>
    </w:rPr>
  </w:style>
  <w:style w:type="paragraph" w:customStyle="1" w:styleId="HeadingIIIA">
    <w:name w:val="Heading II IA"/>
    <w:basedOn w:val="Normal"/>
    <w:link w:val="HeadingIIIAChar"/>
    <w:autoRedefine/>
    <w:pPr>
      <w:autoSpaceDE w:val="0"/>
      <w:autoSpaceDN w:val="0"/>
      <w:adjustRightInd w:val="0"/>
      <w:ind w:left="720" w:hanging="360"/>
    </w:pPr>
    <w:rPr>
      <w:b/>
      <w:bCs/>
      <w:color w:val="000000"/>
    </w:rPr>
  </w:style>
  <w:style w:type="character" w:customStyle="1" w:styleId="HeadingIIIAChar">
    <w:name w:val="Heading II IA Char"/>
    <w:basedOn w:val="DefaultParagraphFont"/>
    <w:link w:val="HeadingIIIA"/>
    <w:rPr>
      <w:rFonts w:ascii="Times New Roman" w:hAnsi="Times New Roman" w:cs="Times New Roman"/>
      <w:b/>
      <w:bCs/>
      <w:color w:val="000000"/>
      <w:sz w:val="24"/>
      <w:lang w:val="sk-SK"/>
    </w:rPr>
  </w:style>
  <w:style w:type="paragraph" w:customStyle="1" w:styleId="Style1">
    <w:name w:val="Style1"/>
    <w:basedOn w:val="Heading1"/>
    <w:link w:val="Style1Char"/>
    <w:pPr>
      <w:numPr>
        <w:numId w:val="0"/>
      </w:numPr>
      <w:autoSpaceDE w:val="0"/>
      <w:autoSpaceDN w:val="0"/>
      <w:adjustRightInd w:val="0"/>
      <w:spacing w:before="120"/>
      <w:ind w:left="1080" w:hanging="360"/>
    </w:pPr>
    <w:rPr>
      <w:rFonts w:ascii="Cambria" w:eastAsia="Times New Roman" w:hAnsi="Cambria"/>
      <w:b w:val="0"/>
      <w:bCs w:val="0"/>
      <w:smallCaps w:val="0"/>
      <w:kern w:val="32"/>
      <w:sz w:val="28"/>
      <w:szCs w:val="23"/>
    </w:rPr>
  </w:style>
  <w:style w:type="character" w:customStyle="1" w:styleId="Style1Char">
    <w:name w:val="Style1 Char"/>
    <w:basedOn w:val="ListParagraphChar"/>
    <w:link w:val="Style1"/>
    <w:rPr>
      <w:rFonts w:ascii="Cambria" w:eastAsia="Times New Roman" w:hAnsi="Cambria" w:cs="Times New Roman"/>
      <w:kern w:val="32"/>
      <w:sz w:val="28"/>
      <w:szCs w:val="23"/>
      <w:lang w:val="sk-SK"/>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rFonts w:ascii="Times New Roman" w:hAnsi="Times New Roman" w:cs="Times New Roman"/>
      <w:b/>
      <w:bCs/>
      <w:color w:val="4F81BD" w:themeColor="accent1"/>
      <w:sz w:val="18"/>
      <w:szCs w:val="18"/>
      <w:lang w:val="sk-SK"/>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99"/>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rPr>
      <w:rFonts w:ascii="Times New Roman" w:hAnsi="Times New Roman" w:cs="Times New Roman"/>
      <w:sz w:val="24"/>
      <w:lang w:val="sk-SK"/>
    </w:rPr>
  </w:style>
  <w:style w:type="paragraph" w:customStyle="1" w:styleId="Style3heading3">
    <w:name w:val="Style3_heading 3"/>
    <w:basedOn w:val="Heading3"/>
    <w:link w:val="Style3heading3Char"/>
    <w:qFormat/>
    <w:pPr>
      <w:numPr>
        <w:ilvl w:val="0"/>
        <w:numId w:val="0"/>
      </w:numPr>
      <w:spacing w:before="240" w:after="480"/>
      <w:ind w:left="720" w:hanging="720"/>
      <w:jc w:val="left"/>
    </w:pPr>
    <w:rPr>
      <w:rFonts w:eastAsiaTheme="minorHAnsi"/>
    </w:rPr>
  </w:style>
  <w:style w:type="character" w:customStyle="1" w:styleId="Style3heading3Char">
    <w:name w:val="Style3_heading 3 Char"/>
    <w:basedOn w:val="DefaultParagraphFont"/>
    <w:link w:val="Style3heading3"/>
    <w:locked/>
    <w:rPr>
      <w:rFonts w:ascii="Times New Roman" w:hAnsi="Times New Roman" w:cs="Times New Roman"/>
      <w:bCs/>
      <w:i/>
      <w:sz w:val="24"/>
      <w:lang w:val="sk-SK"/>
    </w:rPr>
  </w:style>
  <w:style w:type="paragraph" w:customStyle="1" w:styleId="Style2Heading2">
    <w:name w:val="Style2_Heading 2"/>
    <w:basedOn w:val="Heading3"/>
    <w:link w:val="Style2Heading2Char"/>
    <w:qFormat/>
    <w:pPr>
      <w:numPr>
        <w:ilvl w:val="0"/>
        <w:numId w:val="0"/>
      </w:numPr>
      <w:spacing w:before="240" w:after="480"/>
      <w:ind w:left="720" w:hanging="720"/>
      <w:jc w:val="left"/>
    </w:pPr>
    <w:rPr>
      <w:b/>
      <w:i w:val="0"/>
    </w:rPr>
  </w:style>
  <w:style w:type="character" w:customStyle="1" w:styleId="Style2Heading2Char">
    <w:name w:val="Style2_Heading 2 Char"/>
    <w:basedOn w:val="Heading3Char"/>
    <w:link w:val="Style2Heading2"/>
    <w:rPr>
      <w:rFonts w:ascii="Times New Roman" w:eastAsiaTheme="majorEastAsia" w:hAnsi="Times New Roman" w:cs="Times New Roman"/>
      <w:b/>
      <w:bCs/>
      <w:i w:val="0"/>
      <w:sz w:val="24"/>
      <w:shd w:val="clear" w:color="auto" w:fill="auto"/>
      <w:lang w:val="sk-SK"/>
    </w:rPr>
  </w:style>
  <w:style w:type="paragraph" w:customStyle="1" w:styleId="Releasable">
    <w:name w:val="Releasable"/>
    <w:basedOn w:val="Normal"/>
    <w:qFormat/>
    <w:pPr>
      <w:spacing w:after="0"/>
      <w:jc w:val="center"/>
    </w:pPr>
    <w:rPr>
      <w:b/>
      <w:caps/>
      <w:sz w:val="32"/>
      <w:szCs w:val="20"/>
    </w:rPr>
  </w:style>
  <w:style w:type="paragraph" w:customStyle="1" w:styleId="Normaldense">
    <w:name w:val="Normal dense"/>
    <w:basedOn w:val="Normal"/>
    <w:link w:val="NormaldenseChar"/>
    <w:qFormat/>
    <w:pPr>
      <w:spacing w:after="180"/>
    </w:pPr>
    <w:rPr>
      <w:rFonts w:asciiTheme="minorHAnsi" w:hAnsiTheme="minorHAnsi" w:cstheme="minorBidi"/>
      <w:sz w:val="20"/>
      <w:szCs w:val="20"/>
    </w:rPr>
  </w:style>
  <w:style w:type="character" w:customStyle="1" w:styleId="NormaldenseChar">
    <w:name w:val="Normal dense Char"/>
    <w:basedOn w:val="DefaultParagraphFont"/>
    <w:link w:val="Normaldense"/>
    <w:rPr>
      <w:sz w:val="20"/>
      <w:szCs w:val="20"/>
      <w:lang w:val="sk-SK" w:eastAsia="sk-SK"/>
    </w:rPr>
  </w:style>
  <w:style w:type="paragraph" w:customStyle="1" w:styleId="ListBulletlast">
    <w:name w:val="List Bullet last"/>
    <w:basedOn w:val="ListBullet"/>
    <w:next w:val="BodyText"/>
    <w:qFormat/>
    <w:pPr>
      <w:numPr>
        <w:numId w:val="10"/>
      </w:numPr>
      <w:tabs>
        <w:tab w:val="left" w:pos="6840"/>
      </w:tabs>
      <w:spacing w:after="240" w:line="280" w:lineRule="exact"/>
      <w:contextualSpacing w:val="0"/>
      <w:jc w:val="left"/>
    </w:pPr>
    <w:rPr>
      <w:rFonts w:ascii="Arial" w:hAnsi="Arial"/>
      <w:snapToGrid w:val="0"/>
      <w:sz w:val="22"/>
      <w:szCs w:val="20"/>
    </w:rPr>
  </w:style>
  <w:style w:type="paragraph" w:styleId="BodyText">
    <w:name w:val="Body Text"/>
    <w:basedOn w:val="Normal"/>
    <w:link w:val="BodyTextChar"/>
    <w:uiPriority w:val="1"/>
    <w:qFormat/>
    <w:pPr>
      <w:widowControl w:val="0"/>
      <w:spacing w:after="0"/>
      <w:jc w:val="left"/>
    </w:pPr>
    <w:rPr>
      <w:sz w:val="22"/>
    </w:rPr>
  </w:style>
  <w:style w:type="character" w:customStyle="1" w:styleId="BodyTextChar">
    <w:name w:val="Body Text Char"/>
    <w:basedOn w:val="DefaultParagraphFont"/>
    <w:link w:val="BodyText"/>
    <w:uiPriority w:val="1"/>
    <w:rPr>
      <w:rFonts w:ascii="Times New Roman" w:hAnsi="Times New Roman" w:cs="Times New Roman"/>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sk-SK"/>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ascii="Times New Roman" w:eastAsiaTheme="majorEastAsia" w:hAnsi="Times New Roman" w:cstheme="majorBidi"/>
      <w:iCs/>
      <w:spacing w:val="15"/>
      <w:sz w:val="20"/>
      <w:lang w:val="sk-SK"/>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ext1Char"/>
    <w:link w:val="FooterCoverPage"/>
    <w:rPr>
      <w:rFonts w:ascii="Times New Roman" w:hAnsi="Times New Roman" w:cs="Times New Roman"/>
      <w:sz w:val="24"/>
      <w:lang w:val="sk-SK"/>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ext1Char"/>
    <w:link w:val="HeaderCoverPage"/>
    <w:rPr>
      <w:rFonts w:ascii="Times New Roman" w:hAnsi="Times New Roman" w:cs="Times New Roman"/>
      <w:sz w:val="24"/>
      <w:lang w:val="sk-S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spacing w:before="240" w:after="60"/>
      <w:outlineLvl w:val="6"/>
    </w:pPr>
    <w:rPr>
      <w:rFonts w:ascii="Arial" w:hAnsi="Arial"/>
      <w:sz w:val="20"/>
      <w:szCs w:val="20"/>
    </w:rPr>
  </w:style>
  <w:style w:type="paragraph" w:styleId="Heading8">
    <w:name w:val="heading 8"/>
    <w:basedOn w:val="Normal"/>
    <w:next w:val="Normal"/>
    <w:link w:val="Heading8Char"/>
    <w:qFormat/>
    <w:pPr>
      <w:spacing w:before="240" w:after="60"/>
      <w:outlineLvl w:val="7"/>
    </w:pPr>
    <w:rPr>
      <w:rFonts w:ascii="Arial" w:hAnsi="Arial"/>
      <w:i/>
      <w:sz w:val="20"/>
      <w:szCs w:val="20"/>
    </w:rPr>
  </w:style>
  <w:style w:type="paragraph" w:styleId="Heading9">
    <w:name w:val="heading 9"/>
    <w:basedOn w:val="Normal"/>
    <w:next w:val="Normal"/>
    <w:link w:val="Heading9Char"/>
    <w:qFormat/>
    <w:pPr>
      <w:spacing w:before="240" w:after="6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customStyle="1" w:styleId="Text1Char">
    <w:name w:val="Text 1 Char"/>
    <w:basedOn w:val="DefaultParagraphFont"/>
    <w:rPr>
      <w:rFonts w:ascii="Times New Roman" w:hAnsi="Times New Roman" w:cs="Times New Roman"/>
      <w:sz w:val="24"/>
      <w:lang w:val="sk-SK"/>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lang w:val="sk-SK"/>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lang w:val="sk-SK"/>
    </w:rPr>
  </w:style>
  <w:style w:type="character" w:customStyle="1" w:styleId="Heading7Char">
    <w:name w:val="Heading 7 Char"/>
    <w:basedOn w:val="DefaultParagraphFont"/>
    <w:link w:val="Heading7"/>
    <w:rPr>
      <w:rFonts w:ascii="Arial" w:hAnsi="Arial" w:cs="Times New Roman"/>
      <w:sz w:val="20"/>
      <w:szCs w:val="20"/>
      <w:lang w:val="sk-SK"/>
    </w:rPr>
  </w:style>
  <w:style w:type="character" w:customStyle="1" w:styleId="Heading8Char">
    <w:name w:val="Heading 8 Char"/>
    <w:basedOn w:val="DefaultParagraphFont"/>
    <w:link w:val="Heading8"/>
    <w:rPr>
      <w:rFonts w:ascii="Arial" w:hAnsi="Arial" w:cs="Times New Roman"/>
      <w:i/>
      <w:sz w:val="20"/>
      <w:szCs w:val="20"/>
      <w:lang w:val="sk-SK"/>
    </w:rPr>
  </w:style>
  <w:style w:type="character" w:customStyle="1" w:styleId="Heading9Char">
    <w:name w:val="Heading 9 Char"/>
    <w:basedOn w:val="DefaultParagraphFont"/>
    <w:link w:val="Heading9"/>
    <w:rPr>
      <w:rFonts w:ascii="Arial" w:hAnsi="Arial" w:cs="Arial"/>
      <w:i/>
      <w:sz w:val="18"/>
      <w:szCs w:val="20"/>
      <w:lang w:val="sk-SK"/>
    </w:rPr>
  </w:style>
  <w:style w:type="paragraph" w:customStyle="1" w:styleId="HeadingIIIA">
    <w:name w:val="Heading II IA"/>
    <w:basedOn w:val="Normal"/>
    <w:link w:val="HeadingIIIAChar"/>
    <w:autoRedefine/>
    <w:pPr>
      <w:autoSpaceDE w:val="0"/>
      <w:autoSpaceDN w:val="0"/>
      <w:adjustRightInd w:val="0"/>
      <w:ind w:left="720" w:hanging="360"/>
    </w:pPr>
    <w:rPr>
      <w:b/>
      <w:bCs/>
      <w:color w:val="000000"/>
    </w:rPr>
  </w:style>
  <w:style w:type="character" w:customStyle="1" w:styleId="HeadingIIIAChar">
    <w:name w:val="Heading II IA Char"/>
    <w:basedOn w:val="DefaultParagraphFont"/>
    <w:link w:val="HeadingIIIA"/>
    <w:rPr>
      <w:rFonts w:ascii="Times New Roman" w:hAnsi="Times New Roman" w:cs="Times New Roman"/>
      <w:b/>
      <w:bCs/>
      <w:color w:val="000000"/>
      <w:sz w:val="24"/>
      <w:lang w:val="sk-SK"/>
    </w:rPr>
  </w:style>
  <w:style w:type="paragraph" w:customStyle="1" w:styleId="Style1">
    <w:name w:val="Style1"/>
    <w:basedOn w:val="Heading1"/>
    <w:link w:val="Style1Char"/>
    <w:pPr>
      <w:numPr>
        <w:numId w:val="0"/>
      </w:numPr>
      <w:autoSpaceDE w:val="0"/>
      <w:autoSpaceDN w:val="0"/>
      <w:adjustRightInd w:val="0"/>
      <w:spacing w:before="120"/>
      <w:ind w:left="1080" w:hanging="360"/>
    </w:pPr>
    <w:rPr>
      <w:rFonts w:ascii="Cambria" w:eastAsia="Times New Roman" w:hAnsi="Cambria"/>
      <w:b w:val="0"/>
      <w:bCs w:val="0"/>
      <w:smallCaps w:val="0"/>
      <w:kern w:val="32"/>
      <w:sz w:val="28"/>
      <w:szCs w:val="23"/>
    </w:rPr>
  </w:style>
  <w:style w:type="character" w:customStyle="1" w:styleId="Style1Char">
    <w:name w:val="Style1 Char"/>
    <w:basedOn w:val="ListParagraphChar"/>
    <w:link w:val="Style1"/>
    <w:rPr>
      <w:rFonts w:ascii="Cambria" w:eastAsia="Times New Roman" w:hAnsi="Cambria" w:cs="Times New Roman"/>
      <w:kern w:val="32"/>
      <w:sz w:val="28"/>
      <w:szCs w:val="23"/>
      <w:lang w:val="sk-SK"/>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rFonts w:ascii="Times New Roman" w:hAnsi="Times New Roman" w:cs="Times New Roman"/>
      <w:b/>
      <w:bCs/>
      <w:color w:val="4F81BD" w:themeColor="accent1"/>
      <w:sz w:val="18"/>
      <w:szCs w:val="18"/>
      <w:lang w:val="sk-SK"/>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99"/>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rPr>
      <w:rFonts w:ascii="Times New Roman" w:hAnsi="Times New Roman" w:cs="Times New Roman"/>
      <w:sz w:val="24"/>
      <w:lang w:val="sk-SK"/>
    </w:rPr>
  </w:style>
  <w:style w:type="paragraph" w:customStyle="1" w:styleId="Style3heading3">
    <w:name w:val="Style3_heading 3"/>
    <w:basedOn w:val="Heading3"/>
    <w:link w:val="Style3heading3Char"/>
    <w:qFormat/>
    <w:pPr>
      <w:numPr>
        <w:ilvl w:val="0"/>
        <w:numId w:val="0"/>
      </w:numPr>
      <w:spacing w:before="240" w:after="480"/>
      <w:ind w:left="720" w:hanging="720"/>
      <w:jc w:val="left"/>
    </w:pPr>
    <w:rPr>
      <w:rFonts w:eastAsiaTheme="minorHAnsi"/>
    </w:rPr>
  </w:style>
  <w:style w:type="character" w:customStyle="1" w:styleId="Style3heading3Char">
    <w:name w:val="Style3_heading 3 Char"/>
    <w:basedOn w:val="DefaultParagraphFont"/>
    <w:link w:val="Style3heading3"/>
    <w:locked/>
    <w:rPr>
      <w:rFonts w:ascii="Times New Roman" w:hAnsi="Times New Roman" w:cs="Times New Roman"/>
      <w:bCs/>
      <w:i/>
      <w:sz w:val="24"/>
      <w:lang w:val="sk-SK"/>
    </w:rPr>
  </w:style>
  <w:style w:type="paragraph" w:customStyle="1" w:styleId="Style2Heading2">
    <w:name w:val="Style2_Heading 2"/>
    <w:basedOn w:val="Heading3"/>
    <w:link w:val="Style2Heading2Char"/>
    <w:qFormat/>
    <w:pPr>
      <w:numPr>
        <w:ilvl w:val="0"/>
        <w:numId w:val="0"/>
      </w:numPr>
      <w:spacing w:before="240" w:after="480"/>
      <w:ind w:left="720" w:hanging="720"/>
      <w:jc w:val="left"/>
    </w:pPr>
    <w:rPr>
      <w:b/>
      <w:i w:val="0"/>
    </w:rPr>
  </w:style>
  <w:style w:type="character" w:customStyle="1" w:styleId="Style2Heading2Char">
    <w:name w:val="Style2_Heading 2 Char"/>
    <w:basedOn w:val="Heading3Char"/>
    <w:link w:val="Style2Heading2"/>
    <w:rPr>
      <w:rFonts w:ascii="Times New Roman" w:eastAsiaTheme="majorEastAsia" w:hAnsi="Times New Roman" w:cs="Times New Roman"/>
      <w:b/>
      <w:bCs/>
      <w:i w:val="0"/>
      <w:sz w:val="24"/>
      <w:shd w:val="clear" w:color="auto" w:fill="auto"/>
      <w:lang w:val="sk-SK"/>
    </w:rPr>
  </w:style>
  <w:style w:type="paragraph" w:customStyle="1" w:styleId="Releasable">
    <w:name w:val="Releasable"/>
    <w:basedOn w:val="Normal"/>
    <w:qFormat/>
    <w:pPr>
      <w:spacing w:after="0"/>
      <w:jc w:val="center"/>
    </w:pPr>
    <w:rPr>
      <w:b/>
      <w:caps/>
      <w:sz w:val="32"/>
      <w:szCs w:val="20"/>
    </w:rPr>
  </w:style>
  <w:style w:type="paragraph" w:customStyle="1" w:styleId="Normaldense">
    <w:name w:val="Normal dense"/>
    <w:basedOn w:val="Normal"/>
    <w:link w:val="NormaldenseChar"/>
    <w:qFormat/>
    <w:pPr>
      <w:spacing w:after="180"/>
    </w:pPr>
    <w:rPr>
      <w:rFonts w:asciiTheme="minorHAnsi" w:hAnsiTheme="minorHAnsi" w:cstheme="minorBidi"/>
      <w:sz w:val="20"/>
      <w:szCs w:val="20"/>
    </w:rPr>
  </w:style>
  <w:style w:type="character" w:customStyle="1" w:styleId="NormaldenseChar">
    <w:name w:val="Normal dense Char"/>
    <w:basedOn w:val="DefaultParagraphFont"/>
    <w:link w:val="Normaldense"/>
    <w:rPr>
      <w:sz w:val="20"/>
      <w:szCs w:val="20"/>
      <w:lang w:val="sk-SK" w:eastAsia="sk-SK"/>
    </w:rPr>
  </w:style>
  <w:style w:type="paragraph" w:customStyle="1" w:styleId="ListBulletlast">
    <w:name w:val="List Bullet last"/>
    <w:basedOn w:val="ListBullet"/>
    <w:next w:val="BodyText"/>
    <w:qFormat/>
    <w:pPr>
      <w:numPr>
        <w:numId w:val="10"/>
      </w:numPr>
      <w:tabs>
        <w:tab w:val="left" w:pos="6840"/>
      </w:tabs>
      <w:spacing w:after="240" w:line="280" w:lineRule="exact"/>
      <w:contextualSpacing w:val="0"/>
      <w:jc w:val="left"/>
    </w:pPr>
    <w:rPr>
      <w:rFonts w:ascii="Arial" w:hAnsi="Arial"/>
      <w:snapToGrid w:val="0"/>
      <w:sz w:val="22"/>
      <w:szCs w:val="20"/>
    </w:rPr>
  </w:style>
  <w:style w:type="paragraph" w:styleId="BodyText">
    <w:name w:val="Body Text"/>
    <w:basedOn w:val="Normal"/>
    <w:link w:val="BodyTextChar"/>
    <w:uiPriority w:val="1"/>
    <w:qFormat/>
    <w:pPr>
      <w:widowControl w:val="0"/>
      <w:spacing w:after="0"/>
      <w:jc w:val="left"/>
    </w:pPr>
    <w:rPr>
      <w:sz w:val="22"/>
    </w:rPr>
  </w:style>
  <w:style w:type="character" w:customStyle="1" w:styleId="BodyTextChar">
    <w:name w:val="Body Text Char"/>
    <w:basedOn w:val="DefaultParagraphFont"/>
    <w:link w:val="BodyText"/>
    <w:uiPriority w:val="1"/>
    <w:rPr>
      <w:rFonts w:ascii="Times New Roman" w:hAnsi="Times New Roman" w:cs="Times New Roman"/>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sk-SK"/>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ascii="Times New Roman" w:eastAsiaTheme="majorEastAsia" w:hAnsi="Times New Roman" w:cstheme="majorBidi"/>
      <w:iCs/>
      <w:spacing w:val="15"/>
      <w:sz w:val="20"/>
      <w:lang w:val="sk-SK"/>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ext1Char"/>
    <w:link w:val="FooterCoverPage"/>
    <w:rPr>
      <w:rFonts w:ascii="Times New Roman" w:hAnsi="Times New Roman" w:cs="Times New Roman"/>
      <w:sz w:val="24"/>
      <w:lang w:val="sk-SK"/>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ext1Char"/>
    <w:link w:val="HeaderCoverPage"/>
    <w:rPr>
      <w:rFonts w:ascii="Times New Roman" w:hAnsi="Times New Roman" w:cs="Times New Roman"/>
      <w:sz w:val="24"/>
      <w:lang w:val="sk-S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04AF-E1DF-4F3E-A5A2-A9894A85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7</Pages>
  <Words>1735</Words>
  <Characters>10602</Characters>
  <Application>Microsoft Office Word</Application>
  <DocSecurity>0</DocSecurity>
  <Lines>216</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DIGIT/A3</cp:lastModifiedBy>
  <cp:revision>8</cp:revision>
  <cp:lastPrinted>2016-11-18T12:26:00Z</cp:lastPrinted>
  <dcterms:created xsi:type="dcterms:W3CDTF">2016-11-25T09:53:00Z</dcterms:created>
  <dcterms:modified xsi:type="dcterms:W3CDTF">2016-11-29T15:21:00Z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ocStatus">
    <vt:lpwstr>Green</vt:lpwstr>
  </property>
  <property fmtid="{D5CDD505-2E9C-101B-9397-08002B2CF9AE}" pid="13" name="DQCStatus">
    <vt:lpwstr>Green (DQC version 03)</vt:lpwstr>
  </property>
</Properties>
</file>