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F1" w:rsidRPr="009E552D" w:rsidRDefault="00A65403" w:rsidP="00A65403">
      <w:pPr>
        <w:pStyle w:val="Pagedecouverture"/>
      </w:pPr>
      <w:bookmarkStart w:id="0" w:name="L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4B0D19D79F644C7E861DA810C889E5F9" style="width:450.8pt;height:391.3pt">
            <v:imagedata r:id="rId9" o:title=""/>
          </v:shape>
        </w:pict>
      </w:r>
    </w:p>
    <w:bookmarkEnd w:id="0"/>
    <w:p w:rsidR="00B230F1" w:rsidRPr="009E552D" w:rsidRDefault="00B230F1" w:rsidP="00B230F1">
      <w:pPr>
        <w:sectPr w:rsidR="00B230F1" w:rsidRPr="009E552D" w:rsidSect="00A654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0F476C" w:rsidRPr="009E552D" w:rsidRDefault="000F476C" w:rsidP="00357F30">
            <w:pPr>
              <w:keepNext/>
              <w:spacing w:before="60" w:after="60"/>
              <w:jc w:val="center"/>
              <w:rPr>
                <w:rFonts w:ascii="Tahoma" w:hAnsi="Tahoma" w:cs="Tahoma"/>
                <w:b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</w:rPr>
              <w:lastRenderedPageBreak/>
              <w:t>Skeda tas-sommarju eżekuttiv</w:t>
            </w:r>
          </w:p>
        </w:tc>
      </w:tr>
      <w:tr w:rsidR="000F476C" w:rsidRPr="009E552D" w:rsidTr="00A11B4F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476C" w:rsidRPr="009E552D" w:rsidRDefault="000F476C" w:rsidP="00EB4D9D">
            <w:pPr>
              <w:keepNext/>
              <w:spacing w:after="120"/>
              <w:rPr>
                <w:rFonts w:ascii="Tahoma" w:hAnsi="Tahoma" w:cs="Tahoma"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/>
                <w:color w:val="FFFFFF" w:themeColor="background1"/>
                <w:sz w:val="16"/>
              </w:rPr>
              <w:t>Valutazzjoni tal-Impatt dwar proposta leġiżlattiva għar-rieżami tad-Direttiva dwar ir-Rendiment tal-Bini fl-Użu tal-Enerġija (id-Direttiva 2010/31/UE)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0F476C" w:rsidRPr="009E552D" w:rsidRDefault="000F476C" w:rsidP="00EB4D9D">
            <w:pPr>
              <w:keepNext/>
              <w:spacing w:before="60" w:after="6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/>
                <w:b/>
              </w:rPr>
              <w:t>A. Ħtieġa li tittieħed azzjoni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Għalfejn? X’inhi l-problema li qiegħda tiġi indirizzata?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E828C4" w:rsidRPr="009E552D" w:rsidRDefault="00E828C4" w:rsidP="00DE55F4">
            <w:pPr>
              <w:spacing w:after="120"/>
              <w:rPr>
                <w:rFonts w:cs="Arial"/>
                <w:szCs w:val="20"/>
              </w:rPr>
            </w:pPr>
            <w:r>
              <w:t>L-evalwazzjoni tad-Direttiva dwar ir-Rendiment tal-Bini fl-Użu tal-Enerġija (l-EPBD) turi progress ċar fit-titjib tal-effiċjenza tas-settur tal-bini: it-tnaqqis fil-konsum annwali tal-enerġija għal kull erja ta’ art (f’kWh/(m².y)) żdied b’mod konsiderevoli wara l-2006 (meta daħlet fis-seħħ l-EPBD tal-2002), u dan kien sostnut bis-saħħa tal-impatt tal-EPBD riformulata fl-2013 u fl-2014. Hemm evidenza li kien hemm iffrankar tal-enerġija finali ta' 48.9 Mtoe fl-2014, meta mqabbel mal-linja bażi tal-2007 tal-EPBD riformulata. Dan jidher li huwa konformi mal-valutazzjoni tal-impatt tal-2008 u jindika li x’aktarx id-Direttiva se twassal għall-impatti mistennija sal-2020.</w:t>
            </w:r>
          </w:p>
          <w:p w:rsidR="00A30BDF" w:rsidRPr="009E552D" w:rsidRDefault="00E828C4" w:rsidP="00DF6F2B">
            <w:pPr>
              <w:spacing w:after="120"/>
              <w:rPr>
                <w:rFonts w:cs="Arial"/>
                <w:szCs w:val="20"/>
              </w:rPr>
            </w:pPr>
            <w:r>
              <w:t>Madankollu, it-trasformazzjoni tal-istokk tal-bini eżistenti qed timxi b’pass relattivament kajman u għad hemm potenzjal konsiderevoli għal iffrankar addizjonali fl-enerġija b'mod kosteffikaċi sal-2030. Il-problema fundamentali hija li parti sinifikanti minn dan il-potenzjal mhux se jitwettaq jekk kollox jibqa’ kif inhu, billi għadd kbir ta’ investimenti kosteffettivi fl-effiċjenza fl-enerġija tal-bini mhux se jseħħ. Għalhekk l-UE għandha tintervjeni issa biex tappoġġa ulterjorment it-tneħħija ta' ostakli speċifiċi għall-effiċjenza fl-enerġija u għall-enerġija rinnovabbli fil-bini li se fil-kamp ta’ applikazzjoni tal-EPBD.</w:t>
            </w:r>
          </w:p>
          <w:p w:rsidR="000F476C" w:rsidRPr="009E552D" w:rsidRDefault="000F476C" w:rsidP="00D27A65">
            <w:pPr>
              <w:spacing w:after="120"/>
              <w:rPr>
                <w:rFonts w:cs="Arial"/>
                <w:sz w:val="16"/>
                <w:szCs w:val="20"/>
              </w:rPr>
            </w:pPr>
            <w:r>
              <w:t>Il-partijiet ikkonċernati milquta minn din l-inizjattiva huma l-konsumaturi, l-unitajiet domestiċi, in-negozji u l-awtoritajiet pubbliċi, is-settur tal-kostruzzjoni (b’mod partikolari l-SMEs) u l-awtoritajiet nazzjonali u reġjonali, l-investituri u atturi finanzjarji oħrajn.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X’inhu mistenni li tikseb din l-inizjattiva?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0F476C" w:rsidRPr="009E552D" w:rsidRDefault="00D2722F" w:rsidP="00DE55F4">
            <w:pPr>
              <w:spacing w:after="120"/>
              <w:rPr>
                <w:rFonts w:cs="Arial"/>
                <w:szCs w:val="20"/>
              </w:rPr>
            </w:pPr>
            <w:r>
              <w:t>L-EPBD hija bbażata fuq l-Artikolu 194(2) tat-Trattat dwar il-Funzjonament tal-Unjoni Ewropea, li jservi bħala l-bażi legali għal politika tal-Unjoni li tippromwovi l-effiċjenza fl-enerġija u l-iffrankar fl-enerġija. L-għan ġenerali tar-rieżami tal-EPBD, inkluż l-inizjattiva ta’ Finanzjament Intelliġenti għal Bini Intelliġenti, huwa li tippromwovi użu akbar tat-teknoloġiji tal-effiċjenza fl-enerġija u tal-enerġija rinnovabbli fis-settur tal-bini u li twassal għal tnaqqis kosteffettiv fl-emissjonijiet tal-gassijiet serra (il-GHG), filwaqt li tgħin biex tiżgura s-sigurtà tal-provvista tal-enerġija.</w:t>
            </w:r>
          </w:p>
          <w:p w:rsidR="00357F30" w:rsidRPr="009E552D" w:rsidRDefault="00C51B00" w:rsidP="00A30BDF">
            <w:pPr>
              <w:spacing w:after="120"/>
              <w:rPr>
                <w:rFonts w:cs="Arial"/>
                <w:szCs w:val="20"/>
              </w:rPr>
            </w:pPr>
            <w:r>
              <w:t>L-għanijiet speċifiċi tar-rieżami, kif ippreżentati fil-</w:t>
            </w:r>
            <w:hyperlink r:id="rId16">
              <w:r>
                <w:rPr>
                  <w:rStyle w:val="Hyperlink"/>
                  <w:noProof/>
                </w:rPr>
                <w:t>valutazzjoni tal-impatt inizjali</w:t>
              </w:r>
            </w:hyperlink>
            <w:r>
              <w:t xml:space="preserve">, kienu: </w:t>
            </w:r>
          </w:p>
          <w:p w:rsidR="00357F30" w:rsidRPr="009E552D" w:rsidRDefault="00C51B00" w:rsidP="005B4310">
            <w:pPr>
              <w:spacing w:after="120"/>
              <w:ind w:left="709" w:hanging="425"/>
              <w:rPr>
                <w:rFonts w:cs="Arial"/>
                <w:szCs w:val="20"/>
              </w:rPr>
            </w:pPr>
            <w:r>
              <w:t xml:space="preserve">(1) </w:t>
            </w:r>
            <w:r>
              <w:tab/>
              <w:t>li jiġu indirizzati n-nuqqasijiet identifikati fl-evalwazzjoni tal-EPBD sabiex ikun żgurat li din tibqa’ adattata għall-iskop tagħha (il-komponent tar-REFIT);</w:t>
            </w:r>
          </w:p>
          <w:p w:rsidR="00357F30" w:rsidRPr="009E552D" w:rsidRDefault="00C51B00" w:rsidP="005B4310">
            <w:pPr>
              <w:spacing w:after="120"/>
              <w:ind w:left="709" w:hanging="425"/>
              <w:rPr>
                <w:rFonts w:cs="Arial"/>
                <w:szCs w:val="20"/>
              </w:rPr>
            </w:pPr>
            <w:r>
              <w:t xml:space="preserve">(2) </w:t>
            </w:r>
            <w:r>
              <w:tab/>
              <w:t>li tiġi kkunsidrata l-ħtieġa għal miżuri addizzjonali relatati mal-effiċjenza fl-enerġija u mal-użu tal-enerġija rinnovabbli fil-bini, bil-perspettiva tal-2030; kif ukoll</w:t>
            </w:r>
          </w:p>
          <w:p w:rsidR="00A30BDF" w:rsidRPr="009E552D" w:rsidRDefault="00C51B00" w:rsidP="005B4310">
            <w:pPr>
              <w:spacing w:after="120"/>
              <w:ind w:left="709" w:hanging="425"/>
              <w:rPr>
                <w:rFonts w:cs="Arial"/>
                <w:szCs w:val="20"/>
              </w:rPr>
            </w:pPr>
            <w:r>
              <w:t xml:space="preserve">(3) </w:t>
            </w:r>
            <w:r>
              <w:tab/>
              <w:t>li jittejjeb l-aċċess għall-finanzjament u jitħeġġeġ l-investiment (il-Finanzjament Intelliġenti għal Bini Intelliġenti).</w:t>
            </w:r>
          </w:p>
          <w:p w:rsidR="00357F30" w:rsidRPr="009E552D" w:rsidRDefault="000F476C" w:rsidP="008307F2">
            <w:pPr>
              <w:spacing w:after="120"/>
              <w:rPr>
                <w:rFonts w:cs="Arial"/>
                <w:szCs w:val="20"/>
              </w:rPr>
            </w:pPr>
            <w:r>
              <w:t>L-għanijiet operazzjonali tal-għażla ppreferuta huma:</w:t>
            </w:r>
          </w:p>
          <w:p w:rsidR="00357F30" w:rsidRPr="009E552D" w:rsidRDefault="00A30BDF" w:rsidP="005B4310">
            <w:pPr>
              <w:pStyle w:val="ListParagraph"/>
              <w:numPr>
                <w:ilvl w:val="0"/>
                <w:numId w:val="8"/>
              </w:numPr>
              <w:spacing w:after="120"/>
              <w:ind w:left="709" w:hanging="425"/>
              <w:contextualSpacing w:val="0"/>
              <w:rPr>
                <w:rFonts w:cs="Arial"/>
                <w:szCs w:val="20"/>
              </w:rPr>
            </w:pPr>
            <w:r>
              <w:t xml:space="preserve">li timmassimizza r-rwol tad-Direttiva fiż-żieda tar-rati ta’ rinnovazzjoni; </w:t>
            </w:r>
          </w:p>
          <w:p w:rsidR="00357F30" w:rsidRPr="009E552D" w:rsidRDefault="00A30BDF" w:rsidP="005B4310">
            <w:pPr>
              <w:pStyle w:val="ListParagraph"/>
              <w:numPr>
                <w:ilvl w:val="0"/>
                <w:numId w:val="8"/>
              </w:numPr>
              <w:spacing w:after="120"/>
              <w:ind w:left="709" w:hanging="425"/>
              <w:contextualSpacing w:val="0"/>
              <w:rPr>
                <w:rFonts w:cs="Arial"/>
                <w:szCs w:val="20"/>
              </w:rPr>
            </w:pPr>
            <w:r>
              <w:t xml:space="preserve">li tkompli ssaħħaħ it-tneħħija tal-ostakoli għall-effiċjenza fl-enerġija fil-bini; kif ukoll </w:t>
            </w:r>
          </w:p>
          <w:p w:rsidR="000F476C" w:rsidRPr="00657B19" w:rsidRDefault="00A30BDF" w:rsidP="005B4310">
            <w:pPr>
              <w:pStyle w:val="ListParagraph"/>
              <w:numPr>
                <w:ilvl w:val="0"/>
                <w:numId w:val="8"/>
              </w:numPr>
              <w:spacing w:after="120"/>
              <w:ind w:left="709" w:hanging="425"/>
              <w:contextualSpacing w:val="0"/>
              <w:rPr>
                <w:rFonts w:cs="Arial"/>
                <w:szCs w:val="20"/>
              </w:rPr>
            </w:pPr>
            <w:r>
              <w:t>li l-istokk tal-bini tal-UE jsir aktar intelliġenti u li tintegra fih l-iżviluppi teknoloġiċi u tappoġġa l-promozzjoni tal-elettromobbiltà.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AE6F95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X'inhu l-valur miżjud ta' azzjoni fil-livell tal-UE?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CE4BFE" w:rsidRPr="009E552D" w:rsidRDefault="00CE4BFE" w:rsidP="00CE4BFE">
            <w:pPr>
              <w:spacing w:after="120"/>
              <w:rPr>
                <w:rFonts w:cs="Arial"/>
                <w:szCs w:val="20"/>
              </w:rPr>
            </w:pPr>
            <w:r>
              <w:t>Il-valur miżjud li jinkiseb meta jiġi indirizzat ir-rendiment tal-enerġija tal-bini fil-livell tal-UE huwa l-ħolqien, permezz ta’ azzjoni koordinata, ta’ suq intern aktar b’saħħtu li jappoġġa l-kompetittività u s-sostenibbiltà tas-settur tal-kostruzzjoni, li jisfrutta s-sinerġiji mal-politika dwar il-klima, li jippermetti liċ-ċittadini tal-UE jagħmlu għażliet aktar infurmati meta jixtru/jikru l-postijiet u b’hekk li jtejjeb il-kwalità tal-bini fejn ngħixu u naħdmu.</w:t>
            </w:r>
          </w:p>
          <w:p w:rsidR="00E0533A" w:rsidRPr="009E552D" w:rsidRDefault="00E0533A" w:rsidP="00CE4BFE">
            <w:pPr>
              <w:spacing w:after="120"/>
              <w:rPr>
                <w:rFonts w:cs="Arial"/>
                <w:szCs w:val="20"/>
              </w:rPr>
            </w:pPr>
            <w:r>
              <w:t>Il-valutazzjoni tal-impatt li fuqha hija msejsa l-proposta għal Deċiżjoni dwar il</w:t>
            </w:r>
            <w:r>
              <w:noBreakHyphen/>
              <w:t>Kondiviżjoni tal-Isforzi (COM(2016)482 final) turi li f'xenarju għall-UE għat-tnaqqis tal-gassijiet serra b'mod kosteffikaċi, l-Istati Membri kollha jridu jtejbu l-effiċjenza fl-enerġija tagħhom b’mod simili. Mingħajr strument leġiżlattiv tal-UE għall-bini, mhux l-Istati Membri kollha se jaġixxu f’dan is-settur (pereżempju xi wħud jistgħu jilħqu l-mira tagħhom għall-kondiviżjoni tal</w:t>
            </w:r>
            <w:r>
              <w:noBreakHyphen/>
              <w:t>isforzi mingħajr azzjoni addizzjonali). In-nuqqas ta' Stat Membru wieħed jew aktar milli jaġixxi fil-qasam tal-bini se jwassal għal spiża akbar b'mod ġenerali għat-tnaqqis tal-gassijiet serra għall-UE kollha kemm hi.</w:t>
            </w:r>
          </w:p>
          <w:p w:rsidR="00E0533A" w:rsidRPr="009E552D" w:rsidRDefault="00E0533A" w:rsidP="00CE4BFE">
            <w:pPr>
              <w:spacing w:after="120"/>
              <w:rPr>
                <w:rFonts w:cs="Arial"/>
                <w:szCs w:val="20"/>
              </w:rPr>
            </w:pPr>
            <w:r>
              <w:t xml:space="preserve">Azzjoni fil-livell tal-UE sservi biex tixpruna l-aġġornament tar-regolamenti nazzjonali fis-settur tal-bini fl-UE kollha. Qabel l-adozzjoni tad-Direttiva tal-2002, f’ħafna Stati Membri r-regolamentazzjoni ma kinitx timponi rekwiżiti tal-effiċjenza fl-enerġija u sal-adozzjoni tad-Direttiva tal-2010, ir-rekwiżiti minimi tar-rendiment ma kinux imqabbla mill-Istati Membri mal-kostottimalità. </w:t>
            </w:r>
          </w:p>
          <w:p w:rsidR="00CE4BFE" w:rsidRPr="009E552D" w:rsidRDefault="00BD330F" w:rsidP="00BD330F">
            <w:pPr>
              <w:spacing w:after="120"/>
              <w:rPr>
                <w:rFonts w:cs="Arial"/>
                <w:szCs w:val="20"/>
              </w:rPr>
            </w:pPr>
            <w:r>
              <w:t xml:space="preserve">Is-settur tal-kostruzzjoni huwa kruċjali għall-ekonomija Ewropea. Bi tliet miljun intrapriża, bi produzzjoni annwali ta’ aktar minn EUR 1 211 biljun u b'kontribuzzjoni ta’ madwar 10 % għall-PDG tal-UE, huwa jimpjega total ta’ 14-il miljun ruħ f'forza tax-xogħol diretta. </w:t>
            </w:r>
            <w:r w:rsidR="005D77E3">
              <w:t>(</w:t>
            </w:r>
            <w:r>
              <w:t>Il-prodotti tal-kostruzzjoni, is-servizzi tal-kostruzzjoni, it-tisħin, l-arja kondizzjonata u t-tagħmir tad-dawl, is-sistemi ta' rinnovament fil-bini, is-sistemi intelliġenti tal-kontroll, is-sistemi ta’ awtomatizzazzjoni tal-bini, il-miters intelliġenti, eċċ.</w:t>
            </w:r>
            <w:r w:rsidR="005D77E3">
              <w:t>)</w:t>
            </w:r>
          </w:p>
          <w:p w:rsidR="00DE55F4" w:rsidRPr="009E552D" w:rsidRDefault="00E0533A" w:rsidP="00AE6F95">
            <w:pPr>
              <w:spacing w:after="120"/>
              <w:rPr>
                <w:rFonts w:cs="Arial"/>
                <w:sz w:val="20"/>
                <w:szCs w:val="20"/>
              </w:rPr>
            </w:pPr>
            <w:r>
              <w:lastRenderedPageBreak/>
              <w:t>Barra minn hekk, minbarra li jtaffi t-tibdil fil-klima u jiġġenera t-tkabbir u l-impjiegi, it-titjib fir-rendiment tal-bini fl-użu tal-enerġija għandu ħafna benefiċċji oħra li jikkontribwixxu biex jinkisbu l-għanijiet tal-politika ambjentali u soċjali.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0F476C" w:rsidRPr="009E552D" w:rsidRDefault="000F476C" w:rsidP="00EB4D9D">
            <w:pPr>
              <w:keepNext/>
              <w:spacing w:before="60" w:after="6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/>
                <w:b/>
              </w:rPr>
              <w:lastRenderedPageBreak/>
              <w:t>B. Soluzzjonijiet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X’għażliet ta’ politika leġiżlattivi u mhux leġiżlattivi ġew ikkunsidrati? Hemm għażla ppreferuta jew le? Għalfejn?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54677" w:rsidRPr="009E552D" w:rsidRDefault="00254677" w:rsidP="00F13B94">
            <w:pPr>
              <w:rPr>
                <w:rFonts w:cs="Arial"/>
                <w:szCs w:val="20"/>
              </w:rPr>
            </w:pPr>
            <w:r>
              <w:t>Sabiex jinkiseb l-objettiv mixtieq, ġew ikkunsidrati l-għażliet li ġejjin:</w:t>
            </w:r>
          </w:p>
          <w:p w:rsidR="0012740F" w:rsidRPr="009E552D" w:rsidRDefault="00C55590" w:rsidP="00E827DF">
            <w:pPr>
              <w:pStyle w:val="ListParagraph"/>
              <w:numPr>
                <w:ilvl w:val="0"/>
                <w:numId w:val="1"/>
              </w:numPr>
            </w:pPr>
            <w:r>
              <w:t>l-ebda bidla;</w:t>
            </w:r>
          </w:p>
          <w:p w:rsidR="005B3FD5" w:rsidRPr="009E552D" w:rsidRDefault="00C55590" w:rsidP="007A538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t>miżuri ta’ simplifikazzjoni;</w:t>
            </w:r>
          </w:p>
          <w:p w:rsidR="0012740F" w:rsidRPr="009E552D" w:rsidRDefault="004723D4" w:rsidP="001718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t>l-għażla I: Implimentazzjoni mtejba u gwida ulterjuri;</w:t>
            </w:r>
          </w:p>
          <w:p w:rsidR="0012740F" w:rsidRPr="009E552D" w:rsidRDefault="004723D4" w:rsidP="00D27A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t>l-għażla II: Implimentazzjoni mtejba b’emendi mmirati biex jissaħħu d-dispożizzjonijiet attwali; kif ukoll</w:t>
            </w:r>
          </w:p>
          <w:p w:rsidR="0012740F" w:rsidRPr="009E552D" w:rsidRDefault="004723D4" w:rsidP="00D27A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t>l-għażla III: Implimentazzjoni mtejba u rieżami lil hinn mil-loġika attwali dwar l-intervent u mil-livell attwali ta’ sussidjarjetà.</w:t>
            </w:r>
          </w:p>
          <w:p w:rsidR="0012740F" w:rsidRPr="009E552D" w:rsidRDefault="0012740F" w:rsidP="00F13B94">
            <w:pPr>
              <w:keepNext/>
              <w:contextualSpacing/>
              <w:rPr>
                <w:rFonts w:cs="Arial"/>
                <w:szCs w:val="20"/>
              </w:rPr>
            </w:pPr>
            <w:r>
              <w:t>Dawn l-għażliet ta’ politika ġew ivvalutati u ntrabtu ma’ dawn il-miżuri li ġejjin:</w:t>
            </w:r>
          </w:p>
          <w:p w:rsidR="009028B3" w:rsidRPr="009E552D" w:rsidRDefault="00C55590" w:rsidP="00EB4D9D">
            <w:pPr>
              <w:pStyle w:val="ListParagraph"/>
              <w:numPr>
                <w:ilvl w:val="0"/>
                <w:numId w:val="7"/>
              </w:numPr>
            </w:pPr>
            <w:r>
              <w:t>l-aċċellerazzjoni tad-dekarbonizzazzjoni tal-bini billi jiżdiedu b’mod sinifikanti r-rati ta’ rinnovazzjoni;</w:t>
            </w:r>
          </w:p>
          <w:p w:rsidR="009028B3" w:rsidRPr="009E552D" w:rsidRDefault="00C55590" w:rsidP="00EB4D9D">
            <w:pPr>
              <w:pStyle w:val="ListParagraph"/>
              <w:numPr>
                <w:ilvl w:val="0"/>
                <w:numId w:val="7"/>
              </w:numPr>
            </w:pPr>
            <w:r>
              <w:t>l</w:t>
            </w:r>
            <w:r>
              <w:noBreakHyphen/>
              <w:t>irfinar tal-implimentazzjoni tar-rekwiżiti minimi tar-rendiment fl-użu tal-enerġija;</w:t>
            </w:r>
          </w:p>
          <w:p w:rsidR="009028B3" w:rsidRPr="009E552D" w:rsidRDefault="00C55590" w:rsidP="00EB4D9D">
            <w:pPr>
              <w:pStyle w:val="ListParagraph"/>
              <w:numPr>
                <w:ilvl w:val="0"/>
                <w:numId w:val="7"/>
              </w:numPr>
            </w:pPr>
            <w:r>
              <w:t>il-modernizzazzjoni bl-użu ta’ teknoloġiji intelliġenti u s-simplifikazzjoni ta’ dispożizzjonijiet skaduti għall-benefiċċju taċ-ċittadini; kif ukoll</w:t>
            </w:r>
          </w:p>
          <w:p w:rsidR="00EC4E5A" w:rsidRPr="009E552D" w:rsidRDefault="00C55590" w:rsidP="00EB4D9D">
            <w:pPr>
              <w:pStyle w:val="ListParagraph"/>
              <w:numPr>
                <w:ilvl w:val="0"/>
                <w:numId w:val="7"/>
              </w:numPr>
            </w:pPr>
            <w:r>
              <w:t>it-titjib tal-appoġġ finanzjarju u tal-informazzjoni għall-utenti permezz ta’ sistemi taċ-ċertifikazzjoni għar-rendiment fl-użu tal-enerġija li jkunu aktar integrati u aktar b’saħħithom.</w:t>
            </w:r>
          </w:p>
          <w:p w:rsidR="000F476C" w:rsidRPr="009E552D" w:rsidRDefault="00C55590" w:rsidP="00AE6F95">
            <w:pPr>
              <w:spacing w:after="120"/>
              <w:rPr>
                <w:rFonts w:cs="Arial"/>
                <w:szCs w:val="20"/>
              </w:rPr>
            </w:pPr>
            <w:r>
              <w:t>L-għażla ppreferuta hija l-għażla II, flimkien mal-miżuri ta’ simplifikazzjoni. Din l-għażla hija l-aktar waħda allinjata mar-riżultati u mas-sejbiet tal-evalwazzjoni u mal-qafas eżistenti. Hija tintroduċi titjib sinifikanti fl-EPBD u fil-qafas regolatorju ġenerali għat-titjib tar-rendiment tal-bini fl-użu tal-enerġija, filwaqt li tippermetti livell għoli ta’ flessibbiltà għall-implimentazzjoni fil-livell nazzjonali.</w:t>
            </w:r>
          </w:p>
        </w:tc>
      </w:tr>
      <w:tr w:rsidR="000F476C" w:rsidRPr="009E552D" w:rsidTr="00A11B4F">
        <w:tc>
          <w:tcPr>
            <w:tcW w:w="10188" w:type="dxa"/>
            <w:shd w:val="clear" w:color="auto" w:fill="CCCCCC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Liema għażla u min jappoġġaha?</w:t>
            </w:r>
          </w:p>
        </w:tc>
      </w:tr>
      <w:tr w:rsidR="000F476C" w:rsidRPr="009E552D" w:rsidTr="00A11B4F">
        <w:tc>
          <w:tcPr>
            <w:tcW w:w="10188" w:type="dxa"/>
            <w:shd w:val="clear" w:color="auto" w:fill="auto"/>
          </w:tcPr>
          <w:p w:rsidR="000F476C" w:rsidRPr="009E552D" w:rsidRDefault="00AE56C3" w:rsidP="009E552D">
            <w:pPr>
              <w:spacing w:after="120"/>
              <w:rPr>
                <w:rFonts w:cs="Arial"/>
                <w:szCs w:val="20"/>
              </w:rPr>
            </w:pPr>
            <w:r>
              <w:t xml:space="preserve">Il-konsultazzjoni mal-partijiet ikkonċernati wriet appoġġ wiesa’ mill-industrija tal-kostruzzjoni għal politika ambizzjuża li tistimula r-rinnovazzjoni tal-bini eżistenti. Xi partijiet kellhom riżervi dwar il-“ftuħ mill-ġdid” tad-Direttiva attwali u r-riskju li d-dispożizzjonijiet tagħha jiddgħajfu. Dan jappoġġa l-fehma li dawn il-bidliet għandhom ikunu mmirati aktar milli komprensivi, u li f’dan is-settur jenħtieġ l-intervent ta' politika tal-UE biex jinżamm il-livell tal-isforz u tal-ambizzjoni madwar l-UE. 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0F476C" w:rsidRPr="009E552D" w:rsidRDefault="000F476C" w:rsidP="00A11B4F">
            <w:pPr>
              <w:spacing w:before="60" w:after="6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/>
                <w:b/>
              </w:rPr>
              <w:t>C. L-impatti tal-għażla ppreferuta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X’inhuma l-benefiċċji tal-għażla ppreferuta (jekk hemm, inkella x’inhuma dawk ewlenin)?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111EA0" w:rsidRPr="009E552D" w:rsidRDefault="000F476C" w:rsidP="00D27A65">
            <w:pPr>
              <w:spacing w:after="120"/>
              <w:rPr>
                <w:rFonts w:cs="Arial"/>
                <w:szCs w:val="20"/>
              </w:rPr>
            </w:pPr>
            <w:r>
              <w:t>L-għażla ppreferuta twiegħed li tnaqqas l-użu annwali tal-enerġija finali bi 28 Mtoe sal-2030, li jirrappreżenta tnaqqis ta’ 38 Mt ta’ emissjonijiet tas-CO</w:t>
            </w:r>
            <w:r>
              <w:rPr>
                <w:vertAlign w:val="subscript"/>
              </w:rPr>
              <w:t>2</w:t>
            </w:r>
            <w:r>
              <w:t>. Bħala proporzjon tal-PDG tal-UE, sal-2030 it-total tal-enerġija finali użata se jonqos b’0.3 punti perċentwali. Bejn 515 000 u 3.2 miljun unità domestika (minn total ta’ 23.3 miljun) se jinħarġu mill-faqar enerġetiku.</w:t>
            </w:r>
          </w:p>
          <w:p w:rsidR="00254677" w:rsidRPr="009E552D" w:rsidRDefault="000F476C" w:rsidP="009E552D">
            <w:pPr>
              <w:spacing w:after="120"/>
              <w:rPr>
                <w:rFonts w:cs="Arial"/>
                <w:szCs w:val="20"/>
              </w:rPr>
            </w:pPr>
            <w:r>
              <w:t xml:space="preserve">L-għażla ppreferuta se tikkontribwixxi wkoll għall-kompetittività tal-industrija Ewropea (b’mod partikolari fir-rigward tal-insulazzjoni u tal-ħġieġ ċatt), filwaqt li żżid il-valur tas-suq tal-UE bi EUR 23.8 biljun sal-2030 u toħloq suq ta' rinnovazzjoni għall-SMEs ta' bejn EUR 80 u </w:t>
            </w:r>
            <w:r>
              <w:noBreakHyphen/>
              <w:t xml:space="preserve">120 biljun. Barra minn hekk, sal-2030 din se tiġġenera madwar 220 000 impjieg addizzjonali (meta mqabbla max-xenarju ta’ referenza). 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X'inhuma l-kostijiet tal-għażla ppreferuta (jekk hemm, jew inkella dawk ewlenin)?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1E5814" w:rsidRPr="009E552D" w:rsidRDefault="009F244C" w:rsidP="009E552D">
            <w:pPr>
              <w:spacing w:after="120"/>
              <w:rPr>
                <w:rFonts w:cs="Arial"/>
                <w:szCs w:val="20"/>
              </w:rPr>
            </w:pPr>
            <w:r>
              <w:t>Huwa stmat li l-għażla ppreferuta se twassal għal attività addizzjonali fil-qasam tal-konstruzzjoni relatata mal</w:t>
            </w:r>
            <w:r>
              <w:noBreakHyphen/>
              <w:t>enerġija (l-insulazzjoni tas-saqaf, is-sostituzzjoni tat-twieqi, l-aġġornamenti tas-sistemi tal-bini, eċċ.) ta’ valur ta' EUR 47.6 biljun sal-2030. Madankollu, EUR 1 sa 4 biljun biss minnhom se jkunu meħtieġa direttament mill</w:t>
            </w:r>
            <w:r>
              <w:noBreakHyphen/>
              <w:t>miżuri inkwistjoni. Fl-aħħar nett, dan se jikkorrispondi għal tnaqqis fl-infiq annwali tal-enerġija ta' bejn EUR 24 u 36 biljun għan</w:t>
            </w:r>
            <w:r>
              <w:noBreakHyphen/>
              <w:t xml:space="preserve">negozji u għall-unitajiet domestiċi. 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Kif se jintlaqtu n-negozji, l-SMEs u l-mikrointrapriżi?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0F476C" w:rsidRPr="009E552D" w:rsidRDefault="009E552D" w:rsidP="009E552D">
            <w:pPr>
              <w:spacing w:after="120"/>
              <w:rPr>
                <w:rFonts w:cs="Arial"/>
                <w:i/>
                <w:szCs w:val="20"/>
              </w:rPr>
            </w:pPr>
            <w:r>
              <w:t>Fost il-kumpaniji tas-settur tal-kostruzzjoni, 99 % huma SMEs. L-għażla ppreferuta toħloq opportunitajiet ġodda tan-negozju, b’mod partikolari fir-rigward tar-rinnovazzjoni tal-bini, u b’hekk tagħti spinta lid-domanda għal teknoloġiji u sistemi tal-effiċjenza fl-enerġija u tal-enerġija rinnovabbli. Biex jieħdu vantaġġ sħiħ mill-opportunitajiet il-ġodda li jġib miegħu suq akbar tar-rinnovazzjoni, l-SMEs se jkollhom itejbu l-ħiliet tal-ħaddiema tagħhom li jaħdmu fuq il</w:t>
            </w:r>
            <w:r>
              <w:noBreakHyphen/>
              <w:t>post. Madankollu, il-manifatturi u d-distributuri tal-prodotti tal-kostruzzjoni ta’ spiss jipprovdu taħriġ u f’ħafna pajjiżi hemm ukoll appoġġ finanzjarju (minn fondi nazzjonali u tal-UE) biex jittejbu l-ħiliet tal-ħaddiema tal-kostruzzjoni.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Se jkun hemm impatti sinifikanti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fuq il-baġits u l-amministrazzjonijiet nazzjonali?</w:t>
            </w:r>
          </w:p>
        </w:tc>
      </w:tr>
      <w:tr w:rsidR="000F476C" w:rsidRPr="009E552D" w:rsidTr="00A11B4F">
        <w:tc>
          <w:tcPr>
            <w:tcW w:w="10188" w:type="dxa"/>
            <w:shd w:val="clear" w:color="auto" w:fill="auto"/>
          </w:tcPr>
          <w:p w:rsidR="009F244C" w:rsidRPr="009E552D" w:rsidRDefault="008E081D" w:rsidP="009E552D">
            <w:pPr>
              <w:spacing w:after="120"/>
              <w:rPr>
                <w:rFonts w:cs="Arial"/>
                <w:szCs w:val="20"/>
              </w:rPr>
            </w:pPr>
            <w:r>
              <w:t>Il-kalkoli tal-ispejjeż amministrattivi (bl-użu tal-mudell tal-kost standard) juru li l-għażla ppreferuta tirriżulta fi tnaqqis tal-piż nett totali ta’ EUR 98.1 miljun fis-sena (EUR 981 miljun għall-perjodu bejn l-2020 u l-2030), li jikkorrispondi għal tnaqqis ta’ madwar EUR 108.5 miljun fis-sena għas-settur privat u għal żieda żgħira (ta’ madwar EUR 10.4 miljun) għas-settur pubbliku. B’mod ġenerali, il-pożizzjoni tal-baġit pubbliku titjieb kemxejn bis-saħħa taż-żieda mistennija fl-attività ekonomika. Mil-lat tad-dħul, hemm tnaqqis żgħir fid-dħul mit-taxxi tas-sisa fuq l-enerġija u mill-prezzijiet fl-iskema għan-negozjar tal-emissjonijiet (l-ETS). Hemm tnaqqis fid-dħul ġenerali mill-VAT, li jinkludi l-VAT mill-enerġija, u l-impatti deflazzjonarji fix-xenarju jirriżultaw fi tnaqqis żgħir fid-dħul mit-taxxa bil-prezzijiet kurrenti. Madankollu, id-dħul mit-taxxa fuq il-kumpaniji se jiżdied minħabba li l-profitti tal-kumpaniji se jiżdiedu minħabba prezzijiet aktar baxxi tal-enerġija. Mil-lat tal-infiq, il-gvernijiet se jonfqu inqas fuq l-enerġija wara li jimplimentaw il-miżuri proposti u l-flus iffrankati se jintużaw biex jiġu ffinanzjati l-investimenti fl-effiċjenza fl-</w:t>
            </w:r>
            <w:r>
              <w:lastRenderedPageBreak/>
              <w:t>enerġija.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0F476C" w:rsidRPr="009E552D" w:rsidRDefault="000F476C" w:rsidP="00EB4D9D">
            <w:pPr>
              <w:keepNext/>
              <w:spacing w:before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>Se jkun hemm impatti sinifikanti oħra?</w:t>
            </w:r>
          </w:p>
        </w:tc>
      </w:tr>
      <w:tr w:rsidR="000F476C" w:rsidRPr="009E552D" w:rsidTr="00A11B4F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0F476C" w:rsidRPr="009E552D" w:rsidRDefault="000F476C" w:rsidP="00D8219A">
            <w:pPr>
              <w:spacing w:after="120"/>
              <w:rPr>
                <w:rFonts w:cs="Arial"/>
                <w:szCs w:val="20"/>
              </w:rPr>
            </w:pPr>
            <w:r>
              <w:t xml:space="preserve">Iva. Se jittaffa l-faqar enerġetiku, li huwa prevalenti f’bini qadim li mhux rinnovat. Skont l-istatistika tal-Eurostat imsejħa "SILC", madwar 10.8 % tal-unitajiet domestiċi (jiġifieri 23.3 miljun unità domestika) jgħixu fil-faqar enerġetiku. </w:t>
            </w:r>
          </w:p>
        </w:tc>
      </w:tr>
      <w:tr w:rsidR="00E55E89" w:rsidTr="00E55E89">
        <w:tblPrEx>
          <w:tblLook w:val="04A0" w:firstRow="1" w:lastRow="0" w:firstColumn="1" w:lastColumn="0" w:noHBand="0" w:noVBand="1"/>
        </w:tblPrEx>
        <w:tc>
          <w:tcPr>
            <w:tcW w:w="10188" w:type="dxa"/>
            <w:hideMark/>
          </w:tcPr>
          <w:p w:rsidR="00E55E89" w:rsidRDefault="00E55E89" w:rsidP="00E55E89">
            <w:pPr>
              <w:spacing w:before="60" w:after="60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Cs w:val="22"/>
                <w:lang w:eastAsia="en-US"/>
              </w:rPr>
              <w:t>D. Segwitu</w:t>
            </w:r>
          </w:p>
        </w:tc>
      </w:tr>
      <w:tr w:rsidR="00E55E89" w:rsidTr="00E55E89">
        <w:tblPrEx>
          <w:tblLook w:val="04A0" w:firstRow="1" w:lastRow="0" w:firstColumn="1" w:lastColumn="0" w:noHBand="0" w:noVBand="1"/>
        </w:tblPrEx>
        <w:tc>
          <w:tcPr>
            <w:tcW w:w="10188" w:type="dxa"/>
            <w:hideMark/>
          </w:tcPr>
          <w:p w:rsidR="00E55E89" w:rsidRDefault="00E55E89">
            <w:pPr>
              <w:keepNext/>
              <w:spacing w:before="60"/>
              <w:rPr>
                <w:rFonts w:ascii="Tahoma" w:hAnsi="Tahoma" w:cs="Tahoma"/>
                <w:sz w:val="16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eastAsia="en-US"/>
              </w:rPr>
              <w:t xml:space="preserve">Meta se tiġi riveduta l-politika </w:t>
            </w:r>
          </w:p>
        </w:tc>
      </w:tr>
      <w:tr w:rsidR="00E55E89" w:rsidTr="00E55E89">
        <w:tblPrEx>
          <w:tblLook w:val="04A0" w:firstRow="1" w:lastRow="0" w:firstColumn="1" w:lastColumn="0" w:noHBand="0" w:noVBand="1"/>
        </w:tblPrEx>
        <w:tc>
          <w:tcPr>
            <w:tcW w:w="10188" w:type="dxa"/>
            <w:hideMark/>
          </w:tcPr>
          <w:p w:rsidR="00E55E89" w:rsidRDefault="00E55E89" w:rsidP="00E55E89">
            <w:pPr>
              <w:rPr>
                <w:lang w:eastAsia="en-US"/>
              </w:rPr>
            </w:pPr>
            <w:r>
              <w:rPr>
                <w:lang w:eastAsia="en-US"/>
              </w:rPr>
              <w:t>Ir-riżultati tal-implimentazzjonital-EPBD se jkunu vvalutati darba kull għaxar snin. Allura r-reviżjoni li jmiss hija prevista għall-bidu tal-2028.</w:t>
            </w:r>
          </w:p>
        </w:tc>
      </w:tr>
    </w:tbl>
    <w:p w:rsidR="00170145" w:rsidRPr="00A65403" w:rsidRDefault="00170145" w:rsidP="00F13B94"/>
    <w:sectPr w:rsidR="00170145" w:rsidRPr="00A65403" w:rsidSect="00D071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06" w:rsidRPr="00357F30" w:rsidRDefault="00874F06" w:rsidP="00B230F1">
      <w:pPr>
        <w:spacing w:before="0"/>
      </w:pPr>
      <w:r>
        <w:separator/>
      </w:r>
    </w:p>
  </w:endnote>
  <w:endnote w:type="continuationSeparator" w:id="0">
    <w:p w:rsidR="00874F06" w:rsidRPr="00357F30" w:rsidRDefault="00874F06" w:rsidP="00B230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03" w:rsidRPr="00A65403" w:rsidRDefault="00A65403" w:rsidP="00A65403">
    <w:pPr>
      <w:pStyle w:val="FooterCoverPage"/>
      <w:rPr>
        <w:rFonts w:ascii="Arial" w:hAnsi="Arial" w:cs="Arial"/>
        <w:b/>
        <w:sz w:val="48"/>
      </w:rPr>
    </w:pPr>
    <w:r w:rsidRPr="00A65403">
      <w:rPr>
        <w:rFonts w:ascii="Arial" w:hAnsi="Arial" w:cs="Arial"/>
        <w:b/>
        <w:sz w:val="48"/>
      </w:rPr>
      <w:t>MT</w:t>
    </w:r>
    <w:r w:rsidRPr="00A65403">
      <w:rPr>
        <w:rFonts w:ascii="Arial" w:hAnsi="Arial" w:cs="Arial"/>
        <w:b/>
        <w:sz w:val="48"/>
      </w:rPr>
      <w:tab/>
    </w:r>
    <w:r w:rsidRPr="00A6540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65403">
      <w:tab/>
    </w:r>
    <w:r w:rsidRPr="00A65403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B" w:rsidRPr="00357F30" w:rsidRDefault="00FF09F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7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173" w:rsidRDefault="00D07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9FB" w:rsidRPr="00357F30" w:rsidRDefault="00FF09F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B" w:rsidRPr="00357F30" w:rsidRDefault="00FF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06" w:rsidRPr="00357F30" w:rsidRDefault="00874F06" w:rsidP="00B230F1">
      <w:pPr>
        <w:spacing w:before="0"/>
      </w:pPr>
      <w:r>
        <w:separator/>
      </w:r>
    </w:p>
  </w:footnote>
  <w:footnote w:type="continuationSeparator" w:id="0">
    <w:p w:rsidR="00874F06" w:rsidRPr="00357F30" w:rsidRDefault="00874F06" w:rsidP="00B230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B" w:rsidRPr="00357F30" w:rsidRDefault="00FF09F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B" w:rsidRPr="00357F30" w:rsidRDefault="00FF09F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B" w:rsidRPr="00357F30" w:rsidRDefault="00FF0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9F7"/>
    <w:multiLevelType w:val="hybridMultilevel"/>
    <w:tmpl w:val="340E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0B33"/>
    <w:multiLevelType w:val="hybridMultilevel"/>
    <w:tmpl w:val="C8842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21057"/>
    <w:multiLevelType w:val="hybridMultilevel"/>
    <w:tmpl w:val="33F0D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C17"/>
    <w:multiLevelType w:val="hybridMultilevel"/>
    <w:tmpl w:val="BB00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0FCD"/>
    <w:multiLevelType w:val="hybridMultilevel"/>
    <w:tmpl w:val="D12886F2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C4836FA"/>
    <w:multiLevelType w:val="hybridMultilevel"/>
    <w:tmpl w:val="A38808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4F5C"/>
    <w:multiLevelType w:val="hybridMultilevel"/>
    <w:tmpl w:val="7228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3522B"/>
    <w:multiLevelType w:val="hybridMultilevel"/>
    <w:tmpl w:val="268E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sco Ferreira">
    <w15:presenceInfo w15:providerId="Windows Live" w15:userId="044f8cb88ff3c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i jakkumpanja d-dokument"/>
    <w:docVar w:name="LW_CONFIDENCE" w:val=" "/>
    <w:docVar w:name="LW_CONST_RESTREINT_UE" w:val="RESTREINT UE/EU RESTRICTED"/>
    <w:docVar w:name="LW_CORRIGENDUM" w:val="&lt;UNUSED&gt;"/>
    <w:docVar w:name="LW_COVERPAGE_GUID" w:val="4B0D19D79F644C7E861DA810C889E5F9"/>
    <w:docVar w:name="LW_CROSSREFERENCE" w:val="{COM(2016) 765 final}_x000a_{SWD(2016) 414 final}"/>
    <w:docVar w:name="LW_DocType" w:val="NORMAL"/>
    <w:docVar w:name="LW_EMISSION" w:val="30.11.2016"/>
    <w:docVar w:name="LW_EMISSION_ISODATE" w:val="2016-11-30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SWD"/>
    <w:docVar w:name="LW_REF.INST.NEW_ADOPTED" w:val="final"/>
    <w:docVar w:name="LW_REF.INST.NEW_TEXT" w:val="(2016) 415"/>
    <w:docVar w:name="LW_REF.INTERNE" w:val="&lt;UNUSED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Proposta g\u295?al Direttiva tal-Parlament Ewropew u tal-Kunsill _x000b_li temenda d-Direttiva 2010/31/EU dwar ir-Rendiment tal-Bini fl-U\u380?u tal-Ener\u289?ija _x000b_"/>
    <w:docVar w:name="Stamp" w:val="\\dossiers.dgt.cec.eu.int\dossiers\ENER\ENER-2016-00842\ENER-2016-00842-00-02-EN-REV-00.201609081423339089583.DOCX"/>
  </w:docVars>
  <w:rsids>
    <w:rsidRoot w:val="000F476C"/>
    <w:rsid w:val="00015385"/>
    <w:rsid w:val="00042761"/>
    <w:rsid w:val="000458C3"/>
    <w:rsid w:val="000559CC"/>
    <w:rsid w:val="00063AF2"/>
    <w:rsid w:val="00091B4F"/>
    <w:rsid w:val="00092E92"/>
    <w:rsid w:val="000D4C7D"/>
    <w:rsid w:val="000F476C"/>
    <w:rsid w:val="000F5ECE"/>
    <w:rsid w:val="00111EA0"/>
    <w:rsid w:val="0012740F"/>
    <w:rsid w:val="00170145"/>
    <w:rsid w:val="00171836"/>
    <w:rsid w:val="001E5814"/>
    <w:rsid w:val="001F6250"/>
    <w:rsid w:val="002071F8"/>
    <w:rsid w:val="002346A9"/>
    <w:rsid w:val="00245ABF"/>
    <w:rsid w:val="00254677"/>
    <w:rsid w:val="00287DA0"/>
    <w:rsid w:val="002C7227"/>
    <w:rsid w:val="00357F30"/>
    <w:rsid w:val="003A33D5"/>
    <w:rsid w:val="00416B6C"/>
    <w:rsid w:val="00437003"/>
    <w:rsid w:val="004723D4"/>
    <w:rsid w:val="004B63CB"/>
    <w:rsid w:val="00515CCB"/>
    <w:rsid w:val="00515D49"/>
    <w:rsid w:val="00527A8B"/>
    <w:rsid w:val="00532E0F"/>
    <w:rsid w:val="00570DBD"/>
    <w:rsid w:val="00575A53"/>
    <w:rsid w:val="005B1395"/>
    <w:rsid w:val="005B3FD5"/>
    <w:rsid w:val="005B4310"/>
    <w:rsid w:val="005C7BB9"/>
    <w:rsid w:val="005D77E3"/>
    <w:rsid w:val="0061799A"/>
    <w:rsid w:val="006515D0"/>
    <w:rsid w:val="00657B19"/>
    <w:rsid w:val="00662E0A"/>
    <w:rsid w:val="006833B5"/>
    <w:rsid w:val="006B7437"/>
    <w:rsid w:val="006C4C6A"/>
    <w:rsid w:val="006F00D8"/>
    <w:rsid w:val="006F4F7A"/>
    <w:rsid w:val="007003F3"/>
    <w:rsid w:val="00713E43"/>
    <w:rsid w:val="00745E1E"/>
    <w:rsid w:val="007A5386"/>
    <w:rsid w:val="007E3866"/>
    <w:rsid w:val="007F7E3E"/>
    <w:rsid w:val="008248F7"/>
    <w:rsid w:val="008307F2"/>
    <w:rsid w:val="00874F06"/>
    <w:rsid w:val="008840C6"/>
    <w:rsid w:val="008A0670"/>
    <w:rsid w:val="008D21E4"/>
    <w:rsid w:val="008E081D"/>
    <w:rsid w:val="008E733F"/>
    <w:rsid w:val="009028B3"/>
    <w:rsid w:val="00952473"/>
    <w:rsid w:val="009D3EC8"/>
    <w:rsid w:val="009E552D"/>
    <w:rsid w:val="009F244C"/>
    <w:rsid w:val="009F2A60"/>
    <w:rsid w:val="00A07756"/>
    <w:rsid w:val="00A11B4F"/>
    <w:rsid w:val="00A30BDF"/>
    <w:rsid w:val="00A457DF"/>
    <w:rsid w:val="00A65403"/>
    <w:rsid w:val="00AA728D"/>
    <w:rsid w:val="00AD2568"/>
    <w:rsid w:val="00AE56C3"/>
    <w:rsid w:val="00AE6F95"/>
    <w:rsid w:val="00AF6635"/>
    <w:rsid w:val="00B147F4"/>
    <w:rsid w:val="00B230F1"/>
    <w:rsid w:val="00BC2883"/>
    <w:rsid w:val="00BD330F"/>
    <w:rsid w:val="00BE416A"/>
    <w:rsid w:val="00C125A2"/>
    <w:rsid w:val="00C37E0A"/>
    <w:rsid w:val="00C45EE9"/>
    <w:rsid w:val="00C5103A"/>
    <w:rsid w:val="00C51B00"/>
    <w:rsid w:val="00C55590"/>
    <w:rsid w:val="00C55DB0"/>
    <w:rsid w:val="00C76518"/>
    <w:rsid w:val="00C91EB6"/>
    <w:rsid w:val="00C97EBA"/>
    <w:rsid w:val="00CC48B4"/>
    <w:rsid w:val="00CE4BFE"/>
    <w:rsid w:val="00D07173"/>
    <w:rsid w:val="00D10F5F"/>
    <w:rsid w:val="00D2722F"/>
    <w:rsid w:val="00D27A65"/>
    <w:rsid w:val="00D8219A"/>
    <w:rsid w:val="00DB4271"/>
    <w:rsid w:val="00DE55F4"/>
    <w:rsid w:val="00DF6F2B"/>
    <w:rsid w:val="00E00DB8"/>
    <w:rsid w:val="00E0533A"/>
    <w:rsid w:val="00E55E89"/>
    <w:rsid w:val="00E827DF"/>
    <w:rsid w:val="00E828C4"/>
    <w:rsid w:val="00EB4D9D"/>
    <w:rsid w:val="00EC4E5A"/>
    <w:rsid w:val="00F13B94"/>
    <w:rsid w:val="00F34F0C"/>
    <w:rsid w:val="00F6038C"/>
    <w:rsid w:val="00F64384"/>
    <w:rsid w:val="00F67E1F"/>
    <w:rsid w:val="00F72BC3"/>
    <w:rsid w:val="00FA32F5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9D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C8"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C8"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C8"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sid w:val="00B230F1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B230F1"/>
    <w:pPr>
      <w:spacing w:before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rsid w:val="00B230F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30F1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styleId="Footer">
    <w:name w:val="footer"/>
    <w:basedOn w:val="Normal"/>
    <w:link w:val="FooterChar"/>
    <w:uiPriority w:val="99"/>
    <w:unhideWhenUsed/>
    <w:rsid w:val="00B230F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30F1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customStyle="1" w:styleId="FooterCoverPage">
    <w:name w:val="Footer Cover Page"/>
    <w:basedOn w:val="Normal"/>
    <w:link w:val="FooterCoverPageChar"/>
    <w:rsid w:val="00B230F1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  <w:rPr>
      <w:rFonts w:ascii="Times New Roman" w:hAnsi="Times New Roman"/>
      <w:sz w:val="24"/>
      <w:szCs w:val="22"/>
    </w:rPr>
  </w:style>
  <w:style w:type="character" w:customStyle="1" w:styleId="FooterCoverPageChar">
    <w:name w:val="Footer Cover Page Char"/>
    <w:basedOn w:val="DefaultParagraphFont"/>
    <w:link w:val="FooterCoverPage"/>
    <w:rsid w:val="00B230F1"/>
    <w:rPr>
      <w:rFonts w:ascii="Times New Roman" w:eastAsia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rsid w:val="00B230F1"/>
    <w:pPr>
      <w:tabs>
        <w:tab w:val="center" w:pos="4535"/>
        <w:tab w:val="right" w:pos="9071"/>
      </w:tabs>
      <w:spacing w:before="0" w:after="120"/>
    </w:pPr>
    <w:rPr>
      <w:rFonts w:ascii="Times New Roman" w:hAnsi="Times New Roman"/>
      <w:sz w:val="24"/>
      <w:szCs w:val="22"/>
    </w:rPr>
  </w:style>
  <w:style w:type="character" w:customStyle="1" w:styleId="HeaderCoverPageChar">
    <w:name w:val="Header Cover Page Char"/>
    <w:basedOn w:val="DefaultParagraphFont"/>
    <w:link w:val="HeaderCoverPage"/>
    <w:rsid w:val="00B230F1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827DF"/>
    <w:pPr>
      <w:spacing w:before="0"/>
      <w:ind w:left="720"/>
      <w:contextualSpacing/>
    </w:pPr>
  </w:style>
  <w:style w:type="paragraph" w:styleId="Revision">
    <w:name w:val="Revision"/>
    <w:hidden/>
    <w:uiPriority w:val="99"/>
    <w:semiHidden/>
    <w:rsid w:val="0006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31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54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9D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C8"/>
    <w:rPr>
      <w:rFonts w:ascii="Times New Roman" w:eastAsia="Times New Roman" w:hAnsi="Times New Roman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C8"/>
    <w:rPr>
      <w:rFonts w:ascii="Times New Roman" w:eastAsia="Times New Roman" w:hAnsi="Times New Roman" w:cs="Times New Roman"/>
      <w:b/>
      <w:bCs/>
      <w:sz w:val="20"/>
      <w:szCs w:val="20"/>
      <w:lang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C8"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sid w:val="00B230F1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B230F1"/>
    <w:pPr>
      <w:spacing w:before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rsid w:val="00B230F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30F1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styleId="Footer">
    <w:name w:val="footer"/>
    <w:basedOn w:val="Normal"/>
    <w:link w:val="FooterChar"/>
    <w:uiPriority w:val="99"/>
    <w:unhideWhenUsed/>
    <w:rsid w:val="00B230F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30F1"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customStyle="1" w:styleId="FooterCoverPage">
    <w:name w:val="Footer Cover Page"/>
    <w:basedOn w:val="Normal"/>
    <w:link w:val="FooterCoverPageChar"/>
    <w:rsid w:val="00B230F1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  <w:rPr>
      <w:rFonts w:ascii="Times New Roman" w:hAnsi="Times New Roman"/>
      <w:sz w:val="24"/>
      <w:szCs w:val="22"/>
    </w:rPr>
  </w:style>
  <w:style w:type="character" w:customStyle="1" w:styleId="FooterCoverPageChar">
    <w:name w:val="Footer Cover Page Char"/>
    <w:basedOn w:val="DefaultParagraphFont"/>
    <w:link w:val="FooterCoverPage"/>
    <w:rsid w:val="00B230F1"/>
    <w:rPr>
      <w:rFonts w:ascii="Times New Roman" w:eastAsia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rsid w:val="00B230F1"/>
    <w:pPr>
      <w:tabs>
        <w:tab w:val="center" w:pos="4535"/>
        <w:tab w:val="right" w:pos="9071"/>
      </w:tabs>
      <w:spacing w:before="0" w:after="120"/>
    </w:pPr>
    <w:rPr>
      <w:rFonts w:ascii="Times New Roman" w:hAnsi="Times New Roman"/>
      <w:sz w:val="24"/>
      <w:szCs w:val="22"/>
    </w:rPr>
  </w:style>
  <w:style w:type="character" w:customStyle="1" w:styleId="HeaderCoverPageChar">
    <w:name w:val="Header Cover Page Char"/>
    <w:basedOn w:val="DefaultParagraphFont"/>
    <w:link w:val="HeaderCoverPage"/>
    <w:rsid w:val="00B230F1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827DF"/>
    <w:pPr>
      <w:spacing w:before="0"/>
      <w:ind w:left="720"/>
      <w:contextualSpacing/>
    </w:pPr>
  </w:style>
  <w:style w:type="paragraph" w:styleId="Revision">
    <w:name w:val="Revision"/>
    <w:hidden/>
    <w:uiPriority w:val="99"/>
    <w:semiHidden/>
    <w:rsid w:val="0006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31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5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ec.europa.eu/smart-regulation/roadmaps/docs/2016_ener_001_epbd_smart_buildings_en.pdf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BB59-24C5-4D90-B9F4-D464C71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1616</Words>
  <Characters>10509</Characters>
  <Application>Microsoft Office Word</Application>
  <DocSecurity>0</DocSecurity>
  <Lines>133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14</cp:revision>
  <cp:lastPrinted>2016-08-10T12:00:00Z</cp:lastPrinted>
  <dcterms:created xsi:type="dcterms:W3CDTF">2016-09-22T11:59:00Z</dcterms:created>
  <dcterms:modified xsi:type="dcterms:W3CDTF">2016-11-29T17:06:00Z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