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6FB962E58E24712A87AEF8221726744" style="width:450.75pt;height:46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lastRenderedPageBreak/>
        <w:t>MELLÉKLET</w:t>
      </w:r>
    </w:p>
    <w:p>
      <w:pPr>
        <w:rPr>
          <w:i/>
          <w:noProof/>
        </w:rPr>
      </w:pPr>
      <w:r>
        <w:rPr>
          <w:noProof/>
        </w:rPr>
        <w:t>Az irányelv mellékletei az alábbiak szerint módosulnak:</w:t>
      </w:r>
    </w:p>
    <w:p>
      <w:pPr>
        <w:pStyle w:val="NumPar1"/>
        <w:numPr>
          <w:ilvl w:val="0"/>
          <w:numId w:val="1"/>
        </w:numPr>
        <w:rPr>
          <w:noProof/>
        </w:rPr>
      </w:pPr>
      <w:r>
        <w:rPr>
          <w:noProof/>
        </w:rPr>
        <w:t>Az I. melléklet a következőképpen módosul:</w:t>
      </w:r>
    </w:p>
    <w:p>
      <w:pPr>
        <w:pStyle w:val="Point1"/>
        <w:rPr>
          <w:noProof/>
        </w:rPr>
      </w:pPr>
      <w:r>
        <w:rPr>
          <w:noProof/>
        </w:rPr>
        <w:t>a)</w:t>
      </w:r>
      <w:r>
        <w:rPr>
          <w:noProof/>
        </w:rPr>
        <w:tab/>
        <w:t xml:space="preserve">az 1. pont helyébe a következő szöveg lép: </w:t>
      </w:r>
    </w:p>
    <w:p>
      <w:pPr>
        <w:pStyle w:val="Text2"/>
        <w:rPr>
          <w:noProof/>
        </w:rPr>
      </w:pPr>
      <w:r>
        <w:rPr>
          <w:noProof/>
        </w:rPr>
        <w:t>„1.</w:t>
      </w:r>
      <w:r>
        <w:rPr>
          <w:noProof/>
        </w:rPr>
        <w:tab/>
        <w:t>Egy épület energiahatékonysági teljesítménye a helyiségeinek fűtéséhez, hűtéséhez, háztartási meleg vízzel való ellátásához, szellőztetéséhez és megvilágításához szükséges szokásos energiaigényét tükrözi.</w:t>
      </w:r>
    </w:p>
    <w:p>
      <w:pPr>
        <w:pStyle w:val="Text2"/>
        <w:rPr>
          <w:noProof/>
        </w:rPr>
      </w:pPr>
      <w:r>
        <w:rPr>
          <w:noProof/>
        </w:rPr>
        <w:t xml:space="preserve">Egy épület energiahatékonyságát a primer energiahasználat kWh/m²/év egységben kifejezett számszerű mutatójával kell jellemezni, mely mind az energiahatékonysági tanúsítás céljából, mind pedig az energiahatékonysági minimumkövetelmények szempontjából egységesítésre került. Az energiahatékonyságnak és az annak meghatározásához használt módszernek mindenképpen átláthatónak és az innovációra nyitottnak kell lennie. </w:t>
      </w:r>
    </w:p>
    <w:p>
      <w:pPr>
        <w:pStyle w:val="Text2"/>
        <w:rPr>
          <w:noProof/>
        </w:rPr>
      </w:pPr>
      <w:r>
        <w:rPr>
          <w:noProof/>
        </w:rPr>
        <w:t xml:space="preserve">A tagállamoknak az Európai Bizottság által az Európai Szabványügyi Bizottságnak (CEN) adott M/480. sz. megbízás értelmében kidolgozott, kapcsolódó európai szabványok nemzeti mellékletekre vonatkozó kerete alapján kell ismertetniük nemzeti számítási módszerüket.”; </w:t>
      </w:r>
    </w:p>
    <w:p>
      <w:pPr>
        <w:pStyle w:val="Point1"/>
        <w:rPr>
          <w:noProof/>
        </w:rPr>
      </w:pPr>
      <w:r>
        <w:rPr>
          <w:noProof/>
        </w:rPr>
        <w:t>b)</w:t>
      </w:r>
      <w:r>
        <w:rPr>
          <w:noProof/>
        </w:rPr>
        <w:tab/>
        <w:t xml:space="preserve">a 2. pont helyébe a következő szöveg lép: </w:t>
      </w:r>
    </w:p>
    <w:p>
      <w:pPr>
        <w:pStyle w:val="Text2"/>
        <w:rPr>
          <w:noProof/>
        </w:rPr>
      </w:pPr>
      <w:r>
        <w:rPr>
          <w:noProof/>
        </w:rPr>
        <w:t>„2.</w:t>
      </w:r>
      <w:r>
        <w:rPr>
          <w:noProof/>
        </w:rPr>
        <w:tab/>
        <w:t xml:space="preserve">A helyiségek fűtéséhez, hűtéséhez, háztartási célú meleg vízzel való ellátásához és megfelelő szellőztetéséhez szükséges energia mennyiségét úgy kell kiszámítani, hogy az biztosítsa a tagállamok által meghatározott minimális egészségügyi és kényelmi szintet. </w:t>
      </w:r>
    </w:p>
    <w:p>
      <w:pPr>
        <w:pStyle w:val="Text2"/>
        <w:rPr>
          <w:noProof/>
        </w:rPr>
      </w:pPr>
      <w:r>
        <w:rPr>
          <w:noProof/>
        </w:rPr>
        <w:t xml:space="preserve">A primerenergia kiszámítását az energiahordozónkénti primerenergia-tényezőkre kell alapozni, amelyek nemzeti vagy regionális, éves súlyozott átlagokon vagy ennél pontosabb, az egyes központi energiaellátási rendszerekből származó adatokon alapulhatnak. </w:t>
      </w:r>
    </w:p>
    <w:p>
      <w:pPr>
        <w:pStyle w:val="Text2"/>
        <w:rPr>
          <w:noProof/>
        </w:rPr>
      </w:pPr>
      <w:r>
        <w:rPr>
          <w:noProof/>
        </w:rPr>
        <w:t>A primerenergia-tényezőkből levonandó a megújuló energiák energiahordozókon belül aránya, így a számítás azonos módon veszi figyelembe: a) a megújuló forrásból helyben előállított energiát (az egyéni mérőóra után, vagyis ami nem számít biztosítottnak), és b) az energiahordozón keresztül biztosított, megújuló forrásból származó energiát.”;</w:t>
      </w:r>
    </w:p>
    <w:p>
      <w:pPr>
        <w:pStyle w:val="Point1"/>
        <w:rPr>
          <w:noProof/>
        </w:rPr>
      </w:pPr>
      <w:r>
        <w:rPr>
          <w:noProof/>
        </w:rPr>
        <w:t>c)</w:t>
      </w:r>
      <w:r>
        <w:rPr>
          <w:noProof/>
        </w:rPr>
        <w:tab/>
        <w:t>a 4. pontban a bevezető mondat helyébe a következő szöveg lép:</w:t>
      </w:r>
    </w:p>
    <w:p>
      <w:pPr>
        <w:pStyle w:val="Text2"/>
        <w:rPr>
          <w:noProof/>
        </w:rPr>
      </w:pPr>
      <w:r>
        <w:rPr>
          <w:noProof/>
        </w:rPr>
        <w:t>„4.</w:t>
      </w:r>
      <w:r>
        <w:rPr>
          <w:noProof/>
        </w:rPr>
        <w:tab/>
        <w:t>Figyelembe kell venni a következő szempontok kedvező hatását:”;</w:t>
      </w:r>
    </w:p>
    <w:p>
      <w:pPr>
        <w:pStyle w:val="NumPar1"/>
        <w:numPr>
          <w:ilvl w:val="0"/>
          <w:numId w:val="1"/>
        </w:numPr>
        <w:rPr>
          <w:noProof/>
        </w:rPr>
      </w:pPr>
      <w:r>
        <w:rPr>
          <w:noProof/>
        </w:rPr>
        <w:t>A II. melléklet a következőképpen módosul:</w:t>
      </w:r>
    </w:p>
    <w:p>
      <w:pPr>
        <w:pStyle w:val="Point1"/>
        <w:rPr>
          <w:noProof/>
        </w:rPr>
      </w:pPr>
      <w:r>
        <w:rPr>
          <w:noProof/>
        </w:rPr>
        <w:t>a)</w:t>
      </w:r>
      <w:r>
        <w:rPr>
          <w:noProof/>
        </w:rPr>
        <w:tab/>
        <w:t>az 1. pont első bekezdésének helyébe a következő szöveg lép:</w:t>
      </w:r>
    </w:p>
    <w:p>
      <w:pPr>
        <w:pStyle w:val="Text2"/>
        <w:ind w:left="1440" w:hanging="23"/>
        <w:rPr>
          <w:noProof/>
        </w:rPr>
      </w:pPr>
      <w:r>
        <w:rPr>
          <w:noProof/>
        </w:rPr>
        <w:t>„1. Az illetékes hatóságok vagy azon szervek, amelyekre az illetékes hatóságok átruházták a független ellenőrzési rendszer működtetésére vonatkozó hatáskört, véletlenszerűen kiválasztják az évente kiállított összes energiahatékonysági tanúsítvány egy részét, és ezeket ellenőrzésnek vetik alá. A kiválasztott mintának elég nagynak kell lennie ahhoz, hogy statisztikailag jelentős eredményeket biztosítson.”;</w:t>
      </w:r>
    </w:p>
    <w:p>
      <w:pPr>
        <w:pStyle w:val="Point1"/>
        <w:rPr>
          <w:noProof/>
        </w:rPr>
      </w:pPr>
      <w:r>
        <w:rPr>
          <w:noProof/>
        </w:rPr>
        <w:t>b)</w:t>
      </w:r>
      <w:r>
        <w:rPr>
          <w:noProof/>
        </w:rPr>
        <w:tab/>
        <w:t>a melléklet a következő 3. ponttal egészül ki:</w:t>
      </w:r>
    </w:p>
    <w:p>
      <w:pPr>
        <w:pStyle w:val="Text2"/>
        <w:rPr>
          <w:noProof/>
        </w:rPr>
      </w:pPr>
      <w:r>
        <w:rPr>
          <w:noProof/>
        </w:rPr>
        <w:lastRenderedPageBreak/>
        <w:t>„3. Amikor egy adatbázis információkkal egészül ki, a nemzeti hatóságoknak nyomon követés és ellenőrzés céljából képeseknek kell lenniük a kiegészítés végzőjének azonosítására.”.</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15: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a következ\u337?höz:"/>
    <w:docVar w:name="LW_ANNEX_NBR_FIRST" w:val="1"/>
    <w:docVar w:name="LW_ANNEX_NBR_LAST" w:val="1"/>
    <w:docVar w:name="LW_CONFIDENCE" w:val=" "/>
    <w:docVar w:name="LW_CONST_RESTREINT_UE" w:val="RESTREINT UE"/>
    <w:docVar w:name="LW_CORRIGENDUM" w:val="&lt;UNUSED&gt;"/>
    <w:docVar w:name="LW_COVERPAGE_GUID" w:val="F6FB962E58E24712A87AEF8221726744"/>
    <w:docVar w:name="LW_CROSSREFERENCE" w:val="{SWD(2016) 408 final}_x000b_{SWD(2016) 409 final}_x000b_{SWD(2016) 414 final}_x000b_{SWD(2016) 415 final}"/>
    <w:docVar w:name="LW_DocType" w:val="ANNEX"/>
    <w:docVar w:name="LW_EMISSION" w:val="2016.11.30."/>
    <w:docVar w:name="LW_EMISSION_ISODATE" w:val="2016-11-30"/>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CP" w:val="Javaslat_x000b__x000b_AZ EURÓPAI PARLAMENT ÉS A TANÁCS IRÁNYELVE_x000b__x000b_az épületek emergiahatékonyságáról szóló 2010/31/EU irányelv módosításáról_x000b_"/>
    <w:docVar w:name="LW_PART_NBR" w:val="1"/>
    <w:docVar w:name="LW_PART_NBR_TOTAL" w:val="1"/>
    <w:docVar w:name="LW_REF.INST.NEW" w:val="COM"/>
    <w:docVar w:name="LW_REF.INST.NEW_ADOPTED" w:val="final"/>
    <w:docVar w:name="LW_REF.INST.NEW_TEXT" w:val="(2016) 765"/>
    <w:docVar w:name="LW_REF.INTERNE" w:val="&lt;UNUSED&gt;"/>
    <w:docVar w:name="LW_SUPERTITRE" w:val="&lt;UNUSED&gt;"/>
    <w:docVar w:name="LW_TITRE.OBJ.CP" w:val="&lt;UNUSED&gt;"/>
    <w:docVar w:name="LW_TYPE.DOC.CP" w:val="MELLÉKLE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customStyle="1" w:styleId="Text1Char">
    <w:name w:val="Text 1 Char"/>
    <w:basedOn w:val="DefaultParagraphFont"/>
    <w:rPr>
      <w:rFonts w:ascii="Times New Roman" w:hAnsi="Times New Roman" w:cs="Times New Roman"/>
      <w:sz w:val="24"/>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customStyle="1" w:styleId="Text1Char">
    <w:name w:val="Text 1 Char"/>
    <w:basedOn w:val="DefaultParagraphFont"/>
    <w:rPr>
      <w:rFonts w:ascii="Times New Roman" w:hAnsi="Times New Roman" w:cs="Times New Roman"/>
      <w:sz w:val="24"/>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9831-9AC0-4DC3-B796-466E4C40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344</Words>
  <Characters>2488</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2016-11-17T09:23:00Z</cp:lastPrinted>
  <dcterms:created xsi:type="dcterms:W3CDTF">2016-11-24T16:16:00Z</dcterms:created>
  <dcterms:modified xsi:type="dcterms:W3CDTF">2016-11-29T17:15:00Z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Green (DQC version 03)</vt:lpwstr>
  </property>
</Properties>
</file>