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E9401802419480F8CCAECECE2D17E0C"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before="360"/>
        <w:jc w:val="center"/>
        <w:rPr>
          <w:b/>
          <w:noProof/>
          <w:szCs w:val="22"/>
        </w:rPr>
      </w:pPr>
      <w:bookmarkStart w:id="1" w:name="_GoBack"/>
      <w:bookmarkEnd w:id="1"/>
      <w:r>
        <w:rPr>
          <w:b/>
          <w:noProof/>
        </w:rPr>
        <w:lastRenderedPageBreak/>
        <w:t>KOMISJONI ARUANNE EUROOPA PARLAMENDILE JA NÕUKOGULE</w:t>
      </w:r>
    </w:p>
    <w:p>
      <w:pPr>
        <w:spacing w:before="360" w:after="360"/>
        <w:jc w:val="center"/>
        <w:rPr>
          <w:b/>
          <w:noProof/>
          <w:szCs w:val="22"/>
        </w:rPr>
      </w:pPr>
      <w:r>
        <w:rPr>
          <w:b/>
          <w:noProof/>
        </w:rPr>
        <w:t>Aruanne Euroopa Parlamendi ja nõukogu 11. mai 2016. aasta määruse (EL) 2016/793 (teatavate võtmetähtsusega ravimite Euroopa Liidu turule kaubandusliku suunamise vältimise kohta) kohaldamise kohta</w:t>
      </w:r>
    </w:p>
    <w:p>
      <w:pPr>
        <w:spacing w:after="240"/>
        <w:jc w:val="both"/>
        <w:rPr>
          <w:rFonts w:eastAsia="Times New Roman"/>
          <w:noProof/>
        </w:rPr>
      </w:pPr>
      <w:r>
        <w:rPr>
          <w:noProof/>
        </w:rPr>
        <w:t>2016. aasta mais vastu võetud määrusega (EL) 2016/793</w:t>
      </w:r>
      <w:r>
        <w:rPr>
          <w:rStyle w:val="FootnoteReference"/>
          <w:noProof/>
        </w:rPr>
        <w:footnoteReference w:id="1"/>
      </w:r>
      <w:r>
        <w:rPr>
          <w:noProof/>
        </w:rPr>
        <w:t xml:space="preserve"> teatavate võtmetähtsusega ravimite Euroopa Liidu turule kaubandusliku suunamise vältimise kohta (edaspidi „määrus“) on kehtestatud kaitsemeetmed, millega takistatakse ravimite toimetamist vaestest arenguriikidest Euroopa Liitu. Vaeste riikide ja arenguriikide varustamine jätkuvalt madala hinnaga ravimitega on üks eesmärkidest, mis on seatud raskete haiguste (HIV/AIDS, malaaria ja tuberkuloos) vastu võitlemisel. </w:t>
      </w:r>
    </w:p>
    <w:p>
      <w:pPr>
        <w:spacing w:after="240"/>
        <w:jc w:val="both"/>
        <w:rPr>
          <w:rFonts w:eastAsia="Times New Roman"/>
          <w:noProof/>
        </w:rPr>
      </w:pPr>
      <w:r>
        <w:rPr>
          <w:noProof/>
        </w:rPr>
        <w:t>Selle eesmärgi saavutamiseks on Euroopa Komisjon korduvalt soovitanud rakendada ravimite puhul mitmetasandilise hinnasüsteemi poliitikat koos turu segmenteerimisega rikaste ja vaeste riikide vahel. Selline poliitika on kasulik, kuna see julgustab tootjaid turustama kõnealuseid ravimeid sihtriikides madalaima võimaliku (mitmetasandilise) hinnaga ning annab samas võimaluse korvata uurimis- ja arendustegevuse kulud arenenud riikides küsitava kõrgema hinnaga. Kõnealune strateegia on välja töötatud selleks, et elupäästvate ravimite tarned oleksid jätkusuutlikumad ja nende ravimite turustamine jätkuks.</w:t>
      </w:r>
    </w:p>
    <w:p>
      <w:pPr>
        <w:spacing w:after="240"/>
        <w:jc w:val="both"/>
        <w:rPr>
          <w:rFonts w:eastAsia="Times New Roman"/>
          <w:noProof/>
        </w:rPr>
      </w:pPr>
      <w:r>
        <w:rPr>
          <w:noProof/>
        </w:rPr>
        <w:t xml:space="preserve">See on üheksas aruanne, mis esitatakse määruse artikli 12 lõike 2 alusel, mille kohaselt peab komisjon Euroopa Parlamendile ja nõukogule iga kahe aasta järel esitama aruande määruse alusel registreeritud mitmetasandiliste hindadega eksporditud ravimite koguste kohta. Määruses on märgitud, et aruande koostamise käigus tuleb üle vaadata riikide ja haiguste loetelud ning artikli 3 rakendamise üldised kriteeriumid. </w:t>
      </w:r>
    </w:p>
    <w:p>
      <w:pPr>
        <w:spacing w:after="240"/>
        <w:jc w:val="both"/>
        <w:rPr>
          <w:rFonts w:eastAsia="Times New Roman"/>
          <w:noProof/>
        </w:rPr>
      </w:pPr>
      <w:r>
        <w:rPr>
          <w:noProof/>
        </w:rPr>
        <w:t>Käesolev aruanne hõlmab ajavahemikku 1. jaanuarist 2014 kuni 31. detsembrini 2015.</w:t>
      </w:r>
    </w:p>
    <w:p>
      <w:pPr>
        <w:spacing w:after="240"/>
        <w:jc w:val="both"/>
        <w:rPr>
          <w:rFonts w:eastAsia="Times New Roman"/>
          <w:noProof/>
          <w:color w:val="0000FF" w:themeColor="hyperlink"/>
          <w:sz w:val="20"/>
          <w:u w:val="single"/>
        </w:rPr>
      </w:pPr>
      <w:r>
        <w:rPr>
          <w:noProof/>
        </w:rPr>
        <w:t>Teave määruse alusel registreeritud toodete kohta, juhised ravimitootjatele, kes soovivad oma tooted registreerida,</w:t>
      </w:r>
      <w:r>
        <w:rPr>
          <w:noProof/>
          <w:vertAlign w:val="superscript"/>
        </w:rPr>
        <w:t xml:space="preserve"> </w:t>
      </w:r>
      <w:r>
        <w:rPr>
          <w:noProof/>
          <w:vertAlign w:val="superscript"/>
        </w:rPr>
        <w:footnoteReference w:id="2"/>
      </w:r>
      <w:r>
        <w:rPr>
          <w:noProof/>
        </w:rPr>
        <w:t xml:space="preserve"> ning varasemad aruanded on kättesaadavad veebis</w:t>
      </w:r>
      <w:r>
        <w:rPr>
          <w:rStyle w:val="FootnoteReference"/>
          <w:noProof/>
        </w:rPr>
        <w:footnoteReference w:id="3"/>
      </w:r>
      <w:r>
        <w:rPr>
          <w:noProof/>
        </w:rPr>
        <w:t xml:space="preserve">.  </w:t>
      </w:r>
    </w:p>
    <w:p>
      <w:pPr>
        <w:widowControl w:val="0"/>
        <w:numPr>
          <w:ilvl w:val="0"/>
          <w:numId w:val="2"/>
        </w:numPr>
        <w:tabs>
          <w:tab w:val="left" w:pos="1045"/>
        </w:tabs>
        <w:spacing w:after="113" w:line="244" w:lineRule="exact"/>
        <w:jc w:val="both"/>
        <w:rPr>
          <w:rFonts w:eastAsia="Times New Roman"/>
          <w:bCs/>
          <w:noProof/>
        </w:rPr>
      </w:pPr>
      <w:r>
        <w:rPr>
          <w:b/>
          <w:noProof/>
        </w:rPr>
        <w:t xml:space="preserve">MÄÄRUSE HINDAMINE ÕIGUSLOOME KVALITEEDI JA TULEMUSLIKKUSE PROGRAMMI ALUSEL </w:t>
      </w:r>
    </w:p>
    <w:p>
      <w:pPr>
        <w:spacing w:after="240"/>
        <w:jc w:val="both"/>
        <w:rPr>
          <w:rFonts w:eastAsia="Times New Roman"/>
          <w:noProof/>
        </w:rPr>
      </w:pPr>
      <w:r>
        <w:rPr>
          <w:noProof/>
        </w:rPr>
        <w:t>Määrust, sh riikide ja haiguste loetelu ning artikli 3 rakendamise üldisi kriteeriume hinnati 2016. aastal komisjoni õigusloome kvaliteedi ja tulemuslikkuse programmi (REFIT-programm) raames. Komisjon sõlmis välistöövõtjaga Charles River Associates lepingu määruse hindamist toetavate andmete kogumiseks</w:t>
      </w:r>
      <w:r>
        <w:rPr>
          <w:rStyle w:val="FootnoteReference"/>
          <w:noProof/>
        </w:rPr>
        <w:footnoteReference w:id="4"/>
      </w:r>
      <w:r>
        <w:rPr>
          <w:noProof/>
          <w:vertAlign w:val="superscript"/>
        </w:rPr>
        <w:t>,</w:t>
      </w:r>
      <w:r>
        <w:rPr>
          <w:noProof/>
          <w:vertAlign w:val="superscript"/>
        </w:rPr>
        <w:footnoteReference w:id="5"/>
      </w:r>
      <w:r>
        <w:rPr>
          <w:noProof/>
        </w:rPr>
        <w:t xml:space="preserve">. </w:t>
      </w:r>
    </w:p>
    <w:p>
      <w:pPr>
        <w:spacing w:after="240"/>
        <w:jc w:val="both"/>
        <w:rPr>
          <w:rFonts w:eastAsia="Times New Roman"/>
          <w:noProof/>
        </w:rPr>
      </w:pPr>
      <w:r>
        <w:rPr>
          <w:noProof/>
        </w:rPr>
        <w:t xml:space="preserve">Määrust hinnati nelja kriteeriumi – tulemuslikkuse, tõhususe, sidususe ja asjakohasuse – alusel ning lisaks hinnati õigusloome kvaliteedi ja tulemuslikkuse kriteeriumide põhjal seda, </w:t>
      </w:r>
      <w:r>
        <w:rPr>
          <w:noProof/>
        </w:rPr>
        <w:lastRenderedPageBreak/>
        <w:t>kas määrus on otstarbekas, kas selles seatud eesmärke on suudetud saavutada minimaalse kuluga ja kas seda oleks võimalik lihtsustada.</w:t>
      </w:r>
    </w:p>
    <w:p>
      <w:pPr>
        <w:spacing w:after="240"/>
        <w:jc w:val="both"/>
        <w:rPr>
          <w:rFonts w:eastAsia="Times New Roman"/>
          <w:noProof/>
        </w:rPr>
      </w:pPr>
      <w:r>
        <w:rPr>
          <w:noProof/>
        </w:rPr>
        <w:t>Hindamise tulemusel jõuti järeldusele, et eesmärk parandada ravimite kättesaadavust kõige vaesemates arenguriikides on jätkuvalt asjakohane, et mitmetasandiline hinnasüsteem on endiselt oluline ning et pidades silmas väikest halduskoormust, on saavutatud tulemus, mitmetasandilise hinnasüsteemi toetamisega kaasnev lisaväärtus ning määruse roll raskete haiguste kõrvaldamise üldises kontekstis samuti endiselt olulised, ning et määruse rakendamisel on ka tulevikus oluline osa komisjoni teatises „Kaubandus kõigile“</w:t>
      </w:r>
      <w:r>
        <w:rPr>
          <w:noProof/>
          <w:vertAlign w:val="superscript"/>
        </w:rPr>
        <w:footnoteReference w:id="6"/>
      </w:r>
      <w:r>
        <w:rPr>
          <w:noProof/>
        </w:rPr>
        <w:t xml:space="preserve"> sätestatud eesmärgi – edendada kõikehõlmavat üleilmset tervishoiutegevuskava ja ravimite paremat kättesaadavust vaestes riikides – saavutamises. </w:t>
      </w:r>
    </w:p>
    <w:p>
      <w:pPr>
        <w:spacing w:after="240"/>
        <w:jc w:val="both"/>
        <w:rPr>
          <w:rFonts w:eastAsia="Times New Roman"/>
          <w:noProof/>
        </w:rPr>
      </w:pPr>
      <w:r>
        <w:rPr>
          <w:noProof/>
        </w:rPr>
        <w:t xml:space="preserve">Määrus täiendab muid ELi meetmeid, nagu näiteks toetust Maailma Kaubandusorganisatsiooni poolt 2015. aasta novembris vastu võetud otsusele, mille kohaselt on vähim arenenud riigid vabastatud kohustusest anda ravimitele patendikaitset kuni vähemalt 2033. aastani ja mille vahendusel toetatakse ravimite kättesaadavust. </w:t>
      </w:r>
    </w:p>
    <w:p>
      <w:pPr>
        <w:spacing w:after="240"/>
        <w:jc w:val="both"/>
        <w:rPr>
          <w:rFonts w:eastAsia="Times New Roman"/>
          <w:noProof/>
        </w:rPr>
      </w:pPr>
      <w:r>
        <w:rPr>
          <w:noProof/>
        </w:rPr>
        <w:t>Muude meetmete hulka kuuluvad ka komisjoni rahastatud arenguprogrammid, millega toetatakse madala ja keskmise sissetulekuga riikide tervishoiusüsteeme, ning neis riikides vajatavate ravimite väljatöötamiseks loodud teadus- ja arendusprogrammid. Näiteks toetab EL ülemaailmset AIDSi, tuberkuloosi ja malaaria vastu võitlemise fondi, mille vahenditest suunatakse arenguriikidesse aastas 3,5 miljardit USA dollarit, millest ELi liikmesriigid eraldavad umbes 50 % ning komisjon eraldas arengukoostöö rahastamisvahendi ja Euroopa Arengufondi (EAF) vahendusel 2014.–2016. aastal 370 miljonit eurot.</w:t>
      </w:r>
    </w:p>
    <w:p>
      <w:pPr>
        <w:widowControl w:val="0"/>
        <w:numPr>
          <w:ilvl w:val="0"/>
          <w:numId w:val="2"/>
        </w:numPr>
        <w:tabs>
          <w:tab w:val="left" w:pos="1045"/>
        </w:tabs>
        <w:spacing w:after="113" w:line="244" w:lineRule="exact"/>
        <w:jc w:val="both"/>
        <w:rPr>
          <w:rFonts w:eastAsia="Times New Roman"/>
          <w:b/>
          <w:bCs/>
          <w:noProof/>
        </w:rPr>
      </w:pPr>
      <w:r>
        <w:rPr>
          <w:b/>
          <w:noProof/>
        </w:rPr>
        <w:t xml:space="preserve">MITMETASANDILISTE HINDADEGA EKSPORDITUD TOOTED </w:t>
      </w:r>
    </w:p>
    <w:p>
      <w:pPr>
        <w:spacing w:after="240"/>
        <w:jc w:val="both"/>
        <w:rPr>
          <w:rFonts w:eastAsia="Times New Roman"/>
          <w:noProof/>
        </w:rPr>
      </w:pPr>
      <w:r>
        <w:rPr>
          <w:noProof/>
        </w:rPr>
        <w:t>Määruse alusel registreeritud ravimid on ühel ettevõtjal (GlaxoSmithKline / ViiV Healthcare)</w:t>
      </w:r>
      <w:r>
        <w:rPr>
          <w:noProof/>
          <w:vertAlign w:val="superscript"/>
        </w:rPr>
        <w:footnoteReference w:id="7"/>
      </w:r>
      <w:r>
        <w:rPr>
          <w:noProof/>
        </w:rPr>
        <w:t xml:space="preserve">. Tema tooted registreeriti 2004. aastal ja neid kasutatakse HIVi/AIDSi ravis. </w:t>
      </w:r>
    </w:p>
    <w:p>
      <w:pPr>
        <w:spacing w:after="240"/>
        <w:jc w:val="both"/>
        <w:rPr>
          <w:rFonts w:eastAsia="Times New Roman"/>
          <w:noProof/>
        </w:rPr>
      </w:pPr>
      <w:r>
        <w:rPr>
          <w:noProof/>
        </w:rPr>
        <w:t xml:space="preserve">Mitmetasandiliste hindadega eksporditi järgmisi tooteid: </w:t>
      </w:r>
    </w:p>
    <w:p>
      <w:pPr>
        <w:numPr>
          <w:ilvl w:val="0"/>
          <w:numId w:val="1"/>
        </w:numPr>
        <w:spacing w:after="200" w:line="276" w:lineRule="auto"/>
        <w:contextualSpacing/>
        <w:jc w:val="both"/>
        <w:rPr>
          <w:rFonts w:eastAsia="Times New Roman"/>
          <w:noProof/>
        </w:rPr>
      </w:pPr>
      <w:r>
        <w:rPr>
          <w:noProof/>
        </w:rPr>
        <w:t>COMBIVIR 300/150 mg × 60</w:t>
      </w:r>
    </w:p>
    <w:p>
      <w:pPr>
        <w:numPr>
          <w:ilvl w:val="0"/>
          <w:numId w:val="1"/>
        </w:numPr>
        <w:spacing w:after="200" w:line="276" w:lineRule="auto"/>
        <w:contextualSpacing/>
        <w:jc w:val="both"/>
        <w:rPr>
          <w:rFonts w:eastAsia="Times New Roman"/>
          <w:noProof/>
        </w:rPr>
      </w:pPr>
      <w:r>
        <w:rPr>
          <w:noProof/>
        </w:rPr>
        <w:t>EPIVIR 150 mg × 60</w:t>
      </w:r>
    </w:p>
    <w:p>
      <w:pPr>
        <w:numPr>
          <w:ilvl w:val="0"/>
          <w:numId w:val="1"/>
        </w:numPr>
        <w:spacing w:after="200" w:line="276" w:lineRule="auto"/>
        <w:contextualSpacing/>
        <w:jc w:val="both"/>
        <w:rPr>
          <w:rFonts w:eastAsia="Times New Roman"/>
          <w:noProof/>
        </w:rPr>
      </w:pPr>
      <w:r>
        <w:rPr>
          <w:noProof/>
        </w:rPr>
        <w:t>EPIVIR Oral Solution 10mg/ml 240 ml</w:t>
      </w:r>
    </w:p>
    <w:p>
      <w:pPr>
        <w:numPr>
          <w:ilvl w:val="0"/>
          <w:numId w:val="1"/>
        </w:numPr>
        <w:spacing w:after="200" w:line="276" w:lineRule="auto"/>
        <w:contextualSpacing/>
        <w:jc w:val="both"/>
        <w:rPr>
          <w:rFonts w:eastAsia="Times New Roman"/>
          <w:noProof/>
        </w:rPr>
      </w:pPr>
      <w:r>
        <w:rPr>
          <w:noProof/>
        </w:rPr>
        <w:t>RETROVIR 100 mg × 100</w:t>
      </w:r>
    </w:p>
    <w:p>
      <w:pPr>
        <w:numPr>
          <w:ilvl w:val="0"/>
          <w:numId w:val="1"/>
        </w:numPr>
        <w:spacing w:after="200" w:line="276" w:lineRule="auto"/>
        <w:contextualSpacing/>
        <w:jc w:val="both"/>
        <w:rPr>
          <w:rFonts w:eastAsia="Times New Roman"/>
          <w:noProof/>
        </w:rPr>
      </w:pPr>
      <w:r>
        <w:rPr>
          <w:noProof/>
        </w:rPr>
        <w:t>ZIAGEN 300 mg × 60</w:t>
      </w:r>
    </w:p>
    <w:p>
      <w:pPr>
        <w:numPr>
          <w:ilvl w:val="0"/>
          <w:numId w:val="1"/>
        </w:numPr>
        <w:spacing w:after="200" w:line="276" w:lineRule="auto"/>
        <w:contextualSpacing/>
        <w:jc w:val="both"/>
        <w:rPr>
          <w:rFonts w:eastAsia="Times New Roman"/>
          <w:noProof/>
        </w:rPr>
      </w:pPr>
      <w:r>
        <w:rPr>
          <w:noProof/>
        </w:rPr>
        <w:t>RETROVIR Oral Solution 10 mg/ml – 200 ml</w:t>
      </w:r>
    </w:p>
    <w:p>
      <w:pPr>
        <w:jc w:val="both"/>
        <w:rPr>
          <w:rFonts w:eastAsia="Times New Roman"/>
          <w:noProof/>
        </w:rPr>
      </w:pPr>
    </w:p>
    <w:p>
      <w:pPr>
        <w:spacing w:after="240"/>
        <w:jc w:val="both"/>
        <w:rPr>
          <w:rFonts w:eastAsia="Times New Roman"/>
          <w:noProof/>
        </w:rPr>
      </w:pPr>
      <w:r>
        <w:rPr>
          <w:noProof/>
        </w:rPr>
        <w:t xml:space="preserve">Aruandeperioodil olid sihtriigid Hiina, Honduras, Indoneesia, Keenia, Moldova, Nigeeria, Lõuna-Aafrika ja Uganda. </w:t>
      </w:r>
    </w:p>
    <w:p>
      <w:pPr>
        <w:spacing w:after="240"/>
        <w:jc w:val="both"/>
        <w:rPr>
          <w:rFonts w:eastAsia="Times New Roman"/>
          <w:noProof/>
        </w:rPr>
      </w:pPr>
      <w:r>
        <w:rPr>
          <w:noProof/>
        </w:rPr>
        <w:t xml:space="preserve">GlaxoSmithKline registreeris 2004. aastal määruse alusel ka ravimid Retrovir 300 mg × 60, Retrovir 250 mg × 40 ja Trizivir 750 mg × 60, kuid aruandeperioodil neid tooteid mitmetasandiliste hindadega ei müüdud. </w:t>
      </w:r>
    </w:p>
    <w:p>
      <w:pPr>
        <w:spacing w:after="240"/>
        <w:jc w:val="both"/>
        <w:rPr>
          <w:rFonts w:eastAsia="Times New Roman"/>
          <w:noProof/>
        </w:rPr>
      </w:pPr>
      <w:r>
        <w:rPr>
          <w:noProof/>
        </w:rPr>
        <w:t xml:space="preserve">Aruandeperioodil uusi tooteid ei registreeritud. </w:t>
      </w:r>
    </w:p>
    <w:p>
      <w:pPr>
        <w:widowControl w:val="0"/>
        <w:numPr>
          <w:ilvl w:val="0"/>
          <w:numId w:val="2"/>
        </w:numPr>
        <w:tabs>
          <w:tab w:val="left" w:pos="1045"/>
        </w:tabs>
        <w:spacing w:after="113" w:line="244" w:lineRule="exact"/>
        <w:jc w:val="both"/>
        <w:rPr>
          <w:rFonts w:eastAsia="Times New Roman"/>
          <w:b/>
          <w:bCs/>
          <w:noProof/>
        </w:rPr>
      </w:pPr>
      <w:bookmarkStart w:id="2" w:name="bookmark7"/>
      <w:r>
        <w:rPr>
          <w:b/>
          <w:noProof/>
        </w:rPr>
        <w:t>SIHTRIIKIDE LOETELU HINDAMINE</w:t>
      </w:r>
      <w:bookmarkEnd w:id="2"/>
    </w:p>
    <w:p>
      <w:pPr>
        <w:spacing w:after="240"/>
        <w:jc w:val="both"/>
        <w:rPr>
          <w:rFonts w:eastAsia="Times New Roman"/>
          <w:noProof/>
        </w:rPr>
      </w:pPr>
      <w:r>
        <w:rPr>
          <w:noProof/>
        </w:rPr>
        <w:t>Välistöövõtja poolt sidusrühmadelt ja ekspertidelt kogutud andmete analüüsi tulemusel ei leitud, et sihtriikide loetelu muutmisega paraneks määruse tulemuslikkus.</w:t>
      </w:r>
    </w:p>
    <w:p>
      <w:pPr>
        <w:widowControl w:val="0"/>
        <w:numPr>
          <w:ilvl w:val="0"/>
          <w:numId w:val="2"/>
        </w:numPr>
        <w:tabs>
          <w:tab w:val="left" w:pos="1045"/>
        </w:tabs>
        <w:spacing w:after="113" w:line="244" w:lineRule="exact"/>
        <w:jc w:val="both"/>
        <w:rPr>
          <w:rFonts w:eastAsia="Times New Roman"/>
          <w:b/>
          <w:bCs/>
          <w:noProof/>
        </w:rPr>
      </w:pPr>
      <w:r>
        <w:rPr>
          <w:b/>
          <w:noProof/>
        </w:rPr>
        <w:t xml:space="preserve">HÕLMATUD HAIGUSTE LOETELU HINDAMINE </w:t>
      </w:r>
    </w:p>
    <w:p>
      <w:pPr>
        <w:spacing w:after="240"/>
        <w:jc w:val="both"/>
        <w:rPr>
          <w:rFonts w:eastAsia="Times New Roman"/>
          <w:noProof/>
        </w:rPr>
      </w:pPr>
      <w:r>
        <w:rPr>
          <w:noProof/>
        </w:rPr>
        <w:t>Määrusega lubatakse registreerida HIVi/AIDSi, malaaria ja tuberkuloosi ravimeid. Neid haigusi peetakse üldiselt kõige tõsisemateks arenguriikide rahvaterviseprobleemideks ning nende riikide arengu peamisteks takistajateks.</w:t>
      </w:r>
    </w:p>
    <w:p>
      <w:pPr>
        <w:spacing w:after="240"/>
        <w:jc w:val="both"/>
        <w:rPr>
          <w:rFonts w:eastAsia="Times New Roman"/>
          <w:noProof/>
        </w:rPr>
      </w:pPr>
      <w:r>
        <w:rPr>
          <w:noProof/>
        </w:rPr>
        <w:t xml:space="preserve">Seepärast on kõnealune määrus keskendunud just neile kolmele haigusele. Tootja on registreerinud ainult HIVi/AIDSi ravis kasutatavad ravimid. </w:t>
      </w:r>
    </w:p>
    <w:p>
      <w:pPr>
        <w:spacing w:after="240"/>
        <w:jc w:val="both"/>
        <w:rPr>
          <w:rFonts w:eastAsia="Times New Roman"/>
          <w:noProof/>
        </w:rPr>
      </w:pPr>
      <w:r>
        <w:rPr>
          <w:noProof/>
        </w:rPr>
        <w:t xml:space="preserve">Välisuuringust selgus, et nakkushaiguste loetelu muutmisega on määruse tulemuslikkuse parandamiseks vähe võimalusi. </w:t>
      </w:r>
    </w:p>
    <w:p>
      <w:pPr>
        <w:widowControl w:val="0"/>
        <w:numPr>
          <w:ilvl w:val="0"/>
          <w:numId w:val="2"/>
        </w:numPr>
        <w:tabs>
          <w:tab w:val="left" w:pos="1045"/>
        </w:tabs>
        <w:spacing w:after="113" w:line="244" w:lineRule="exact"/>
        <w:jc w:val="both"/>
        <w:rPr>
          <w:rFonts w:eastAsia="Times New Roman"/>
          <w:b/>
          <w:bCs/>
          <w:noProof/>
        </w:rPr>
      </w:pPr>
      <w:bookmarkStart w:id="3" w:name="bookmark9"/>
      <w:r>
        <w:rPr>
          <w:b/>
          <w:noProof/>
        </w:rPr>
        <w:t xml:space="preserve">ARTIKLI 3 RAKENDAMISE ÜLDISED KRITEERIUMID </w:t>
      </w:r>
      <w:bookmarkEnd w:id="3"/>
    </w:p>
    <w:p>
      <w:pPr>
        <w:spacing w:after="240"/>
        <w:jc w:val="both"/>
        <w:rPr>
          <w:rFonts w:eastAsia="Times New Roman"/>
          <w:noProof/>
        </w:rPr>
      </w:pPr>
      <w:r>
        <w:rPr>
          <w:noProof/>
        </w:rPr>
        <w:t>Tooted müüdi loetletud riikidesse tootmishinnaga ja kasumimarginaalita, seega kooskõlas artiklis 3 sätestatud kriteeriumidega.</w:t>
      </w:r>
    </w:p>
    <w:p>
      <w:pPr>
        <w:spacing w:after="240"/>
        <w:jc w:val="both"/>
        <w:rPr>
          <w:rFonts w:eastAsia="Times New Roman"/>
          <w:noProof/>
        </w:rPr>
      </w:pPr>
      <w:r>
        <w:rPr>
          <w:noProof/>
        </w:rPr>
        <w:t xml:space="preserve">Müüdud toodete väikesed kogused on tingitud turule jõudnud geneerilistest ravimitest, see on nii tootjate järgitava vabatahtlike litsentsilepingute põhimõtte kui ka patentide aegumise tagajärg. </w:t>
      </w:r>
    </w:p>
    <w:p>
      <w:pPr>
        <w:spacing w:after="240"/>
        <w:jc w:val="both"/>
        <w:rPr>
          <w:rFonts w:eastAsia="Times New Roman"/>
          <w:noProof/>
        </w:rPr>
      </w:pPr>
      <w:r>
        <w:rPr>
          <w:noProof/>
        </w:rPr>
        <w:t xml:space="preserve">Tootja märkis, et kuna mõne toote puhul on mõnda riiki tarnitud kogused väga väikesed, suurenevad kauba maksumus ja tellimus(t)e turustuskulu ühe pakendi kohta. Ostuhind põhineb toote tootmiskuludel. </w:t>
      </w:r>
    </w:p>
    <w:p>
      <w:pPr>
        <w:widowControl w:val="0"/>
        <w:numPr>
          <w:ilvl w:val="0"/>
          <w:numId w:val="2"/>
        </w:numPr>
        <w:tabs>
          <w:tab w:val="left" w:pos="1045"/>
        </w:tabs>
        <w:spacing w:after="113" w:line="244" w:lineRule="exact"/>
        <w:jc w:val="both"/>
        <w:rPr>
          <w:rFonts w:eastAsia="Times New Roman"/>
          <w:b/>
          <w:bCs/>
          <w:noProof/>
        </w:rPr>
      </w:pPr>
      <w:r>
        <w:rPr>
          <w:b/>
          <w:noProof/>
        </w:rPr>
        <w:t xml:space="preserve">ARTIKLI 10 KOHANE TEAVITAMINE </w:t>
      </w:r>
    </w:p>
    <w:p>
      <w:pPr>
        <w:spacing w:after="240"/>
        <w:jc w:val="both"/>
        <w:rPr>
          <w:rFonts w:eastAsia="Times New Roman"/>
          <w:noProof/>
        </w:rPr>
      </w:pPr>
      <w:r>
        <w:rPr>
          <w:noProof/>
        </w:rPr>
        <w:t>Kui on alust kahtlustada, et vastupidiselt artiklis 2 sätestatud keelule imporditakse liitu mitmetasandilise hinnaga tooteid, peatab toll nende toodete vabasse ringlusse lubamise või peab need kinni seniks, kui on saadud pädevate asutuste otsus kauba laadi kohta. Pädev asutus peab teavitama komisjoni kõikidest käesoleva määruse alusel tehtud otsustest.</w:t>
      </w:r>
    </w:p>
    <w:p>
      <w:pPr>
        <w:spacing w:after="240"/>
        <w:jc w:val="both"/>
        <w:rPr>
          <w:rFonts w:asciiTheme="minorHAnsi" w:hAnsiTheme="minorHAnsi" w:cstheme="minorBidi"/>
          <w:noProof/>
          <w:sz w:val="22"/>
          <w:szCs w:val="22"/>
        </w:rPr>
      </w:pPr>
      <w:r>
        <w:rPr>
          <w:noProof/>
        </w:rPr>
        <w:t>Komisjon ei ole saanud määruse artikli 10 kohaseid teavitusi.</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72410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ELT L 135, 24.5.2016, lk 39 (asendab nõukogu määruse (EÜ) nr 953/2003).</w:t>
      </w:r>
    </w:p>
  </w:footnote>
  <w:footnote w:id="2">
    <w:p>
      <w:pPr>
        <w:pStyle w:val="FootnoteText"/>
      </w:pPr>
      <w:r>
        <w:rPr>
          <w:rStyle w:val="FootnoteReference"/>
        </w:rPr>
        <w:footnoteRef/>
      </w:r>
      <w:r>
        <w:t xml:space="preserve"> </w:t>
      </w:r>
      <w:hyperlink r:id="rId1">
        <w:r>
          <w:rPr>
            <w:rStyle w:val="Hyperlink"/>
          </w:rPr>
          <w:t>http://trade.ec.europa.eu/doclib/docs/2015/november/tradoc_153992.pdf</w:t>
        </w:r>
      </w:hyperlink>
      <w:r>
        <w:t xml:space="preserve"> </w:t>
      </w:r>
    </w:p>
  </w:footnote>
  <w:footnote w:id="3">
    <w:p>
      <w:pPr>
        <w:pStyle w:val="FootnoteText"/>
      </w:pPr>
      <w:r>
        <w:rPr>
          <w:rStyle w:val="FootnoteReference"/>
        </w:rPr>
        <w:footnoteRef/>
      </w:r>
      <w:r>
        <w:t xml:space="preserve"> </w:t>
      </w:r>
      <w:hyperlink r:id="rId2">
        <w:r>
          <w:rPr>
            <w:rStyle w:val="Hyperlink"/>
          </w:rPr>
          <w:t>http://ec.europa.eu/trade/policy/accessing-markets/intellectual-property/access-to-medicines</w:t>
        </w:r>
      </w:hyperlink>
      <w:r>
        <w:t xml:space="preserve"> </w:t>
      </w:r>
    </w:p>
  </w:footnote>
  <w:footnote w:id="4">
    <w:p>
      <w:pPr>
        <w:pStyle w:val="FootnoteText"/>
      </w:pPr>
      <w:r>
        <w:rPr>
          <w:rStyle w:val="FootnoteReference"/>
        </w:rPr>
        <w:footnoteRef/>
      </w:r>
      <w:r>
        <w:t xml:space="preserve"> </w:t>
      </w:r>
      <w:hyperlink r:id="rId3">
        <w:r>
          <w:t>http://trade.ec.europa.eu/doclib/html/154439.htm</w:t>
        </w:r>
      </w:hyperlink>
      <w:r>
        <w:t xml:space="preserve"> </w:t>
      </w:r>
    </w:p>
    <w:p>
      <w:pPr>
        <w:pStyle w:val="FootnoteText"/>
      </w:pPr>
      <w:hyperlink r:id="rId4">
        <w:r>
          <w:t>http://trade.ec.europa.eu/doclib/docs/2016/april/tradoc_154442.pdf</w:t>
        </w:r>
      </w:hyperlink>
      <w:r>
        <w:rPr>
          <w:color w:val="1F497D"/>
        </w:rPr>
        <w:t xml:space="preserve">  </w:t>
      </w:r>
    </w:p>
  </w:footnote>
  <w:footnote w:id="5">
    <w:p>
      <w:pPr>
        <w:pStyle w:val="FootnoteText"/>
      </w:pPr>
      <w:r>
        <w:rPr>
          <w:rStyle w:val="FootnoteReference"/>
        </w:rPr>
        <w:footnoteRef/>
      </w:r>
      <w:r>
        <w:t xml:space="preserve"> </w:t>
      </w:r>
      <w:hyperlink r:id="rId5">
        <w:r>
          <w:rPr>
            <w:rStyle w:val="Hyperlink"/>
          </w:rPr>
          <w:t>http://trade.ec.europa.eu/doclib/docs/2016/april/tradoc_154437.pdf</w:t>
        </w:r>
      </w:hyperlink>
      <w:r>
        <w:t xml:space="preserve"> </w:t>
      </w:r>
    </w:p>
  </w:footnote>
  <w:footnote w:id="6">
    <w:p>
      <w:pPr>
        <w:pStyle w:val="FootnoteText"/>
        <w:ind w:left="284" w:hanging="284"/>
      </w:pPr>
      <w:r>
        <w:rPr>
          <w:rStyle w:val="FootnoteReference"/>
        </w:rPr>
        <w:footnoteRef/>
      </w:r>
      <w:r>
        <w:tab/>
        <w:t>COM(2015) 0497, 14. oktoober 2015.</w:t>
      </w:r>
    </w:p>
  </w:footnote>
  <w:footnote w:id="7">
    <w:p>
      <w:pPr>
        <w:pStyle w:val="FootnoteText"/>
        <w:ind w:left="284" w:hanging="284"/>
      </w:pPr>
      <w:r>
        <w:rPr>
          <w:rStyle w:val="FootnoteReference"/>
        </w:rPr>
        <w:footnoteRef/>
      </w:r>
      <w:r>
        <w:tab/>
        <w:t>GSK ja Pfizer moodustasid 2009. aasta novembris ühisettevõtte ViiV Healthcare. Mõlemad äriühingud andsid HIViga seonduvad varad üle uuele äriühingule.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214C6"/>
    <w:multiLevelType w:val="hybridMultilevel"/>
    <w:tmpl w:val="24A89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0427D7"/>
    <w:multiLevelType w:val="multilevel"/>
    <w:tmpl w:val="F490D812"/>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DE9401802419480F8CCAECECE2D17E0C"/>
    <w:docVar w:name="LW_CROSSREFERENCE" w:val="&lt;UNUSED&gt;"/>
    <w:docVar w:name="LW_DocType" w:val="NORMAL"/>
    <w:docVar w:name="LW_EMISSION" w:val="9.12.2016"/>
    <w:docVar w:name="LW_EMISSION_ISODATE" w:val="2016-12-09"/>
    <w:docVar w:name="LW_EMISSION_LOCATION" w:val="BRX"/>
    <w:docVar w:name="LW_EMISSION_PREFIX" w:val="Brüssel,"/>
    <w:docVar w:name="LW_EMISSION_SUFFIX" w:val=" "/>
    <w:docVar w:name="LW_ID_DOCTYPE_NONLW" w:val="CP-006"/>
    <w:docVar w:name="LW_LANGUE" w:val="ET"/>
    <w:docVar w:name="LW_MARKING" w:val="&lt;UNUSED&g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6) 785"/>
    <w:docVar w:name="LW_REF.INTERNE" w:val="&lt;UNUSED&gt;"/>
    <w:docVar w:name="LW_SOUS.TITRE.OBJ.CP" w:val="&lt;UNUSED&gt;"/>
    <w:docVar w:name="LW_SUPERTITRE" w:val="&lt;UNUSED&gt;"/>
    <w:docVar w:name="LW_TITRE.OBJ.CP" w:val="Aruanne Euroopa Parlamendi ja nõukogu 11. mai 2016. aasta määruse (EL) 2016/793 (teatavate võtmetähtsusega ravimite Euroopa Liidu turule kaubandusliku suunamise vältimise kohta) kohaldamise kohta"/>
    <w:docVar w:name="LW_TYPE.DOC.CP" w:val="KOMISJONI ARUANNE EUROOPA PARLAMENDILE JA NÕUKOGUL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t-EE" w:eastAsia="et-EE" w:bidi="et-E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lang w:val="et-EE"/>
    </w:rPr>
  </w:style>
  <w:style w:type="character" w:styleId="FootnoteReference">
    <w:name w:val="footnote reference"/>
    <w:aliases w:val="Footnote symbol,Voetnootverwijzing,Times 10 Point, Exposant 3 Point,Exposant 3 Point,ftref,Footnote anchor,Footnote reference number,Footnote number,fr,Footnotemark,FR,Footnotemark1,Footnotemark2,FR1,Footnotemark3,FR2,Footnotemark4,Re"/>
    <w:link w:val="ftrefCharCharCharCharCharCharCharCharChar"/>
    <w:rPr>
      <w:vertAlign w:val="superscript"/>
    </w:rPr>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Normal"/>
    <w:next w:val="Normal"/>
    <w:link w:val="FootnoteReference"/>
    <w:pPr>
      <w:spacing w:after="160" w:line="240" w:lineRule="exact"/>
    </w:pPr>
    <w:rPr>
      <w:sz w:val="20"/>
      <w:szCs w:val="20"/>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lang w:val="et-E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lang w:val="et-EE"/>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Cs w:val="22"/>
    </w:rPr>
  </w:style>
  <w:style w:type="character" w:customStyle="1" w:styleId="FooterCoverPageChar">
    <w:name w:val="Footer Cover Page Char"/>
    <w:basedOn w:val="DefaultParagraphFont"/>
    <w:link w:val="FooterCoverPage"/>
    <w:rPr>
      <w:sz w:val="24"/>
      <w:szCs w:val="22"/>
    </w:rPr>
  </w:style>
  <w:style w:type="paragraph" w:customStyle="1" w:styleId="HeaderCoverPage">
    <w:name w:val="Header Cover Page"/>
    <w:basedOn w:val="Normal"/>
    <w:link w:val="HeaderCoverPageChar"/>
    <w:pPr>
      <w:tabs>
        <w:tab w:val="center" w:pos="4535"/>
        <w:tab w:val="right" w:pos="9071"/>
      </w:tabs>
      <w:spacing w:after="120"/>
      <w:jc w:val="both"/>
    </w:pPr>
    <w:rPr>
      <w:szCs w:val="22"/>
    </w:rPr>
  </w:style>
  <w:style w:type="character" w:customStyle="1" w:styleId="HeaderCoverPageChar">
    <w:name w:val="Header Cover Page Char"/>
    <w:basedOn w:val="DefaultParagraphFont"/>
    <w:link w:val="HeaderCoverPage"/>
    <w:rPr>
      <w:sz w:val="24"/>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t-EE"/>
    </w:rPr>
  </w:style>
  <w:style w:type="character" w:styleId="Hyperlink">
    <w:name w:val="Hyperlink"/>
    <w:basedOn w:val="DefaultParagraphFont"/>
    <w:uiPriority w:val="99"/>
    <w:unhideWhenUsed/>
    <w:rPr>
      <w:rFonts w:ascii="Times New Roman" w:hAnsi="Times New Roman" w:cs="Times New Roman" w:hint="default"/>
      <w:color w:val="000000"/>
      <w:u w:val="single"/>
    </w:rPr>
  </w:style>
  <w:style w:type="character" w:styleId="FollowedHyperlink">
    <w:name w:val="FollowedHyperlink"/>
    <w:basedOn w:val="DefaultParagraphFont"/>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t-EE" w:eastAsia="et-EE" w:bidi="et-E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lang w:val="et-EE"/>
    </w:rPr>
  </w:style>
  <w:style w:type="character" w:styleId="FootnoteReference">
    <w:name w:val="footnote reference"/>
    <w:aliases w:val="Footnote symbol,Voetnootverwijzing,Times 10 Point, Exposant 3 Point,Exposant 3 Point,ftref,Footnote anchor,Footnote reference number,Footnote number,fr,Footnotemark,FR,Footnotemark1,Footnotemark2,FR1,Footnotemark3,FR2,Footnotemark4,Re"/>
    <w:link w:val="ftrefCharCharCharCharCharCharCharCharChar"/>
    <w:rPr>
      <w:vertAlign w:val="superscript"/>
    </w:rPr>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Normal"/>
    <w:next w:val="Normal"/>
    <w:link w:val="FootnoteReference"/>
    <w:pPr>
      <w:spacing w:after="160" w:line="240" w:lineRule="exact"/>
    </w:pPr>
    <w:rPr>
      <w:sz w:val="20"/>
      <w:szCs w:val="20"/>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lang w:val="et-E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lang w:val="et-EE"/>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Cs w:val="22"/>
    </w:rPr>
  </w:style>
  <w:style w:type="character" w:customStyle="1" w:styleId="FooterCoverPageChar">
    <w:name w:val="Footer Cover Page Char"/>
    <w:basedOn w:val="DefaultParagraphFont"/>
    <w:link w:val="FooterCoverPage"/>
    <w:rPr>
      <w:sz w:val="24"/>
      <w:szCs w:val="22"/>
    </w:rPr>
  </w:style>
  <w:style w:type="paragraph" w:customStyle="1" w:styleId="HeaderCoverPage">
    <w:name w:val="Header Cover Page"/>
    <w:basedOn w:val="Normal"/>
    <w:link w:val="HeaderCoverPageChar"/>
    <w:pPr>
      <w:tabs>
        <w:tab w:val="center" w:pos="4535"/>
        <w:tab w:val="right" w:pos="9071"/>
      </w:tabs>
      <w:spacing w:after="120"/>
      <w:jc w:val="both"/>
    </w:pPr>
    <w:rPr>
      <w:szCs w:val="22"/>
    </w:rPr>
  </w:style>
  <w:style w:type="character" w:customStyle="1" w:styleId="HeaderCoverPageChar">
    <w:name w:val="Header Cover Page Char"/>
    <w:basedOn w:val="DefaultParagraphFont"/>
    <w:link w:val="HeaderCoverPage"/>
    <w:rPr>
      <w:sz w:val="24"/>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t-EE"/>
    </w:rPr>
  </w:style>
  <w:style w:type="character" w:styleId="Hyperlink">
    <w:name w:val="Hyperlink"/>
    <w:basedOn w:val="DefaultParagraphFont"/>
    <w:uiPriority w:val="99"/>
    <w:unhideWhenUsed/>
    <w:rPr>
      <w:rFonts w:ascii="Times New Roman" w:hAnsi="Times New Roman" w:cs="Times New Roman" w:hint="default"/>
      <w:color w:val="000000"/>
      <w:u w:val="single"/>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rade.ec.europa.eu/doclib/html/154439.htm" TargetMode="External"/><Relationship Id="rId2" Type="http://schemas.openxmlformats.org/officeDocument/2006/relationships/hyperlink" Target="http://ec.europa.eu/trade/policy/accessing-markets/intellectual-property/access-to-medicines" TargetMode="External"/><Relationship Id="rId1" Type="http://schemas.openxmlformats.org/officeDocument/2006/relationships/hyperlink" Target="http://trade.ec.europa.eu/doclib/docs/2015/november/tradoc_153992.pdf" TargetMode="External"/><Relationship Id="rId5" Type="http://schemas.openxmlformats.org/officeDocument/2006/relationships/hyperlink" Target="http://trade.ec.europa.eu/doclib/docs/2016/april/tradoc_154437.pdf" TargetMode="External"/><Relationship Id="rId4" Type="http://schemas.openxmlformats.org/officeDocument/2006/relationships/hyperlink" Target="http://trade.ec.europa.eu/doclib/docs/2016/april/tradoc_1544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538CB-1038-482F-B99E-BDD30AB0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830</Words>
  <Characters>5989</Characters>
  <Application>Microsoft Office Word</Application>
  <DocSecurity>0</DocSecurity>
  <Lines>99</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2016-10-27T07:43:00Z</cp:lastPrinted>
  <dcterms:created xsi:type="dcterms:W3CDTF">2016-11-11T10:39:00Z</dcterms:created>
  <dcterms:modified xsi:type="dcterms:W3CDTF">2016-11-30T13:25:00Z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