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2A8A1F04FC544BBAB4D34B76F16A47C"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before="360"/>
        <w:jc w:val="center"/>
        <w:rPr>
          <w:b/>
          <w:noProof/>
          <w:szCs w:val="22"/>
        </w:rPr>
      </w:pPr>
      <w:bookmarkStart w:id="1" w:name="_GoBack"/>
      <w:bookmarkEnd w:id="1"/>
      <w:r>
        <w:rPr>
          <w:b/>
          <w:noProof/>
        </w:rPr>
        <w:lastRenderedPageBreak/>
        <w:t>KOMISIJOS ATASKAITA EUROPOS PARLAMENTUI IR TARYBAI</w:t>
      </w:r>
    </w:p>
    <w:p>
      <w:pPr>
        <w:spacing w:before="360" w:after="360"/>
        <w:jc w:val="center"/>
        <w:rPr>
          <w:b/>
          <w:noProof/>
          <w:szCs w:val="22"/>
        </w:rPr>
      </w:pPr>
      <w:r>
        <w:rPr>
          <w:b/>
          <w:noProof/>
        </w:rPr>
        <w:t>2016 m. gegužės 11 d. Europos Parlamento ir Tarybos reglamento (ES) 2016/793, nustatančio siekimą išvengti prekybos tam tikrais pagrindiniais vaistais nukreipimo į Europos Sąjungą, taikymo ataskaita</w:t>
      </w:r>
    </w:p>
    <w:p>
      <w:pPr>
        <w:spacing w:after="240"/>
        <w:jc w:val="both"/>
        <w:rPr>
          <w:rFonts w:eastAsia="Times New Roman"/>
          <w:noProof/>
        </w:rPr>
      </w:pPr>
      <w:r>
        <w:rPr>
          <w:noProof/>
        </w:rPr>
        <w:t>2016 m. gegužės mėn. priimtu Reglamentu (ES) 2016/793, nustatančiu siekimą išvengti prekybos tam tikrais pagrindiniais vaistais nukreipimo į Europos Sąjungą</w:t>
      </w:r>
      <w:r>
        <w:rPr>
          <w:rStyle w:val="FootnoteReference"/>
          <w:noProof/>
        </w:rPr>
        <w:footnoteReference w:id="1"/>
      </w:r>
      <w:r>
        <w:rPr>
          <w:noProof/>
        </w:rPr>
        <w:t xml:space="preserve"> (toliau – Reglamentas), nustatomos apsaugos priemonės, kuriomis siekiama išvengti vaistų iš skurdžių besivystančių šalių nukreipimo į Europos Sąjungą. Vienas iš tikslų kovojant su pagrindinėmis ligomis – ŽIV/AIDS, maliarija ir tuberkulioze – skurdžių ir besivystančių šalių aprūpinimas vaistais mažomis kainomis. </w:t>
      </w:r>
    </w:p>
    <w:p>
      <w:pPr>
        <w:spacing w:after="240"/>
        <w:jc w:val="both"/>
        <w:rPr>
          <w:rFonts w:eastAsia="Times New Roman"/>
          <w:noProof/>
        </w:rPr>
      </w:pPr>
      <w:r>
        <w:rPr>
          <w:noProof/>
        </w:rPr>
        <w:t>Siekdama šio tikslo, Europos Komisija nuolat pasisako už skirtingų vaistų kainų politiką ir turtingų bei skurdžių šalių rinkos segmentaciją. Šios politikos pranašumas yra tas, kad gamintojai skatinami paskirties šalims tiekti vaistus kuo mažesne (skirtinga) kaina, o savo mokslinių tyrimų ir technologinės plėtros išlaidas padengti iš įplaukų, gaunamų didesnėmis kainomis parduodant vaistus išsivysčiusiose šalyse. Tokiu būdu siekiama skatinti pastovų ir nenutrūkstamą gyvybiškai svarbių vaistų tiekimą.</w:t>
      </w:r>
    </w:p>
    <w:p>
      <w:pPr>
        <w:spacing w:after="240"/>
        <w:jc w:val="both"/>
        <w:rPr>
          <w:rFonts w:eastAsia="Times New Roman"/>
          <w:noProof/>
        </w:rPr>
      </w:pPr>
      <w:r>
        <w:rPr>
          <w:noProof/>
        </w:rPr>
        <w:t xml:space="preserve">Tai devintoji ataskaita pagal Reglamento 12 straipsnio 2 dalį, kurioje numatyta, kad Komisija kas dvejus metus pateikia ataskaitą Europos Parlamentui ir Tarybai apie skirtingomis kainomis eksportuotų vaistų kiekį, registruotą pagal Reglamentą. Reglamente numatyta, kad ataskaitoje taip pat turi būti nagrinėjama šalių ir ligų aprėptis ir bendrieji 3 straipsnio įgyvendinimo kriterijai. </w:t>
      </w:r>
    </w:p>
    <w:p>
      <w:pPr>
        <w:spacing w:after="240"/>
        <w:jc w:val="both"/>
        <w:rPr>
          <w:rFonts w:eastAsia="Times New Roman"/>
          <w:noProof/>
        </w:rPr>
      </w:pPr>
      <w:r>
        <w:rPr>
          <w:noProof/>
        </w:rPr>
        <w:t>Ši ataskaita apima laikotarpį nuo 2014 m. sausio 1 d. iki 2015 m. gruodžio 31 d.</w:t>
      </w:r>
    </w:p>
    <w:p>
      <w:pPr>
        <w:spacing w:after="240"/>
        <w:jc w:val="both"/>
        <w:rPr>
          <w:rFonts w:eastAsia="Times New Roman"/>
          <w:noProof/>
          <w:color w:val="0000FF" w:themeColor="hyperlink"/>
          <w:sz w:val="20"/>
          <w:u w:val="single"/>
        </w:rPr>
      </w:pPr>
      <w:r>
        <w:rPr>
          <w:noProof/>
        </w:rPr>
        <w:t>Informacija apie pagal Reglamentą registruotus vaistus, instrukcijos farmacijos bendrovėms, norinčioms registruoti vaistus</w:t>
      </w:r>
      <w:r>
        <w:rPr>
          <w:noProof/>
          <w:vertAlign w:val="superscript"/>
        </w:rPr>
        <w:footnoteReference w:id="2"/>
      </w:r>
      <w:r>
        <w:rPr>
          <w:noProof/>
        </w:rPr>
        <w:t>, ir ankstesnės ataskaitos pateikiamos internete</w:t>
      </w:r>
      <w:r>
        <w:rPr>
          <w:rStyle w:val="FootnoteReference"/>
          <w:noProof/>
        </w:rPr>
        <w:footnoteReference w:id="3"/>
      </w:r>
      <w:r>
        <w:rPr>
          <w:noProof/>
        </w:rPr>
        <w:t xml:space="preserve">.  </w:t>
      </w:r>
    </w:p>
    <w:p>
      <w:pPr>
        <w:widowControl w:val="0"/>
        <w:numPr>
          <w:ilvl w:val="0"/>
          <w:numId w:val="2"/>
        </w:numPr>
        <w:tabs>
          <w:tab w:val="left" w:pos="1045"/>
        </w:tabs>
        <w:spacing w:after="113" w:line="244" w:lineRule="exact"/>
        <w:jc w:val="both"/>
        <w:rPr>
          <w:rFonts w:eastAsia="Times New Roman"/>
          <w:bCs/>
          <w:noProof/>
        </w:rPr>
      </w:pPr>
      <w:r>
        <w:rPr>
          <w:b/>
          <w:noProof/>
        </w:rPr>
        <w:t xml:space="preserve">REGLAMENTO REFIT VERTINIMAS </w:t>
      </w:r>
    </w:p>
    <w:p>
      <w:pPr>
        <w:spacing w:after="240"/>
        <w:jc w:val="both"/>
        <w:rPr>
          <w:rFonts w:eastAsia="Times New Roman"/>
          <w:noProof/>
        </w:rPr>
      </w:pPr>
      <w:r>
        <w:rPr>
          <w:noProof/>
        </w:rPr>
        <w:t>2016 m. Reglamentas, įskaitant šalių ir ligų aprėptį ir bendruosius 3 straipsnio įgyvendinimo kriterijus, buvo įvertintas pagal Komisijos reglamentavimo kokybės ir rezultatų programą (REFIT). Išorės rangovui „Charles River Associates“ buvo pavesta surinkti duomenis, kuriais būtų grindžiamas Komisijos reglamento vertinimas</w:t>
      </w:r>
      <w:r>
        <w:rPr>
          <w:rStyle w:val="FootnoteReference"/>
          <w:noProof/>
        </w:rPr>
        <w:footnoteReference w:id="4"/>
      </w:r>
      <w:r>
        <w:rPr>
          <w:noProof/>
          <w:vertAlign w:val="superscript"/>
        </w:rPr>
        <w:footnoteReference w:id="5"/>
      </w:r>
      <w:r>
        <w:rPr>
          <w:noProof/>
        </w:rPr>
        <w:t xml:space="preserve">. </w:t>
      </w:r>
    </w:p>
    <w:p>
      <w:pPr>
        <w:spacing w:after="240"/>
        <w:jc w:val="both"/>
        <w:rPr>
          <w:rFonts w:eastAsia="Times New Roman"/>
          <w:noProof/>
        </w:rPr>
      </w:pPr>
      <w:r>
        <w:rPr>
          <w:noProof/>
        </w:rPr>
        <w:t>Reglamentas buvo vertinamas pagal keturis kriterijus: veiksmingumą, naudingumą, darnumą ir aktualumą, ir įvertintas pagal tinkamumo nustatytam tikslui pasiekti, tikslų pasiekimo kuo mažesnėmis sąnaudomis ir supaprastinimo galimybės REFIT kriterijus.</w:t>
      </w:r>
    </w:p>
    <w:p>
      <w:pPr>
        <w:spacing w:after="240"/>
        <w:jc w:val="both"/>
        <w:rPr>
          <w:rFonts w:eastAsia="Times New Roman"/>
          <w:noProof/>
        </w:rPr>
      </w:pPr>
      <w:r>
        <w:rPr>
          <w:noProof/>
        </w:rPr>
        <w:t>Vertinime padaryta išvada, kad prieigos prie vaistų gerinimo skurdžiausiose besivystančiose šalyse tikslas tebėra aktualus, kad skirtingų vaistų kainų politika tebėra svarbi ir kad atsižvelgiant į mažą administracinę naštą, pasiektą naudą, paramos skirtingų vaistų kainų politikai parodymo pridėtinę vertę ir šios politikos vaidmenį bendrame kovos su pagrindinėmis ligomis kontekste, Reglamentas išliks svarbus ateityje siekiant Komisijos komunikate „Prekyba visiems“</w:t>
      </w:r>
      <w:r>
        <w:rPr>
          <w:noProof/>
          <w:vertAlign w:val="superscript"/>
        </w:rPr>
        <w:footnoteReference w:id="6"/>
      </w:r>
      <w:r>
        <w:rPr>
          <w:noProof/>
        </w:rPr>
        <w:t xml:space="preserve"> išdėstyto tikslo remti plataus užmojo visuotinę sveikatos darbotvarkę ir užtikrinti geresnę prieigą prie vaistų skurdžiose šalyse. </w:t>
      </w:r>
    </w:p>
    <w:p>
      <w:pPr>
        <w:spacing w:after="240"/>
        <w:jc w:val="both"/>
        <w:rPr>
          <w:rFonts w:eastAsia="Times New Roman"/>
          <w:noProof/>
        </w:rPr>
      </w:pPr>
      <w:r>
        <w:rPr>
          <w:noProof/>
        </w:rPr>
        <w:t xml:space="preserve">Reglamentas papildo kitus ES veiksmus, kaip antai paramą 2015 m. lapkričio mėn. Pasaulio prekybos organizacijos sprendimui atleisti mažiausiai išsivysčiusias šalis nuo prievolės užtikrinti vaistinių preparatų patentų apsaugą bent iki 2033 m., siekiant remti prieigą prie vaistų. </w:t>
      </w:r>
    </w:p>
    <w:p>
      <w:pPr>
        <w:spacing w:after="240"/>
        <w:jc w:val="both"/>
        <w:rPr>
          <w:rFonts w:eastAsia="Times New Roman"/>
          <w:noProof/>
        </w:rPr>
      </w:pPr>
      <w:r>
        <w:rPr>
          <w:noProof/>
        </w:rPr>
        <w:t>Kiti numatyti veiksmai – Komisijos finansuojamos plėtros programos, kuriomis remiamos mažas ir vidutines pajamas gaunančių valstybių visuomenės sveikatos sistemos ir šioms šalims reikalingų vaistų mokslinių tyrimų ir plėtros programos. Pavyzdžiui, ES remia Pasaulinį kovos su AIDS, tuberkulioze ir maliarija fondą, kuris kasmet besivystančioms šalims skiria 3,5 mlrd. JAV dolerių ir prie kurio ES bendrai prisideda beveik 50 proc., o Komisija 2014–2016 m. skyrė 370 mln. EUR iš Vystomojo bendradarbiavimo priemonės ir Europos plėtros fondo.</w:t>
      </w:r>
    </w:p>
    <w:p>
      <w:pPr>
        <w:widowControl w:val="0"/>
        <w:numPr>
          <w:ilvl w:val="0"/>
          <w:numId w:val="2"/>
        </w:numPr>
        <w:tabs>
          <w:tab w:val="left" w:pos="1045"/>
        </w:tabs>
        <w:spacing w:after="113" w:line="244" w:lineRule="exact"/>
        <w:jc w:val="both"/>
        <w:rPr>
          <w:rFonts w:eastAsia="Times New Roman"/>
          <w:b/>
          <w:bCs/>
          <w:noProof/>
        </w:rPr>
      </w:pPr>
      <w:r>
        <w:rPr>
          <w:b/>
          <w:noProof/>
        </w:rPr>
        <w:t xml:space="preserve">SKIRTINGOMIS KAINOMIS EKSPORTUOTI VAISTAI </w:t>
      </w:r>
    </w:p>
    <w:p>
      <w:pPr>
        <w:spacing w:after="240"/>
        <w:jc w:val="both"/>
        <w:rPr>
          <w:rFonts w:eastAsia="Times New Roman"/>
          <w:noProof/>
        </w:rPr>
      </w:pPr>
      <w:r>
        <w:rPr>
          <w:noProof/>
        </w:rPr>
        <w:t>Pagal Reglamentą vaistus registravo viena bendrovė – „GlaxoSmithKline / ViiV Healthcare“</w:t>
      </w:r>
      <w:r>
        <w:rPr>
          <w:noProof/>
          <w:vertAlign w:val="superscript"/>
        </w:rPr>
        <w:footnoteReference w:id="7"/>
      </w:r>
      <w:r>
        <w:rPr>
          <w:noProof/>
        </w:rPr>
        <w:t xml:space="preserve">. Šie vaistai buvo registruoti 2004 m. ir visi jie skirti ŽIV/AIDS gydyti. </w:t>
      </w:r>
    </w:p>
    <w:p>
      <w:pPr>
        <w:spacing w:after="240"/>
        <w:jc w:val="both"/>
        <w:rPr>
          <w:rFonts w:eastAsia="Times New Roman"/>
          <w:noProof/>
        </w:rPr>
      </w:pPr>
      <w:r>
        <w:rPr>
          <w:noProof/>
        </w:rPr>
        <w:t xml:space="preserve">Toliau išvardyti vaistai buvo eksportuoti skirtingomis kainomis: </w:t>
      </w:r>
    </w:p>
    <w:p>
      <w:pPr>
        <w:numPr>
          <w:ilvl w:val="0"/>
          <w:numId w:val="1"/>
        </w:numPr>
        <w:spacing w:after="200" w:line="276" w:lineRule="auto"/>
        <w:contextualSpacing/>
        <w:jc w:val="both"/>
        <w:rPr>
          <w:rFonts w:eastAsia="Times New Roman"/>
          <w:noProof/>
        </w:rPr>
      </w:pPr>
      <w:r>
        <w:rPr>
          <w:noProof/>
        </w:rPr>
        <w:t>COMBIVIR 300/150 mg x 60</w:t>
      </w:r>
    </w:p>
    <w:p>
      <w:pPr>
        <w:numPr>
          <w:ilvl w:val="0"/>
          <w:numId w:val="1"/>
        </w:numPr>
        <w:spacing w:after="200" w:line="276" w:lineRule="auto"/>
        <w:contextualSpacing/>
        <w:jc w:val="both"/>
        <w:rPr>
          <w:rFonts w:eastAsia="Times New Roman"/>
          <w:noProof/>
        </w:rPr>
      </w:pPr>
      <w:r>
        <w:rPr>
          <w:noProof/>
        </w:rPr>
        <w:t>EPIVIR 150 mg x 60</w:t>
      </w:r>
    </w:p>
    <w:p>
      <w:pPr>
        <w:numPr>
          <w:ilvl w:val="0"/>
          <w:numId w:val="1"/>
        </w:numPr>
        <w:spacing w:after="200" w:line="276" w:lineRule="auto"/>
        <w:contextualSpacing/>
        <w:jc w:val="both"/>
        <w:rPr>
          <w:rFonts w:eastAsia="Times New Roman"/>
          <w:noProof/>
        </w:rPr>
      </w:pPr>
      <w:r>
        <w:rPr>
          <w:noProof/>
        </w:rPr>
        <w:t>EPIVIR geriamasis tirpalas 10mg/ml 240 ml</w:t>
      </w:r>
    </w:p>
    <w:p>
      <w:pPr>
        <w:numPr>
          <w:ilvl w:val="0"/>
          <w:numId w:val="1"/>
        </w:numPr>
        <w:spacing w:after="200" w:line="276" w:lineRule="auto"/>
        <w:contextualSpacing/>
        <w:jc w:val="both"/>
        <w:rPr>
          <w:rFonts w:eastAsia="Times New Roman"/>
          <w:noProof/>
        </w:rPr>
      </w:pPr>
      <w:r>
        <w:rPr>
          <w:noProof/>
        </w:rPr>
        <w:t>RETROVIR 100 mg x 100</w:t>
      </w:r>
    </w:p>
    <w:p>
      <w:pPr>
        <w:numPr>
          <w:ilvl w:val="0"/>
          <w:numId w:val="1"/>
        </w:numPr>
        <w:spacing w:after="200" w:line="276" w:lineRule="auto"/>
        <w:contextualSpacing/>
        <w:jc w:val="both"/>
        <w:rPr>
          <w:rFonts w:eastAsia="Times New Roman"/>
          <w:noProof/>
        </w:rPr>
      </w:pPr>
      <w:r>
        <w:rPr>
          <w:noProof/>
        </w:rPr>
        <w:t>ZIAGEN 300 mg x 60</w:t>
      </w:r>
    </w:p>
    <w:p>
      <w:pPr>
        <w:numPr>
          <w:ilvl w:val="0"/>
          <w:numId w:val="1"/>
        </w:numPr>
        <w:spacing w:after="200" w:line="276" w:lineRule="auto"/>
        <w:contextualSpacing/>
        <w:jc w:val="both"/>
        <w:rPr>
          <w:rFonts w:eastAsia="Times New Roman"/>
          <w:noProof/>
        </w:rPr>
      </w:pPr>
      <w:r>
        <w:rPr>
          <w:noProof/>
        </w:rPr>
        <w:t>RETROVIR geriamasis tirpalas 10 mg/ml – 200 ml</w:t>
      </w:r>
    </w:p>
    <w:p>
      <w:pPr>
        <w:jc w:val="both"/>
        <w:rPr>
          <w:rFonts w:eastAsia="Times New Roman"/>
          <w:noProof/>
        </w:rPr>
      </w:pPr>
    </w:p>
    <w:p>
      <w:pPr>
        <w:spacing w:after="240"/>
        <w:jc w:val="both"/>
        <w:rPr>
          <w:rFonts w:eastAsia="Times New Roman"/>
          <w:noProof/>
        </w:rPr>
      </w:pPr>
      <w:r>
        <w:rPr>
          <w:noProof/>
        </w:rPr>
        <w:t xml:space="preserve">Ataskaitiniu laikotarpiu paskirties šalys buvo šios: Kinija, Hondūras, Indonezija, Kenija, Moldova, Nigerija, Pietų Afrika ir Uganda. </w:t>
      </w:r>
    </w:p>
    <w:p>
      <w:pPr>
        <w:spacing w:after="240"/>
        <w:jc w:val="both"/>
        <w:rPr>
          <w:rFonts w:eastAsia="Times New Roman"/>
          <w:noProof/>
        </w:rPr>
      </w:pPr>
      <w:r>
        <w:rPr>
          <w:noProof/>
        </w:rPr>
        <w:t xml:space="preserve">2004 m. „GlaxoSmithKline“ pagal Reglamentą taip pat užregistravo </w:t>
      </w:r>
      <w:r>
        <w:rPr>
          <w:i/>
          <w:noProof/>
        </w:rPr>
        <w:t>Retrovir</w:t>
      </w:r>
      <w:r>
        <w:rPr>
          <w:noProof/>
        </w:rPr>
        <w:t xml:space="preserve"> 300 mg x 60, </w:t>
      </w:r>
      <w:r>
        <w:rPr>
          <w:i/>
          <w:noProof/>
        </w:rPr>
        <w:t>Retrovir</w:t>
      </w:r>
      <w:r>
        <w:rPr>
          <w:noProof/>
        </w:rPr>
        <w:t xml:space="preserve"> 250 mg x 40 ir </w:t>
      </w:r>
      <w:r>
        <w:rPr>
          <w:i/>
          <w:noProof/>
        </w:rPr>
        <w:t>Trizivir</w:t>
      </w:r>
      <w:r>
        <w:rPr>
          <w:noProof/>
        </w:rPr>
        <w:t xml:space="preserve"> 750 mg x 60, tačiau ataskaitiniu laikotarpiu šie vaistai nebuvo parduodami skirtingomis kainomis. </w:t>
      </w:r>
    </w:p>
    <w:p>
      <w:pPr>
        <w:spacing w:after="240"/>
        <w:jc w:val="both"/>
        <w:rPr>
          <w:rFonts w:eastAsia="Times New Roman"/>
          <w:noProof/>
        </w:rPr>
      </w:pPr>
      <w:r>
        <w:rPr>
          <w:noProof/>
        </w:rPr>
        <w:t xml:space="preserve">Ataskaitiniu laikotarpiu neužregistruota jokių naujų vaistų. </w:t>
      </w:r>
    </w:p>
    <w:p>
      <w:pPr>
        <w:widowControl w:val="0"/>
        <w:numPr>
          <w:ilvl w:val="0"/>
          <w:numId w:val="2"/>
        </w:numPr>
        <w:tabs>
          <w:tab w:val="left" w:pos="1045"/>
        </w:tabs>
        <w:spacing w:after="113" w:line="244" w:lineRule="exact"/>
        <w:jc w:val="both"/>
        <w:rPr>
          <w:rFonts w:eastAsia="Times New Roman"/>
          <w:b/>
          <w:bCs/>
          <w:noProof/>
        </w:rPr>
      </w:pPr>
      <w:bookmarkStart w:id="2" w:name="bookmark7"/>
      <w:r>
        <w:rPr>
          <w:b/>
          <w:noProof/>
        </w:rPr>
        <w:t>PASKIRTIES ŠALIŲ SĄRAŠO VERTINIMAS</w:t>
      </w:r>
      <w:bookmarkEnd w:id="2"/>
    </w:p>
    <w:p>
      <w:pPr>
        <w:spacing w:after="240"/>
        <w:jc w:val="both"/>
        <w:rPr>
          <w:rFonts w:eastAsia="Times New Roman"/>
          <w:noProof/>
        </w:rPr>
      </w:pPr>
      <w:r>
        <w:rPr>
          <w:noProof/>
        </w:rPr>
        <w:t>Išorės rangovas, išanalizavęs suinteresuotųjų subjektų ir ekspertų indėlį, nerado įrodymų, kad būtų galima pagerinti Reglamento veiksmingumą iš dalies pakeičiant paskirties šalių sąrašą.</w:t>
      </w:r>
    </w:p>
    <w:p>
      <w:pPr>
        <w:widowControl w:val="0"/>
        <w:numPr>
          <w:ilvl w:val="0"/>
          <w:numId w:val="2"/>
        </w:numPr>
        <w:tabs>
          <w:tab w:val="left" w:pos="1045"/>
        </w:tabs>
        <w:spacing w:after="113" w:line="244" w:lineRule="exact"/>
        <w:jc w:val="both"/>
        <w:rPr>
          <w:rFonts w:eastAsia="Times New Roman"/>
          <w:b/>
          <w:bCs/>
          <w:noProof/>
        </w:rPr>
      </w:pPr>
      <w:r>
        <w:rPr>
          <w:b/>
          <w:noProof/>
        </w:rPr>
        <w:t xml:space="preserve">LIGŲ APRĖPTIES VERTINIMAS </w:t>
      </w:r>
    </w:p>
    <w:p>
      <w:pPr>
        <w:spacing w:after="240"/>
        <w:jc w:val="both"/>
        <w:rPr>
          <w:rFonts w:eastAsia="Times New Roman"/>
          <w:noProof/>
        </w:rPr>
      </w:pPr>
      <w:r>
        <w:rPr>
          <w:noProof/>
        </w:rPr>
        <w:t>Reglamentu leidžiama registruoti vaistus, skirtus ŽIV/AIDS, maliarijai ir tuberkuliozei gydyti. Šios ligos paprastai laikomos sunkiausiomis besivystančių šalių visuomenės sveikatos problemomis ir didžiausia kliūtimi vystymuisi.</w:t>
      </w:r>
    </w:p>
    <w:p>
      <w:pPr>
        <w:spacing w:after="240"/>
        <w:jc w:val="both"/>
        <w:rPr>
          <w:rFonts w:eastAsia="Times New Roman"/>
          <w:noProof/>
        </w:rPr>
      </w:pPr>
      <w:r>
        <w:rPr>
          <w:noProof/>
        </w:rPr>
        <w:t xml:space="preserve">Todėl šiame Reglamente daugiau dėmesio skiriama būtent šioms trims ligoms. Gamintojas įregistravo tik vaistus, skirtus gydyti ŽIV/AIDS. </w:t>
      </w:r>
    </w:p>
    <w:p>
      <w:pPr>
        <w:spacing w:after="240"/>
        <w:jc w:val="both"/>
        <w:rPr>
          <w:rFonts w:eastAsia="Times New Roman"/>
          <w:noProof/>
        </w:rPr>
      </w:pPr>
      <w:r>
        <w:rPr>
          <w:noProof/>
        </w:rPr>
        <w:t xml:space="preserve">Išorės tyrime padaryta išvada, kad yra mažai galimybių pagerinti Reglamento veiksmingumą iš dalies pakeičiant užkrečiamųjų ligų sąrašus. </w:t>
      </w:r>
    </w:p>
    <w:p>
      <w:pPr>
        <w:widowControl w:val="0"/>
        <w:numPr>
          <w:ilvl w:val="0"/>
          <w:numId w:val="2"/>
        </w:numPr>
        <w:tabs>
          <w:tab w:val="left" w:pos="1045"/>
        </w:tabs>
        <w:spacing w:after="113" w:line="244" w:lineRule="exact"/>
        <w:jc w:val="both"/>
        <w:rPr>
          <w:rFonts w:eastAsia="Times New Roman"/>
          <w:b/>
          <w:bCs/>
          <w:noProof/>
        </w:rPr>
      </w:pPr>
      <w:bookmarkStart w:id="3" w:name="bookmark9"/>
      <w:r>
        <w:rPr>
          <w:b/>
          <w:noProof/>
        </w:rPr>
        <w:t xml:space="preserve">BENDRIEJI 3 STRAIPSNIO ĮGYVENDINIMO KRITERIJAI </w:t>
      </w:r>
      <w:bookmarkEnd w:id="3"/>
    </w:p>
    <w:p>
      <w:pPr>
        <w:spacing w:after="240"/>
        <w:jc w:val="both"/>
        <w:rPr>
          <w:rFonts w:eastAsia="Times New Roman"/>
          <w:noProof/>
        </w:rPr>
      </w:pPr>
      <w:r>
        <w:rPr>
          <w:noProof/>
        </w:rPr>
        <w:t>Vaistai sąraše išvardytoms šalims buvo parduoti už gamybos kainą be antkainio, reiškia buvo laikomasi 3 straipsnio kriterijų.</w:t>
      </w:r>
    </w:p>
    <w:p>
      <w:pPr>
        <w:spacing w:after="240"/>
        <w:jc w:val="both"/>
        <w:rPr>
          <w:rFonts w:eastAsia="Times New Roman"/>
          <w:noProof/>
        </w:rPr>
      </w:pPr>
      <w:r>
        <w:rPr>
          <w:noProof/>
        </w:rPr>
        <w:t xml:space="preserve">Parduotas nedidelis vaistų kiekis, nes dėl gamintojo savanoriškų licencinių susitarimų politikos ir dėl patentų apsaugos galiojimo pabaigos rinkai buvo tiekiami generiniai vaistai. </w:t>
      </w:r>
    </w:p>
    <w:p>
      <w:pPr>
        <w:spacing w:after="240"/>
        <w:jc w:val="both"/>
        <w:rPr>
          <w:rFonts w:eastAsia="Times New Roman"/>
          <w:noProof/>
        </w:rPr>
      </w:pPr>
      <w:r>
        <w:rPr>
          <w:noProof/>
        </w:rPr>
        <w:t xml:space="preserve">Gamintojas atkreipė į tai dėmesį, nes į kai kurias šalis tiektas labai nedidelis kai kurių vaistų kiekis, o tuomet vaistų kaina padidėja ir užsakymo (-ų) platinimo išlaidos už pakuotę taip pat padidėja. Prieigos kaina priklauso nuo vaisto gamybos sąnaudų. </w:t>
      </w:r>
    </w:p>
    <w:p>
      <w:pPr>
        <w:widowControl w:val="0"/>
        <w:numPr>
          <w:ilvl w:val="0"/>
          <w:numId w:val="2"/>
        </w:numPr>
        <w:tabs>
          <w:tab w:val="left" w:pos="1045"/>
        </w:tabs>
        <w:spacing w:after="113" w:line="244" w:lineRule="exact"/>
        <w:jc w:val="both"/>
        <w:rPr>
          <w:rFonts w:eastAsia="Times New Roman"/>
          <w:b/>
          <w:bCs/>
          <w:noProof/>
        </w:rPr>
      </w:pPr>
      <w:r>
        <w:rPr>
          <w:b/>
          <w:noProof/>
        </w:rPr>
        <w:t xml:space="preserve">PRANEŠIMAI PAGAL 10 STRAIPSNĮ </w:t>
      </w:r>
    </w:p>
    <w:p>
      <w:pPr>
        <w:spacing w:after="240"/>
        <w:jc w:val="both"/>
        <w:rPr>
          <w:rFonts w:eastAsia="Times New Roman"/>
          <w:noProof/>
        </w:rPr>
      </w:pPr>
      <w:r>
        <w:rPr>
          <w:noProof/>
        </w:rPr>
        <w:t>Kai yra pagrindo įtarti, kad nepaisant 2 straipsnyje nustatyto draudimo skirtingų kainų vaistai bus importuojami į Sąjungą, muitinės turi sustabdyti susijusių vaistų išleidimą arba juos sulaikyti laikotarpiui, kuris reikalingas kompetentingų institucijų sprendimui dėl prekių pobūdžio priimti. Kompetentinga institucija praneša Komisijai apie visus pagal Reglamentą priimtus sprendimus.</w:t>
      </w:r>
    </w:p>
    <w:p>
      <w:pPr>
        <w:spacing w:after="240"/>
        <w:jc w:val="both"/>
        <w:rPr>
          <w:rFonts w:asciiTheme="minorHAnsi" w:hAnsiTheme="minorHAnsi" w:cstheme="minorBidi"/>
          <w:noProof/>
          <w:sz w:val="22"/>
          <w:szCs w:val="22"/>
        </w:rPr>
      </w:pPr>
      <w:r>
        <w:rPr>
          <w:noProof/>
        </w:rPr>
        <w:t>Komisija negavo pranešimo pagal Reglamento 10 straipsnį.</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72410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OL L 135, 2016 5 24, p. 39 (kuriuo pakeičiamas </w:t>
      </w:r>
      <w:r>
        <w:rPr>
          <w:sz w:val="19"/>
        </w:rPr>
        <w:t>Tarybos reglamentas (EB) Nr. 953/2003)</w:t>
      </w:r>
      <w:r>
        <w:t>.</w:t>
      </w:r>
    </w:p>
  </w:footnote>
  <w:footnote w:id="2">
    <w:p>
      <w:pPr>
        <w:pStyle w:val="FootnoteText"/>
      </w:pPr>
      <w:r>
        <w:rPr>
          <w:rStyle w:val="FootnoteReference"/>
        </w:rPr>
        <w:footnoteRef/>
      </w:r>
      <w:r>
        <w:t xml:space="preserve"> </w:t>
      </w:r>
      <w:hyperlink r:id="rId1">
        <w:r>
          <w:rPr>
            <w:rStyle w:val="Hyperlink"/>
          </w:rPr>
          <w:t>http://trade.ec.europa.eu/doclib/docs/2015/november/tradoc_153992.pdf</w:t>
        </w:r>
      </w:hyperlink>
      <w:r>
        <w:t xml:space="preserve"> </w:t>
      </w:r>
    </w:p>
  </w:footnote>
  <w:footnote w:id="3">
    <w:p>
      <w:pPr>
        <w:pStyle w:val="FootnoteText"/>
      </w:pPr>
      <w:r>
        <w:rPr>
          <w:rStyle w:val="FootnoteReference"/>
        </w:rPr>
        <w:footnoteRef/>
      </w:r>
      <w:r>
        <w:t xml:space="preserve"> </w:t>
      </w:r>
      <w:hyperlink r:id="rId2">
        <w:r>
          <w:rPr>
            <w:rStyle w:val="Hyperlink"/>
          </w:rPr>
          <w:t>http://ec.europa.eu/trade/policy/accessing-markets/intellectual-property/access-to-medicines</w:t>
        </w:r>
      </w:hyperlink>
      <w:r>
        <w:t xml:space="preserve"> </w:t>
      </w:r>
    </w:p>
  </w:footnote>
  <w:footnote w:id="4">
    <w:p>
      <w:pPr>
        <w:pStyle w:val="FootnoteText"/>
      </w:pPr>
      <w:r>
        <w:rPr>
          <w:rStyle w:val="FootnoteReference"/>
        </w:rPr>
        <w:footnoteRef/>
      </w:r>
      <w:r>
        <w:t xml:space="preserve"> </w:t>
      </w:r>
      <w:hyperlink r:id="rId3">
        <w:r>
          <w:t>http://trade.ec.europa.eu/doclib/html/154439.htm</w:t>
        </w:r>
      </w:hyperlink>
      <w:r>
        <w:t xml:space="preserve"> </w:t>
      </w:r>
    </w:p>
    <w:p>
      <w:pPr>
        <w:pStyle w:val="FootnoteText"/>
      </w:pPr>
      <w:hyperlink r:id="rId4">
        <w:r>
          <w:t>http://trade.ec.europa.eu/doclib/docs/2016/april/tradoc_154442.pdf</w:t>
        </w:r>
      </w:hyperlink>
      <w:r>
        <w:rPr>
          <w:color w:val="1F497D"/>
        </w:rPr>
        <w:t xml:space="preserve">  </w:t>
      </w:r>
    </w:p>
  </w:footnote>
  <w:footnote w:id="5">
    <w:p>
      <w:pPr>
        <w:pStyle w:val="FootnoteText"/>
      </w:pPr>
      <w:r>
        <w:rPr>
          <w:rStyle w:val="FootnoteReference"/>
        </w:rPr>
        <w:footnoteRef/>
      </w:r>
      <w:r>
        <w:t xml:space="preserve"> </w:t>
      </w:r>
      <w:hyperlink r:id="rId5">
        <w:r>
          <w:rPr>
            <w:rStyle w:val="Hyperlink"/>
          </w:rPr>
          <w:t>http://trade.ec.europa.eu/doclib/docs/2016/april/tradoc_154437.pdf</w:t>
        </w:r>
      </w:hyperlink>
      <w:r>
        <w:t xml:space="preserve"> </w:t>
      </w:r>
    </w:p>
  </w:footnote>
  <w:footnote w:id="6">
    <w:p>
      <w:pPr>
        <w:pStyle w:val="FootnoteText"/>
        <w:ind w:left="284" w:hanging="284"/>
      </w:pPr>
      <w:r>
        <w:rPr>
          <w:rStyle w:val="FootnoteReference"/>
        </w:rPr>
        <w:footnoteRef/>
      </w:r>
      <w:r>
        <w:t xml:space="preserve"> </w:t>
      </w:r>
      <w:r>
        <w:tab/>
        <w:t>COM(2015) 0497, 2015 m. spalio 14 d.</w:t>
      </w:r>
    </w:p>
  </w:footnote>
  <w:footnote w:id="7">
    <w:p>
      <w:pPr>
        <w:pStyle w:val="FootnoteText"/>
        <w:ind w:left="284" w:hanging="284"/>
      </w:pPr>
      <w:r>
        <w:rPr>
          <w:rStyle w:val="FootnoteReference"/>
        </w:rPr>
        <w:footnoteRef/>
      </w:r>
      <w:r>
        <w:t xml:space="preserve"> </w:t>
      </w:r>
      <w:r>
        <w:tab/>
        <w:t xml:space="preserve">2009 m. lapkričio mėn. „GSK“  įsteigė „ViiV Healthcare“ kaip bendrąją įmonę su „Pfizer“. Abi bendrovės perkėlė savo ŽIV vaistų kapitalą į naująją bendrovę.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14C6"/>
    <w:multiLevelType w:val="hybridMultilevel"/>
    <w:tmpl w:val="24A89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0427D7"/>
    <w:multiLevelType w:val="multilevel"/>
    <w:tmpl w:val="F490D812"/>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52A8A1F04FC544BBAB4D34B76F16A47C"/>
    <w:docVar w:name="LW_CROSSREFERENCE" w:val="&lt;UNUSED&gt;"/>
    <w:docVar w:name="LW_DocType" w:val="NORMAL"/>
    <w:docVar w:name="LW_EMISSION" w:val="2016 12 09"/>
    <w:docVar w:name="LW_EMISSION_ISODATE" w:val="2016-12-09"/>
    <w:docVar w:name="LW_EMISSION_LOCATION" w:val="BRX"/>
    <w:docVar w:name="LW_EMISSION_PREFIX" w:val="Briuselis, "/>
    <w:docVar w:name="LW_EMISSION_SUFFIX" w:val=" "/>
    <w:docVar w:name="LW_ID_DOCTYPE_NONLW" w:val="CP-006"/>
    <w:docVar w:name="LW_LANGUE" w:val="LT"/>
    <w:docVar w:name="LW_MARKING" w:val="&lt;UNUSED&g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6) 785"/>
    <w:docVar w:name="LW_REF.INTERNE" w:val="&lt;UNUSED&gt;"/>
    <w:docVar w:name="LW_SOUS.TITRE.OBJ.CP" w:val="&lt;UNUSED&gt;"/>
    <w:docVar w:name="LW_SUPERTITRE" w:val="&lt;UNUSED&gt;"/>
    <w:docVar w:name="LW_TITRE.OBJ.CP" w:val="2016 m. gegu\u382?\u279?s 11 d. Europos Parlamento ir Tarybos reglamento (ES) 2016/793, nustatan\u269?io siekim\u261? i\u353?vengti prekybos tam tikrais pagrindiniais vaistais nukreipimo \u303? Europos S\u261?jung\u261?, taikymo ataskaita"/>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lang w:val="lt-LT"/>
    </w:rPr>
  </w:style>
  <w:style w:type="character" w:styleId="FootnoteReference">
    <w:name w:val="footnote reference"/>
    <w:aliases w:val="Footnote symbol,Voetnootverwijzing,Times 10 Point, Exposant 3 Point,Exposant 3 Point,ftref,Footnote anchor,Footnote reference number,Footnote number,fr,Footnotemark,FR,Footnotemark1,Footnotemark2,FR1,Footnotemark3,FR2,Footnotemark4,Re"/>
    <w:link w:val="ftrefCharCharCharCharCharCharCharCharChar"/>
    <w:rPr>
      <w:vertAlign w:val="superscript"/>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ormal"/>
    <w:next w:val="Normal"/>
    <w:link w:val="FootnoteReference"/>
    <w:pPr>
      <w:spacing w:after="160" w:line="240" w:lineRule="exact"/>
    </w:pPr>
    <w:rPr>
      <w:sz w:val="20"/>
      <w:szCs w:val="20"/>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lang w:val="lt-LT"/>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lang w:val="lt-LT"/>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Cs w:val="22"/>
    </w:rPr>
  </w:style>
  <w:style w:type="character" w:customStyle="1" w:styleId="FooterCoverPageChar">
    <w:name w:val="Footer Cover Page Char"/>
    <w:basedOn w:val="DefaultParagraphFont"/>
    <w:link w:val="FooterCoverPage"/>
    <w:rPr>
      <w:sz w:val="24"/>
      <w:szCs w:val="22"/>
    </w:rPr>
  </w:style>
  <w:style w:type="paragraph" w:customStyle="1" w:styleId="HeaderCoverPage">
    <w:name w:val="Header Cover Page"/>
    <w:basedOn w:val="Normal"/>
    <w:link w:val="HeaderCoverPageChar"/>
    <w:pPr>
      <w:tabs>
        <w:tab w:val="center" w:pos="4535"/>
        <w:tab w:val="right" w:pos="9071"/>
      </w:tabs>
      <w:spacing w:after="120"/>
      <w:jc w:val="both"/>
    </w:pPr>
    <w:rPr>
      <w:szCs w:val="22"/>
    </w:rPr>
  </w:style>
  <w:style w:type="character" w:customStyle="1" w:styleId="HeaderCoverPageChar">
    <w:name w:val="Header Cover Page Char"/>
    <w:basedOn w:val="DefaultParagraphFont"/>
    <w:link w:val="HeaderCoverPage"/>
    <w:rPr>
      <w:sz w:val="24"/>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lt-LT"/>
    </w:rPr>
  </w:style>
  <w:style w:type="character" w:styleId="Hyperlink">
    <w:name w:val="Hyperlink"/>
    <w:basedOn w:val="DefaultParagraphFont"/>
    <w:uiPriority w:val="99"/>
    <w:unhideWhenUsed/>
    <w:rPr>
      <w:rFonts w:ascii="Times New Roman" w:hAnsi="Times New Roman" w:cs="Times New Roman" w:hint="default"/>
      <w:color w:val="000000"/>
      <w:u w:val="single"/>
    </w:rPr>
  </w:style>
  <w:style w:type="character" w:styleId="FollowedHyperlink">
    <w:name w:val="FollowedHyperlink"/>
    <w:basedOn w:val="DefaultParagraphFont"/>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lang w:val="lt-LT"/>
    </w:rPr>
  </w:style>
  <w:style w:type="character" w:styleId="FootnoteReference">
    <w:name w:val="footnote reference"/>
    <w:aliases w:val="Footnote symbol,Voetnootverwijzing,Times 10 Point, Exposant 3 Point,Exposant 3 Point,ftref,Footnote anchor,Footnote reference number,Footnote number,fr,Footnotemark,FR,Footnotemark1,Footnotemark2,FR1,Footnotemark3,FR2,Footnotemark4,Re"/>
    <w:link w:val="ftrefCharCharCharCharCharCharCharCharChar"/>
    <w:rPr>
      <w:vertAlign w:val="superscript"/>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ormal"/>
    <w:next w:val="Normal"/>
    <w:link w:val="FootnoteReference"/>
    <w:pPr>
      <w:spacing w:after="160" w:line="240" w:lineRule="exact"/>
    </w:pPr>
    <w:rPr>
      <w:sz w:val="20"/>
      <w:szCs w:val="20"/>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lang w:val="lt-LT"/>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lang w:val="lt-LT"/>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Cs w:val="22"/>
    </w:rPr>
  </w:style>
  <w:style w:type="character" w:customStyle="1" w:styleId="FooterCoverPageChar">
    <w:name w:val="Footer Cover Page Char"/>
    <w:basedOn w:val="DefaultParagraphFont"/>
    <w:link w:val="FooterCoverPage"/>
    <w:rPr>
      <w:sz w:val="24"/>
      <w:szCs w:val="22"/>
    </w:rPr>
  </w:style>
  <w:style w:type="paragraph" w:customStyle="1" w:styleId="HeaderCoverPage">
    <w:name w:val="Header Cover Page"/>
    <w:basedOn w:val="Normal"/>
    <w:link w:val="HeaderCoverPageChar"/>
    <w:pPr>
      <w:tabs>
        <w:tab w:val="center" w:pos="4535"/>
        <w:tab w:val="right" w:pos="9071"/>
      </w:tabs>
      <w:spacing w:after="120"/>
      <w:jc w:val="both"/>
    </w:pPr>
    <w:rPr>
      <w:szCs w:val="22"/>
    </w:rPr>
  </w:style>
  <w:style w:type="character" w:customStyle="1" w:styleId="HeaderCoverPageChar">
    <w:name w:val="Header Cover Page Char"/>
    <w:basedOn w:val="DefaultParagraphFont"/>
    <w:link w:val="HeaderCoverPage"/>
    <w:rPr>
      <w:sz w:val="24"/>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lt-LT"/>
    </w:rPr>
  </w:style>
  <w:style w:type="character" w:styleId="Hyperlink">
    <w:name w:val="Hyperlink"/>
    <w:basedOn w:val="DefaultParagraphFont"/>
    <w:uiPriority w:val="99"/>
    <w:unhideWhenUsed/>
    <w:rPr>
      <w:rFonts w:ascii="Times New Roman" w:hAnsi="Times New Roman" w:cs="Times New Roman" w:hint="default"/>
      <w:color w:val="000000"/>
      <w:u w:val="single"/>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rade.ec.europa.eu/doclib/html/154439.htm" TargetMode="External"/><Relationship Id="rId2" Type="http://schemas.openxmlformats.org/officeDocument/2006/relationships/hyperlink" Target="http://ec.europa.eu/trade/policy/accessing-markets/intellectual-property/access-to-medicines" TargetMode="External"/><Relationship Id="rId1" Type="http://schemas.openxmlformats.org/officeDocument/2006/relationships/hyperlink" Target="http://trade.ec.europa.eu/doclib/docs/2015/november/tradoc_153992.pdf" TargetMode="External"/><Relationship Id="rId5" Type="http://schemas.openxmlformats.org/officeDocument/2006/relationships/hyperlink" Target="http://trade.ec.europa.eu/doclib/docs/2016/april/tradoc_154437.pdf" TargetMode="External"/><Relationship Id="rId4" Type="http://schemas.openxmlformats.org/officeDocument/2006/relationships/hyperlink" Target="http://trade.ec.europa.eu/doclib/docs/2016/april/tradoc_1544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1BDD9-2112-477D-A5F0-DF6BE8E3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851</Words>
  <Characters>5757</Characters>
  <Application>Microsoft Office Word</Application>
  <DocSecurity>0</DocSecurity>
  <Lines>95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2016-10-27T07:43:00Z</cp:lastPrinted>
  <dcterms:created xsi:type="dcterms:W3CDTF">2016-10-19T12:36:00Z</dcterms:created>
  <dcterms:modified xsi:type="dcterms:W3CDTF">2016-11-30T13:24:00Z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