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150720B9B724D18AFF3B3F8F37B88C1" style="width:450.75pt;height:3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 xml:space="preserve">Eurostat publică statistici europene în multe domenii statistice la nivel regional, în conformitate cu </w:t>
      </w:r>
      <w:hyperlink r:id="rId11">
        <w:r>
          <w:rPr>
            <w:noProof/>
          </w:rPr>
          <w:t>Regulamentul (CE) nr. 1059/2003</w:t>
        </w:r>
      </w:hyperlink>
      <w:r>
        <w:rPr>
          <w:noProof/>
          <w:vertAlign w:val="superscript"/>
        </w:rPr>
        <w:t>(</w:t>
      </w:r>
      <w:r>
        <w:rPr>
          <w:rStyle w:val="FootnoteReference"/>
          <w:noProof/>
        </w:rPr>
        <w:footnoteReference w:id="2"/>
      </w:r>
      <w:r>
        <w:rPr>
          <w:noProof/>
          <w:vertAlign w:val="superscript"/>
        </w:rPr>
        <w:t>)</w:t>
      </w:r>
      <w:r>
        <w:rPr>
          <w:noProof/>
        </w:rPr>
        <w:t xml:space="preserve"> privind instituirea unui nomenclator comun al unităților teritoriale de statistică (NUTS). Aceste statistici sunt utilizate pe scară largă în contextul politicii regionale a UE și pentru a stabili eligibilitatea pentru regiuni în cadrul fondurilor de coeziune. În ultimii ani, Eurostat și-a extins gama de statistici publicate la o serie de tipologii ale teritoriilor pentru a aborda nevoia tot mai mare a factorilor de decizie de la nivelul UE de a avea disponibile aceste date în contextul coeziunii și al politicilor de dezvoltare teritorială. Comisia a definit aceste tipologii ale teritoriilor în cooperare cu Organizația pentru Cooperare și Dezvoltare Economică (OCDE) și a adoptat metodologiile pentru crearea și menținerea acestora. Regulamentul NUTS nu include încă sau nu definește din punct de vedere juridic aceste tipologii ale teritoriilor pentru determinarea zonelor urbane, rurale, de coastă și/sau alte zone și regiuni din UE, deși acestea sunt deja utilizate. Faptul că aceste tipologii și metodologiile lor nu beneficiază de recunoașterea juridică și nu sunt recunoscute în mod oficial de Sistemul Statistic European (SSE) reprezintă o problemă care trebuie abordată pentru a le stabili ca tipologii statistice recunoscute, imparțiale și transparente.</w:t>
      </w:r>
    </w:p>
    <w:p>
      <w:pPr>
        <w:spacing w:before="60" w:after="60"/>
        <w:rPr>
          <w:noProof/>
          <w:szCs w:val="24"/>
        </w:rPr>
      </w:pPr>
      <w:r>
        <w:rPr>
          <w:noProof/>
        </w:rPr>
        <w:t>Principalele obiective de politică ale inițiativei sunt următoarele:</w:t>
      </w:r>
    </w:p>
    <w:p>
      <w:pPr>
        <w:spacing w:before="60" w:after="60"/>
        <w:rPr>
          <w:noProof/>
          <w:szCs w:val="24"/>
        </w:rPr>
      </w:pPr>
      <w:r>
        <w:rPr>
          <w:noProof/>
        </w:rPr>
        <w:t>(1) Stabilirea unei recunoașteri juridice a tipologiilor teritoriilor, inclusiv definiția conceptului de orașe, în scopul statisticilor europene</w:t>
      </w:r>
    </w:p>
    <w:p>
      <w:pPr>
        <w:spacing w:after="0"/>
        <w:rPr>
          <w:noProof/>
          <w:szCs w:val="24"/>
        </w:rPr>
      </w:pPr>
      <w:r>
        <w:rPr>
          <w:noProof/>
        </w:rPr>
        <w:t xml:space="preserve">Un regulament de modificare a </w:t>
      </w:r>
      <w:hyperlink r:id="rId12">
        <w:r>
          <w:rPr>
            <w:noProof/>
          </w:rPr>
          <w:t>Regulamentului (CE) nr. 1059/2003</w:t>
        </w:r>
      </w:hyperlink>
      <w:r>
        <w:rPr>
          <w:noProof/>
        </w:rPr>
        <w:t xml:space="preserve"> va integra tipologiile teritoriilor în actualul Regulament NUTS. Acest lucru va permite ca regulamentele statistice tematice și inițiativele politice să facă referire la aceste tipologii ale teritoriilor pentru colectarea de statistici europene și/sau pentru a se concentra asupra unor zone specifice, cum sunt orașele, zonele urbane, rurale sau zonele de coastă și regiunile în acest domeniu de politică. Inițiativa va acoperi astfel tipologii ale teritoriilor existente pe baza NUTS nivelul 3 (de exemplu, tipologia zone urbane-rurale, regiuni metropolitane), unitățile administrative locale (de exemplu, gradul de urbanizare, orașele, zonele de coastă) și nivelul de 1 km² de grilă necesar pentru calcularea altor tipologii, care se bazează pe densitatea populației și distribuția în celulele grilei.</w:t>
      </w:r>
    </w:p>
    <w:p>
      <w:pPr>
        <w:spacing w:before="60" w:after="60"/>
        <w:rPr>
          <w:noProof/>
          <w:szCs w:val="24"/>
        </w:rPr>
      </w:pPr>
      <w:r>
        <w:rPr>
          <w:noProof/>
        </w:rPr>
        <w:t>(2) Stabilirea definițiilor și criteriilor statistice de bază pentru diferitele tipologii ale teritoriilor</w:t>
      </w:r>
    </w:p>
    <w:p>
      <w:pPr>
        <w:spacing w:before="60" w:after="60"/>
        <w:rPr>
          <w:noProof/>
          <w:szCs w:val="24"/>
        </w:rPr>
      </w:pPr>
      <w:r>
        <w:rPr>
          <w:noProof/>
        </w:rPr>
        <w:t>Pentru a crea transparență metodologică și pentru a garanta stabilitatea tipologiilor teritoriilor de-a lungul timpului, definițiile și criteriile de bază pentru crearea și actualizarea tipologiilor trebuie să fie precizate în regulament și în dispozițiile de punere în aplicare a acestuia. În acest scop, inițiativa va utiliza metodologiile existente deja pentru diferitele tipologii.</w:t>
      </w:r>
    </w:p>
    <w:p>
      <w:pPr>
        <w:spacing w:before="60" w:after="60"/>
        <w:rPr>
          <w:noProof/>
          <w:szCs w:val="24"/>
        </w:rPr>
      </w:pPr>
      <w:r>
        <w:rPr>
          <w:noProof/>
        </w:rPr>
        <w:t>(3) Asigurarea aplicării transparente și armonizate și utilizarea de tipologii ale teritoriilor la nivelul UE și în statele membre</w:t>
      </w:r>
    </w:p>
    <w:p>
      <w:pPr>
        <w:spacing w:after="0"/>
        <w:rPr>
          <w:noProof/>
          <w:szCs w:val="24"/>
        </w:rPr>
      </w:pPr>
      <w:r>
        <w:rPr>
          <w:noProof/>
        </w:rPr>
        <w:t>Inițiativa are drept scop îmbunătățirea comparabilității și a stabilității tipologiilor. Acest lucru va avea un impact pozitiv asupra compilării și diseminării statisticilor regionale europene.</w:t>
      </w:r>
    </w:p>
    <w:p>
      <w:pPr>
        <w:spacing w:after="0"/>
        <w:rPr>
          <w:noProof/>
          <w:szCs w:val="24"/>
        </w:rPr>
      </w:pPr>
      <w:r>
        <w:rPr>
          <w:noProof/>
        </w:rPr>
        <w:t xml:space="preserve">(4) În contextul alinierii </w:t>
      </w:r>
      <w:hyperlink r:id="rId13">
        <w:r>
          <w:rPr>
            <w:noProof/>
          </w:rPr>
          <w:t>Regulamentului (CE) nr. 1059/2003</w:t>
        </w:r>
      </w:hyperlink>
      <w:r>
        <w:rPr>
          <w:noProof/>
        </w:rPr>
        <w:t xml:space="preserve"> la noile norme din Tratatul privind funcționarea Uniunii Europene (TFUE), competențele conferite în prezent Comisiei prin regulamentul respectiv de a adopta acte destinate să modifice elemente neesențiale ale regulamentului prin completarea acestuia, în conformitate cu procedura de reglementare cu control, ar trebui să fie stabilite prin intermediul unor competențe de a adopta acte delegate.</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rPr>
          <w:noProof/>
          <w:u w:color="000000"/>
          <w:bdr w:val="nil"/>
        </w:rPr>
      </w:pPr>
      <w:r>
        <w:rPr>
          <w:noProof/>
        </w:rPr>
        <w:t>Prezenta propunere va introduce tipologii în Regulamentul NUTS care interferează cu mai multe domenii statistice, precum conturile regionale, piața forței de muncă, dezvoltare rurală, agricultură, turism, politică maritimă și altele. Aceasta ar permite agregarea de date în funcție de tipologii clare: de exemplu, oferind posibilitatea de a compara PIB în zonele rurale în raport cu zonele urbane, numărul de nopți petrecute de turiști în zonele de coastă, spre deosebire de zonele și regiunile necostiere, ocuparea forței de muncă/șomajul, gradul de urbanizare și multe altele.</w:t>
      </w:r>
    </w:p>
    <w:p>
      <w:pPr>
        <w:rPr>
          <w:noProof/>
          <w:u w:color="000000"/>
          <w:bdr w:val="nil"/>
        </w:rPr>
      </w:pPr>
      <w:r>
        <w:rPr>
          <w:noProof/>
        </w:rPr>
        <w:t>Pot fi utilizate și concepte, cum ar fi gradul de urbanizare, pentru a furniza date către ONU în zonele urbane și rurale.</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szCs w:val="24"/>
        </w:rPr>
      </w:pPr>
      <w:r>
        <w:rPr>
          <w:noProof/>
        </w:rPr>
        <w:t>Tipologiile teritoriilor au un impact major asupra politicilor regionale, în conformitate cu obiectivele generale ale inițiativei Europa 2020</w:t>
      </w:r>
      <w:r>
        <w:rPr>
          <w:noProof/>
          <w:vertAlign w:val="superscript"/>
        </w:rPr>
        <w:t>(</w:t>
      </w:r>
      <w:r>
        <w:rPr>
          <w:rStyle w:val="FootnoteReference"/>
          <w:noProof/>
        </w:rPr>
        <w:footnoteReference w:id="3"/>
      </w:r>
      <w:r>
        <w:rPr>
          <w:noProof/>
          <w:vertAlign w:val="superscript"/>
        </w:rPr>
        <w:t>)</w:t>
      </w:r>
      <w:r>
        <w:rPr>
          <w:noProof/>
        </w:rPr>
        <w:t xml:space="preserve">. De exemplu, politicile de coeziune ale UE vizează reducerea disparităților între regiunile UE și promovarea creșterii economice, a ocupării forței de muncă și a dezvoltării durabile în regiunile defavorizate și în alte zone. În ultimii câțiva ani, s-a pus un accent mai mare pe elaborarea de politici bazate pe date concrete și pe abordări teritoriale mai integrate, care să reflecte diversitatea regiunilor UE, de exemplu în ceea ce privește demografia, sărăcia, ocuparea forței de muncă, educația sau activitățile economice. Analizele politicilor regionale subliniază necesitatea de a investiga principalele diferențe dintre mediul urban și cel rural, care nu sunt uniforme la nivelul statelor membre (a se vedea, de exemplu, </w:t>
      </w:r>
      <w:hyperlink r:id="rId14">
        <w:r>
          <w:rPr>
            <w:noProof/>
          </w:rPr>
          <w:t>cel de al Șaselea raport privind coeziunea economică, socială și teritorială</w:t>
        </w:r>
      </w:hyperlink>
      <w:r>
        <w:rPr>
          <w:noProof/>
          <w:vertAlign w:val="superscript"/>
        </w:rPr>
        <w:t>(</w:t>
      </w:r>
      <w:r>
        <w:rPr>
          <w:rStyle w:val="FootnoteReference"/>
          <w:noProof/>
        </w:rPr>
        <w:footnoteReference w:id="4"/>
      </w:r>
      <w:r>
        <w:rPr>
          <w:noProof/>
          <w:vertAlign w:val="superscript"/>
        </w:rPr>
        <w:t>)</w:t>
      </w:r>
      <w:r>
        <w:rPr>
          <w:noProof/>
        </w:rPr>
        <w:t xml:space="preserve">). Politica de coeziune 2014-2020 subliniază strategiile de dezvoltare teritorială, punând accentul pe zonele urbane și rurale, dar și pe zonele de coastă. Principiile de bază ale politicii de coeziune pentru perioada 2014-2020 cuprinse în </w:t>
      </w:r>
      <w:hyperlink r:id="rId15">
        <w:r>
          <w:rPr>
            <w:noProof/>
          </w:rPr>
          <w:t>Cadrul strategic comun</w:t>
        </w:r>
      </w:hyperlink>
      <w:r>
        <w:rPr>
          <w:noProof/>
          <w:vertAlign w:val="superscript"/>
        </w:rPr>
        <w:t>(</w:t>
      </w:r>
      <w:r>
        <w:rPr>
          <w:rStyle w:val="FootnoteReference"/>
          <w:noProof/>
        </w:rPr>
        <w:footnoteReference w:id="5"/>
      </w:r>
      <w:r>
        <w:rPr>
          <w:noProof/>
          <w:vertAlign w:val="superscript"/>
        </w:rPr>
        <w:t>)</w:t>
      </w:r>
      <w:r>
        <w:rPr>
          <w:noProof/>
        </w:rPr>
        <w:t xml:space="preserve"> subliniază faptul că abordările de a promova o creștere inteligentă, durabilă și favorabilă incluziunii vor trebui să reflecte rolul orașelor, al zonelor urbane, rurale și de coastă și să ia în considerare legăturile între zonele urbane și cele rurale. Gradul de urbanizare tipologie a fost folosit recent în </w:t>
      </w:r>
      <w:hyperlink r:id="rId16">
        <w:r>
          <w:rPr>
            <w:noProof/>
          </w:rPr>
          <w:t>Regulamentul (UE) nr. 522/2014</w:t>
        </w:r>
      </w:hyperlink>
      <w:r>
        <w:rPr>
          <w:noProof/>
          <w:vertAlign w:val="superscript"/>
        </w:rPr>
        <w:t>(</w:t>
      </w:r>
      <w:r>
        <w:rPr>
          <w:rStyle w:val="FootnoteReference"/>
          <w:noProof/>
        </w:rPr>
        <w:footnoteReference w:id="6"/>
      </w:r>
      <w:r>
        <w:rPr>
          <w:noProof/>
          <w:vertAlign w:val="superscript"/>
        </w:rPr>
        <w:t>)</w:t>
      </w:r>
      <w:r>
        <w:rPr>
          <w:noProof/>
        </w:rPr>
        <w:t xml:space="preserve"> pentru a defini eligibilitatea pentru sprijinul din Fondul european de dezvoltare regională pentru efectuarea de acțiuni inovatoare în orașe și orașe mici și suburbii.</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autoSpaceDE w:val="0"/>
        <w:autoSpaceDN w:val="0"/>
        <w:adjustRightInd w:val="0"/>
        <w:spacing w:before="0" w:after="0"/>
        <w:rPr>
          <w:noProof/>
          <w:szCs w:val="24"/>
        </w:rPr>
      </w:pPr>
      <w:r>
        <w:rPr>
          <w:noProof/>
        </w:rPr>
        <w:t>Articolul 338 din Tratatul privind funcționarea Uniunii Europene constituie temeiul juridic al statisticilor europene. Hotărând în conformitate cu procedura legislativă ordinară, Parlamentul European și Consiliul adoptă măsuri în vederea elaborării de statistici, în cazul în care acest lucru este necesar pentru îndeplinirea activităților UE.</w:t>
      </w:r>
    </w:p>
    <w:p>
      <w:pPr>
        <w:pStyle w:val="ManualHeading2"/>
        <w:rPr>
          <w:rFonts w:eastAsia="Arial Unicode MS"/>
          <w:noProof/>
          <w:u w:color="000000"/>
          <w:bdr w:val="nil"/>
        </w:rPr>
      </w:pPr>
      <w:r>
        <w:rPr>
          <w:noProof/>
        </w:rPr>
        <w:t>•</w:t>
      </w:r>
      <w:r>
        <w:rPr>
          <w:noProof/>
        </w:rPr>
        <w:tab/>
        <w:t>Subsidiaritate (în cazul competențelor neexclusive)</w:t>
      </w:r>
    </w:p>
    <w:p>
      <w:pPr>
        <w:autoSpaceDE w:val="0"/>
        <w:autoSpaceDN w:val="0"/>
        <w:adjustRightInd w:val="0"/>
        <w:spacing w:before="0" w:after="0"/>
        <w:rPr>
          <w:noProof/>
          <w:szCs w:val="24"/>
        </w:rPr>
      </w:pPr>
      <w:r>
        <w:rPr>
          <w:noProof/>
        </w:rPr>
        <w:t>Principiul subsidiarității se aplică în măsura în care propunerea nu intră în sfera competenței exclusive a UE. Statele membre, acționând independent, nu pot realiza în mod satisfăcător obiectivele acțiunii preconizate, și anume introducerea componentelor necesare în ceea ce privește tipologiile teritoriilor. Se poate acționa mai eficient la nivelul UE pe baza unui act juridic al UE, pentru instituirea, coordonarea și menținerea clasificărilor statistice armonizate, inclusiv tipologiile teritoriilor în scopuri statistice la nivelul UE.</w:t>
      </w:r>
    </w:p>
    <w:p>
      <w:pPr>
        <w:pStyle w:val="ManualHeading2"/>
        <w:rPr>
          <w:rFonts w:eastAsia="Arial Unicode MS"/>
          <w:noProof/>
          <w:u w:color="000000"/>
          <w:bdr w:val="nil"/>
        </w:rPr>
      </w:pPr>
      <w:r>
        <w:rPr>
          <w:noProof/>
        </w:rPr>
        <w:t>•</w:t>
      </w:r>
      <w:r>
        <w:rPr>
          <w:noProof/>
        </w:rPr>
        <w:tab/>
        <w:t>Proporționalitate</w:t>
      </w:r>
    </w:p>
    <w:p>
      <w:pPr>
        <w:spacing w:before="60" w:after="60"/>
        <w:rPr>
          <w:noProof/>
          <w:szCs w:val="24"/>
        </w:rPr>
      </w:pPr>
      <w:r>
        <w:rPr>
          <w:noProof/>
        </w:rPr>
        <w:t>Inițiativa își propune să modifice Regulamentul NUTS actual nu mai mult decât este absolut necesar. Având în vedere necesitatea unei recunoașteri formale a tipologiilor teritoriale pentru statistică și elaborarea politicilor, inițiativa urmărește să modifice Regulamentul NUTS pentru a include tipologii ale teritoriilor în cadrul juridic fără a modifica principiile fundamentale sau structura și definițiile regiunilor NUTS, care sunt bine acceptate, de succes și necontestate.</w:t>
      </w:r>
    </w:p>
    <w:p>
      <w:pPr>
        <w:pBdr>
          <w:top w:val="nil"/>
          <w:left w:val="nil"/>
          <w:bottom w:val="nil"/>
          <w:right w:val="nil"/>
          <w:between w:val="nil"/>
          <w:bar w:val="nil"/>
        </w:pBdr>
        <w:spacing w:before="0" w:after="240"/>
        <w:rPr>
          <w:rFonts w:eastAsia="Arial Unicode MS"/>
          <w:noProof/>
          <w:szCs w:val="24"/>
        </w:rPr>
      </w:pPr>
      <w:r>
        <w:rPr>
          <w:noProof/>
        </w:rPr>
        <w:t>Această opțiune este considerată ca fiind cea mai echilibrată în ceea ce privește reconcilierea nevoii de a lua măsuri cu intenția de a limita domeniul de aplicare al inițiativei la nivelul minim necesar pentru atingerea obiectivelor. Întrucât aceasta este o codificare a tipologiilor existente și a componentelor acestora, iar Comisia (Eurostat) va gestiona atribuirea tipologiilor, aceasta implică doar costuri suplimentare neglijabile pentru institutele naționale de statistică și niciun fel de costuri pentru întreprinderi și cetățeni.</w:t>
      </w:r>
    </w:p>
    <w:p>
      <w:pPr>
        <w:pStyle w:val="ManualHeading2"/>
        <w:rPr>
          <w:rFonts w:eastAsia="Arial Unicode MS"/>
          <w:noProof/>
          <w:u w:color="000000"/>
          <w:bdr w:val="nil"/>
        </w:rPr>
      </w:pPr>
      <w:r>
        <w:rPr>
          <w:noProof/>
        </w:rPr>
        <w:t>•</w:t>
      </w:r>
      <w:r>
        <w:rPr>
          <w:noProof/>
        </w:rPr>
        <w:tab/>
        <w:t>Alegerea instrumentelor</w:t>
      </w:r>
    </w:p>
    <w:p>
      <w:pPr>
        <w:autoSpaceDE w:val="0"/>
        <w:autoSpaceDN w:val="0"/>
        <w:adjustRightInd w:val="0"/>
        <w:spacing w:before="0" w:after="0"/>
        <w:rPr>
          <w:noProof/>
          <w:szCs w:val="24"/>
        </w:rPr>
      </w:pPr>
      <w:r>
        <w:rPr>
          <w:noProof/>
        </w:rPr>
        <w:t>Instrumentul propus: regulament.</w:t>
      </w:r>
    </w:p>
    <w:p>
      <w:pPr>
        <w:rPr>
          <w:noProof/>
          <w:szCs w:val="24"/>
        </w:rPr>
      </w:pPr>
      <w:r>
        <w:rPr>
          <w:noProof/>
        </w:rPr>
        <w:t>Având în vedere obiectivele și conținutul propunerii și faptul că este vorba de o propunere de modificare a unui regulament existent, cel mai adecvat instrument este un regulament.</w:t>
      </w:r>
    </w:p>
    <w:p>
      <w:pPr>
        <w:pStyle w:val="ManualHeading1"/>
        <w:rPr>
          <w:noProof/>
        </w:rPr>
      </w:pPr>
      <w:r>
        <w:rPr>
          <w:noProof/>
        </w:rPr>
        <w:t>3.</w:t>
      </w:r>
      <w:r>
        <w:rPr>
          <w:noProof/>
        </w:rPr>
        <w:tab/>
        <w:t>REZULTATELE EVALUĂRILOR EX-POST,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ex-post/verificări ale adecvării legislației existente</w:t>
      </w:r>
    </w:p>
    <w:p>
      <w:pPr>
        <w:rPr>
          <w:noProof/>
        </w:rPr>
      </w:pPr>
      <w:r>
        <w:rPr>
          <w:noProof/>
        </w:rPr>
        <w:t>Legislația actuală nu include încă tipologiile, astfel încât este foarte dificil să se stabilească și să se asigure condiții uniforme de aplicare armonizată.</w:t>
      </w:r>
    </w:p>
    <w:p>
      <w:pPr>
        <w:pStyle w:val="ManualHeading2"/>
        <w:rPr>
          <w:rFonts w:eastAsia="Arial Unicode MS"/>
          <w:noProof/>
          <w:u w:color="000000"/>
          <w:bdr w:val="nil"/>
        </w:rPr>
      </w:pPr>
      <w:r>
        <w:rPr>
          <w:noProof/>
        </w:rPr>
        <w:t>•</w:t>
      </w:r>
      <w:r>
        <w:rPr>
          <w:noProof/>
        </w:rPr>
        <w:tab/>
        <w:t>Consultări cu părțile interesate</w:t>
      </w:r>
    </w:p>
    <w:p>
      <w:pPr>
        <w:spacing w:before="60" w:after="60"/>
        <w:rPr>
          <w:noProof/>
          <w:szCs w:val="24"/>
        </w:rPr>
      </w:pPr>
      <w:r>
        <w:rPr>
          <w:noProof/>
        </w:rPr>
        <w:t>Părțile interesate afectate de prezenta propunere sunt, în principal, institutele naționale de statistică ale statelor membre. Comisia (Eurostat) a implicat experții acestora încă din stadiul incipient și s-a bazat în foarte mare măsură pe reacțiile și pe expertiza lor în elaborarea propunerii.</w:t>
      </w:r>
    </w:p>
    <w:p>
      <w:pPr>
        <w:spacing w:before="60" w:after="60"/>
        <w:rPr>
          <w:noProof/>
          <w:szCs w:val="24"/>
        </w:rPr>
      </w:pPr>
      <w:r>
        <w:rPr>
          <w:noProof/>
        </w:rPr>
        <w:t>În calitate de principal utilizator de date regionale, Direcția Generală Politică Regională și Urbană (DG REGIO) a fost consultată de mai multe ori și a furnizat un feedback valoros.</w:t>
      </w:r>
    </w:p>
    <w:p>
      <w:pPr>
        <w:spacing w:before="60" w:after="60"/>
        <w:rPr>
          <w:noProof/>
          <w:szCs w:val="24"/>
        </w:rPr>
      </w:pPr>
      <w:r>
        <w:rPr>
          <w:noProof/>
        </w:rPr>
        <w:t>Având în vedere natura tehnică a acestei propuneri, nu s-a considerat necesară implicarea niciunui alt organism.</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noProof/>
          <w:szCs w:val="24"/>
        </w:rPr>
      </w:pPr>
      <w:r>
        <w:rPr>
          <w:noProof/>
        </w:rPr>
        <w:t>Conceptele tipologiilor au fost elaborate în strânsă colaborare cu Eurostat, DG REGIO și cu Centrul Comun de Cercetare, care au avut contribuții tehnice esențiale, precum și cu OCDE, prin reunirea unui număr de concepte existente anterior și a metodologiilor lor diferite.</w:t>
      </w:r>
    </w:p>
    <w:p>
      <w:pPr>
        <w:pBdr>
          <w:top w:val="nil"/>
          <w:left w:val="nil"/>
          <w:bottom w:val="nil"/>
          <w:right w:val="nil"/>
          <w:between w:val="nil"/>
          <w:bar w:val="nil"/>
        </w:pBdr>
        <w:spacing w:before="0" w:after="240"/>
        <w:rPr>
          <w:noProof/>
          <w:szCs w:val="24"/>
        </w:rPr>
      </w:pPr>
      <w:r>
        <w:rPr>
          <w:noProof/>
        </w:rPr>
        <w:t>OCDE utilizează, de asemenea, categoriile armonizate pentru scopuri statistice și analitice.</w:t>
      </w:r>
    </w:p>
    <w:p>
      <w:pPr>
        <w:pStyle w:val="ManualHeading2"/>
        <w:rPr>
          <w:rFonts w:eastAsia="Arial Unicode MS"/>
          <w:noProof/>
          <w:u w:color="000000"/>
          <w:bdr w:val="nil"/>
        </w:rPr>
      </w:pPr>
      <w:r>
        <w:rPr>
          <w:noProof/>
        </w:rPr>
        <w:t>•</w:t>
      </w:r>
      <w:r>
        <w:rPr>
          <w:noProof/>
        </w:rPr>
        <w:tab/>
        <w:t>Evaluarea impactului</w:t>
      </w:r>
    </w:p>
    <w:p>
      <w:pPr>
        <w:autoSpaceDE w:val="0"/>
        <w:autoSpaceDN w:val="0"/>
        <w:adjustRightInd w:val="0"/>
        <w:spacing w:after="0"/>
        <w:rPr>
          <w:noProof/>
          <w:color w:val="000000"/>
          <w:szCs w:val="24"/>
        </w:rPr>
      </w:pPr>
      <w:r>
        <w:rPr>
          <w:noProof/>
          <w:color w:val="000000"/>
        </w:rPr>
        <w:t>Nu s-a realizat nicio evaluare a impactului, deoarece propunerea nu are consecințe economice, sociale și de mediu semnificative și nu impune sarcini administrative suplimentare asupra întreprinderilor sau cetățenilor. Inițiativa urmărește, în principal, să completeze actualul Regulamentul NUTS cu elementele necesare pentru a se ține cont de evoluțiile recente ale clasificărilor teritoriilor în scopuri statistice.</w:t>
      </w:r>
    </w:p>
    <w:p>
      <w:pPr>
        <w:pStyle w:val="ManualHeading2"/>
        <w:rPr>
          <w:rFonts w:eastAsia="Arial Unicode MS"/>
          <w:noProof/>
          <w:u w:color="000000"/>
          <w:bdr w:val="nil"/>
        </w:rPr>
      </w:pPr>
      <w:r>
        <w:rPr>
          <w:noProof/>
        </w:rPr>
        <w:t>•</w:t>
      </w:r>
      <w:r>
        <w:rPr>
          <w:noProof/>
        </w:rPr>
        <w:tab/>
        <w:t>Adecvarea și simplificarea reglementărilor</w:t>
      </w:r>
    </w:p>
    <w:p>
      <w:pPr>
        <w:rPr>
          <w:noProof/>
        </w:rPr>
      </w:pPr>
      <w:r>
        <w:rPr>
          <w:noProof/>
        </w:rPr>
        <w:t>Codificarea tipologiilor teritoriilor în Regulamentul NUTS face ca definirea și explicarea lor în alte acte juridice specifice, de exemplu actele legate de orașe sau de dezvoltare rurală să nu mai fie necesare. Acest fapt simplifică și armonizează legislația referitoare la dezvoltarea urbană și rurală și cea referitoare la politica maritimă.</w:t>
      </w:r>
    </w:p>
    <w:p>
      <w:pPr>
        <w:pStyle w:val="ManualHeading2"/>
        <w:rPr>
          <w:rFonts w:eastAsia="Arial Unicode MS"/>
          <w:noProof/>
          <w:u w:color="000000"/>
          <w:bdr w:val="nil"/>
        </w:rPr>
      </w:pPr>
      <w:r>
        <w:rPr>
          <w:noProof/>
        </w:rPr>
        <w:t>•</w:t>
      </w:r>
      <w:r>
        <w:rPr>
          <w:noProof/>
        </w:rPr>
        <w:tab/>
        <w:t>Drepturi fundamentale</w:t>
      </w:r>
    </w:p>
    <w:p>
      <w:pPr>
        <w:rPr>
          <w:noProof/>
        </w:rPr>
      </w:pPr>
      <w:r>
        <w:rPr>
          <w:noProof/>
        </w:rPr>
        <w:t>Prezenta propunere nu afectează drepturile fundamentale.</w:t>
      </w:r>
    </w:p>
    <w:p>
      <w:pPr>
        <w:pStyle w:val="ManualHeading1"/>
        <w:rPr>
          <w:noProof/>
        </w:rPr>
      </w:pPr>
      <w:r>
        <w:rPr>
          <w:noProof/>
        </w:rPr>
        <w:t>4.</w:t>
      </w:r>
      <w:r>
        <w:rPr>
          <w:noProof/>
        </w:rPr>
        <w:tab/>
        <w:t>IMPLICAȚIILE BUGETARE</w:t>
      </w:r>
    </w:p>
    <w:p>
      <w:pPr>
        <w:rPr>
          <w:noProof/>
        </w:rPr>
      </w:pPr>
      <w:r>
        <w:rPr>
          <w:noProof/>
        </w:rPr>
        <w:t>Propunerea nu are nicio implicație pentru bugetul UE.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rPr>
          <w:noProof/>
          <w:u w:color="000000"/>
          <w:bdr w:val="nil"/>
        </w:rPr>
      </w:pPr>
      <w:r>
        <w:rPr>
          <w:noProof/>
        </w:rPr>
        <w:t>Întrucât, în pofida faptului că nu sunt recunoscute din punct de vedere juridic, tipologiile sunt deja în uz, nu este planificată elaborarea de planuri de punere în aplicare sau dispoziții de monitorizare speciale. În principiu, procedura de stabilire și publicare a tipologiilor este următoarea.</w:t>
      </w:r>
    </w:p>
    <w:p>
      <w:pPr>
        <w:rPr>
          <w:noProof/>
          <w:u w:color="000000"/>
          <w:bdr w:val="nil"/>
        </w:rPr>
      </w:pPr>
      <w:r>
        <w:rPr>
          <w:noProof/>
        </w:rPr>
        <w:t>Comisia (Eurostat) efectuează calculele necesare pentru a atribui tipologiile atunci când noi date privind distribuția și densitatea populației devin disponibile în celulele grilei. Această operațiune are loc, de regulă, după un recensământ. Pentru statele membre vizate, se pot realiza anual actualizări mai mici pentru a ține seama de modificările structurii locale sau regionale a statelor membre.</w:t>
      </w:r>
    </w:p>
    <w:p>
      <w:pPr>
        <w:rPr>
          <w:noProof/>
          <w:u w:color="000000"/>
          <w:bdr w:val="nil"/>
        </w:rPr>
      </w:pPr>
      <w:r>
        <w:rPr>
          <w:noProof/>
        </w:rPr>
        <w:t>După ce Comisia (Eurostat) a efectuat aceste calculele inițiale, ea comunică rezultatele statelor membre. Acestea pot le verifica sau modifica în funcție de specificitățile geografice, de exemplu.</w:t>
      </w:r>
    </w:p>
    <w:p>
      <w:pPr>
        <w:rPr>
          <w:noProof/>
          <w:u w:color="000000"/>
          <w:bdr w:val="nil"/>
        </w:rPr>
      </w:pPr>
      <w:r>
        <w:rPr>
          <w:noProof/>
        </w:rPr>
        <w:t>După ajungerea la un acord cu statele membre cu privire la rezultate, Comisia (Eurostat) le publică pe site-urile internet dedicate.</w:t>
      </w:r>
    </w:p>
    <w:p>
      <w:pPr>
        <w:rPr>
          <w:noProof/>
          <w:u w:color="000000"/>
          <w:bdr w:val="nil"/>
        </w:rPr>
      </w:pPr>
      <w:r>
        <w:rPr>
          <w:noProof/>
        </w:rPr>
        <w:t>Este necesar să se creeze condiții uniforme pentru armonizarea tipologiilor. Comisia ar trebui să fie împuternicită să procedeze astfel pentru punerea în aplicare a tipologiilor stabilite prin intermediul actelor de punere în aplicare.</w:t>
      </w:r>
    </w:p>
    <w:p>
      <w:pPr>
        <w:pStyle w:val="ManualHeading2"/>
        <w:rPr>
          <w:rFonts w:eastAsia="Arial Unicode MS"/>
          <w:noProof/>
          <w:u w:color="000000"/>
          <w:bdr w:val="nil"/>
        </w:rPr>
      </w:pPr>
      <w:r>
        <w:rPr>
          <w:noProof/>
        </w:rPr>
        <w:t>•</w:t>
      </w:r>
      <w:r>
        <w:rPr>
          <w:noProof/>
        </w:rPr>
        <w:tab/>
        <w:t>Explicația detaliată a dispozițiilor specifice ale propunerii</w:t>
      </w:r>
    </w:p>
    <w:p>
      <w:pPr>
        <w:rPr>
          <w:noProof/>
          <w:u w:color="000000"/>
          <w:bdr w:val="nil"/>
        </w:rPr>
      </w:pPr>
      <w:r>
        <w:rPr>
          <w:noProof/>
        </w:rPr>
        <w:t>Deoarece propunerea nu modifică esența bine dovedită și acceptată la scară largă a Regulamentului NUTS, ea modifică numai ce este necesar pentru realizarea obiectivelor sale.</w:t>
      </w:r>
    </w:p>
    <w:p>
      <w:pPr>
        <w:rPr>
          <w:noProof/>
          <w:u w:color="000000"/>
          <w:bdr w:val="nil"/>
        </w:rPr>
      </w:pPr>
      <w:r>
        <w:rPr>
          <w:noProof/>
        </w:rPr>
        <w:t>Se propune modificarea sau înlocuirea anumitor dispoziții din Regulamentul (CE) nr. 1059/2003, din următoarele motive.</w:t>
      </w:r>
    </w:p>
    <w:p>
      <w:pPr>
        <w:rPr>
          <w:noProof/>
          <w:u w:color="000000"/>
          <w:bdr w:val="nil"/>
        </w:rPr>
      </w:pPr>
      <w:r>
        <w:rPr>
          <w:noProof/>
        </w:rPr>
        <w:t>- Articolul 1</w:t>
      </w:r>
    </w:p>
    <w:p>
      <w:pPr>
        <w:rPr>
          <w:noProof/>
          <w:u w:color="000000"/>
          <w:bdr w:val="nil"/>
        </w:rPr>
      </w:pPr>
      <w:r>
        <w:rPr>
          <w:noProof/>
        </w:rPr>
        <w:t>Noul articol 1 extinde obiectul Regulamentului NUTS prin adăugarea în celulele grilelor a tipologiilor teritoriilor și a grilelor statistice necesare pentru calcularea lor, bazate pe distribuția și densitatea populației. De asemenea, acesta clarifică rolul și denumirea unităților administrative locale (UAL) a căror denumire nu este conformă în actualul Regulamentul NUTS (cum ar fi „elemente constitutive ale NUTS” și „unitățile administrative mai mici”).</w:t>
      </w:r>
    </w:p>
    <w:p>
      <w:pPr>
        <w:rPr>
          <w:noProof/>
          <w:u w:color="000000"/>
          <w:bdr w:val="nil"/>
        </w:rPr>
      </w:pPr>
      <w:r>
        <w:rPr>
          <w:noProof/>
        </w:rPr>
        <w:t>- Articolul 2</w:t>
      </w:r>
    </w:p>
    <w:p>
      <w:pPr>
        <w:rPr>
          <w:noProof/>
          <w:u w:color="000000"/>
          <w:bdr w:val="nil"/>
        </w:rPr>
      </w:pPr>
      <w:r>
        <w:rPr>
          <w:noProof/>
        </w:rPr>
        <w:t>la articolul 2, alineatul (5) se elimină; El se referă la o comunicare care trebuia prezentat în 2005, la doi ani după intrarea în vigoare a Regulamentului NUTS inițial, în 2003. Acesta este, prin urmare, caduc.</w:t>
      </w:r>
    </w:p>
    <w:p>
      <w:pPr>
        <w:rPr>
          <w:noProof/>
          <w:u w:color="000000"/>
          <w:bdr w:val="nil"/>
        </w:rPr>
      </w:pPr>
      <w:r>
        <w:rPr>
          <w:noProof/>
        </w:rPr>
        <w:t>- Articolul 3</w:t>
      </w:r>
    </w:p>
    <w:p>
      <w:pPr>
        <w:rPr>
          <w:noProof/>
          <w:u w:color="000000"/>
          <w:bdr w:val="nil"/>
        </w:rPr>
      </w:pPr>
      <w:r>
        <w:rPr>
          <w:noProof/>
        </w:rPr>
        <w:t>La articolul 3, alineatul (4) se adaptează la noile proceduri instituționale introduse de Tratatul de la Lisabona (prin trecerea de la procedura de reglementare cu control la actele delegate).</w:t>
      </w:r>
    </w:p>
    <w:p>
      <w:pPr>
        <w:rPr>
          <w:noProof/>
          <w:u w:color="000000"/>
          <w:bdr w:val="nil"/>
        </w:rPr>
      </w:pPr>
      <w:r>
        <w:rPr>
          <w:noProof/>
        </w:rPr>
        <w:t>La punctul 5, ultima teză se elimină deoarece este caduc să se atribuie vreo competență Comisiei în acest sens.</w:t>
      </w:r>
    </w:p>
    <w:p>
      <w:pPr>
        <w:rPr>
          <w:noProof/>
          <w:u w:color="000000"/>
          <w:bdr w:val="nil"/>
        </w:rPr>
      </w:pPr>
      <w:r>
        <w:rPr>
          <w:noProof/>
        </w:rPr>
        <w:t>- Articolul 4</w:t>
      </w:r>
    </w:p>
    <w:p>
      <w:pPr>
        <w:rPr>
          <w:noProof/>
          <w:u w:color="000000"/>
          <w:bdr w:val="nil"/>
        </w:rPr>
      </w:pPr>
      <w:r>
        <w:rPr>
          <w:noProof/>
        </w:rPr>
        <w:t>Articolul 4 stabilește UAL. Dispozițiile privind cerințele de transmitere sunt, de asemenea, clarificate și simplificate. Anterior, acestea nu au fost deloc înțelese în mod coerent.</w:t>
      </w:r>
    </w:p>
    <w:p>
      <w:pPr>
        <w:rPr>
          <w:noProof/>
          <w:u w:color="000000"/>
          <w:bdr w:val="nil"/>
        </w:rPr>
      </w:pPr>
      <w:r>
        <w:rPr>
          <w:noProof/>
        </w:rPr>
        <w:t>În cele din urmă, Comisiei i se conferă competența de a adopta acte delegate pentru a adapta lista UAL în anexa III la Regulamentul NUTS.</w:t>
      </w:r>
    </w:p>
    <w:p>
      <w:pPr>
        <w:rPr>
          <w:noProof/>
          <w:u w:color="000000"/>
          <w:bdr w:val="nil"/>
        </w:rPr>
      </w:pPr>
      <w:r>
        <w:rPr>
          <w:noProof/>
        </w:rPr>
        <w:t>- Articolul 4a</w:t>
      </w:r>
    </w:p>
    <w:p>
      <w:pPr>
        <w:rPr>
          <w:noProof/>
          <w:u w:color="000000"/>
          <w:bdr w:val="nil"/>
        </w:rPr>
      </w:pPr>
      <w:r>
        <w:rPr>
          <w:noProof/>
        </w:rPr>
        <w:t>Se introduce articolul 4a, pentru a introduce grilele statistice pe care Comisia (Eurostat) le întreține și le publică, ca bază pentru calcularea tipologiilor teritoriilor pentru regiuni și zone.</w:t>
      </w:r>
    </w:p>
    <w:p>
      <w:pPr>
        <w:rPr>
          <w:noProof/>
          <w:u w:color="000000"/>
          <w:bdr w:val="nil"/>
        </w:rPr>
      </w:pPr>
      <w:r>
        <w:rPr>
          <w:noProof/>
        </w:rPr>
        <w:t>- Articolul 4b</w:t>
      </w:r>
    </w:p>
    <w:p>
      <w:pPr>
        <w:rPr>
          <w:noProof/>
          <w:u w:color="000000"/>
          <w:bdr w:val="nil"/>
        </w:rPr>
      </w:pPr>
      <w:r>
        <w:rPr>
          <w:noProof/>
        </w:rPr>
        <w:t>Noul articolul 4b introduce tipologiile în sine și conferă Comisiei competențe de punere în aplicare pentru a introduce condiții uniforme pentru aplicarea lor armonizată.</w:t>
      </w:r>
    </w:p>
    <w:p>
      <w:pPr>
        <w:rPr>
          <w:noProof/>
          <w:u w:color="000000"/>
          <w:bdr w:val="nil"/>
        </w:rPr>
      </w:pPr>
      <w:r>
        <w:rPr>
          <w:noProof/>
        </w:rPr>
        <w:t>- Articolul 5</w:t>
      </w:r>
    </w:p>
    <w:p>
      <w:pPr>
        <w:rPr>
          <w:noProof/>
          <w:u w:color="000000"/>
          <w:bdr w:val="nil"/>
        </w:rPr>
      </w:pPr>
      <w:r>
        <w:rPr>
          <w:noProof/>
        </w:rPr>
        <w:t>În noul articol 5, formularea este clarificată și simplificată. Comisiei i se conferă competența de a adopta acte delegate pentru a adapta clasificarea NUTS din anexa I la Regulamentul NUTS.</w:t>
      </w:r>
    </w:p>
    <w:p>
      <w:pPr>
        <w:rPr>
          <w:noProof/>
          <w:u w:color="000000"/>
          <w:bdr w:val="nil"/>
        </w:rPr>
      </w:pPr>
      <w:r>
        <w:rPr>
          <w:noProof/>
        </w:rPr>
        <w:t>- Articolele 7 și 7a</w:t>
      </w:r>
    </w:p>
    <w:p>
      <w:pPr>
        <w:rPr>
          <w:noProof/>
          <w:u w:color="000000"/>
          <w:bdr w:val="nil"/>
        </w:rPr>
      </w:pPr>
      <w:r>
        <w:rPr>
          <w:noProof/>
        </w:rPr>
        <w:t>Articolul 7 este actualizat pentru a face trimitere la comisia competentă care asistă Comisia la adoptarea actelor de punere în aplicare, în timp ce noul articol 7a se referă la exercitarea delegării în conformitate cu Acordul interinstituțional privind o mai bună legiferare.</w:t>
      </w:r>
    </w:p>
    <w:p>
      <w:pPr>
        <w:rPr>
          <w:noProof/>
          <w:u w:color="000000"/>
          <w:bdr w:val="nil"/>
        </w:rPr>
      </w:pPr>
      <w:r>
        <w:rPr>
          <w:noProof/>
        </w:rPr>
        <w:t>- Articolul 8</w:t>
      </w:r>
    </w:p>
    <w:p>
      <w:pPr>
        <w:rPr>
          <w:noProof/>
          <w:u w:color="000000"/>
          <w:bdr w:val="nil"/>
        </w:rPr>
      </w:pPr>
      <w:r>
        <w:rPr>
          <w:noProof/>
        </w:rPr>
        <w:t>Articolul 8 se elimină. El se referea la un raport privind punerea în aplicare a Regulamentului NUTS, care trebuia prezentat în 2006, la trei ani după intrarea în vigoare a Regulamentului NUTS inițial, în 2003. Acesta este, prin urmare, caduc.</w:t>
      </w:r>
    </w:p>
    <w:p>
      <w:pPr>
        <w:rPr>
          <w:noProof/>
          <w:u w:color="000000"/>
          <w:bdr w:val="nil"/>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2016/0393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modificare a Regulamentul (CE) nr. 1059/2003 în ceea ce privește tipologiile teritoriilor (Tercet)</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338 alineatul (1),</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noProof/>
          <w:vertAlign w:val="superscript"/>
        </w:rPr>
        <w:t>(</w:t>
      </w:r>
      <w:r>
        <w:rPr>
          <w:rStyle w:val="FootnoteReference"/>
          <w:noProof/>
        </w:rPr>
        <w:footnoteReference w:id="7"/>
      </w:r>
      <w:r>
        <w:rPr>
          <w:noProof/>
          <w:vertAlign w:val="superscript"/>
        </w:rPr>
        <w:t>)</w:t>
      </w:r>
      <w:r>
        <w:rPr>
          <w:noProof/>
        </w:rPr>
        <w:t>,</w:t>
      </w:r>
    </w:p>
    <w:p>
      <w:pPr>
        <w:rPr>
          <w:noProof/>
        </w:rPr>
      </w:pPr>
      <w:r>
        <w:rPr>
          <w:noProof/>
        </w:rPr>
        <w:t>având în vedere avizul Comitetului Regiunilor</w:t>
      </w:r>
      <w:r>
        <w:rPr>
          <w:noProof/>
          <w:vertAlign w:val="superscript"/>
        </w:rPr>
        <w:t>(</w:t>
      </w:r>
      <w:r>
        <w:rPr>
          <w:rStyle w:val="FootnoteReference"/>
          <w:noProof/>
        </w:rPr>
        <w:footnoteReference w:id="8"/>
      </w:r>
      <w:r>
        <w:rPr>
          <w:noProof/>
          <w:vertAlign w:val="superscript"/>
        </w:rPr>
        <w:t>)</w:t>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Regulamentul (CE) nr. 1059/2003 al Parlamentului European și al Consiliului</w:t>
      </w:r>
      <w:r>
        <w:rPr>
          <w:noProof/>
          <w:vertAlign w:val="superscript"/>
        </w:rPr>
        <w:t>(</w:t>
      </w:r>
      <w:r>
        <w:rPr>
          <w:rStyle w:val="FootnoteReference"/>
          <w:noProof/>
        </w:rPr>
        <w:footnoteReference w:id="9"/>
      </w:r>
      <w:r>
        <w:rPr>
          <w:noProof/>
          <w:vertAlign w:val="superscript"/>
        </w:rPr>
        <w:t>)</w:t>
      </w:r>
      <w:r>
        <w:rPr>
          <w:noProof/>
        </w:rPr>
        <w:t xml:space="preserve"> din 26 mai 2003 instituie un nomenclator comun al unităților teritoriale de statistică (nomenclatorul comun al unităților teritoriale de statistică - NUTS), care permite colectarea, compilarea și diseminarea statisticilor regionale armonizate în UE.</w:t>
      </w:r>
    </w:p>
    <w:p>
      <w:pPr>
        <w:pStyle w:val="ManualConsidrant"/>
        <w:rPr>
          <w:noProof/>
        </w:rPr>
      </w:pPr>
      <w:r>
        <w:t>(2)</w:t>
      </w:r>
      <w:r>
        <w:tab/>
      </w:r>
      <w:r>
        <w:rPr>
          <w:noProof/>
        </w:rPr>
        <w:t>Pentru o mai bună direcționare a politicilor, Comisia, în colaborare cu OCDE, a definit o serie de tipologii ale teritoriilor pentru a clasifica unitățile statistice instituite prin Regulamentul NUTS.</w:t>
      </w:r>
    </w:p>
    <w:p>
      <w:pPr>
        <w:pStyle w:val="ManualConsidrant"/>
        <w:rPr>
          <w:noProof/>
        </w:rPr>
      </w:pPr>
      <w:r>
        <w:t>(3)</w:t>
      </w:r>
      <w:r>
        <w:tab/>
      </w:r>
      <w:r>
        <w:rPr>
          <w:noProof/>
        </w:rPr>
        <w:t>Sistemul statistic european (SSE) utilizează deja tipologiile respective, în special gradul de urbanizare, inclusiv definiția conceptului de orașe, de exemplu, pentru a defini eligibilitatea pentru sprijinului din Fondul european de dezvoltare regională în vederea efectuării de acțiuni inovatoare în orașe și orașe mici și suburbii.</w:t>
      </w:r>
      <w:r>
        <w:rPr>
          <w:noProof/>
          <w:vertAlign w:val="superscript"/>
        </w:rPr>
        <w:t>(</w:t>
      </w:r>
      <w:r>
        <w:rPr>
          <w:rStyle w:val="FootnoteReference"/>
          <w:noProof/>
        </w:rPr>
        <w:footnoteReference w:id="10"/>
      </w:r>
      <w:r>
        <w:rPr>
          <w:noProof/>
          <w:vertAlign w:val="superscript"/>
        </w:rPr>
        <w:t>)</w:t>
      </w:r>
      <w:r>
        <w:rPr>
          <w:noProof/>
        </w:rPr>
        <w:t>.</w:t>
      </w:r>
    </w:p>
    <w:p>
      <w:pPr>
        <w:pStyle w:val="ManualConsidrant"/>
        <w:rPr>
          <w:noProof/>
        </w:rPr>
      </w:pPr>
      <w:r>
        <w:t>(4)</w:t>
      </w:r>
      <w:r>
        <w:tab/>
      </w:r>
      <w:r>
        <w:rPr>
          <w:noProof/>
        </w:rPr>
        <w:t>Codificarea tipologiilor este necesară pentru a stabili definiții și condiții neechivoce pentru tipurile de teritorii, asigurând aplicarea transparentă și armonizată și stabilizarea tipologiilor. Acest lucru ar trebui să contribuie la elaborarea și diseminarea statisticilor europene.</w:t>
      </w:r>
    </w:p>
    <w:p>
      <w:pPr>
        <w:pStyle w:val="ManualConsidrant"/>
        <w:rPr>
          <w:noProof/>
        </w:rPr>
      </w:pPr>
      <w:r>
        <w:t>(5)</w:t>
      </w:r>
      <w:r>
        <w:tab/>
      </w:r>
      <w:r>
        <w:rPr>
          <w:noProof/>
        </w:rPr>
        <w:t>Un sistem de grile statistice ar trebui să se aplice la calcularea și alocarea tipurilor de teritorii în regiunile și zonele în cauză, întrucât acestea depind de distribuția și densitatea populației în celulele grilei de un kilometru pătrat.</w:t>
      </w:r>
    </w:p>
    <w:p>
      <w:pPr>
        <w:pStyle w:val="ManualConsidrant"/>
        <w:rPr>
          <w:noProof/>
        </w:rPr>
      </w:pPr>
      <w:r>
        <w:t>(6)</w:t>
      </w:r>
      <w:r>
        <w:tab/>
      </w:r>
      <w:r>
        <w:rPr>
          <w:noProof/>
        </w:rPr>
        <w:t>O serie de aspecte minore ale unităților administrative locale (UAL) ar trebui, de asemenea, să fie clarificate pentru a simplifica mecanismul de elaborare a terminologiei și de transmitere a listelor UAL de la statele membre către Comisie (Eurostat).</w:t>
      </w:r>
    </w:p>
    <w:p>
      <w:pPr>
        <w:pStyle w:val="ManualConsidrant"/>
        <w:rPr>
          <w:noProof/>
        </w:rPr>
      </w:pPr>
      <w:r>
        <w:t>(7)</w:t>
      </w:r>
      <w:r>
        <w:tab/>
      </w:r>
      <w:r>
        <w:rPr>
          <w:noProof/>
        </w:rPr>
        <w:t>În vederea adaptării la evoluțiile corespunzătoare în statele membre, competența de a adopta acte în conformitate cu articolul 290 din tratat ar trebui să fie delegată Comisiei în ceea ce privește modificarea clasificării NUTS din anexa I, a listei privind unitățile administrative existente din anexa II și a listei unităților administrative locale din anexa III la Regulamentul (CE) nr. 1059/2003. Este deosebit de important ca, în cadrul lucrărilor sale pregătitoare, Comisia să organizeze consultări adecvate, inclusiv la nivel de experți, și ca aceste consultări să aibă loc în conformitate cu principiile prevăzute în Acordul interinstituțional privind o mai bună legiferare din 13 aprilie 2016.</w:t>
      </w:r>
      <w:r>
        <w:rPr>
          <w:noProof/>
          <w:vertAlign w:val="superscript"/>
        </w:rPr>
        <w:t>(</w:t>
      </w:r>
      <w:r>
        <w:rPr>
          <w:rStyle w:val="FootnoteReference"/>
          <w:noProof/>
        </w:rPr>
        <w:footnoteReference w:id="11"/>
      </w:r>
      <w:r>
        <w:rPr>
          <w:noProof/>
          <w:vertAlign w:val="superscript"/>
        </w:rPr>
        <w:t>)</w:t>
      </w:r>
      <w:r>
        <w:rPr>
          <w:noProof/>
        </w:rPr>
        <w:t>. În special, pentru a se asigura o participare echitabilă la pregătirea actelor delegate, Parlamentul European și Consiliul primesc toate documentele în același timp cu experții din statele membre, iar experții acestor instituții au acces sistematic la reuniunile grupurilor de experți ale Comisiei în legătură cu pregătirea actelor delegate.</w:t>
      </w:r>
    </w:p>
    <w:p>
      <w:pPr>
        <w:pStyle w:val="ManualConsidrant"/>
        <w:rPr>
          <w:noProof/>
        </w:rPr>
      </w:pPr>
      <w:r>
        <w:t>(8)</w:t>
      </w:r>
      <w:r>
        <w:tab/>
      </w:r>
      <w:r>
        <w:rPr>
          <w:noProof/>
        </w:rPr>
        <w:t>În vederea asigurării unor condiții uniforme pentru punerea în aplicare a prezentului regulament, ar trebui conferite competențe de executare Comisiei în ceea ce privește aplicarea tipologiilor teritoriilor și a seriilor de timp pe care statele membre trebuie să le furnizeze Comisiei, în cazul unor modificări ale nomenclatorului NUTS. Aceste competențe ar trebui să fie exercitate în conformitate cu Regulamentul (UE) nr. 182/2011 al Parlamentului European și al Consiliului.</w:t>
      </w:r>
      <w:r>
        <w:rPr>
          <w:noProof/>
          <w:vertAlign w:val="superscript"/>
        </w:rPr>
        <w:t>(</w:t>
      </w:r>
      <w:r>
        <w:rPr>
          <w:rStyle w:val="FootnoteReference"/>
          <w:noProof/>
        </w:rPr>
        <w:footnoteReference w:id="12"/>
      </w:r>
      <w:r>
        <w:rPr>
          <w:noProof/>
          <w:vertAlign w:val="superscript"/>
        </w:rPr>
        <w:t>)</w:t>
      </w:r>
      <w:r>
        <w:rPr>
          <w:noProof/>
        </w:rPr>
        <w:t>.</w:t>
      </w:r>
    </w:p>
    <w:p>
      <w:pPr>
        <w:pStyle w:val="ManualConsidrant"/>
        <w:rPr>
          <w:noProof/>
        </w:rPr>
      </w:pPr>
      <w:r>
        <w:t>(9)</w:t>
      </w:r>
      <w:r>
        <w:tab/>
      </w:r>
      <w:r>
        <w:rPr>
          <w:noProof/>
        </w:rPr>
        <w:t>Prin urmare, Regulamentul (CE) nr. 1059/2003 ar trebui modificat în consecință.</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Regulamentul (CE) nr. 1059/2003 se modifică după cum urmează:</w:t>
      </w:r>
    </w:p>
    <w:p>
      <w:pPr>
        <w:pStyle w:val="Point0number"/>
        <w:numPr>
          <w:ilvl w:val="0"/>
          <w:numId w:val="6"/>
        </w:numPr>
        <w:rPr>
          <w:noProof/>
        </w:rPr>
      </w:pPr>
      <w:r>
        <w:rPr>
          <w:noProof/>
        </w:rPr>
        <w:t>Articolul 1 se înlocuiește cu următorul text:</w:t>
      </w:r>
    </w:p>
    <w:p>
      <w:pPr>
        <w:pStyle w:val="Text1"/>
        <w:rPr>
          <w:noProof/>
        </w:rPr>
      </w:pPr>
      <w:r>
        <w:rPr>
          <w:noProof/>
        </w:rPr>
        <w:t>„</w:t>
      </w:r>
      <w:r>
        <w:rPr>
          <w:i/>
          <w:noProof/>
        </w:rPr>
        <w:t>Articolul 1</w:t>
      </w:r>
    </w:p>
    <w:p>
      <w:pPr>
        <w:pStyle w:val="Text1"/>
        <w:rPr>
          <w:b/>
          <w:noProof/>
        </w:rPr>
      </w:pPr>
      <w:r>
        <w:rPr>
          <w:b/>
          <w:noProof/>
        </w:rPr>
        <w:t>Obiect</w:t>
      </w:r>
    </w:p>
    <w:p>
      <w:pPr>
        <w:pStyle w:val="Text1"/>
        <w:rPr>
          <w:noProof/>
        </w:rPr>
      </w:pPr>
      <w:r>
        <w:rPr>
          <w:noProof/>
        </w:rPr>
        <w:t>(1) Prezentul regulament stabilește un nomenclator statistic comun al unităților teritoriale (NUTS), pentru a permite colectarea, compilarea și difuzarea de statistici armonizate la diferite niveluri teritoriale ale UE.</w:t>
      </w:r>
    </w:p>
    <w:p>
      <w:pPr>
        <w:pStyle w:val="Text1"/>
        <w:rPr>
          <w:noProof/>
        </w:rPr>
      </w:pPr>
      <w:r>
        <w:rPr>
          <w:noProof/>
        </w:rPr>
        <w:t>(2) Clasificarea NUTS este prevăzută în anexa I.</w:t>
      </w:r>
    </w:p>
    <w:p>
      <w:pPr>
        <w:pStyle w:val="Text1"/>
        <w:rPr>
          <w:noProof/>
        </w:rPr>
      </w:pPr>
      <w:r>
        <w:rPr>
          <w:noProof/>
        </w:rPr>
        <w:t>(3) Unitățile administrative locale (UAL), astfel cum se menționează la articolul 4, completează nomenclatorul NUTS.</w:t>
      </w:r>
    </w:p>
    <w:p>
      <w:pPr>
        <w:pStyle w:val="Text1"/>
        <w:rPr>
          <w:noProof/>
        </w:rPr>
      </w:pPr>
      <w:r>
        <w:rPr>
          <w:noProof/>
        </w:rPr>
        <w:t>(4) Grilele statistice, astfel cum se menționează la articolul 4a, completează nomenclatorul NUTS. Acestea sunt utilizate pentru a calcula tipologiile teritoriilor pe baza populației.</w:t>
      </w:r>
    </w:p>
    <w:p>
      <w:pPr>
        <w:pStyle w:val="Text1"/>
        <w:rPr>
          <w:noProof/>
        </w:rPr>
      </w:pPr>
      <w:r>
        <w:rPr>
          <w:noProof/>
        </w:rPr>
        <w:t>(5) Tipologiile teritoriilor Uniunii, astfel cum se menționează la articolul 4b, completează clasificarea NUTS prin atribuirea de tipuri unităților teritoriale.”;</w:t>
      </w:r>
    </w:p>
    <w:p>
      <w:pPr>
        <w:pStyle w:val="Point0number"/>
        <w:rPr>
          <w:noProof/>
        </w:rPr>
      </w:pPr>
      <w:r>
        <w:rPr>
          <w:noProof/>
        </w:rPr>
        <w:t>La articolul 2, alineatul (5) se elimină.</w:t>
      </w:r>
    </w:p>
    <w:p>
      <w:pPr>
        <w:pStyle w:val="Point0number"/>
        <w:rPr>
          <w:noProof/>
        </w:rPr>
      </w:pPr>
      <w:r>
        <w:rPr>
          <w:noProof/>
        </w:rPr>
        <w:t>Articolul 3 se modifică după cum urmează:</w:t>
      </w:r>
    </w:p>
    <w:p>
      <w:pPr>
        <w:pStyle w:val="Point1letter"/>
        <w:rPr>
          <w:noProof/>
        </w:rPr>
      </w:pPr>
      <w:r>
        <w:rPr>
          <w:noProof/>
        </w:rPr>
        <w:t>alineatul (4) se înlocuiește cu următorul text:</w:t>
      </w:r>
    </w:p>
    <w:p>
      <w:pPr>
        <w:pStyle w:val="Text1"/>
        <w:rPr>
          <w:noProof/>
        </w:rPr>
      </w:pPr>
      <w:r>
        <w:rPr>
          <w:noProof/>
        </w:rPr>
        <w:t>„(4) Unitățile administrative existente folosite în scopul nomenclatorului NUTS sunt enumerate în anexa II. Comisia este împuternicită să adopte acte delegate în conformitate cu articolul 7a pentru a adapta anexa II pe baza evoluțiilor corespunzătoare în statele membre.”;</w:t>
      </w:r>
    </w:p>
    <w:p>
      <w:pPr>
        <w:pStyle w:val="Text1"/>
        <w:rPr>
          <w:noProof/>
        </w:rPr>
      </w:pPr>
      <w:r>
        <w:rPr>
          <w:noProof/>
        </w:rPr>
        <w:t>(b)</w:t>
      </w:r>
      <w:r>
        <w:rPr>
          <w:noProof/>
        </w:rPr>
        <w:tab/>
        <w:t>la alineatul (5), al treilea paragraf se înlocuiește cu următorul text:</w:t>
      </w:r>
    </w:p>
    <w:p>
      <w:pPr>
        <w:pStyle w:val="Text1"/>
        <w:rPr>
          <w:noProof/>
        </w:rPr>
      </w:pPr>
      <w:r>
        <w:rPr>
          <w:noProof/>
        </w:rPr>
        <w:t>„Cu toate acestea, se pot face derogări de la aceste praguri pentru anumite unități neadministrative, din anumite motive geografice, socio-economice, istorice, culturale sau de mediu, în special în cazul insulelor și regiunilor ultraperiferice.”;</w:t>
      </w:r>
    </w:p>
    <w:p>
      <w:pPr>
        <w:pStyle w:val="Point0number"/>
        <w:rPr>
          <w:noProof/>
        </w:rPr>
      </w:pPr>
      <w:r>
        <w:rPr>
          <w:noProof/>
        </w:rPr>
        <w:t>Articolul 4 se înlocuiește cu următorul text:</w:t>
      </w:r>
    </w:p>
    <w:p>
      <w:pPr>
        <w:pStyle w:val="Text1"/>
        <w:rPr>
          <w:i/>
          <w:noProof/>
        </w:rPr>
      </w:pPr>
      <w:r>
        <w:rPr>
          <w:noProof/>
        </w:rPr>
        <w:t>„</w:t>
      </w:r>
      <w:r>
        <w:rPr>
          <w:i/>
          <w:noProof/>
        </w:rPr>
        <w:t>Articolul 4</w:t>
      </w:r>
    </w:p>
    <w:p>
      <w:pPr>
        <w:pStyle w:val="Text1"/>
        <w:rPr>
          <w:noProof/>
        </w:rPr>
      </w:pPr>
      <w:r>
        <w:rPr>
          <w:b/>
          <w:noProof/>
        </w:rPr>
        <w:t>Unități administrative locale</w:t>
      </w:r>
    </w:p>
    <w:p>
      <w:pPr>
        <w:pStyle w:val="Text1"/>
        <w:rPr>
          <w:noProof/>
        </w:rPr>
      </w:pPr>
      <w:r>
        <w:rPr>
          <w:noProof/>
        </w:rPr>
        <w:t>(1) În fiecare stat membru, unitățile administrative locale (UAL) împart nivelul NUTS 3 în unul sau două niveluri suplimentare de unități teritoriale. Cel puțin unul din nivelurile UAL va fi o unitate administrativă, astfel cum este definită în articolul 3 alineatul (1) și astfel cum este stabilit în anexa III. Comisia este împuternicită să adopte acte delegate în conformitate cu articolul 7a pentru a adapta lista UAL din anexa III pe baza evoluțiilor corespunzătoare din statele membre.</w:t>
      </w:r>
    </w:p>
    <w:p>
      <w:pPr>
        <w:pStyle w:val="Text1"/>
        <w:rPr>
          <w:noProof/>
        </w:rPr>
      </w:pPr>
      <w:r>
        <w:rPr>
          <w:noProof/>
        </w:rPr>
        <w:t>(2) În primele șase luni ale fiecărui an, statele membre transmit Comisiei (Eurostat) lista UAL care indică orice modificări și regiunea NUTS 3 de care aparțin, de la data de 31 decembrie a anului precedent. În acest sens, lista trebuie să respecte formatul electronic impus de către Comisie (Eurostat).</w:t>
      </w:r>
    </w:p>
    <w:p>
      <w:pPr>
        <w:pStyle w:val="Text1"/>
        <w:rPr>
          <w:noProof/>
        </w:rPr>
      </w:pPr>
      <w:r>
        <w:rPr>
          <w:noProof/>
        </w:rPr>
        <w:t>(3) Comisia (Eurostat) publică lista UAL în secțiunea specială de pe site-ul său web, până la data de 31 decembrie a fiecărui an.”</w:t>
      </w:r>
    </w:p>
    <w:p>
      <w:pPr>
        <w:pStyle w:val="Point0number"/>
        <w:rPr>
          <w:noProof/>
        </w:rPr>
      </w:pPr>
      <w:r>
        <w:rPr>
          <w:noProof/>
        </w:rPr>
        <w:t>Se inserează următoarele articole 4a și 4b:</w:t>
      </w:r>
    </w:p>
    <w:p>
      <w:pPr>
        <w:pStyle w:val="Text1"/>
        <w:rPr>
          <w:i/>
          <w:noProof/>
        </w:rPr>
      </w:pPr>
      <w:r>
        <w:rPr>
          <w:noProof/>
        </w:rPr>
        <w:t>„</w:t>
      </w:r>
      <w:r>
        <w:rPr>
          <w:i/>
          <w:noProof/>
        </w:rPr>
        <w:t>Articolul 4a</w:t>
      </w:r>
    </w:p>
    <w:p>
      <w:pPr>
        <w:pStyle w:val="Text1"/>
        <w:rPr>
          <w:b/>
          <w:noProof/>
        </w:rPr>
      </w:pPr>
      <w:r>
        <w:rPr>
          <w:b/>
          <w:noProof/>
        </w:rPr>
        <w:t>Grile statistice</w:t>
      </w:r>
    </w:p>
    <w:p>
      <w:pPr>
        <w:pStyle w:val="Text1"/>
        <w:rPr>
          <w:noProof/>
        </w:rPr>
      </w:pPr>
      <w:r>
        <w:rPr>
          <w:noProof/>
        </w:rPr>
        <w:t>Comisia (Eurostat) întreține și publică un sistem de grile statistice la nivelul Uniunii în secțiunea specială de pe site-ul său web. Grilele statistice trebuie să respecte specificațiile prevăzute în Regulamentul (UE) nr. 1089/2010 al Comisiei</w:t>
      </w:r>
      <w:r>
        <w:rPr>
          <w:noProof/>
          <w:vertAlign w:val="superscript"/>
        </w:rPr>
        <w:t>(</w:t>
      </w:r>
      <w:r>
        <w:rPr>
          <w:rStyle w:val="FootnoteReference"/>
          <w:noProof/>
        </w:rPr>
        <w:footnoteReference w:id="13"/>
      </w:r>
      <w:r>
        <w:rPr>
          <w:noProof/>
          <w:vertAlign w:val="superscript"/>
        </w:rPr>
        <w:t>)</w:t>
      </w:r>
      <w:r>
        <w:rPr>
          <w:noProof/>
        </w:rPr>
        <w:t>.</w:t>
      </w:r>
    </w:p>
    <w:p>
      <w:pPr>
        <w:pStyle w:val="Text1"/>
        <w:rPr>
          <w:i/>
          <w:noProof/>
        </w:rPr>
      </w:pPr>
      <w:r>
        <w:rPr>
          <w:i/>
          <w:noProof/>
        </w:rPr>
        <w:t>Articolul 4b</w:t>
      </w:r>
    </w:p>
    <w:p>
      <w:pPr>
        <w:pStyle w:val="Text1"/>
        <w:rPr>
          <w:b/>
          <w:noProof/>
        </w:rPr>
      </w:pPr>
      <w:r>
        <w:rPr>
          <w:b/>
          <w:noProof/>
        </w:rPr>
        <w:t>Tipologiile teritoriilor Uniunii</w:t>
      </w:r>
    </w:p>
    <w:p>
      <w:pPr>
        <w:pStyle w:val="Text1"/>
        <w:rPr>
          <w:noProof/>
        </w:rPr>
      </w:pPr>
      <w:r>
        <w:rPr>
          <w:noProof/>
        </w:rPr>
        <w:t>(1) Comisia (Eurostat) întreține și publică în secțiunea dedicată a site-ului său web tipologiile Uniunii compuse din unități teritoriale la nivelul NUTS, al UAL și la nivelul celulei de grilă.</w:t>
      </w:r>
    </w:p>
    <w:p>
      <w:pPr>
        <w:pStyle w:val="Text1"/>
        <w:rPr>
          <w:noProof/>
        </w:rPr>
      </w:pPr>
      <w:r>
        <w:rPr>
          <w:noProof/>
        </w:rPr>
        <w:t>(2) Tipologia pe baza grilei se stabilește la un nivel de rezoluție de 1 km</w:t>
      </w:r>
      <w:r>
        <w:rPr>
          <w:noProof/>
          <w:vertAlign w:val="superscript"/>
        </w:rPr>
        <w:t>2</w:t>
      </w:r>
      <w:r>
        <w:rPr>
          <w:noProof/>
        </w:rPr>
        <w:t>, după cum urmează:</w:t>
      </w:r>
    </w:p>
    <w:p>
      <w:pPr>
        <w:pStyle w:val="Tiret2"/>
        <w:numPr>
          <w:ilvl w:val="0"/>
          <w:numId w:val="7"/>
        </w:numPr>
        <w:rPr>
          <w:noProof/>
        </w:rPr>
      </w:pPr>
      <w:r>
        <w:rPr>
          <w:noProof/>
        </w:rPr>
        <w:t>„centre urbane”,</w:t>
      </w:r>
    </w:p>
    <w:p>
      <w:pPr>
        <w:pStyle w:val="Tiret2"/>
        <w:rPr>
          <w:noProof/>
        </w:rPr>
      </w:pPr>
      <w:r>
        <w:rPr>
          <w:noProof/>
        </w:rPr>
        <w:t>„aglomerații urbane”,</w:t>
      </w:r>
    </w:p>
    <w:p>
      <w:pPr>
        <w:pStyle w:val="Tiret2"/>
        <w:rPr>
          <w:noProof/>
        </w:rPr>
      </w:pPr>
      <w:r>
        <w:rPr>
          <w:noProof/>
        </w:rPr>
        <w:t>„celule de grilă rurale”.</w:t>
      </w:r>
    </w:p>
    <w:p>
      <w:pPr>
        <w:pStyle w:val="Text1"/>
        <w:rPr>
          <w:noProof/>
        </w:rPr>
      </w:pPr>
      <w:r>
        <w:rPr>
          <w:noProof/>
        </w:rPr>
        <w:t>(3) Următoarele tipologii se stabilesc la nivelul UAL:</w:t>
      </w:r>
    </w:p>
    <w:p>
      <w:pPr>
        <w:pStyle w:val="Text1"/>
        <w:rPr>
          <w:noProof/>
        </w:rPr>
      </w:pPr>
      <w:r>
        <w:rPr>
          <w:noProof/>
        </w:rPr>
        <w:t>(a) gradul de urbanizare (DEGURBA):</w:t>
      </w:r>
    </w:p>
    <w:p>
      <w:pPr>
        <w:pStyle w:val="Tiret2"/>
        <w:rPr>
          <w:noProof/>
        </w:rPr>
      </w:pPr>
      <w:r>
        <w:rPr>
          <w:noProof/>
        </w:rPr>
        <w:t>„zone urbane”:</w:t>
      </w:r>
    </w:p>
    <w:p>
      <w:pPr>
        <w:pStyle w:val="Tiret3"/>
        <w:numPr>
          <w:ilvl w:val="0"/>
          <w:numId w:val="12"/>
        </w:numPr>
        <w:rPr>
          <w:noProof/>
        </w:rPr>
      </w:pPr>
      <w:r>
        <w:rPr>
          <w:noProof/>
        </w:rPr>
        <w:t>„orașe” sau „zone dens populate”,</w:t>
      </w:r>
    </w:p>
    <w:p>
      <w:pPr>
        <w:pStyle w:val="Tiret3"/>
        <w:rPr>
          <w:noProof/>
        </w:rPr>
      </w:pPr>
      <w:r>
        <w:rPr>
          <w:noProof/>
        </w:rPr>
        <w:t>„orașe mici și suburbii” sau „zone cu densitate intermediară”,</w:t>
      </w:r>
    </w:p>
    <w:p>
      <w:pPr>
        <w:pStyle w:val="Tiret2"/>
        <w:rPr>
          <w:noProof/>
        </w:rPr>
      </w:pPr>
      <w:r>
        <w:rPr>
          <w:noProof/>
        </w:rPr>
        <w:t>„zonele rurale” sau „zone slab populate”;</w:t>
      </w:r>
    </w:p>
    <w:p>
      <w:pPr>
        <w:pStyle w:val="Text1"/>
        <w:rPr>
          <w:noProof/>
        </w:rPr>
      </w:pPr>
      <w:r>
        <w:rPr>
          <w:noProof/>
        </w:rPr>
        <w:t>(b) zone urbane funcționale:</w:t>
      </w:r>
    </w:p>
    <w:p>
      <w:pPr>
        <w:pStyle w:val="Tiret2"/>
        <w:rPr>
          <w:noProof/>
        </w:rPr>
      </w:pPr>
      <w:r>
        <w:rPr>
          <w:noProof/>
        </w:rPr>
        <w:t>„orașe” și „zone de navetă”;</w:t>
      </w:r>
    </w:p>
    <w:p>
      <w:pPr>
        <w:pStyle w:val="Text1"/>
        <w:rPr>
          <w:noProof/>
        </w:rPr>
      </w:pPr>
      <w:r>
        <w:rPr>
          <w:noProof/>
        </w:rPr>
        <w:t>(c) zone costiere:</w:t>
      </w:r>
    </w:p>
    <w:p>
      <w:pPr>
        <w:pStyle w:val="Tiret2"/>
        <w:rPr>
          <w:noProof/>
        </w:rPr>
      </w:pPr>
      <w:r>
        <w:rPr>
          <w:noProof/>
        </w:rPr>
        <w:t>„zone costiere”,</w:t>
      </w:r>
    </w:p>
    <w:p>
      <w:pPr>
        <w:pStyle w:val="Tiret2"/>
        <w:rPr>
          <w:noProof/>
        </w:rPr>
      </w:pPr>
      <w:r>
        <w:rPr>
          <w:noProof/>
        </w:rPr>
        <w:t>„zone necostiere”.</w:t>
      </w:r>
    </w:p>
    <w:p>
      <w:pPr>
        <w:pStyle w:val="Text1"/>
        <w:rPr>
          <w:noProof/>
        </w:rPr>
      </w:pPr>
      <w:r>
        <w:rPr>
          <w:noProof/>
        </w:rPr>
        <w:t>În cazul în care există mai mult de un singur nivel administrativ UAL într-un stat membru, Comisia (Eurostat) consultă respectivul stat membru pentru a stabili nivelul administrativ UAL care va fi utilizat pentru atribuirea de tipologii.</w:t>
      </w:r>
    </w:p>
    <w:p>
      <w:pPr>
        <w:pStyle w:val="Text1"/>
        <w:rPr>
          <w:noProof/>
        </w:rPr>
      </w:pPr>
      <w:r>
        <w:rPr>
          <w:noProof/>
        </w:rPr>
        <w:t>(4) Următoarele tipologii și denumiri se stabilesc la nivelul NUTS 3.</w:t>
      </w:r>
    </w:p>
    <w:p>
      <w:pPr>
        <w:pStyle w:val="Text1"/>
        <w:rPr>
          <w:noProof/>
        </w:rPr>
      </w:pPr>
      <w:r>
        <w:rPr>
          <w:noProof/>
        </w:rPr>
        <w:t>a) tipologia zonelor urbane și rurale:</w:t>
      </w:r>
    </w:p>
    <w:p>
      <w:pPr>
        <w:pStyle w:val="Tiret2"/>
        <w:rPr>
          <w:noProof/>
        </w:rPr>
      </w:pPr>
      <w:r>
        <w:rPr>
          <w:noProof/>
        </w:rPr>
        <w:t>„regiuni predominant urbane”:</w:t>
      </w:r>
    </w:p>
    <w:p>
      <w:pPr>
        <w:pStyle w:val="Tiret2"/>
        <w:rPr>
          <w:noProof/>
        </w:rPr>
      </w:pPr>
      <w:r>
        <w:rPr>
          <w:noProof/>
        </w:rPr>
        <w:t>„regiuni intermediare”,</w:t>
      </w:r>
    </w:p>
    <w:p>
      <w:pPr>
        <w:pStyle w:val="Tiret2"/>
        <w:rPr>
          <w:noProof/>
        </w:rPr>
      </w:pPr>
      <w:r>
        <w:rPr>
          <w:noProof/>
        </w:rPr>
        <w:t>„regiuni predominant rurale”;</w:t>
      </w:r>
    </w:p>
    <w:p>
      <w:pPr>
        <w:pStyle w:val="Text1"/>
        <w:rPr>
          <w:noProof/>
        </w:rPr>
      </w:pPr>
      <w:r>
        <w:rPr>
          <w:noProof/>
        </w:rPr>
        <w:t>b) tipologie metropolitană:</w:t>
      </w:r>
    </w:p>
    <w:p>
      <w:pPr>
        <w:pStyle w:val="Tiret2"/>
        <w:rPr>
          <w:noProof/>
        </w:rPr>
      </w:pPr>
      <w:r>
        <w:rPr>
          <w:noProof/>
        </w:rPr>
        <w:t>„regiuni metropolitane”,</w:t>
      </w:r>
    </w:p>
    <w:p>
      <w:pPr>
        <w:pStyle w:val="Tiret2"/>
        <w:rPr>
          <w:noProof/>
        </w:rPr>
      </w:pPr>
      <w:r>
        <w:rPr>
          <w:noProof/>
        </w:rPr>
        <w:t>„regiuni nemetropolitane”;</w:t>
      </w:r>
    </w:p>
    <w:p>
      <w:pPr>
        <w:pStyle w:val="Text1"/>
        <w:rPr>
          <w:noProof/>
        </w:rPr>
      </w:pPr>
      <w:r>
        <w:rPr>
          <w:noProof/>
        </w:rPr>
        <w:t>(c) tipologia costieră:</w:t>
      </w:r>
    </w:p>
    <w:p>
      <w:pPr>
        <w:pStyle w:val="Tiret2"/>
        <w:rPr>
          <w:noProof/>
        </w:rPr>
      </w:pPr>
      <w:r>
        <w:rPr>
          <w:noProof/>
        </w:rPr>
        <w:t>„regiuni costiere”.</w:t>
      </w:r>
    </w:p>
    <w:p>
      <w:pPr>
        <w:pStyle w:val="Tiret2"/>
        <w:rPr>
          <w:noProof/>
        </w:rPr>
      </w:pPr>
      <w:r>
        <w:rPr>
          <w:noProof/>
        </w:rPr>
        <w:t>„regiuni necostiere”.</w:t>
      </w:r>
    </w:p>
    <w:p>
      <w:pPr>
        <w:pStyle w:val="Text1"/>
        <w:rPr>
          <w:noProof/>
        </w:rPr>
      </w:pPr>
      <w:r>
        <w:rPr>
          <w:noProof/>
        </w:rPr>
        <w:t>(5) Comisia stabilește, prin intermediul unor acte de punere în aplicare, condiții uniforme pentru aplicarea armonizată a tipologiilor stabilite la nivelul statelor membre și la nivelul Uniunii. Actele de punere în aplicare respective se adoptă în conformitate cu procedura de examinare menționată la articolul 7.</w:t>
      </w:r>
    </w:p>
    <w:p>
      <w:pPr>
        <w:pStyle w:val="Point0number"/>
        <w:rPr>
          <w:noProof/>
        </w:rPr>
      </w:pPr>
      <w:r>
        <w:rPr>
          <w:noProof/>
        </w:rPr>
        <w:t>Articolul 5 se modifică după cum urmează:</w:t>
      </w:r>
    </w:p>
    <w:p>
      <w:pPr>
        <w:pStyle w:val="Point1letter"/>
        <w:rPr>
          <w:noProof/>
        </w:rPr>
      </w:pPr>
      <w:r>
        <w:rPr>
          <w:noProof/>
        </w:rPr>
        <w:t>alineatul (4) se înlocuiește cu următorul text:</w:t>
      </w:r>
    </w:p>
    <w:p>
      <w:pPr>
        <w:pStyle w:val="Text1"/>
        <w:rPr>
          <w:noProof/>
        </w:rPr>
      </w:pPr>
      <w:r>
        <w:rPr>
          <w:noProof/>
        </w:rPr>
        <w:t>„(4) Modificările nomenclatorului NUTS se adoptă în cursul celui de-al doilea semestru al anului civil, cel mai devreme o dată la trei ani, pe baza criteriilor prevăzute la articolul 3. Cu toate acestea, în cazul unei reorganizări substanțiale a structurii administrative corespunzătoare unui stat membru, modificările nomenclatorului NUTS pot fi adoptate la intervale mai scurte de timp.</w:t>
      </w:r>
    </w:p>
    <w:p>
      <w:pPr>
        <w:pStyle w:val="Text1"/>
        <w:rPr>
          <w:noProof/>
        </w:rPr>
      </w:pPr>
      <w:r>
        <w:rPr>
          <w:noProof/>
        </w:rPr>
        <w:t>Comisia este împuternicită să adopte acte delegate în conformitate cu articolul 7a pentru a adapta clasificarea NUTS din anexa I pe baza evoluțiilor corespunzătoare în statele membre. Datele regionale pe care statele membre le transmit Comisiei (Eurostat) se bazează pe clasificarea NUTS modificată începând cu data de 1 ianuarie a celui de-al doilea an de la adoptarea actelor delegate menționate la primul paragraf.”;</w:t>
      </w:r>
    </w:p>
    <w:p>
      <w:pPr>
        <w:pStyle w:val="Point1letter"/>
        <w:rPr>
          <w:noProof/>
        </w:rPr>
      </w:pPr>
      <w:r>
        <w:rPr>
          <w:noProof/>
        </w:rPr>
        <w:t>alineatul (5) se înlocuiește cu următorul text:</w:t>
      </w:r>
    </w:p>
    <w:p>
      <w:pPr>
        <w:pStyle w:val="Text1"/>
        <w:rPr>
          <w:noProof/>
        </w:rPr>
      </w:pPr>
      <w:r>
        <w:rPr>
          <w:noProof/>
        </w:rPr>
        <w:t>„(5) Atunci când se aduce o modificare nomenclatorului NUTS, Comisiei (Eurostat) îi sunt comunicate de către statul membru în cauză seriile temporale în care are loc noua împărțire regională, fiind înlocuite datele transmise deja.</w:t>
      </w:r>
    </w:p>
    <w:p>
      <w:pPr>
        <w:pStyle w:val="Text1"/>
        <w:rPr>
          <w:noProof/>
        </w:rPr>
      </w:pPr>
      <w:r>
        <w:rPr>
          <w:noProof/>
        </w:rPr>
        <w:t>Comisia stabilește, prin intermediul unor acte de punere în aplicare, condiții uniforme pentru seriile de timp și lungimea acestora, luând în considerare fezabilitatea transmiterii acestora. Respectivele acte de punere în aplicare se adoptă în conformitate cu procedura de examinare menționată la articolul 7.</w:t>
      </w:r>
    </w:p>
    <w:p>
      <w:pPr>
        <w:pStyle w:val="Text1"/>
        <w:rPr>
          <w:noProof/>
        </w:rPr>
      </w:pPr>
      <w:r>
        <w:rPr>
          <w:noProof/>
        </w:rPr>
        <w:t>Seriile de timp sunt transmise până la data de 1 ianuarie a celui de-al patrulea an de la adoptarea unui act delegat, astfel cum se menționează la alineatul (4).”;</w:t>
      </w:r>
    </w:p>
    <w:p>
      <w:pPr>
        <w:pStyle w:val="Point0number"/>
        <w:rPr>
          <w:noProof/>
        </w:rPr>
      </w:pPr>
      <w:r>
        <w:rPr>
          <w:noProof/>
        </w:rPr>
        <w:t>Articolul 7 se înlocuiește cu următorul text:</w:t>
      </w:r>
    </w:p>
    <w:p>
      <w:pPr>
        <w:pStyle w:val="Text1"/>
        <w:rPr>
          <w:i/>
          <w:noProof/>
        </w:rPr>
      </w:pPr>
      <w:r>
        <w:rPr>
          <w:noProof/>
        </w:rPr>
        <w:t>„</w:t>
      </w:r>
      <w:r>
        <w:rPr>
          <w:i/>
          <w:noProof/>
        </w:rPr>
        <w:t>Articolul 7</w:t>
      </w:r>
    </w:p>
    <w:p>
      <w:pPr>
        <w:pStyle w:val="Text1"/>
        <w:rPr>
          <w:b/>
          <w:noProof/>
        </w:rPr>
      </w:pPr>
      <w:r>
        <w:rPr>
          <w:b/>
          <w:noProof/>
        </w:rPr>
        <w:t>Procedura comitetului</w:t>
      </w:r>
    </w:p>
    <w:p>
      <w:pPr>
        <w:pStyle w:val="Text1"/>
        <w:rPr>
          <w:noProof/>
        </w:rPr>
      </w:pPr>
      <w:r>
        <w:rPr>
          <w:noProof/>
        </w:rPr>
        <w:t>(1) Comisia este asistată de Comitetul Sistemului Statistic European. Acesta este un comitet în sensul Regulamentului (UE) nr. 182/2011.</w:t>
      </w:r>
    </w:p>
    <w:p>
      <w:pPr>
        <w:pStyle w:val="Text1"/>
        <w:rPr>
          <w:noProof/>
        </w:rPr>
      </w:pPr>
      <w:r>
        <w:rPr>
          <w:noProof/>
        </w:rPr>
        <w:t>(2) Atunci când se face trimitere la prezentul alineat, se aplică articolul 5 din Regulamentul (UE) nr. 182/2011.”;</w:t>
      </w:r>
    </w:p>
    <w:p>
      <w:pPr>
        <w:pStyle w:val="Point0number"/>
        <w:rPr>
          <w:noProof/>
        </w:rPr>
      </w:pPr>
      <w:r>
        <w:rPr>
          <w:noProof/>
        </w:rPr>
        <w:t>se introduce următorul articol 7a:</w:t>
      </w:r>
    </w:p>
    <w:p>
      <w:pPr>
        <w:pStyle w:val="Text1"/>
        <w:rPr>
          <w:noProof/>
        </w:rPr>
      </w:pPr>
      <w:r>
        <w:rPr>
          <w:noProof/>
        </w:rPr>
        <w:t>„</w:t>
      </w:r>
      <w:r>
        <w:rPr>
          <w:i/>
          <w:noProof/>
        </w:rPr>
        <w:t>Articolul 7a</w:t>
      </w:r>
    </w:p>
    <w:p>
      <w:pPr>
        <w:pStyle w:val="Text1"/>
        <w:rPr>
          <w:b/>
          <w:noProof/>
        </w:rPr>
      </w:pPr>
      <w:r>
        <w:rPr>
          <w:b/>
          <w:noProof/>
        </w:rPr>
        <w:t>Exercitarea delegării</w:t>
      </w:r>
    </w:p>
    <w:p>
      <w:pPr>
        <w:pStyle w:val="Text1"/>
        <w:rPr>
          <w:noProof/>
        </w:rPr>
      </w:pPr>
      <w:r>
        <w:rPr>
          <w:noProof/>
        </w:rPr>
        <w:t>(1) Competența de a adopta acte delegate este conferită Comisiei în condițiile prevăzute în prezentul articol.</w:t>
      </w:r>
    </w:p>
    <w:p>
      <w:pPr>
        <w:pStyle w:val="Text1"/>
        <w:rPr>
          <w:noProof/>
        </w:rPr>
      </w:pPr>
      <w:r>
        <w:rPr>
          <w:noProof/>
        </w:rPr>
        <w:t>(2) Competența de a adopta acte delegate menționată la articolul 3 alineatul (4), articolul 4 alineatul (1) și articolul 5 alineatul (4) se conferă Comisiei pe durată nedeterminată, de la [</w:t>
      </w:r>
      <w:r>
        <w:rPr>
          <w:i/>
          <w:noProof/>
        </w:rPr>
        <w:t>Oficiul de Publicații: a se introduce data intrării în vigoare a prezentului regulament</w:t>
      </w:r>
      <w:r>
        <w:rPr>
          <w:noProof/>
        </w:rPr>
        <w:t>].</w:t>
      </w:r>
    </w:p>
    <w:p>
      <w:pPr>
        <w:pStyle w:val="Text1"/>
        <w:rPr>
          <w:noProof/>
        </w:rPr>
      </w:pPr>
      <w:r>
        <w:rPr>
          <w:noProof/>
        </w:rPr>
        <w:t xml:space="preserve">(3) Parlamentul European sau Consiliul poate revoca în orice moment delegarea de competențe menționată la articolul 3 alineatul (4), la articolul 4 alineatul (1) și la articolul 5 alineatul (4). O decizie de revocare pune capăt delegării competenței specificate în decizia respectivă. Decizia produce efecte din ziua care urmează datei publicării acesteia în </w:t>
      </w:r>
      <w:r>
        <w:rPr>
          <w:i/>
          <w:noProof/>
        </w:rPr>
        <w:t>Jurnalul Oficial al Uniunii Europene</w:t>
      </w:r>
      <w:r>
        <w:rPr>
          <w:noProof/>
        </w:rPr>
        <w:t xml:space="preserve"> sau de la o dată ulterioară menționată în decizie. Decizia nu aduce atingere actelor delegate care sunt deja în vigoare.</w:t>
      </w:r>
    </w:p>
    <w:p>
      <w:pPr>
        <w:pStyle w:val="Text1"/>
        <w:rPr>
          <w:noProof/>
        </w:rPr>
      </w:pPr>
      <w:r>
        <w:rPr>
          <w:noProof/>
        </w:rPr>
        <w:t>(4) Înainte de adoptarea unui act delegat, Comisia îi consultă pe experții desemnați de fiecare stat membru în conformitate cu principiile prevăzute în Acordul interinstituțional privind o mai bună legiferare din 13 aprilie 2016.</w:t>
      </w:r>
    </w:p>
    <w:p>
      <w:pPr>
        <w:pStyle w:val="Text1"/>
        <w:rPr>
          <w:noProof/>
        </w:rPr>
      </w:pPr>
      <w:r>
        <w:rPr>
          <w:noProof/>
        </w:rPr>
        <w:t>(5) După ce adoptă un act delegat, Comisia îl notifică simultan Parlamentului European și Consiliului.</w:t>
      </w:r>
    </w:p>
    <w:p>
      <w:pPr>
        <w:pStyle w:val="Text1"/>
        <w:rPr>
          <w:noProof/>
        </w:rPr>
      </w:pPr>
      <w:r>
        <w:rPr>
          <w:noProof/>
        </w:rPr>
        <w:t>(6) Un act delegat adoptat în temeiul articolului 3 alineatul (4), al articolului 4 alineatul (1) sau al articolului 5 alineatul (4) intră în vigoare numai în cazul în care nici Parlamentul European, nici Consiliul nu au formulat obiecții în termen de două luni de la notificarea acestuia către Parlamentul European și Consiliu, sau în cazul în care, înaintea expirării termenului respectiv, Parlamentul European și Consiliul au informat Comisia că nu vor formula obiecții. Această perioadă se prelungește cu două luni la inițiativa Parlamentului European sau a Consiliului.”;</w:t>
      </w:r>
    </w:p>
    <w:p>
      <w:pPr>
        <w:pStyle w:val="Point0number"/>
        <w:rPr>
          <w:noProof/>
        </w:rPr>
      </w:pPr>
      <w:r>
        <w:rPr>
          <w:noProof/>
        </w:rPr>
        <w:t>Articolul 8 se elimină.</w:t>
      </w: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Regulamentul (CE) nr. 1059/2003 al Parlamentului European și al Consiliului din 26 mai 2003 privind instituirea unui nomenclator comun al unităților teritoriale de statistică (NUTS) (JO L 154, 21.6.2003, p. 1).</w:t>
      </w:r>
    </w:p>
  </w:footnote>
  <w:footnote w:id="3">
    <w:p>
      <w:pPr>
        <w:pStyle w:val="FootnoteText"/>
      </w:pPr>
      <w:r>
        <w:rPr>
          <w:rStyle w:val="FootnoteReference"/>
        </w:rPr>
        <w:footnoteRef/>
      </w:r>
      <w:r>
        <w:tab/>
        <w:t>http://ec.europa.eu/europe2020/index_ro.htm.</w:t>
      </w:r>
    </w:p>
  </w:footnote>
  <w:footnote w:id="4">
    <w:p>
      <w:pPr>
        <w:pStyle w:val="FootnoteText"/>
      </w:pPr>
      <w:r>
        <w:rPr>
          <w:rStyle w:val="FootnoteReference"/>
        </w:rPr>
        <w:footnoteRef/>
      </w:r>
      <w:r>
        <w:tab/>
        <w:t>http://ec.europa.eu/regional_policy/ro/information/publications/reports/2014/6th-report-on-economic-social-and-territorial-cohesion.</w:t>
      </w:r>
    </w:p>
  </w:footnote>
  <w:footnote w:id="5">
    <w:p>
      <w:pPr>
        <w:pStyle w:val="FootnoteText"/>
      </w:pPr>
      <w:r>
        <w:rPr>
          <w:rStyle w:val="FootnoteReference"/>
        </w:rPr>
        <w:footnoteRef/>
      </w:r>
      <w:r>
        <w:tab/>
        <w:t>JO L 347, 20.12.2013, p. 320.</w:t>
      </w:r>
    </w:p>
  </w:footnote>
  <w:footnote w:id="6">
    <w:p>
      <w:pPr>
        <w:pStyle w:val="FootnoteText"/>
      </w:pPr>
      <w:r>
        <w:rPr>
          <w:rStyle w:val="FootnoteReference"/>
        </w:rPr>
        <w:footnoteRef/>
      </w:r>
      <w:r>
        <w:tab/>
        <w:t>JO L 148, 20.5.2014, p. 1.</w:t>
      </w:r>
    </w:p>
  </w:footnote>
  <w:footnote w:id="7">
    <w:p>
      <w:pPr>
        <w:pStyle w:val="FootnoteText"/>
      </w:pPr>
      <w:r>
        <w:rPr>
          <w:rStyle w:val="FootnoteReference"/>
        </w:rPr>
        <w:footnoteRef/>
      </w:r>
      <w:r>
        <w:tab/>
        <w:t>JO C ,, p. .</w:t>
      </w:r>
    </w:p>
  </w:footnote>
  <w:footnote w:id="8">
    <w:p>
      <w:pPr>
        <w:pStyle w:val="FootnoteText"/>
      </w:pPr>
      <w:r>
        <w:rPr>
          <w:rStyle w:val="FootnoteReference"/>
        </w:rPr>
        <w:footnoteRef/>
      </w:r>
      <w:r>
        <w:tab/>
        <w:t>JO C ,, p. .</w:t>
      </w:r>
    </w:p>
  </w:footnote>
  <w:footnote w:id="9">
    <w:p>
      <w:pPr>
        <w:pStyle w:val="FootnoteText"/>
      </w:pPr>
      <w:r>
        <w:rPr>
          <w:rStyle w:val="FootnoteReference"/>
        </w:rPr>
        <w:footnoteRef/>
      </w:r>
      <w:r>
        <w:tab/>
        <w:t>Regulamentul (CE) nr. 1059/2003 al Parlamentului European și al Consiliului din 26 mai 2003 privind instituirea unui nomenclator comun al unităților teritoriale de statistică (NUTS) (JO L 154, 21.6.2003, p. 1).</w:t>
      </w:r>
    </w:p>
  </w:footnote>
  <w:footnote w:id="10">
    <w:p>
      <w:pPr>
        <w:pStyle w:val="FootnoteText"/>
      </w:pPr>
      <w:r>
        <w:rPr>
          <w:rStyle w:val="FootnoteReference"/>
        </w:rPr>
        <w:footnoteRef/>
      </w:r>
      <w:r>
        <w:tab/>
        <w:t>JO L 148, 20.5.2014, p. 1.</w:t>
      </w:r>
    </w:p>
  </w:footnote>
  <w:footnote w:id="11">
    <w:p>
      <w:pPr>
        <w:pStyle w:val="FootnoteText"/>
      </w:pPr>
      <w:r>
        <w:rPr>
          <w:rStyle w:val="FootnoteReference"/>
        </w:rPr>
        <w:footnoteRef/>
      </w:r>
      <w:r>
        <w:tab/>
        <w:t>JO L 123, 12.5.2016, p. 1.</w:t>
      </w:r>
    </w:p>
  </w:footnote>
  <w:footnote w:id="12">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13">
    <w:p>
      <w:pPr>
        <w:pStyle w:val="FootnoteText"/>
      </w:pPr>
      <w:r>
        <w:rPr>
          <w:rStyle w:val="FootnoteReference"/>
        </w:rPr>
        <w:footnoteRef/>
      </w:r>
      <w:r>
        <w:tab/>
        <w:t>Regulamentul (UE) nr. 1089/2010 al Comisiei din 23 noiembrie 2010 de punere în aplicare a Directivei 2007/2/CE a Parlamentului European și a Consiliului în ceea ce privește interoperabilitatea seturilor și serviciilor de date spațiale (JO L 323, 8.12.2010, p.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ACA2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D80D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6A96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6A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BAAD1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20BA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AC910E"/>
    <w:lvl w:ilvl="0">
      <w:start w:val="1"/>
      <w:numFmt w:val="decimal"/>
      <w:pStyle w:val="ListNumber"/>
      <w:lvlText w:val="%1."/>
      <w:lvlJc w:val="left"/>
      <w:pPr>
        <w:tabs>
          <w:tab w:val="num" w:pos="360"/>
        </w:tabs>
        <w:ind w:left="360" w:hanging="360"/>
      </w:pPr>
    </w:lvl>
  </w:abstractNum>
  <w:abstractNum w:abstractNumId="7">
    <w:nsid w:val="FFFFFF89"/>
    <w:multiLevelType w:val="singleLevel"/>
    <w:tmpl w:val="87924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6"/>
  </w:num>
  <w:num w:numId="9">
    <w:abstractNumId w:val="2"/>
  </w:num>
  <w:num w:numId="10">
    <w:abstractNumId w:val="1"/>
  </w:num>
  <w:num w:numId="11">
    <w:abstractNumId w:val="0"/>
  </w:num>
  <w:num w:numId="12">
    <w:abstractNumId w:val="1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6 11:47: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150720B9B724D18AFF3B3F8F37B88C1"/>
    <w:docVar w:name="LW_CROSSREFERENCE" w:val="&lt;UNUSED&gt;"/>
    <w:docVar w:name="LW_DocType" w:val="COM"/>
    <w:docVar w:name="LW_EMISSION" w:val="13.12.2016"/>
    <w:docVar w:name="LW_EMISSION_ISODATE" w:val="2016-12-1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393"/>
    <w:docVar w:name="LW_REF.II.NEW.CP_YEAR" w:val="2016"/>
    <w:docVar w:name="LW_REF.INST.NEW" w:val="COM"/>
    <w:docVar w:name="LW_REF.INST.NEW_ADOPTED" w:val="final"/>
    <w:docVar w:name="LW_REF.INST.NEW_TEXT" w:val="(2016) 788"/>
    <w:docVar w:name="LW_REF.INTERNE" w:val="&lt;UNUSED&gt;"/>
    <w:docVar w:name="LW_SOUS.TITRE.OBJ.CP" w:val="&lt;UNUSED&gt;"/>
    <w:docVar w:name="LW_STATUT.CP" w:val="Propunere de"/>
    <w:docVar w:name="LW_SUPERTITRE" w:val="&lt;UNUSED&gt;"/>
    <w:docVar w:name="LW_TITRE.OBJ.CP" w:val="de modificare a Regulamentul (CE) nr. 1059/2003 în ceea ce prive\u537?te tipologiile teritoriilor (Tercet)"/>
    <w:docVar w:name="LW_TYPE.DOC.CP" w:val="REGULAMENT AL PARLAMENTULUI EUROPEAN \u350?I AL CONSILIULUI"/>
    <w:docVar w:name="Stamp" w:val="\\dossiers.dgt.cec.eu.int\dossiers\ESTAT\ESTAT-2016-10201\ESTAT-2016-10201-00-00-EN-REV-00.20160826120549868882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3:154:0001:0041:EN: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3:154:0001:0041: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EN/TXT/PDF/?uri=CELEX:32014R0522&amp;fr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3:154:0001:0041:EN:PDF" TargetMode="External"/><Relationship Id="rId5" Type="http://schemas.openxmlformats.org/officeDocument/2006/relationships/settings" Target="settings.xml"/><Relationship Id="rId15" Type="http://schemas.openxmlformats.org/officeDocument/2006/relationships/hyperlink" Target="http://eur-lex.europa.eu/LexUriServ/LexUriServ.do?uri=OJ:L:2013:347:0320:0469:EN: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net1.cec.eu.int\Homes\048\BRANDTH\My%20Documents\ec.europa.eu\regional_policy\sources\...\reports\cohesion6\6c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E63D-B97E-40BA-98D3-9EF0ADD3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4113</Words>
  <Characters>24639</Characters>
  <Application>Microsoft Office Word</Application>
  <DocSecurity>0</DocSecurity>
  <Lines>432</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2016-09-27T08:56:00Z</cp:lastPrinted>
  <dcterms:created xsi:type="dcterms:W3CDTF">2016-11-11T14:07:00Z</dcterms:created>
  <dcterms:modified xsi:type="dcterms:W3CDTF">2016-12-06T10:47:00Z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